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97E30" w14:textId="77777777" w:rsidR="003D7BEA" w:rsidRPr="00721AC2" w:rsidRDefault="00114346" w:rsidP="0093261D">
      <w:pPr>
        <w:spacing w:after="40"/>
        <w:jc w:val="center"/>
        <w:rPr>
          <w:rFonts w:asciiTheme="minorHAnsi" w:hAnsiTheme="minorHAnsi"/>
          <w:b/>
          <w:color w:val="FF0000"/>
        </w:rPr>
      </w:pPr>
      <w:bookmarkStart w:id="0" w:name="_GoBack"/>
      <w:bookmarkEnd w:id="0"/>
      <w:r w:rsidRPr="00721AC2">
        <w:rPr>
          <w:rFonts w:asciiTheme="minorHAnsi" w:hAnsiTheme="minorHAnsi"/>
          <w:b/>
          <w:noProof/>
          <w:color w:val="FF0000"/>
          <w:lang w:val="en-IE" w:eastAsia="en-IE"/>
        </w:rPr>
        <w:drawing>
          <wp:inline distT="0" distB="0" distL="0" distR="0" wp14:anchorId="3431C52E" wp14:editId="74664821">
            <wp:extent cx="1646063" cy="35817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F43F0.tmp"/>
                    <pic:cNvPicPr/>
                  </pic:nvPicPr>
                  <pic:blipFill>
                    <a:blip r:embed="rId11">
                      <a:extLst>
                        <a:ext uri="{28A0092B-C50C-407E-A947-70E740481C1C}">
                          <a14:useLocalDpi xmlns:a14="http://schemas.microsoft.com/office/drawing/2010/main" val="0"/>
                        </a:ext>
                      </a:extLst>
                    </a:blip>
                    <a:stretch>
                      <a:fillRect/>
                    </a:stretch>
                  </pic:blipFill>
                  <pic:spPr>
                    <a:xfrm>
                      <a:off x="0" y="0"/>
                      <a:ext cx="1646063" cy="358171"/>
                    </a:xfrm>
                    <a:prstGeom prst="rect">
                      <a:avLst/>
                    </a:prstGeom>
                  </pic:spPr>
                </pic:pic>
              </a:graphicData>
            </a:graphic>
          </wp:inline>
        </w:drawing>
      </w:r>
    </w:p>
    <w:p w14:paraId="4BEAB7BA" w14:textId="77777777" w:rsidR="003D7BEA" w:rsidRPr="007A213C" w:rsidRDefault="00A96702" w:rsidP="0093261D">
      <w:pPr>
        <w:spacing w:after="40"/>
        <w:jc w:val="right"/>
        <w:rPr>
          <w:rFonts w:asciiTheme="minorHAnsi" w:hAnsiTheme="minorHAnsi"/>
          <w:b/>
          <w:sz w:val="22"/>
          <w:szCs w:val="22"/>
        </w:rPr>
      </w:pPr>
      <w:r w:rsidRPr="007A213C">
        <w:rPr>
          <w:rFonts w:asciiTheme="minorHAnsi" w:hAnsiTheme="minorHAnsi"/>
          <w:b/>
          <w:sz w:val="22"/>
          <w:szCs w:val="22"/>
        </w:rPr>
        <w:t>27</w:t>
      </w:r>
      <w:r w:rsidR="003D7BEA" w:rsidRPr="007A213C">
        <w:rPr>
          <w:rFonts w:asciiTheme="minorHAnsi" w:hAnsiTheme="minorHAnsi"/>
          <w:b/>
          <w:sz w:val="22"/>
          <w:szCs w:val="22"/>
        </w:rPr>
        <w:t xml:space="preserve"> </w:t>
      </w:r>
      <w:r w:rsidR="00731256" w:rsidRPr="007A213C">
        <w:rPr>
          <w:rFonts w:asciiTheme="minorHAnsi" w:hAnsiTheme="minorHAnsi"/>
          <w:b/>
          <w:sz w:val="22"/>
          <w:szCs w:val="22"/>
        </w:rPr>
        <w:t>August</w:t>
      </w:r>
      <w:r w:rsidR="003D7BEA" w:rsidRPr="007A213C">
        <w:rPr>
          <w:rFonts w:asciiTheme="minorHAnsi" w:hAnsiTheme="minorHAnsi"/>
          <w:b/>
          <w:sz w:val="22"/>
          <w:szCs w:val="22"/>
        </w:rPr>
        <w:t xml:space="preserve"> 20</w:t>
      </w:r>
      <w:r w:rsidR="002A5F57" w:rsidRPr="007A213C">
        <w:rPr>
          <w:rFonts w:asciiTheme="minorHAnsi" w:hAnsiTheme="minorHAnsi"/>
          <w:b/>
          <w:sz w:val="22"/>
          <w:szCs w:val="22"/>
        </w:rPr>
        <w:t>20</w:t>
      </w:r>
    </w:p>
    <w:p w14:paraId="06972E92" w14:textId="77777777" w:rsidR="009C43F7" w:rsidRPr="00A96702" w:rsidRDefault="00114346" w:rsidP="00E52EBA">
      <w:pPr>
        <w:spacing w:after="80"/>
        <w:jc w:val="center"/>
        <w:rPr>
          <w:rFonts w:asciiTheme="minorHAnsi" w:hAnsiTheme="minorHAnsi"/>
          <w:b/>
          <w:sz w:val="22"/>
          <w:szCs w:val="22"/>
        </w:rPr>
      </w:pPr>
      <w:r w:rsidRPr="007A213C">
        <w:rPr>
          <w:rFonts w:asciiTheme="minorHAnsi" w:hAnsiTheme="minorHAnsi"/>
          <w:b/>
          <w:sz w:val="22"/>
          <w:szCs w:val="22"/>
        </w:rPr>
        <w:t>Flutter Entertainment</w:t>
      </w:r>
      <w:r w:rsidR="003D7BEA" w:rsidRPr="007A213C">
        <w:rPr>
          <w:rFonts w:asciiTheme="minorHAnsi" w:hAnsiTheme="minorHAnsi"/>
          <w:b/>
          <w:sz w:val="22"/>
          <w:szCs w:val="22"/>
        </w:rPr>
        <w:t xml:space="preserve"> p</w:t>
      </w:r>
      <w:r w:rsidR="00A97C64" w:rsidRPr="007A213C">
        <w:rPr>
          <w:rFonts w:asciiTheme="minorHAnsi" w:hAnsiTheme="minorHAnsi"/>
          <w:b/>
          <w:sz w:val="22"/>
          <w:szCs w:val="22"/>
        </w:rPr>
        <w:t>l</w:t>
      </w:r>
      <w:r w:rsidR="003D7BEA" w:rsidRPr="007A213C">
        <w:rPr>
          <w:rFonts w:asciiTheme="minorHAnsi" w:hAnsiTheme="minorHAnsi"/>
          <w:b/>
          <w:sz w:val="22"/>
          <w:szCs w:val="22"/>
        </w:rPr>
        <w:t>c</w:t>
      </w:r>
      <w:r w:rsidR="009246AC" w:rsidRPr="007A213C">
        <w:rPr>
          <w:rFonts w:asciiTheme="minorHAnsi" w:hAnsiTheme="minorHAnsi"/>
          <w:b/>
          <w:sz w:val="22"/>
          <w:szCs w:val="22"/>
        </w:rPr>
        <w:t xml:space="preserve"> - </w:t>
      </w:r>
      <w:r w:rsidR="00AD65DE" w:rsidRPr="007A213C">
        <w:rPr>
          <w:rFonts w:asciiTheme="minorHAnsi" w:hAnsiTheme="minorHAnsi"/>
          <w:b/>
          <w:sz w:val="22"/>
          <w:szCs w:val="22"/>
        </w:rPr>
        <w:t>20</w:t>
      </w:r>
      <w:r w:rsidR="002A5F57" w:rsidRPr="007A213C">
        <w:rPr>
          <w:rFonts w:asciiTheme="minorHAnsi" w:hAnsiTheme="minorHAnsi"/>
          <w:b/>
          <w:sz w:val="22"/>
          <w:szCs w:val="22"/>
        </w:rPr>
        <w:t>20</w:t>
      </w:r>
      <w:r w:rsidR="00AD65DE" w:rsidRPr="007A213C">
        <w:rPr>
          <w:rFonts w:asciiTheme="minorHAnsi" w:hAnsiTheme="minorHAnsi"/>
          <w:b/>
          <w:sz w:val="22"/>
          <w:szCs w:val="22"/>
        </w:rPr>
        <w:t xml:space="preserve"> </w:t>
      </w:r>
      <w:r w:rsidR="00731256" w:rsidRPr="007A213C">
        <w:rPr>
          <w:rFonts w:asciiTheme="minorHAnsi" w:hAnsiTheme="minorHAnsi"/>
          <w:b/>
          <w:sz w:val="22"/>
          <w:szCs w:val="22"/>
        </w:rPr>
        <w:t>Interim</w:t>
      </w:r>
      <w:r w:rsidR="003D7BEA" w:rsidRPr="007A213C">
        <w:rPr>
          <w:rFonts w:asciiTheme="minorHAnsi" w:hAnsiTheme="minorHAnsi"/>
          <w:b/>
          <w:sz w:val="22"/>
          <w:szCs w:val="22"/>
        </w:rPr>
        <w:t xml:space="preserve"> Results</w:t>
      </w:r>
    </w:p>
    <w:p w14:paraId="70E23BE7" w14:textId="77777777" w:rsidR="005425DB" w:rsidRPr="00371E2E" w:rsidRDefault="00DF0FAF" w:rsidP="00A96702">
      <w:pPr>
        <w:spacing w:after="80"/>
        <w:jc w:val="center"/>
        <w:rPr>
          <w:rFonts w:asciiTheme="minorHAnsi" w:hAnsiTheme="minorHAnsi"/>
          <w:b/>
          <w:sz w:val="22"/>
          <w:szCs w:val="22"/>
        </w:rPr>
      </w:pPr>
      <w:r>
        <w:rPr>
          <w:rFonts w:asciiTheme="minorHAnsi" w:hAnsiTheme="minorHAnsi"/>
          <w:b/>
          <w:sz w:val="22"/>
          <w:szCs w:val="22"/>
        </w:rPr>
        <w:t>Positive</w:t>
      </w:r>
      <w:r w:rsidR="0085220F">
        <w:rPr>
          <w:rFonts w:asciiTheme="minorHAnsi" w:hAnsiTheme="minorHAnsi"/>
          <w:b/>
          <w:sz w:val="22"/>
          <w:szCs w:val="22"/>
        </w:rPr>
        <w:t xml:space="preserve"> </w:t>
      </w:r>
      <w:r w:rsidR="00B62499">
        <w:rPr>
          <w:rFonts w:asciiTheme="minorHAnsi" w:hAnsiTheme="minorHAnsi"/>
          <w:b/>
          <w:sz w:val="22"/>
          <w:szCs w:val="22"/>
        </w:rPr>
        <w:t xml:space="preserve">first half </w:t>
      </w:r>
      <w:r w:rsidR="00A96702" w:rsidRPr="00371E2E">
        <w:rPr>
          <w:rFonts w:asciiTheme="minorHAnsi" w:hAnsiTheme="minorHAnsi"/>
          <w:b/>
          <w:sz w:val="22"/>
          <w:szCs w:val="22"/>
        </w:rPr>
        <w:t>performance</w:t>
      </w:r>
      <w:r w:rsidR="00A42A90">
        <w:rPr>
          <w:rFonts w:asciiTheme="minorHAnsi" w:hAnsiTheme="minorHAnsi"/>
          <w:b/>
          <w:sz w:val="22"/>
          <w:szCs w:val="22"/>
        </w:rPr>
        <w:t xml:space="preserve">; </w:t>
      </w:r>
      <w:r>
        <w:rPr>
          <w:rFonts w:asciiTheme="minorHAnsi" w:hAnsiTheme="minorHAnsi"/>
          <w:b/>
          <w:sz w:val="22"/>
          <w:szCs w:val="22"/>
        </w:rPr>
        <w:t xml:space="preserve">Maintaining momentum </w:t>
      </w:r>
      <w:r w:rsidR="000D59DB">
        <w:rPr>
          <w:rFonts w:asciiTheme="minorHAnsi" w:hAnsiTheme="minorHAnsi"/>
          <w:b/>
          <w:sz w:val="22"/>
          <w:szCs w:val="22"/>
        </w:rPr>
        <w:t xml:space="preserve">as </w:t>
      </w:r>
      <w:r w:rsidR="000D59DB" w:rsidRPr="00337F0B">
        <w:rPr>
          <w:rFonts w:asciiTheme="minorHAnsi" w:hAnsiTheme="minorHAnsi"/>
          <w:b/>
          <w:sz w:val="22"/>
          <w:szCs w:val="22"/>
        </w:rPr>
        <w:t>integration progresses</w:t>
      </w:r>
    </w:p>
    <w:p w14:paraId="3220F4D8" w14:textId="77777777" w:rsidR="003D7BEA" w:rsidRPr="00371E2E" w:rsidRDefault="00114346" w:rsidP="002128B2">
      <w:pPr>
        <w:spacing w:after="120"/>
        <w:jc w:val="both"/>
        <w:rPr>
          <w:rFonts w:asciiTheme="minorHAnsi" w:hAnsiTheme="minorHAnsi"/>
          <w:sz w:val="22"/>
          <w:szCs w:val="22"/>
        </w:rPr>
      </w:pPr>
      <w:r w:rsidRPr="00371E2E">
        <w:rPr>
          <w:rFonts w:asciiTheme="minorHAnsi" w:hAnsiTheme="minorHAnsi"/>
          <w:sz w:val="22"/>
          <w:szCs w:val="22"/>
        </w:rPr>
        <w:t>Flutter Entertainment</w:t>
      </w:r>
      <w:r w:rsidR="003D7BEA" w:rsidRPr="00371E2E">
        <w:rPr>
          <w:rFonts w:asciiTheme="minorHAnsi" w:hAnsiTheme="minorHAnsi"/>
          <w:sz w:val="22"/>
          <w:szCs w:val="22"/>
        </w:rPr>
        <w:t xml:space="preserve"> plc (the “Group”)</w:t>
      </w:r>
      <w:r w:rsidR="003D49B1" w:rsidRPr="00371E2E">
        <w:rPr>
          <w:rFonts w:asciiTheme="minorHAnsi" w:hAnsiTheme="minorHAnsi"/>
          <w:sz w:val="22"/>
          <w:szCs w:val="22"/>
        </w:rPr>
        <w:t xml:space="preserve"> </w:t>
      </w:r>
      <w:r w:rsidR="003D7BEA" w:rsidRPr="00371E2E">
        <w:rPr>
          <w:rFonts w:asciiTheme="minorHAnsi" w:hAnsiTheme="minorHAnsi"/>
          <w:sz w:val="22"/>
          <w:szCs w:val="22"/>
        </w:rPr>
        <w:t xml:space="preserve">announces </w:t>
      </w:r>
      <w:r w:rsidR="001E3DC4" w:rsidRPr="00371E2E">
        <w:rPr>
          <w:rFonts w:asciiTheme="minorHAnsi" w:hAnsiTheme="minorHAnsi"/>
          <w:sz w:val="22"/>
          <w:szCs w:val="22"/>
        </w:rPr>
        <w:t>interim</w:t>
      </w:r>
      <w:r w:rsidR="003D7BEA" w:rsidRPr="00371E2E">
        <w:rPr>
          <w:rFonts w:asciiTheme="minorHAnsi" w:hAnsiTheme="minorHAnsi"/>
          <w:sz w:val="22"/>
          <w:szCs w:val="22"/>
        </w:rPr>
        <w:t xml:space="preserve"> results for the </w:t>
      </w:r>
      <w:r w:rsidR="001E3DC4" w:rsidRPr="00371E2E">
        <w:rPr>
          <w:rFonts w:asciiTheme="minorHAnsi" w:hAnsiTheme="minorHAnsi"/>
          <w:sz w:val="22"/>
          <w:szCs w:val="22"/>
        </w:rPr>
        <w:t>six months</w:t>
      </w:r>
      <w:r w:rsidR="00C92F7E" w:rsidRPr="00371E2E">
        <w:rPr>
          <w:rFonts w:asciiTheme="minorHAnsi" w:hAnsiTheme="minorHAnsi"/>
          <w:sz w:val="22"/>
          <w:szCs w:val="22"/>
        </w:rPr>
        <w:t xml:space="preserve"> ended</w:t>
      </w:r>
      <w:r w:rsidR="003D7BEA" w:rsidRPr="00371E2E">
        <w:rPr>
          <w:rFonts w:asciiTheme="minorHAnsi" w:hAnsiTheme="minorHAnsi"/>
          <w:sz w:val="22"/>
          <w:szCs w:val="22"/>
        </w:rPr>
        <w:t xml:space="preserve"> 3</w:t>
      </w:r>
      <w:r w:rsidR="001E3DC4" w:rsidRPr="00371E2E">
        <w:rPr>
          <w:rFonts w:asciiTheme="minorHAnsi" w:hAnsiTheme="minorHAnsi"/>
          <w:sz w:val="22"/>
          <w:szCs w:val="22"/>
        </w:rPr>
        <w:t>0</w:t>
      </w:r>
      <w:r w:rsidR="003D7BEA" w:rsidRPr="00371E2E">
        <w:rPr>
          <w:rFonts w:asciiTheme="minorHAnsi" w:hAnsiTheme="minorHAnsi"/>
          <w:sz w:val="22"/>
          <w:szCs w:val="22"/>
        </w:rPr>
        <w:t xml:space="preserve"> </w:t>
      </w:r>
      <w:r w:rsidR="001E3DC4" w:rsidRPr="00371E2E">
        <w:rPr>
          <w:rFonts w:asciiTheme="minorHAnsi" w:hAnsiTheme="minorHAnsi"/>
          <w:sz w:val="22"/>
          <w:szCs w:val="22"/>
        </w:rPr>
        <w:t>June</w:t>
      </w:r>
      <w:r w:rsidR="00C92F7E" w:rsidRPr="00371E2E">
        <w:rPr>
          <w:rFonts w:asciiTheme="minorHAnsi" w:hAnsiTheme="minorHAnsi"/>
          <w:sz w:val="22"/>
          <w:szCs w:val="22"/>
        </w:rPr>
        <w:t xml:space="preserve"> 20</w:t>
      </w:r>
      <w:r w:rsidR="002A5F57" w:rsidRPr="00371E2E">
        <w:rPr>
          <w:rFonts w:asciiTheme="minorHAnsi" w:hAnsiTheme="minorHAnsi"/>
          <w:sz w:val="22"/>
          <w:szCs w:val="22"/>
        </w:rPr>
        <w:t>20</w:t>
      </w:r>
      <w:r w:rsidR="00E47736" w:rsidRPr="00371E2E">
        <w:rPr>
          <w:rFonts w:asciiTheme="minorHAnsi" w:hAnsiTheme="minorHAnsi"/>
          <w:sz w:val="22"/>
          <w:szCs w:val="22"/>
        </w:rPr>
        <w:t>.</w:t>
      </w:r>
    </w:p>
    <w:tbl>
      <w:tblPr>
        <w:tblW w:w="9716" w:type="dxa"/>
        <w:tblLayout w:type="fixed"/>
        <w:tblLook w:val="04A0" w:firstRow="1" w:lastRow="0" w:firstColumn="1" w:lastColumn="0" w:noHBand="0" w:noVBand="1"/>
      </w:tblPr>
      <w:tblGrid>
        <w:gridCol w:w="2984"/>
        <w:gridCol w:w="960"/>
        <w:gridCol w:w="961"/>
        <w:gridCol w:w="966"/>
        <w:gridCol w:w="961"/>
        <w:gridCol w:w="961"/>
        <w:gridCol w:w="961"/>
        <w:gridCol w:w="962"/>
      </w:tblGrid>
      <w:tr w:rsidR="00BB7C8C" w:rsidRPr="00BF197F" w14:paraId="14B33ABC" w14:textId="77777777" w:rsidTr="00BB7C8C">
        <w:trPr>
          <w:trHeight w:val="322"/>
        </w:trPr>
        <w:tc>
          <w:tcPr>
            <w:tcW w:w="2984" w:type="dxa"/>
            <w:tcBorders>
              <w:top w:val="single" w:sz="8" w:space="0" w:color="auto"/>
              <w:left w:val="single" w:sz="8" w:space="0" w:color="auto"/>
              <w:bottom w:val="nil"/>
              <w:right w:val="nil"/>
            </w:tcBorders>
            <w:shd w:val="clear" w:color="auto" w:fill="auto"/>
            <w:noWrap/>
            <w:vAlign w:val="center"/>
            <w:hideMark/>
          </w:tcPr>
          <w:p w14:paraId="355DD9E9" w14:textId="77777777" w:rsidR="00BB7C8C" w:rsidRPr="00BF197F" w:rsidRDefault="00BB7C8C" w:rsidP="00CA7EFF">
            <w:pPr>
              <w:jc w:val="both"/>
              <w:rPr>
                <w:rFonts w:ascii="Calibri" w:hAnsi="Calibri" w:cs="Calibri"/>
                <w:b/>
                <w:bCs/>
                <w:color w:val="FF0000"/>
                <w:sz w:val="22"/>
                <w:szCs w:val="22"/>
                <w:lang w:eastAsia="en-GB"/>
              </w:rPr>
            </w:pPr>
            <w:r w:rsidRPr="00BF197F">
              <w:rPr>
                <w:rFonts w:ascii="Calibri" w:hAnsi="Calibri" w:cs="Calibri"/>
                <w:b/>
                <w:bCs/>
                <w:color w:val="FF0000"/>
                <w:sz w:val="22"/>
                <w:szCs w:val="22"/>
                <w:lang w:eastAsia="en-GB"/>
              </w:rPr>
              <w:t> </w:t>
            </w:r>
          </w:p>
        </w:tc>
        <w:tc>
          <w:tcPr>
            <w:tcW w:w="2887" w:type="dxa"/>
            <w:gridSpan w:val="3"/>
            <w:tcBorders>
              <w:top w:val="single" w:sz="8" w:space="0" w:color="auto"/>
              <w:left w:val="nil"/>
              <w:bottom w:val="nil"/>
              <w:right w:val="single" w:sz="8" w:space="0" w:color="000000"/>
            </w:tcBorders>
            <w:shd w:val="clear" w:color="auto" w:fill="auto"/>
            <w:noWrap/>
            <w:vAlign w:val="center"/>
            <w:hideMark/>
          </w:tcPr>
          <w:p w14:paraId="6C7D9882"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Reported</w:t>
            </w:r>
            <w:r w:rsidRPr="00BF197F">
              <w:rPr>
                <w:rFonts w:ascii="Calibri" w:hAnsi="Calibri" w:cs="Calibri"/>
                <w:b/>
                <w:bCs/>
                <w:color w:val="000000"/>
                <w:sz w:val="22"/>
                <w:szCs w:val="22"/>
                <w:vertAlign w:val="superscript"/>
                <w:lang w:eastAsia="en-GB"/>
              </w:rPr>
              <w:t>1</w:t>
            </w:r>
          </w:p>
        </w:tc>
        <w:tc>
          <w:tcPr>
            <w:tcW w:w="3845" w:type="dxa"/>
            <w:gridSpan w:val="4"/>
            <w:tcBorders>
              <w:top w:val="single" w:sz="8" w:space="0" w:color="auto"/>
              <w:left w:val="nil"/>
              <w:bottom w:val="nil"/>
              <w:right w:val="single" w:sz="8" w:space="0" w:color="000000"/>
            </w:tcBorders>
            <w:shd w:val="clear" w:color="auto" w:fill="auto"/>
            <w:noWrap/>
            <w:vAlign w:val="center"/>
            <w:hideMark/>
          </w:tcPr>
          <w:p w14:paraId="29509D67"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Pro forma</w:t>
            </w:r>
            <w:r w:rsidRPr="00BF197F">
              <w:rPr>
                <w:rFonts w:ascii="Calibri" w:hAnsi="Calibri" w:cs="Calibri"/>
                <w:b/>
                <w:bCs/>
                <w:color w:val="000000"/>
                <w:sz w:val="22"/>
                <w:szCs w:val="22"/>
                <w:vertAlign w:val="superscript"/>
                <w:lang w:eastAsia="en-GB"/>
              </w:rPr>
              <w:t>2</w:t>
            </w:r>
          </w:p>
        </w:tc>
      </w:tr>
      <w:tr w:rsidR="00BB7C8C" w:rsidRPr="00BF197F" w14:paraId="3341E1A0" w14:textId="77777777" w:rsidTr="00BB7C8C">
        <w:tblPrEx>
          <w:jc w:val="center"/>
          <w:tblCellMar>
            <w:left w:w="57" w:type="dxa"/>
            <w:right w:w="57" w:type="dxa"/>
          </w:tblCellMar>
        </w:tblPrEx>
        <w:trPr>
          <w:trHeight w:val="288"/>
          <w:jc w:val="center"/>
        </w:trPr>
        <w:tc>
          <w:tcPr>
            <w:tcW w:w="2984" w:type="dxa"/>
            <w:vMerge w:val="restart"/>
            <w:tcBorders>
              <w:top w:val="nil"/>
              <w:left w:val="single" w:sz="8" w:space="0" w:color="auto"/>
              <w:bottom w:val="single" w:sz="8" w:space="0" w:color="000000"/>
              <w:right w:val="nil"/>
            </w:tcBorders>
            <w:shd w:val="clear" w:color="auto" w:fill="auto"/>
            <w:noWrap/>
            <w:vAlign w:val="center"/>
            <w:hideMark/>
          </w:tcPr>
          <w:p w14:paraId="3AE0E842" w14:textId="77777777" w:rsidR="00BB7C8C" w:rsidRPr="00BF197F" w:rsidRDefault="00BB7C8C" w:rsidP="00CA7EFF">
            <w:pPr>
              <w:jc w:val="both"/>
              <w:rPr>
                <w:rFonts w:ascii="Calibri" w:hAnsi="Calibri" w:cs="Calibri"/>
                <w:b/>
                <w:bCs/>
                <w:sz w:val="22"/>
                <w:szCs w:val="22"/>
                <w:lang w:eastAsia="en-GB"/>
              </w:rPr>
            </w:pPr>
            <w:r w:rsidRPr="00BF197F">
              <w:rPr>
                <w:rFonts w:ascii="Calibri" w:hAnsi="Calibri" w:cs="Calibri"/>
                <w:b/>
                <w:bCs/>
                <w:sz w:val="22"/>
                <w:szCs w:val="22"/>
                <w:lang w:eastAsia="en-GB"/>
              </w:rPr>
              <w:t>£m</w:t>
            </w:r>
          </w:p>
        </w:tc>
        <w:tc>
          <w:tcPr>
            <w:tcW w:w="960" w:type="dxa"/>
            <w:tcBorders>
              <w:top w:val="nil"/>
              <w:left w:val="nil"/>
              <w:bottom w:val="nil"/>
              <w:right w:val="nil"/>
            </w:tcBorders>
            <w:shd w:val="clear" w:color="auto" w:fill="auto"/>
            <w:noWrap/>
            <w:vAlign w:val="center"/>
            <w:hideMark/>
          </w:tcPr>
          <w:p w14:paraId="613AFB06"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H1</w:t>
            </w:r>
          </w:p>
        </w:tc>
        <w:tc>
          <w:tcPr>
            <w:tcW w:w="961" w:type="dxa"/>
            <w:tcBorders>
              <w:top w:val="nil"/>
              <w:left w:val="nil"/>
              <w:bottom w:val="nil"/>
              <w:right w:val="nil"/>
            </w:tcBorders>
            <w:shd w:val="clear" w:color="auto" w:fill="auto"/>
            <w:noWrap/>
            <w:vAlign w:val="center"/>
            <w:hideMark/>
          </w:tcPr>
          <w:p w14:paraId="2EBD0739"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H1</w:t>
            </w:r>
          </w:p>
        </w:tc>
        <w:tc>
          <w:tcPr>
            <w:tcW w:w="966" w:type="dxa"/>
            <w:tcBorders>
              <w:top w:val="nil"/>
              <w:left w:val="nil"/>
              <w:bottom w:val="nil"/>
              <w:right w:val="single" w:sz="8" w:space="0" w:color="auto"/>
            </w:tcBorders>
            <w:shd w:val="clear" w:color="auto" w:fill="auto"/>
            <w:noWrap/>
            <w:vAlign w:val="center"/>
            <w:hideMark/>
          </w:tcPr>
          <w:p w14:paraId="24CADAB8" w14:textId="77777777" w:rsidR="00BB7C8C" w:rsidRPr="00BF197F" w:rsidRDefault="00BB7C8C" w:rsidP="00CA7EFF">
            <w:pPr>
              <w:jc w:val="center"/>
              <w:rPr>
                <w:rFonts w:ascii="Calibri" w:hAnsi="Calibri" w:cs="Calibri"/>
                <w:b/>
                <w:bCs/>
                <w:color w:val="000000"/>
                <w:sz w:val="22"/>
                <w:szCs w:val="22"/>
                <w:lang w:eastAsia="en-GB"/>
              </w:rPr>
            </w:pPr>
          </w:p>
        </w:tc>
        <w:tc>
          <w:tcPr>
            <w:tcW w:w="961" w:type="dxa"/>
            <w:tcBorders>
              <w:top w:val="nil"/>
              <w:left w:val="nil"/>
              <w:bottom w:val="nil"/>
              <w:right w:val="nil"/>
            </w:tcBorders>
            <w:shd w:val="clear" w:color="auto" w:fill="auto"/>
            <w:noWrap/>
            <w:vAlign w:val="center"/>
            <w:hideMark/>
          </w:tcPr>
          <w:p w14:paraId="1535837D"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H1</w:t>
            </w:r>
          </w:p>
        </w:tc>
        <w:tc>
          <w:tcPr>
            <w:tcW w:w="961" w:type="dxa"/>
            <w:tcBorders>
              <w:top w:val="nil"/>
              <w:left w:val="nil"/>
              <w:bottom w:val="nil"/>
              <w:right w:val="nil"/>
            </w:tcBorders>
            <w:shd w:val="clear" w:color="auto" w:fill="auto"/>
            <w:noWrap/>
            <w:vAlign w:val="center"/>
            <w:hideMark/>
          </w:tcPr>
          <w:p w14:paraId="41020031"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H1</w:t>
            </w:r>
          </w:p>
        </w:tc>
        <w:tc>
          <w:tcPr>
            <w:tcW w:w="961" w:type="dxa"/>
            <w:tcBorders>
              <w:top w:val="nil"/>
              <w:left w:val="nil"/>
              <w:bottom w:val="nil"/>
              <w:right w:val="nil"/>
            </w:tcBorders>
            <w:shd w:val="clear" w:color="auto" w:fill="auto"/>
            <w:noWrap/>
            <w:vAlign w:val="center"/>
            <w:hideMark/>
          </w:tcPr>
          <w:p w14:paraId="04CE30F8" w14:textId="77777777" w:rsidR="00BB7C8C" w:rsidRPr="00BF197F" w:rsidRDefault="00BB7C8C" w:rsidP="00CA7EFF">
            <w:pPr>
              <w:jc w:val="center"/>
              <w:rPr>
                <w:rFonts w:ascii="Calibri" w:hAnsi="Calibri" w:cs="Calibri"/>
                <w:b/>
                <w:bCs/>
                <w:color w:val="000000"/>
                <w:sz w:val="22"/>
                <w:szCs w:val="22"/>
                <w:lang w:eastAsia="en-GB"/>
              </w:rPr>
            </w:pPr>
          </w:p>
        </w:tc>
        <w:tc>
          <w:tcPr>
            <w:tcW w:w="962" w:type="dxa"/>
            <w:vMerge w:val="restart"/>
            <w:tcBorders>
              <w:top w:val="nil"/>
              <w:left w:val="nil"/>
              <w:bottom w:val="nil"/>
              <w:right w:val="single" w:sz="8" w:space="0" w:color="auto"/>
            </w:tcBorders>
            <w:shd w:val="clear" w:color="auto" w:fill="auto"/>
            <w:vAlign w:val="center"/>
            <w:hideMark/>
          </w:tcPr>
          <w:p w14:paraId="75395369" w14:textId="77777777" w:rsidR="00BB7C8C" w:rsidRPr="00BF197F" w:rsidRDefault="00BB7C8C" w:rsidP="00CA7EFF">
            <w:pPr>
              <w:jc w:val="center"/>
              <w:rPr>
                <w:rFonts w:ascii="Calibri" w:hAnsi="Calibri" w:cs="Calibri"/>
                <w:b/>
                <w:bCs/>
                <w:i/>
                <w:iCs/>
                <w:color w:val="000000"/>
                <w:sz w:val="18"/>
                <w:szCs w:val="18"/>
                <w:lang w:eastAsia="en-GB"/>
              </w:rPr>
            </w:pPr>
            <w:r w:rsidRPr="00BF197F">
              <w:rPr>
                <w:rFonts w:ascii="Calibri" w:hAnsi="Calibri" w:cs="Calibri"/>
                <w:b/>
                <w:bCs/>
                <w:i/>
                <w:iCs/>
                <w:color w:val="000000"/>
                <w:sz w:val="18"/>
                <w:szCs w:val="18"/>
                <w:lang w:eastAsia="en-GB"/>
              </w:rPr>
              <w:t>Constant Currency</w:t>
            </w:r>
            <w:r w:rsidRPr="00BF197F">
              <w:rPr>
                <w:rFonts w:ascii="Calibri" w:hAnsi="Calibri" w:cs="Calibri"/>
                <w:b/>
                <w:bCs/>
                <w:i/>
                <w:iCs/>
                <w:color w:val="000000"/>
                <w:sz w:val="18"/>
                <w:szCs w:val="18"/>
                <w:vertAlign w:val="superscript"/>
                <w:lang w:eastAsia="en-GB"/>
              </w:rPr>
              <w:t>3</w:t>
            </w:r>
          </w:p>
        </w:tc>
      </w:tr>
      <w:tr w:rsidR="00BB7C8C" w:rsidRPr="00BF197F" w14:paraId="5F121670" w14:textId="77777777" w:rsidTr="00BB7C8C">
        <w:tblPrEx>
          <w:jc w:val="center"/>
          <w:tblCellMar>
            <w:left w:w="57" w:type="dxa"/>
            <w:right w:w="57" w:type="dxa"/>
          </w:tblCellMar>
        </w:tblPrEx>
        <w:trPr>
          <w:trHeight w:val="288"/>
          <w:jc w:val="center"/>
        </w:trPr>
        <w:tc>
          <w:tcPr>
            <w:tcW w:w="2984" w:type="dxa"/>
            <w:vMerge/>
            <w:tcBorders>
              <w:top w:val="nil"/>
              <w:left w:val="single" w:sz="8" w:space="0" w:color="auto"/>
              <w:bottom w:val="single" w:sz="8" w:space="0" w:color="000000"/>
              <w:right w:val="nil"/>
            </w:tcBorders>
            <w:vAlign w:val="center"/>
            <w:hideMark/>
          </w:tcPr>
          <w:p w14:paraId="017981FC" w14:textId="77777777" w:rsidR="00BB7C8C" w:rsidRPr="00BF197F" w:rsidRDefault="00BB7C8C" w:rsidP="00CA7EFF">
            <w:pPr>
              <w:rPr>
                <w:rFonts w:ascii="Calibri" w:hAnsi="Calibri" w:cs="Calibri"/>
                <w:b/>
                <w:bCs/>
                <w:sz w:val="22"/>
                <w:szCs w:val="22"/>
                <w:lang w:eastAsia="en-GB"/>
              </w:rPr>
            </w:pPr>
          </w:p>
        </w:tc>
        <w:tc>
          <w:tcPr>
            <w:tcW w:w="960" w:type="dxa"/>
            <w:tcBorders>
              <w:top w:val="nil"/>
              <w:left w:val="nil"/>
              <w:bottom w:val="nil"/>
              <w:right w:val="nil"/>
            </w:tcBorders>
            <w:shd w:val="clear" w:color="auto" w:fill="auto"/>
            <w:noWrap/>
            <w:vAlign w:val="center"/>
            <w:hideMark/>
          </w:tcPr>
          <w:p w14:paraId="2D7C3F45"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2020</w:t>
            </w:r>
          </w:p>
        </w:tc>
        <w:tc>
          <w:tcPr>
            <w:tcW w:w="961" w:type="dxa"/>
            <w:tcBorders>
              <w:top w:val="nil"/>
              <w:left w:val="nil"/>
              <w:bottom w:val="nil"/>
              <w:right w:val="nil"/>
            </w:tcBorders>
            <w:shd w:val="clear" w:color="auto" w:fill="auto"/>
            <w:noWrap/>
            <w:vAlign w:val="center"/>
            <w:hideMark/>
          </w:tcPr>
          <w:p w14:paraId="1293FFAE"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2019</w:t>
            </w:r>
          </w:p>
        </w:tc>
        <w:tc>
          <w:tcPr>
            <w:tcW w:w="966" w:type="dxa"/>
            <w:tcBorders>
              <w:top w:val="nil"/>
              <w:left w:val="nil"/>
              <w:bottom w:val="nil"/>
              <w:right w:val="single" w:sz="8" w:space="0" w:color="auto"/>
            </w:tcBorders>
            <w:shd w:val="clear" w:color="auto" w:fill="auto"/>
            <w:noWrap/>
            <w:vAlign w:val="center"/>
            <w:hideMark/>
          </w:tcPr>
          <w:p w14:paraId="52C46B5F" w14:textId="77777777" w:rsidR="00BB7C8C" w:rsidRPr="00BF197F" w:rsidRDefault="00BB7C8C" w:rsidP="00CA7EFF">
            <w:pPr>
              <w:jc w:val="center"/>
              <w:rPr>
                <w:rFonts w:ascii="Calibri" w:hAnsi="Calibri" w:cs="Calibri"/>
                <w:b/>
                <w:bCs/>
                <w:color w:val="000000"/>
                <w:sz w:val="22"/>
                <w:szCs w:val="22"/>
                <w:lang w:eastAsia="en-GB"/>
              </w:rPr>
            </w:pPr>
          </w:p>
        </w:tc>
        <w:tc>
          <w:tcPr>
            <w:tcW w:w="961" w:type="dxa"/>
            <w:tcBorders>
              <w:top w:val="nil"/>
              <w:left w:val="nil"/>
              <w:bottom w:val="nil"/>
              <w:right w:val="nil"/>
            </w:tcBorders>
            <w:shd w:val="clear" w:color="auto" w:fill="auto"/>
            <w:noWrap/>
            <w:vAlign w:val="center"/>
            <w:hideMark/>
          </w:tcPr>
          <w:p w14:paraId="545803B3"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2020</w:t>
            </w:r>
          </w:p>
        </w:tc>
        <w:tc>
          <w:tcPr>
            <w:tcW w:w="961" w:type="dxa"/>
            <w:tcBorders>
              <w:top w:val="nil"/>
              <w:left w:val="nil"/>
              <w:bottom w:val="nil"/>
              <w:right w:val="nil"/>
            </w:tcBorders>
            <w:shd w:val="clear" w:color="auto" w:fill="auto"/>
            <w:noWrap/>
            <w:vAlign w:val="center"/>
            <w:hideMark/>
          </w:tcPr>
          <w:p w14:paraId="4F92C6A3"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2019</w:t>
            </w:r>
          </w:p>
        </w:tc>
        <w:tc>
          <w:tcPr>
            <w:tcW w:w="961" w:type="dxa"/>
            <w:tcBorders>
              <w:top w:val="nil"/>
              <w:left w:val="nil"/>
              <w:bottom w:val="nil"/>
              <w:right w:val="nil"/>
            </w:tcBorders>
            <w:shd w:val="clear" w:color="auto" w:fill="auto"/>
            <w:noWrap/>
            <w:vAlign w:val="center"/>
            <w:hideMark/>
          </w:tcPr>
          <w:p w14:paraId="4CDB4889" w14:textId="77777777" w:rsidR="00BB7C8C" w:rsidRPr="00BF197F" w:rsidRDefault="00BB7C8C" w:rsidP="00CA7EFF">
            <w:pPr>
              <w:jc w:val="center"/>
              <w:rPr>
                <w:rFonts w:ascii="Calibri" w:hAnsi="Calibri" w:cs="Calibri"/>
                <w:b/>
                <w:bCs/>
                <w:color w:val="000000"/>
                <w:sz w:val="22"/>
                <w:szCs w:val="22"/>
                <w:lang w:eastAsia="en-GB"/>
              </w:rPr>
            </w:pPr>
          </w:p>
        </w:tc>
        <w:tc>
          <w:tcPr>
            <w:tcW w:w="962" w:type="dxa"/>
            <w:vMerge/>
            <w:tcBorders>
              <w:top w:val="nil"/>
              <w:left w:val="nil"/>
              <w:bottom w:val="nil"/>
              <w:right w:val="single" w:sz="8" w:space="0" w:color="auto"/>
            </w:tcBorders>
            <w:vAlign w:val="center"/>
            <w:hideMark/>
          </w:tcPr>
          <w:p w14:paraId="137A8A23" w14:textId="77777777" w:rsidR="00BB7C8C" w:rsidRPr="00BF197F" w:rsidRDefault="00BB7C8C" w:rsidP="00CA7EFF">
            <w:pPr>
              <w:jc w:val="center"/>
              <w:rPr>
                <w:rFonts w:ascii="Calibri" w:hAnsi="Calibri" w:cs="Calibri"/>
                <w:b/>
                <w:bCs/>
                <w:i/>
                <w:iCs/>
                <w:color w:val="000000"/>
                <w:sz w:val="18"/>
                <w:szCs w:val="18"/>
                <w:lang w:eastAsia="en-GB"/>
              </w:rPr>
            </w:pPr>
          </w:p>
        </w:tc>
      </w:tr>
      <w:tr w:rsidR="00BB7C8C" w:rsidRPr="00BF197F" w14:paraId="33FD3B4C" w14:textId="77777777" w:rsidTr="00BB7C8C">
        <w:tblPrEx>
          <w:jc w:val="center"/>
          <w:tblCellMar>
            <w:left w:w="57" w:type="dxa"/>
            <w:right w:w="57" w:type="dxa"/>
          </w:tblCellMar>
        </w:tblPrEx>
        <w:trPr>
          <w:trHeight w:val="299"/>
          <w:jc w:val="center"/>
        </w:trPr>
        <w:tc>
          <w:tcPr>
            <w:tcW w:w="2984" w:type="dxa"/>
            <w:vMerge/>
            <w:tcBorders>
              <w:top w:val="nil"/>
              <w:left w:val="single" w:sz="8" w:space="0" w:color="auto"/>
              <w:bottom w:val="single" w:sz="8" w:space="0" w:color="000000"/>
              <w:right w:val="nil"/>
            </w:tcBorders>
            <w:vAlign w:val="center"/>
            <w:hideMark/>
          </w:tcPr>
          <w:p w14:paraId="53F3A998" w14:textId="77777777" w:rsidR="00BB7C8C" w:rsidRPr="00BF197F" w:rsidRDefault="00BB7C8C" w:rsidP="00CA7EFF">
            <w:pPr>
              <w:rPr>
                <w:rFonts w:ascii="Calibri" w:hAnsi="Calibri" w:cs="Calibri"/>
                <w:b/>
                <w:bCs/>
                <w:sz w:val="22"/>
                <w:szCs w:val="22"/>
                <w:lang w:eastAsia="en-GB"/>
              </w:rPr>
            </w:pPr>
          </w:p>
        </w:tc>
        <w:tc>
          <w:tcPr>
            <w:tcW w:w="960" w:type="dxa"/>
            <w:tcBorders>
              <w:top w:val="nil"/>
              <w:left w:val="nil"/>
              <w:bottom w:val="single" w:sz="8" w:space="0" w:color="auto"/>
              <w:right w:val="nil"/>
            </w:tcBorders>
            <w:shd w:val="clear" w:color="auto" w:fill="auto"/>
            <w:noWrap/>
            <w:vAlign w:val="center"/>
            <w:hideMark/>
          </w:tcPr>
          <w:p w14:paraId="45BDFD11"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£m</w:t>
            </w:r>
          </w:p>
        </w:tc>
        <w:tc>
          <w:tcPr>
            <w:tcW w:w="961" w:type="dxa"/>
            <w:tcBorders>
              <w:top w:val="nil"/>
              <w:left w:val="nil"/>
              <w:bottom w:val="single" w:sz="8" w:space="0" w:color="auto"/>
              <w:right w:val="nil"/>
            </w:tcBorders>
            <w:shd w:val="clear" w:color="auto" w:fill="auto"/>
            <w:noWrap/>
            <w:vAlign w:val="center"/>
            <w:hideMark/>
          </w:tcPr>
          <w:p w14:paraId="24A24EA4"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£m</w:t>
            </w:r>
          </w:p>
        </w:tc>
        <w:tc>
          <w:tcPr>
            <w:tcW w:w="966" w:type="dxa"/>
            <w:tcBorders>
              <w:top w:val="nil"/>
              <w:left w:val="nil"/>
              <w:bottom w:val="single" w:sz="8" w:space="0" w:color="auto"/>
              <w:right w:val="single" w:sz="8" w:space="0" w:color="auto"/>
            </w:tcBorders>
            <w:shd w:val="clear" w:color="auto" w:fill="auto"/>
            <w:noWrap/>
            <w:vAlign w:val="center"/>
            <w:hideMark/>
          </w:tcPr>
          <w:p w14:paraId="01AFBEC7"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YoY %</w:t>
            </w:r>
          </w:p>
        </w:tc>
        <w:tc>
          <w:tcPr>
            <w:tcW w:w="961" w:type="dxa"/>
            <w:tcBorders>
              <w:top w:val="nil"/>
              <w:left w:val="nil"/>
              <w:bottom w:val="single" w:sz="8" w:space="0" w:color="auto"/>
              <w:right w:val="nil"/>
            </w:tcBorders>
            <w:shd w:val="clear" w:color="auto" w:fill="auto"/>
            <w:noWrap/>
            <w:vAlign w:val="center"/>
            <w:hideMark/>
          </w:tcPr>
          <w:p w14:paraId="4E367990"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£m</w:t>
            </w:r>
          </w:p>
        </w:tc>
        <w:tc>
          <w:tcPr>
            <w:tcW w:w="961" w:type="dxa"/>
            <w:tcBorders>
              <w:top w:val="nil"/>
              <w:left w:val="nil"/>
              <w:bottom w:val="single" w:sz="8" w:space="0" w:color="auto"/>
              <w:right w:val="nil"/>
            </w:tcBorders>
            <w:shd w:val="clear" w:color="auto" w:fill="auto"/>
            <w:noWrap/>
            <w:vAlign w:val="center"/>
            <w:hideMark/>
          </w:tcPr>
          <w:p w14:paraId="1AE255AB"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£m</w:t>
            </w:r>
          </w:p>
        </w:tc>
        <w:tc>
          <w:tcPr>
            <w:tcW w:w="961" w:type="dxa"/>
            <w:tcBorders>
              <w:top w:val="nil"/>
              <w:left w:val="nil"/>
              <w:bottom w:val="single" w:sz="8" w:space="0" w:color="auto"/>
              <w:right w:val="nil"/>
            </w:tcBorders>
            <w:shd w:val="clear" w:color="auto" w:fill="auto"/>
            <w:noWrap/>
            <w:vAlign w:val="center"/>
            <w:hideMark/>
          </w:tcPr>
          <w:p w14:paraId="77FD4F1E"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YoY %</w:t>
            </w:r>
          </w:p>
        </w:tc>
        <w:tc>
          <w:tcPr>
            <w:tcW w:w="962" w:type="dxa"/>
            <w:tcBorders>
              <w:top w:val="nil"/>
              <w:left w:val="nil"/>
              <w:bottom w:val="single" w:sz="8" w:space="0" w:color="auto"/>
              <w:right w:val="single" w:sz="8" w:space="0" w:color="auto"/>
            </w:tcBorders>
            <w:shd w:val="clear" w:color="auto" w:fill="auto"/>
            <w:noWrap/>
            <w:vAlign w:val="center"/>
            <w:hideMark/>
          </w:tcPr>
          <w:p w14:paraId="4BD13579" w14:textId="77777777" w:rsidR="00BB7C8C" w:rsidRPr="00BF197F" w:rsidRDefault="00BB7C8C" w:rsidP="00CA7EFF">
            <w:pPr>
              <w:jc w:val="center"/>
              <w:rPr>
                <w:rFonts w:ascii="Calibri" w:hAnsi="Calibri" w:cs="Calibri"/>
                <w:b/>
                <w:bCs/>
                <w:color w:val="000000"/>
                <w:sz w:val="22"/>
                <w:szCs w:val="22"/>
                <w:lang w:eastAsia="en-GB"/>
              </w:rPr>
            </w:pPr>
            <w:r w:rsidRPr="00BF197F">
              <w:rPr>
                <w:rFonts w:ascii="Calibri" w:hAnsi="Calibri" w:cs="Calibri"/>
                <w:b/>
                <w:bCs/>
                <w:color w:val="000000"/>
                <w:sz w:val="22"/>
                <w:szCs w:val="22"/>
                <w:lang w:eastAsia="en-GB"/>
              </w:rPr>
              <w:t>YoY %</w:t>
            </w:r>
          </w:p>
        </w:tc>
      </w:tr>
      <w:tr w:rsidR="00BB7C8C" w:rsidRPr="00BF197F" w14:paraId="2FBC94AB" w14:textId="77777777" w:rsidTr="00BB7C8C">
        <w:tblPrEx>
          <w:jc w:val="center"/>
          <w:tblCellMar>
            <w:left w:w="57" w:type="dxa"/>
            <w:right w:w="57" w:type="dxa"/>
          </w:tblCellMar>
        </w:tblPrEx>
        <w:trPr>
          <w:trHeight w:val="50"/>
          <w:jc w:val="center"/>
        </w:trPr>
        <w:tc>
          <w:tcPr>
            <w:tcW w:w="2984" w:type="dxa"/>
            <w:tcBorders>
              <w:top w:val="nil"/>
              <w:left w:val="single" w:sz="8" w:space="0" w:color="auto"/>
              <w:bottom w:val="nil"/>
              <w:right w:val="nil"/>
            </w:tcBorders>
            <w:shd w:val="clear" w:color="auto" w:fill="auto"/>
            <w:noWrap/>
            <w:vAlign w:val="center"/>
            <w:hideMark/>
          </w:tcPr>
          <w:p w14:paraId="14D8B25F" w14:textId="77777777" w:rsidR="00BB7C8C" w:rsidRPr="00BF197F" w:rsidRDefault="00BB7C8C" w:rsidP="00CA7EFF">
            <w:pPr>
              <w:jc w:val="both"/>
              <w:rPr>
                <w:rFonts w:ascii="Calibri" w:hAnsi="Calibri" w:cs="Calibri"/>
                <w:color w:val="FF0000"/>
                <w:sz w:val="2"/>
                <w:szCs w:val="2"/>
                <w:lang w:eastAsia="en-GB"/>
              </w:rPr>
            </w:pPr>
            <w:r w:rsidRPr="00BF197F">
              <w:rPr>
                <w:rFonts w:ascii="Calibri" w:hAnsi="Calibri" w:cs="Calibri"/>
                <w:color w:val="FF0000"/>
                <w:sz w:val="2"/>
                <w:szCs w:val="2"/>
                <w:lang w:eastAsia="en-GB"/>
              </w:rPr>
              <w:t> </w:t>
            </w:r>
          </w:p>
        </w:tc>
        <w:tc>
          <w:tcPr>
            <w:tcW w:w="960" w:type="dxa"/>
            <w:tcBorders>
              <w:top w:val="nil"/>
              <w:left w:val="nil"/>
              <w:bottom w:val="nil"/>
              <w:right w:val="nil"/>
            </w:tcBorders>
            <w:shd w:val="clear" w:color="auto" w:fill="auto"/>
            <w:noWrap/>
            <w:vAlign w:val="center"/>
            <w:hideMark/>
          </w:tcPr>
          <w:p w14:paraId="583F9F3B" w14:textId="77777777" w:rsidR="00BB7C8C" w:rsidRPr="00BF197F" w:rsidRDefault="00BB7C8C" w:rsidP="00CA7EFF">
            <w:pPr>
              <w:jc w:val="center"/>
              <w:rPr>
                <w:rFonts w:ascii="Calibri" w:hAnsi="Calibri" w:cs="Calibri"/>
                <w:color w:val="FF0000"/>
                <w:sz w:val="2"/>
                <w:szCs w:val="2"/>
                <w:lang w:eastAsia="en-GB"/>
              </w:rPr>
            </w:pPr>
          </w:p>
        </w:tc>
        <w:tc>
          <w:tcPr>
            <w:tcW w:w="961" w:type="dxa"/>
            <w:tcBorders>
              <w:top w:val="nil"/>
              <w:left w:val="nil"/>
              <w:bottom w:val="nil"/>
              <w:right w:val="nil"/>
            </w:tcBorders>
            <w:shd w:val="clear" w:color="auto" w:fill="auto"/>
            <w:noWrap/>
            <w:vAlign w:val="center"/>
            <w:hideMark/>
          </w:tcPr>
          <w:p w14:paraId="1BCC8788" w14:textId="77777777" w:rsidR="00BB7C8C" w:rsidRPr="00BF197F" w:rsidRDefault="00BB7C8C" w:rsidP="00CA7EFF">
            <w:pPr>
              <w:jc w:val="center"/>
              <w:rPr>
                <w:rFonts w:ascii="Times New Roman" w:hAnsi="Times New Roman"/>
                <w:sz w:val="20"/>
                <w:lang w:eastAsia="en-GB"/>
              </w:rPr>
            </w:pPr>
          </w:p>
        </w:tc>
        <w:tc>
          <w:tcPr>
            <w:tcW w:w="966" w:type="dxa"/>
            <w:tcBorders>
              <w:top w:val="nil"/>
              <w:left w:val="nil"/>
              <w:bottom w:val="nil"/>
              <w:right w:val="single" w:sz="8" w:space="0" w:color="auto"/>
            </w:tcBorders>
            <w:shd w:val="clear" w:color="auto" w:fill="auto"/>
            <w:noWrap/>
            <w:vAlign w:val="center"/>
            <w:hideMark/>
          </w:tcPr>
          <w:p w14:paraId="107831DE" w14:textId="77777777" w:rsidR="00BB7C8C" w:rsidRPr="00BF197F" w:rsidRDefault="00BB7C8C" w:rsidP="00CA7EFF">
            <w:pPr>
              <w:jc w:val="center"/>
              <w:rPr>
                <w:rFonts w:ascii="Calibri" w:hAnsi="Calibri" w:cs="Calibri"/>
                <w:color w:val="FF0000"/>
                <w:sz w:val="2"/>
                <w:szCs w:val="2"/>
                <w:lang w:eastAsia="en-GB"/>
              </w:rPr>
            </w:pPr>
          </w:p>
        </w:tc>
        <w:tc>
          <w:tcPr>
            <w:tcW w:w="961" w:type="dxa"/>
            <w:tcBorders>
              <w:top w:val="nil"/>
              <w:left w:val="nil"/>
              <w:bottom w:val="nil"/>
              <w:right w:val="nil"/>
            </w:tcBorders>
            <w:shd w:val="clear" w:color="auto" w:fill="auto"/>
            <w:noWrap/>
            <w:vAlign w:val="center"/>
            <w:hideMark/>
          </w:tcPr>
          <w:p w14:paraId="6E1DD3BC" w14:textId="77777777" w:rsidR="00BB7C8C" w:rsidRPr="00BF197F" w:rsidRDefault="00BB7C8C" w:rsidP="00CA7EFF">
            <w:pPr>
              <w:jc w:val="center"/>
              <w:rPr>
                <w:rFonts w:ascii="Calibri" w:hAnsi="Calibri" w:cs="Calibri"/>
                <w:color w:val="FF0000"/>
                <w:sz w:val="2"/>
                <w:szCs w:val="2"/>
                <w:lang w:eastAsia="en-GB"/>
              </w:rPr>
            </w:pPr>
          </w:p>
        </w:tc>
        <w:tc>
          <w:tcPr>
            <w:tcW w:w="961" w:type="dxa"/>
            <w:tcBorders>
              <w:top w:val="nil"/>
              <w:left w:val="nil"/>
              <w:bottom w:val="nil"/>
              <w:right w:val="nil"/>
            </w:tcBorders>
            <w:shd w:val="clear" w:color="auto" w:fill="auto"/>
            <w:noWrap/>
            <w:vAlign w:val="center"/>
            <w:hideMark/>
          </w:tcPr>
          <w:p w14:paraId="0950B515"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783F9BC0"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3B470CA3" w14:textId="77777777" w:rsidR="00BB7C8C" w:rsidRPr="00BF197F" w:rsidRDefault="00BB7C8C" w:rsidP="00CA7EFF">
            <w:pPr>
              <w:jc w:val="center"/>
              <w:rPr>
                <w:rFonts w:ascii="Calibri" w:hAnsi="Calibri" w:cs="Calibri"/>
                <w:color w:val="FF0000"/>
                <w:sz w:val="2"/>
                <w:szCs w:val="2"/>
                <w:lang w:eastAsia="en-GB"/>
              </w:rPr>
            </w:pPr>
          </w:p>
        </w:tc>
      </w:tr>
      <w:tr w:rsidR="00BB7C8C" w:rsidRPr="00BF197F" w14:paraId="7E5FA762" w14:textId="77777777" w:rsidTr="00BB7C8C">
        <w:tblPrEx>
          <w:jc w:val="center"/>
          <w:tblCellMar>
            <w:left w:w="57" w:type="dxa"/>
            <w:right w:w="57" w:type="dxa"/>
          </w:tblCellMar>
        </w:tblPrEx>
        <w:trPr>
          <w:trHeight w:val="322"/>
          <w:jc w:val="center"/>
        </w:trPr>
        <w:tc>
          <w:tcPr>
            <w:tcW w:w="2984" w:type="dxa"/>
            <w:tcBorders>
              <w:top w:val="nil"/>
              <w:left w:val="single" w:sz="8" w:space="0" w:color="auto"/>
              <w:bottom w:val="nil"/>
              <w:right w:val="nil"/>
            </w:tcBorders>
            <w:shd w:val="clear" w:color="auto" w:fill="auto"/>
            <w:noWrap/>
            <w:vAlign w:val="center"/>
            <w:hideMark/>
          </w:tcPr>
          <w:p w14:paraId="70A03A96" w14:textId="77777777" w:rsidR="00BB7C8C" w:rsidRPr="00BF197F" w:rsidRDefault="00BB7C8C" w:rsidP="00CA7EFF">
            <w:pPr>
              <w:jc w:val="both"/>
              <w:rPr>
                <w:rFonts w:ascii="Calibri" w:hAnsi="Calibri" w:cs="Calibri"/>
                <w:color w:val="000000"/>
                <w:sz w:val="22"/>
                <w:szCs w:val="22"/>
                <w:lang w:eastAsia="en-GB"/>
              </w:rPr>
            </w:pPr>
            <w:r w:rsidRPr="00BF197F">
              <w:rPr>
                <w:rFonts w:ascii="Calibri" w:hAnsi="Calibri" w:cs="Calibri"/>
                <w:color w:val="000000"/>
                <w:sz w:val="22"/>
                <w:szCs w:val="22"/>
                <w:lang w:eastAsia="en-GB"/>
              </w:rPr>
              <w:t>Revenue</w:t>
            </w:r>
            <w:r w:rsidRPr="00BF197F">
              <w:rPr>
                <w:rFonts w:ascii="Calibri" w:hAnsi="Calibri" w:cs="Calibri"/>
                <w:color w:val="000000"/>
                <w:sz w:val="22"/>
                <w:szCs w:val="22"/>
                <w:vertAlign w:val="superscript"/>
                <w:lang w:eastAsia="en-GB"/>
              </w:rPr>
              <w:t>4</w:t>
            </w:r>
          </w:p>
        </w:tc>
        <w:tc>
          <w:tcPr>
            <w:tcW w:w="960" w:type="dxa"/>
            <w:tcBorders>
              <w:top w:val="nil"/>
              <w:left w:val="nil"/>
              <w:bottom w:val="nil"/>
              <w:right w:val="nil"/>
            </w:tcBorders>
            <w:shd w:val="clear" w:color="auto" w:fill="auto"/>
            <w:noWrap/>
            <w:vAlign w:val="center"/>
            <w:hideMark/>
          </w:tcPr>
          <w:p w14:paraId="4DF47DDC"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1,522</w:t>
            </w:r>
          </w:p>
        </w:tc>
        <w:tc>
          <w:tcPr>
            <w:tcW w:w="961" w:type="dxa"/>
            <w:tcBorders>
              <w:top w:val="nil"/>
              <w:left w:val="nil"/>
              <w:bottom w:val="nil"/>
              <w:right w:val="nil"/>
            </w:tcBorders>
            <w:shd w:val="clear" w:color="auto" w:fill="auto"/>
            <w:noWrap/>
            <w:vAlign w:val="center"/>
            <w:hideMark/>
          </w:tcPr>
          <w:p w14:paraId="378D3405"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1,020</w:t>
            </w:r>
          </w:p>
        </w:tc>
        <w:tc>
          <w:tcPr>
            <w:tcW w:w="966" w:type="dxa"/>
            <w:tcBorders>
              <w:top w:val="nil"/>
              <w:left w:val="nil"/>
              <w:bottom w:val="nil"/>
              <w:right w:val="single" w:sz="8" w:space="0" w:color="auto"/>
            </w:tcBorders>
            <w:shd w:val="clear" w:color="auto" w:fill="auto"/>
            <w:noWrap/>
            <w:vAlign w:val="center"/>
            <w:hideMark/>
          </w:tcPr>
          <w:p w14:paraId="3F116827"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+49%</w:t>
            </w:r>
          </w:p>
        </w:tc>
        <w:tc>
          <w:tcPr>
            <w:tcW w:w="961" w:type="dxa"/>
            <w:tcBorders>
              <w:top w:val="nil"/>
              <w:left w:val="nil"/>
              <w:bottom w:val="nil"/>
              <w:right w:val="nil"/>
            </w:tcBorders>
            <w:shd w:val="clear" w:color="auto" w:fill="auto"/>
            <w:noWrap/>
            <w:vAlign w:val="center"/>
            <w:hideMark/>
          </w:tcPr>
          <w:p w14:paraId="19D56CD3"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2,389</w:t>
            </w:r>
          </w:p>
        </w:tc>
        <w:tc>
          <w:tcPr>
            <w:tcW w:w="961" w:type="dxa"/>
            <w:tcBorders>
              <w:top w:val="nil"/>
              <w:left w:val="nil"/>
              <w:bottom w:val="nil"/>
              <w:right w:val="nil"/>
            </w:tcBorders>
            <w:shd w:val="clear" w:color="auto" w:fill="auto"/>
            <w:noWrap/>
            <w:vAlign w:val="center"/>
            <w:hideMark/>
          </w:tcPr>
          <w:p w14:paraId="2BBC8729"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1,975</w:t>
            </w:r>
          </w:p>
        </w:tc>
        <w:tc>
          <w:tcPr>
            <w:tcW w:w="961" w:type="dxa"/>
            <w:tcBorders>
              <w:top w:val="nil"/>
              <w:left w:val="nil"/>
              <w:bottom w:val="nil"/>
              <w:right w:val="nil"/>
            </w:tcBorders>
            <w:shd w:val="clear" w:color="auto" w:fill="auto"/>
            <w:noWrap/>
            <w:vAlign w:val="center"/>
            <w:hideMark/>
          </w:tcPr>
          <w:p w14:paraId="7A9A05AF"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+21%</w:t>
            </w:r>
          </w:p>
        </w:tc>
        <w:tc>
          <w:tcPr>
            <w:tcW w:w="962" w:type="dxa"/>
            <w:tcBorders>
              <w:top w:val="nil"/>
              <w:left w:val="nil"/>
              <w:bottom w:val="nil"/>
              <w:right w:val="single" w:sz="8" w:space="0" w:color="auto"/>
            </w:tcBorders>
            <w:shd w:val="clear" w:color="auto" w:fill="auto"/>
            <w:noWrap/>
            <w:vAlign w:val="center"/>
            <w:hideMark/>
          </w:tcPr>
          <w:p w14:paraId="01D909F5" w14:textId="77777777" w:rsidR="00BB7C8C" w:rsidRPr="009E0C06" w:rsidRDefault="00BB7C8C" w:rsidP="00CA7EFF">
            <w:pPr>
              <w:jc w:val="center"/>
              <w:rPr>
                <w:rFonts w:ascii="Calibri" w:hAnsi="Calibri" w:cs="Calibri"/>
                <w:iCs/>
                <w:color w:val="000000"/>
                <w:sz w:val="22"/>
                <w:szCs w:val="22"/>
                <w:lang w:eastAsia="en-GB"/>
              </w:rPr>
            </w:pPr>
            <w:r w:rsidRPr="009E0C06">
              <w:rPr>
                <w:rFonts w:ascii="Calibri" w:hAnsi="Calibri" w:cs="Calibri"/>
                <w:iCs/>
                <w:color w:val="000000"/>
                <w:sz w:val="22"/>
                <w:szCs w:val="22"/>
                <w:lang w:eastAsia="en-GB"/>
              </w:rPr>
              <w:t>+22%</w:t>
            </w:r>
          </w:p>
        </w:tc>
      </w:tr>
      <w:tr w:rsidR="00BB7C8C" w:rsidRPr="00BF197F" w14:paraId="2280AF9E" w14:textId="77777777" w:rsidTr="00BB7C8C">
        <w:tblPrEx>
          <w:jc w:val="center"/>
          <w:tblCellMar>
            <w:left w:w="57" w:type="dxa"/>
            <w:right w:w="57" w:type="dxa"/>
          </w:tblCellMar>
        </w:tblPrEx>
        <w:trPr>
          <w:trHeight w:val="50"/>
          <w:jc w:val="center"/>
        </w:trPr>
        <w:tc>
          <w:tcPr>
            <w:tcW w:w="2984" w:type="dxa"/>
            <w:tcBorders>
              <w:top w:val="nil"/>
              <w:left w:val="single" w:sz="8" w:space="0" w:color="auto"/>
              <w:bottom w:val="nil"/>
              <w:right w:val="nil"/>
            </w:tcBorders>
            <w:shd w:val="clear" w:color="auto" w:fill="auto"/>
            <w:noWrap/>
            <w:vAlign w:val="center"/>
            <w:hideMark/>
          </w:tcPr>
          <w:p w14:paraId="36A56153" w14:textId="77777777" w:rsidR="00BB7C8C" w:rsidRPr="00BF197F" w:rsidRDefault="00BB7C8C" w:rsidP="00CA7EFF">
            <w:pPr>
              <w:jc w:val="both"/>
              <w:rPr>
                <w:rFonts w:ascii="Calibri" w:hAnsi="Calibri" w:cs="Calibri"/>
                <w:color w:val="000000"/>
                <w:sz w:val="2"/>
                <w:szCs w:val="2"/>
                <w:lang w:eastAsia="en-GB"/>
              </w:rPr>
            </w:pPr>
            <w:r w:rsidRPr="00BF197F">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01938E57"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14C84346" w14:textId="77777777" w:rsidR="00BB7C8C" w:rsidRPr="00BF197F" w:rsidRDefault="00BB7C8C" w:rsidP="00CA7EFF">
            <w:pPr>
              <w:jc w:val="center"/>
              <w:rPr>
                <w:rFonts w:ascii="Times New Roman" w:hAnsi="Times New Roman"/>
                <w:sz w:val="20"/>
                <w:lang w:eastAsia="en-GB"/>
              </w:rPr>
            </w:pPr>
          </w:p>
        </w:tc>
        <w:tc>
          <w:tcPr>
            <w:tcW w:w="966" w:type="dxa"/>
            <w:tcBorders>
              <w:top w:val="nil"/>
              <w:left w:val="nil"/>
              <w:bottom w:val="nil"/>
              <w:right w:val="single" w:sz="8" w:space="0" w:color="auto"/>
            </w:tcBorders>
            <w:shd w:val="clear" w:color="auto" w:fill="auto"/>
            <w:noWrap/>
            <w:vAlign w:val="center"/>
            <w:hideMark/>
          </w:tcPr>
          <w:p w14:paraId="61C99997"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0E160DF0"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7F216456"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3F132144"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5BF00871" w14:textId="77777777" w:rsidR="00BB7C8C" w:rsidRPr="009E0C06" w:rsidRDefault="00BB7C8C" w:rsidP="00CA7EFF">
            <w:pPr>
              <w:jc w:val="center"/>
              <w:rPr>
                <w:rFonts w:ascii="Calibri" w:hAnsi="Calibri" w:cs="Calibri"/>
                <w:iCs/>
                <w:color w:val="000000"/>
                <w:sz w:val="2"/>
                <w:szCs w:val="2"/>
                <w:lang w:eastAsia="en-GB"/>
              </w:rPr>
            </w:pPr>
          </w:p>
        </w:tc>
      </w:tr>
      <w:tr w:rsidR="00BB7C8C" w:rsidRPr="00BF197F" w14:paraId="172F7FED" w14:textId="77777777" w:rsidTr="00BB7C8C">
        <w:tblPrEx>
          <w:jc w:val="center"/>
          <w:tblCellMar>
            <w:left w:w="57" w:type="dxa"/>
            <w:right w:w="57" w:type="dxa"/>
          </w:tblCellMar>
        </w:tblPrEx>
        <w:trPr>
          <w:trHeight w:val="322"/>
          <w:jc w:val="center"/>
        </w:trPr>
        <w:tc>
          <w:tcPr>
            <w:tcW w:w="2984" w:type="dxa"/>
            <w:tcBorders>
              <w:top w:val="nil"/>
              <w:left w:val="single" w:sz="8" w:space="0" w:color="auto"/>
              <w:bottom w:val="nil"/>
              <w:right w:val="nil"/>
            </w:tcBorders>
            <w:shd w:val="clear" w:color="auto" w:fill="auto"/>
            <w:noWrap/>
            <w:vAlign w:val="center"/>
            <w:hideMark/>
          </w:tcPr>
          <w:p w14:paraId="3DDE0EB3" w14:textId="77777777" w:rsidR="00BB7C8C" w:rsidRPr="00BF197F" w:rsidRDefault="00BB7C8C" w:rsidP="00CA7EFF">
            <w:pPr>
              <w:jc w:val="both"/>
              <w:rPr>
                <w:rFonts w:ascii="Calibri" w:hAnsi="Calibri" w:cs="Calibri"/>
                <w:color w:val="000000"/>
                <w:sz w:val="22"/>
                <w:szCs w:val="22"/>
                <w:lang w:eastAsia="en-GB"/>
              </w:rPr>
            </w:pPr>
            <w:r w:rsidRPr="00BF197F">
              <w:rPr>
                <w:rFonts w:ascii="Calibri" w:hAnsi="Calibri" w:cs="Calibri"/>
                <w:color w:val="000000"/>
                <w:sz w:val="22"/>
                <w:szCs w:val="22"/>
                <w:lang w:eastAsia="en-GB"/>
              </w:rPr>
              <w:t>Adjusted</w:t>
            </w:r>
            <w:r w:rsidRPr="00BF197F">
              <w:rPr>
                <w:rFonts w:ascii="Calibri" w:hAnsi="Calibri" w:cs="Calibri"/>
                <w:color w:val="000000"/>
                <w:sz w:val="22"/>
                <w:szCs w:val="22"/>
                <w:vertAlign w:val="superscript"/>
                <w:lang w:eastAsia="en-GB"/>
              </w:rPr>
              <w:t>5</w:t>
            </w:r>
            <w:r w:rsidRPr="00BF197F">
              <w:rPr>
                <w:rFonts w:ascii="Calibri" w:hAnsi="Calibri" w:cs="Calibri"/>
                <w:color w:val="000000"/>
                <w:sz w:val="22"/>
                <w:szCs w:val="22"/>
                <w:lang w:eastAsia="en-GB"/>
              </w:rPr>
              <w:t xml:space="preserve"> EBITDA</w:t>
            </w:r>
            <w:r w:rsidRPr="00BF197F">
              <w:rPr>
                <w:rFonts w:ascii="Calibri" w:hAnsi="Calibri" w:cs="Calibri"/>
                <w:color w:val="000000"/>
                <w:sz w:val="22"/>
                <w:szCs w:val="22"/>
                <w:vertAlign w:val="superscript"/>
                <w:lang w:eastAsia="en-GB"/>
              </w:rPr>
              <w:t>6</w:t>
            </w:r>
          </w:p>
        </w:tc>
        <w:tc>
          <w:tcPr>
            <w:tcW w:w="960" w:type="dxa"/>
            <w:tcBorders>
              <w:top w:val="nil"/>
              <w:left w:val="nil"/>
              <w:bottom w:val="nil"/>
              <w:right w:val="nil"/>
            </w:tcBorders>
            <w:shd w:val="clear" w:color="auto" w:fill="auto"/>
            <w:noWrap/>
            <w:vAlign w:val="center"/>
            <w:hideMark/>
          </w:tcPr>
          <w:p w14:paraId="0AE6BBC0"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342</w:t>
            </w:r>
          </w:p>
        </w:tc>
        <w:tc>
          <w:tcPr>
            <w:tcW w:w="961" w:type="dxa"/>
            <w:tcBorders>
              <w:top w:val="nil"/>
              <w:left w:val="nil"/>
              <w:bottom w:val="nil"/>
              <w:right w:val="nil"/>
            </w:tcBorders>
            <w:shd w:val="clear" w:color="auto" w:fill="auto"/>
            <w:noWrap/>
            <w:vAlign w:val="center"/>
            <w:hideMark/>
          </w:tcPr>
          <w:p w14:paraId="50BD7C9B"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216</w:t>
            </w:r>
          </w:p>
        </w:tc>
        <w:tc>
          <w:tcPr>
            <w:tcW w:w="966" w:type="dxa"/>
            <w:tcBorders>
              <w:top w:val="nil"/>
              <w:left w:val="nil"/>
              <w:bottom w:val="nil"/>
              <w:right w:val="single" w:sz="8" w:space="0" w:color="auto"/>
            </w:tcBorders>
            <w:shd w:val="clear" w:color="auto" w:fill="auto"/>
            <w:noWrap/>
            <w:vAlign w:val="center"/>
            <w:hideMark/>
          </w:tcPr>
          <w:p w14:paraId="10622792" w14:textId="77777777" w:rsidR="00BB7C8C" w:rsidRPr="00BF197F" w:rsidRDefault="00BB7C8C" w:rsidP="00375A8A">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+5</w:t>
            </w:r>
            <w:r w:rsidR="00375A8A">
              <w:rPr>
                <w:rFonts w:ascii="Calibri" w:hAnsi="Calibri" w:cs="Calibri"/>
                <w:color w:val="000000"/>
                <w:sz w:val="22"/>
                <w:szCs w:val="22"/>
                <w:lang w:eastAsia="en-GB"/>
              </w:rPr>
              <w:t>9</w:t>
            </w:r>
            <w:r w:rsidRPr="00BF197F">
              <w:rPr>
                <w:rFonts w:ascii="Calibri" w:hAnsi="Calibri" w:cs="Calibri"/>
                <w:color w:val="000000"/>
                <w:sz w:val="22"/>
                <w:szCs w:val="22"/>
                <w:lang w:eastAsia="en-GB"/>
              </w:rPr>
              <w:t>%</w:t>
            </w:r>
          </w:p>
        </w:tc>
        <w:tc>
          <w:tcPr>
            <w:tcW w:w="961" w:type="dxa"/>
            <w:tcBorders>
              <w:top w:val="nil"/>
              <w:left w:val="nil"/>
              <w:bottom w:val="nil"/>
              <w:right w:val="nil"/>
            </w:tcBorders>
            <w:shd w:val="clear" w:color="auto" w:fill="auto"/>
            <w:noWrap/>
            <w:vAlign w:val="center"/>
            <w:hideMark/>
          </w:tcPr>
          <w:p w14:paraId="2094B6AD"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684</w:t>
            </w:r>
          </w:p>
        </w:tc>
        <w:tc>
          <w:tcPr>
            <w:tcW w:w="961" w:type="dxa"/>
            <w:tcBorders>
              <w:top w:val="nil"/>
              <w:left w:val="nil"/>
              <w:bottom w:val="nil"/>
              <w:right w:val="nil"/>
            </w:tcBorders>
            <w:shd w:val="clear" w:color="auto" w:fill="auto"/>
            <w:noWrap/>
            <w:vAlign w:val="center"/>
            <w:hideMark/>
          </w:tcPr>
          <w:p w14:paraId="0430CBE4"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523</w:t>
            </w:r>
          </w:p>
        </w:tc>
        <w:tc>
          <w:tcPr>
            <w:tcW w:w="961" w:type="dxa"/>
            <w:tcBorders>
              <w:top w:val="nil"/>
              <w:left w:val="nil"/>
              <w:bottom w:val="nil"/>
              <w:right w:val="nil"/>
            </w:tcBorders>
            <w:shd w:val="clear" w:color="auto" w:fill="auto"/>
            <w:noWrap/>
            <w:vAlign w:val="center"/>
            <w:hideMark/>
          </w:tcPr>
          <w:p w14:paraId="5F0A906A"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+31%</w:t>
            </w:r>
          </w:p>
        </w:tc>
        <w:tc>
          <w:tcPr>
            <w:tcW w:w="962" w:type="dxa"/>
            <w:tcBorders>
              <w:top w:val="nil"/>
              <w:left w:val="nil"/>
              <w:bottom w:val="nil"/>
              <w:right w:val="single" w:sz="8" w:space="0" w:color="auto"/>
            </w:tcBorders>
            <w:shd w:val="clear" w:color="auto" w:fill="auto"/>
            <w:noWrap/>
            <w:vAlign w:val="center"/>
            <w:hideMark/>
          </w:tcPr>
          <w:p w14:paraId="33532141" w14:textId="77777777" w:rsidR="00BB7C8C" w:rsidRPr="009E0C06" w:rsidRDefault="00BB7C8C" w:rsidP="00CA7EFF">
            <w:pPr>
              <w:jc w:val="center"/>
              <w:rPr>
                <w:rFonts w:ascii="Calibri" w:hAnsi="Calibri" w:cs="Calibri"/>
                <w:iCs/>
                <w:color w:val="000000"/>
                <w:sz w:val="22"/>
                <w:szCs w:val="22"/>
                <w:lang w:eastAsia="en-GB"/>
              </w:rPr>
            </w:pPr>
            <w:r w:rsidRPr="009E0C06">
              <w:rPr>
                <w:rFonts w:ascii="Calibri" w:hAnsi="Calibri" w:cs="Calibri"/>
                <w:iCs/>
                <w:color w:val="000000"/>
                <w:sz w:val="22"/>
                <w:szCs w:val="22"/>
                <w:lang w:eastAsia="en-GB"/>
              </w:rPr>
              <w:t>+35%</w:t>
            </w:r>
          </w:p>
        </w:tc>
      </w:tr>
      <w:tr w:rsidR="00BB7C8C" w:rsidRPr="00BF197F" w14:paraId="6B3F96CB" w14:textId="77777777" w:rsidTr="00BB7C8C">
        <w:tblPrEx>
          <w:jc w:val="center"/>
          <w:tblCellMar>
            <w:left w:w="57" w:type="dxa"/>
            <w:right w:w="57" w:type="dxa"/>
          </w:tblCellMar>
        </w:tblPrEx>
        <w:trPr>
          <w:trHeight w:val="50"/>
          <w:jc w:val="center"/>
        </w:trPr>
        <w:tc>
          <w:tcPr>
            <w:tcW w:w="2984" w:type="dxa"/>
            <w:tcBorders>
              <w:top w:val="nil"/>
              <w:left w:val="single" w:sz="8" w:space="0" w:color="auto"/>
              <w:bottom w:val="nil"/>
              <w:right w:val="nil"/>
            </w:tcBorders>
            <w:shd w:val="clear" w:color="auto" w:fill="auto"/>
            <w:noWrap/>
            <w:vAlign w:val="center"/>
            <w:hideMark/>
          </w:tcPr>
          <w:p w14:paraId="144B5B40" w14:textId="77777777" w:rsidR="00BB7C8C" w:rsidRPr="00BF197F" w:rsidRDefault="00BB7C8C" w:rsidP="00CA7EFF">
            <w:pPr>
              <w:jc w:val="both"/>
              <w:rPr>
                <w:rFonts w:ascii="Calibri" w:hAnsi="Calibri" w:cs="Calibri"/>
                <w:color w:val="000000"/>
                <w:sz w:val="2"/>
                <w:szCs w:val="2"/>
                <w:lang w:eastAsia="en-GB"/>
              </w:rPr>
            </w:pPr>
            <w:r w:rsidRPr="00BF197F">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29F869E9"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3A03EA4F" w14:textId="77777777" w:rsidR="00BB7C8C" w:rsidRPr="00BF197F" w:rsidRDefault="00BB7C8C" w:rsidP="00CA7EFF">
            <w:pPr>
              <w:jc w:val="center"/>
              <w:rPr>
                <w:rFonts w:ascii="Times New Roman" w:hAnsi="Times New Roman"/>
                <w:sz w:val="20"/>
                <w:lang w:eastAsia="en-GB"/>
              </w:rPr>
            </w:pPr>
          </w:p>
        </w:tc>
        <w:tc>
          <w:tcPr>
            <w:tcW w:w="966" w:type="dxa"/>
            <w:tcBorders>
              <w:top w:val="nil"/>
              <w:left w:val="nil"/>
              <w:bottom w:val="nil"/>
              <w:right w:val="single" w:sz="8" w:space="0" w:color="auto"/>
            </w:tcBorders>
            <w:shd w:val="clear" w:color="auto" w:fill="auto"/>
            <w:noWrap/>
            <w:vAlign w:val="center"/>
            <w:hideMark/>
          </w:tcPr>
          <w:p w14:paraId="4340AA4C"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22D1F808"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6C251D40"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66E011FD"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3D1F0CEC" w14:textId="77777777" w:rsidR="00BB7C8C" w:rsidRPr="00BF197F" w:rsidRDefault="00BB7C8C" w:rsidP="00CA7EFF">
            <w:pPr>
              <w:jc w:val="center"/>
              <w:rPr>
                <w:rFonts w:ascii="Calibri" w:hAnsi="Calibri" w:cs="Calibri"/>
                <w:color w:val="000000"/>
                <w:sz w:val="2"/>
                <w:szCs w:val="2"/>
                <w:lang w:eastAsia="en-GB"/>
              </w:rPr>
            </w:pPr>
          </w:p>
        </w:tc>
      </w:tr>
      <w:tr w:rsidR="00BB7C8C" w:rsidRPr="00BF197F" w14:paraId="6AD8F07C" w14:textId="77777777" w:rsidTr="00BB7C8C">
        <w:tblPrEx>
          <w:jc w:val="center"/>
          <w:tblCellMar>
            <w:left w:w="57" w:type="dxa"/>
            <w:right w:w="57" w:type="dxa"/>
          </w:tblCellMar>
        </w:tblPrEx>
        <w:trPr>
          <w:trHeight w:val="288"/>
          <w:jc w:val="center"/>
        </w:trPr>
        <w:tc>
          <w:tcPr>
            <w:tcW w:w="2984" w:type="dxa"/>
            <w:tcBorders>
              <w:top w:val="nil"/>
              <w:left w:val="single" w:sz="8" w:space="0" w:color="auto"/>
              <w:bottom w:val="nil"/>
              <w:right w:val="nil"/>
            </w:tcBorders>
            <w:shd w:val="clear" w:color="auto" w:fill="auto"/>
            <w:noWrap/>
            <w:vAlign w:val="center"/>
            <w:hideMark/>
          </w:tcPr>
          <w:p w14:paraId="0188DA84" w14:textId="77777777" w:rsidR="00BB7C8C" w:rsidRPr="00BF197F" w:rsidRDefault="00BB7C8C" w:rsidP="00CA7EFF">
            <w:pPr>
              <w:jc w:val="both"/>
              <w:rPr>
                <w:rFonts w:ascii="Calibri" w:hAnsi="Calibri" w:cs="Calibri"/>
                <w:color w:val="000000"/>
                <w:sz w:val="22"/>
                <w:szCs w:val="22"/>
                <w:lang w:eastAsia="en-GB"/>
              </w:rPr>
            </w:pPr>
            <w:r w:rsidRPr="00BF197F">
              <w:rPr>
                <w:rFonts w:ascii="Calibri" w:hAnsi="Calibri" w:cs="Calibri"/>
                <w:color w:val="000000"/>
                <w:sz w:val="22"/>
                <w:szCs w:val="22"/>
                <w:lang w:eastAsia="en-GB"/>
              </w:rPr>
              <w:t xml:space="preserve">Profit before tax </w:t>
            </w:r>
          </w:p>
        </w:tc>
        <w:tc>
          <w:tcPr>
            <w:tcW w:w="960" w:type="dxa"/>
            <w:tcBorders>
              <w:top w:val="nil"/>
              <w:left w:val="nil"/>
              <w:bottom w:val="nil"/>
              <w:right w:val="nil"/>
            </w:tcBorders>
            <w:shd w:val="clear" w:color="auto" w:fill="auto"/>
            <w:noWrap/>
            <w:vAlign w:val="center"/>
            <w:hideMark/>
          </w:tcPr>
          <w:p w14:paraId="7A33BBA9"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24</w:t>
            </w:r>
          </w:p>
        </w:tc>
        <w:tc>
          <w:tcPr>
            <w:tcW w:w="961" w:type="dxa"/>
            <w:tcBorders>
              <w:top w:val="nil"/>
              <w:left w:val="nil"/>
              <w:bottom w:val="nil"/>
              <w:right w:val="nil"/>
            </w:tcBorders>
            <w:shd w:val="clear" w:color="auto" w:fill="auto"/>
            <w:noWrap/>
            <w:vAlign w:val="center"/>
            <w:hideMark/>
          </w:tcPr>
          <w:p w14:paraId="2DB34E10"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81</w:t>
            </w:r>
          </w:p>
        </w:tc>
        <w:tc>
          <w:tcPr>
            <w:tcW w:w="966" w:type="dxa"/>
            <w:tcBorders>
              <w:top w:val="nil"/>
              <w:left w:val="nil"/>
              <w:bottom w:val="nil"/>
              <w:right w:val="single" w:sz="8" w:space="0" w:color="auto"/>
            </w:tcBorders>
            <w:shd w:val="clear" w:color="auto" w:fill="auto"/>
            <w:noWrap/>
            <w:vAlign w:val="center"/>
            <w:hideMark/>
          </w:tcPr>
          <w:p w14:paraId="52C69101"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-70%</w:t>
            </w:r>
          </w:p>
        </w:tc>
        <w:tc>
          <w:tcPr>
            <w:tcW w:w="961" w:type="dxa"/>
            <w:tcBorders>
              <w:top w:val="nil"/>
              <w:left w:val="nil"/>
              <w:bottom w:val="nil"/>
              <w:right w:val="nil"/>
            </w:tcBorders>
            <w:shd w:val="clear" w:color="auto" w:fill="auto"/>
            <w:noWrap/>
            <w:vAlign w:val="center"/>
            <w:hideMark/>
          </w:tcPr>
          <w:p w14:paraId="26B5C15C" w14:textId="77777777" w:rsidR="00BB7C8C" w:rsidRPr="00BF197F" w:rsidRDefault="00BB7C8C" w:rsidP="00CA7EFF">
            <w:pPr>
              <w:jc w:val="center"/>
              <w:rPr>
                <w:rFonts w:ascii="Calibri" w:hAnsi="Calibri" w:cs="Calibri"/>
                <w:color w:val="000000"/>
                <w:sz w:val="22"/>
                <w:szCs w:val="22"/>
                <w:lang w:eastAsia="en-GB"/>
              </w:rPr>
            </w:pPr>
          </w:p>
        </w:tc>
        <w:tc>
          <w:tcPr>
            <w:tcW w:w="961" w:type="dxa"/>
            <w:tcBorders>
              <w:top w:val="nil"/>
              <w:left w:val="nil"/>
              <w:bottom w:val="nil"/>
              <w:right w:val="nil"/>
            </w:tcBorders>
            <w:shd w:val="clear" w:color="auto" w:fill="auto"/>
            <w:noWrap/>
            <w:vAlign w:val="center"/>
            <w:hideMark/>
          </w:tcPr>
          <w:p w14:paraId="25C7B2C7"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7922334A"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30168429" w14:textId="77777777" w:rsidR="00BB7C8C" w:rsidRPr="00BF197F" w:rsidRDefault="00BB7C8C" w:rsidP="00CA7EFF">
            <w:pPr>
              <w:jc w:val="center"/>
              <w:rPr>
                <w:rFonts w:ascii="Calibri" w:hAnsi="Calibri" w:cs="Calibri"/>
                <w:color w:val="000000"/>
                <w:sz w:val="22"/>
                <w:szCs w:val="22"/>
                <w:lang w:eastAsia="en-GB"/>
              </w:rPr>
            </w:pPr>
          </w:p>
        </w:tc>
      </w:tr>
      <w:tr w:rsidR="00BB7C8C" w:rsidRPr="00BF197F" w14:paraId="4D7E8436" w14:textId="77777777" w:rsidTr="00BB7C8C">
        <w:tblPrEx>
          <w:jc w:val="center"/>
          <w:tblCellMar>
            <w:left w:w="57" w:type="dxa"/>
            <w:right w:w="57" w:type="dxa"/>
          </w:tblCellMar>
        </w:tblPrEx>
        <w:trPr>
          <w:trHeight w:val="50"/>
          <w:jc w:val="center"/>
        </w:trPr>
        <w:tc>
          <w:tcPr>
            <w:tcW w:w="2984" w:type="dxa"/>
            <w:tcBorders>
              <w:top w:val="nil"/>
              <w:left w:val="single" w:sz="8" w:space="0" w:color="auto"/>
              <w:bottom w:val="nil"/>
              <w:right w:val="nil"/>
            </w:tcBorders>
            <w:shd w:val="clear" w:color="auto" w:fill="auto"/>
            <w:noWrap/>
            <w:vAlign w:val="center"/>
            <w:hideMark/>
          </w:tcPr>
          <w:p w14:paraId="1F8EABDA" w14:textId="77777777" w:rsidR="00BB7C8C" w:rsidRPr="00BF197F" w:rsidRDefault="00BB7C8C" w:rsidP="00CA7EFF">
            <w:pPr>
              <w:jc w:val="both"/>
              <w:rPr>
                <w:rFonts w:ascii="Calibri" w:hAnsi="Calibri" w:cs="Calibri"/>
                <w:color w:val="000000"/>
                <w:sz w:val="2"/>
                <w:szCs w:val="2"/>
                <w:lang w:eastAsia="en-GB"/>
              </w:rPr>
            </w:pPr>
            <w:r w:rsidRPr="00BF197F">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3F6385C3"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680F7330" w14:textId="77777777" w:rsidR="00BB7C8C" w:rsidRPr="00BF197F" w:rsidRDefault="00BB7C8C" w:rsidP="00CA7EFF">
            <w:pPr>
              <w:jc w:val="center"/>
              <w:rPr>
                <w:rFonts w:ascii="Times New Roman" w:hAnsi="Times New Roman"/>
                <w:sz w:val="20"/>
                <w:lang w:eastAsia="en-GB"/>
              </w:rPr>
            </w:pPr>
          </w:p>
        </w:tc>
        <w:tc>
          <w:tcPr>
            <w:tcW w:w="966" w:type="dxa"/>
            <w:tcBorders>
              <w:top w:val="nil"/>
              <w:left w:val="nil"/>
              <w:bottom w:val="nil"/>
              <w:right w:val="single" w:sz="8" w:space="0" w:color="auto"/>
            </w:tcBorders>
            <w:shd w:val="clear" w:color="auto" w:fill="auto"/>
            <w:noWrap/>
            <w:vAlign w:val="center"/>
            <w:hideMark/>
          </w:tcPr>
          <w:p w14:paraId="33C2E11D"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5642E5DB"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5F78F7F8"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3ECDD723"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79C31EB8" w14:textId="77777777" w:rsidR="00BB7C8C" w:rsidRPr="00BF197F" w:rsidRDefault="00BB7C8C" w:rsidP="00CA7EFF">
            <w:pPr>
              <w:jc w:val="center"/>
              <w:rPr>
                <w:rFonts w:ascii="Calibri" w:hAnsi="Calibri" w:cs="Calibri"/>
                <w:color w:val="000000"/>
                <w:sz w:val="2"/>
                <w:szCs w:val="2"/>
                <w:lang w:eastAsia="en-GB"/>
              </w:rPr>
            </w:pPr>
          </w:p>
        </w:tc>
      </w:tr>
      <w:tr w:rsidR="00BB7C8C" w:rsidRPr="00BF197F" w14:paraId="00BD6628" w14:textId="77777777" w:rsidTr="00BB7C8C">
        <w:tblPrEx>
          <w:jc w:val="center"/>
          <w:tblCellMar>
            <w:left w:w="57" w:type="dxa"/>
            <w:right w:w="57" w:type="dxa"/>
          </w:tblCellMar>
        </w:tblPrEx>
        <w:trPr>
          <w:trHeight w:val="322"/>
          <w:jc w:val="center"/>
        </w:trPr>
        <w:tc>
          <w:tcPr>
            <w:tcW w:w="2984" w:type="dxa"/>
            <w:tcBorders>
              <w:top w:val="nil"/>
              <w:left w:val="single" w:sz="8" w:space="0" w:color="auto"/>
              <w:bottom w:val="nil"/>
              <w:right w:val="nil"/>
            </w:tcBorders>
            <w:shd w:val="clear" w:color="auto" w:fill="auto"/>
            <w:noWrap/>
            <w:vAlign w:val="center"/>
            <w:hideMark/>
          </w:tcPr>
          <w:p w14:paraId="09A2DFC4" w14:textId="77777777" w:rsidR="00BB7C8C" w:rsidRPr="00BF197F" w:rsidRDefault="00BB7C8C" w:rsidP="00CA7EFF">
            <w:pPr>
              <w:jc w:val="both"/>
              <w:rPr>
                <w:rFonts w:ascii="Calibri" w:hAnsi="Calibri" w:cs="Calibri"/>
                <w:color w:val="000000"/>
                <w:sz w:val="22"/>
                <w:szCs w:val="22"/>
                <w:lang w:eastAsia="en-GB"/>
              </w:rPr>
            </w:pPr>
            <w:r w:rsidRPr="00BF197F">
              <w:rPr>
                <w:rFonts w:ascii="Calibri" w:hAnsi="Calibri" w:cs="Calibri"/>
                <w:color w:val="000000"/>
                <w:sz w:val="22"/>
                <w:szCs w:val="22"/>
                <w:lang w:eastAsia="en-GB"/>
              </w:rPr>
              <w:t>Earnings per share</w:t>
            </w:r>
            <w:r w:rsidRPr="00BF197F">
              <w:rPr>
                <w:rFonts w:ascii="Calibri" w:hAnsi="Calibri" w:cs="Calibri"/>
                <w:color w:val="000000"/>
                <w:sz w:val="22"/>
                <w:szCs w:val="22"/>
                <w:vertAlign w:val="superscript"/>
                <w:lang w:eastAsia="en-GB"/>
              </w:rPr>
              <w:t>7</w:t>
            </w:r>
          </w:p>
        </w:tc>
        <w:tc>
          <w:tcPr>
            <w:tcW w:w="960" w:type="dxa"/>
            <w:tcBorders>
              <w:top w:val="nil"/>
              <w:left w:val="nil"/>
              <w:bottom w:val="nil"/>
              <w:right w:val="nil"/>
            </w:tcBorders>
            <w:shd w:val="clear" w:color="auto" w:fill="auto"/>
            <w:noWrap/>
            <w:vAlign w:val="center"/>
            <w:hideMark/>
          </w:tcPr>
          <w:p w14:paraId="486F1501"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18.1p</w:t>
            </w:r>
          </w:p>
        </w:tc>
        <w:tc>
          <w:tcPr>
            <w:tcW w:w="961" w:type="dxa"/>
            <w:tcBorders>
              <w:top w:val="nil"/>
              <w:left w:val="nil"/>
              <w:bottom w:val="nil"/>
              <w:right w:val="nil"/>
            </w:tcBorders>
            <w:shd w:val="clear" w:color="auto" w:fill="auto"/>
            <w:noWrap/>
            <w:vAlign w:val="center"/>
            <w:hideMark/>
          </w:tcPr>
          <w:p w14:paraId="6885A70B"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96.2p</w:t>
            </w:r>
          </w:p>
        </w:tc>
        <w:tc>
          <w:tcPr>
            <w:tcW w:w="966" w:type="dxa"/>
            <w:tcBorders>
              <w:top w:val="nil"/>
              <w:left w:val="nil"/>
              <w:bottom w:val="nil"/>
              <w:right w:val="single" w:sz="8" w:space="0" w:color="auto"/>
            </w:tcBorders>
            <w:shd w:val="clear" w:color="auto" w:fill="auto"/>
            <w:noWrap/>
            <w:vAlign w:val="center"/>
            <w:hideMark/>
          </w:tcPr>
          <w:p w14:paraId="6A664F79"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-81%</w:t>
            </w:r>
          </w:p>
        </w:tc>
        <w:tc>
          <w:tcPr>
            <w:tcW w:w="961" w:type="dxa"/>
            <w:tcBorders>
              <w:top w:val="nil"/>
              <w:left w:val="nil"/>
              <w:bottom w:val="nil"/>
              <w:right w:val="nil"/>
            </w:tcBorders>
            <w:shd w:val="clear" w:color="auto" w:fill="auto"/>
            <w:noWrap/>
            <w:vAlign w:val="center"/>
            <w:hideMark/>
          </w:tcPr>
          <w:p w14:paraId="7203C62C" w14:textId="77777777" w:rsidR="00BB7C8C" w:rsidRPr="00BF197F" w:rsidRDefault="00BB7C8C" w:rsidP="00CA7EFF">
            <w:pPr>
              <w:jc w:val="center"/>
              <w:rPr>
                <w:rFonts w:ascii="Calibri" w:hAnsi="Calibri" w:cs="Calibri"/>
                <w:color w:val="000000"/>
                <w:sz w:val="22"/>
                <w:szCs w:val="22"/>
                <w:lang w:eastAsia="en-GB"/>
              </w:rPr>
            </w:pPr>
          </w:p>
        </w:tc>
        <w:tc>
          <w:tcPr>
            <w:tcW w:w="961" w:type="dxa"/>
            <w:tcBorders>
              <w:top w:val="nil"/>
              <w:left w:val="nil"/>
              <w:bottom w:val="nil"/>
              <w:right w:val="nil"/>
            </w:tcBorders>
            <w:shd w:val="clear" w:color="auto" w:fill="auto"/>
            <w:noWrap/>
            <w:vAlign w:val="center"/>
            <w:hideMark/>
          </w:tcPr>
          <w:p w14:paraId="15D6716F"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5ECA7515"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17FA8497" w14:textId="77777777" w:rsidR="00BB7C8C" w:rsidRPr="00BF197F" w:rsidRDefault="00BB7C8C" w:rsidP="00CA7EFF">
            <w:pPr>
              <w:jc w:val="center"/>
              <w:rPr>
                <w:rFonts w:ascii="Calibri" w:hAnsi="Calibri" w:cs="Calibri"/>
                <w:color w:val="000000"/>
                <w:sz w:val="22"/>
                <w:szCs w:val="22"/>
                <w:lang w:eastAsia="en-GB"/>
              </w:rPr>
            </w:pPr>
          </w:p>
        </w:tc>
      </w:tr>
      <w:tr w:rsidR="00BB7C8C" w:rsidRPr="00BF197F" w14:paraId="7B2C5B55" w14:textId="77777777" w:rsidTr="00BB7C8C">
        <w:tblPrEx>
          <w:jc w:val="center"/>
          <w:tblCellMar>
            <w:left w:w="57" w:type="dxa"/>
            <w:right w:w="57" w:type="dxa"/>
          </w:tblCellMar>
        </w:tblPrEx>
        <w:trPr>
          <w:trHeight w:val="50"/>
          <w:jc w:val="center"/>
        </w:trPr>
        <w:tc>
          <w:tcPr>
            <w:tcW w:w="2984" w:type="dxa"/>
            <w:tcBorders>
              <w:top w:val="nil"/>
              <w:left w:val="single" w:sz="8" w:space="0" w:color="auto"/>
              <w:bottom w:val="nil"/>
              <w:right w:val="nil"/>
            </w:tcBorders>
            <w:shd w:val="clear" w:color="auto" w:fill="auto"/>
            <w:noWrap/>
            <w:vAlign w:val="center"/>
            <w:hideMark/>
          </w:tcPr>
          <w:p w14:paraId="7D04C313" w14:textId="77777777" w:rsidR="00BB7C8C" w:rsidRPr="00BF197F" w:rsidRDefault="00BB7C8C" w:rsidP="00CA7EFF">
            <w:pPr>
              <w:jc w:val="both"/>
              <w:rPr>
                <w:rFonts w:ascii="Calibri" w:hAnsi="Calibri" w:cs="Calibri"/>
                <w:color w:val="000000"/>
                <w:sz w:val="2"/>
                <w:szCs w:val="2"/>
                <w:lang w:eastAsia="en-GB"/>
              </w:rPr>
            </w:pPr>
            <w:r w:rsidRPr="00BF197F">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3ABCB919"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7515C993" w14:textId="77777777" w:rsidR="00BB7C8C" w:rsidRPr="00BF197F" w:rsidRDefault="00BB7C8C" w:rsidP="00CA7EFF">
            <w:pPr>
              <w:jc w:val="center"/>
              <w:rPr>
                <w:rFonts w:ascii="Times New Roman" w:hAnsi="Times New Roman"/>
                <w:sz w:val="20"/>
                <w:lang w:eastAsia="en-GB"/>
              </w:rPr>
            </w:pPr>
          </w:p>
        </w:tc>
        <w:tc>
          <w:tcPr>
            <w:tcW w:w="966" w:type="dxa"/>
            <w:tcBorders>
              <w:top w:val="nil"/>
              <w:left w:val="nil"/>
              <w:bottom w:val="nil"/>
              <w:right w:val="single" w:sz="8" w:space="0" w:color="auto"/>
            </w:tcBorders>
            <w:shd w:val="clear" w:color="auto" w:fill="auto"/>
            <w:noWrap/>
            <w:vAlign w:val="center"/>
            <w:hideMark/>
          </w:tcPr>
          <w:p w14:paraId="5FE2EFE8"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201A7984"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32B47573"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500A94F8"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4101BFEA" w14:textId="77777777" w:rsidR="00BB7C8C" w:rsidRPr="00BF197F" w:rsidRDefault="00BB7C8C" w:rsidP="00CA7EFF">
            <w:pPr>
              <w:jc w:val="center"/>
              <w:rPr>
                <w:rFonts w:ascii="Calibri" w:hAnsi="Calibri" w:cs="Calibri"/>
                <w:color w:val="000000"/>
                <w:sz w:val="2"/>
                <w:szCs w:val="2"/>
                <w:lang w:eastAsia="en-GB"/>
              </w:rPr>
            </w:pPr>
          </w:p>
        </w:tc>
      </w:tr>
      <w:tr w:rsidR="00BB7C8C" w:rsidRPr="00BF197F" w14:paraId="6F8C4BB8" w14:textId="77777777" w:rsidTr="00BB7C8C">
        <w:tblPrEx>
          <w:jc w:val="center"/>
          <w:tblCellMar>
            <w:left w:w="57" w:type="dxa"/>
            <w:right w:w="57" w:type="dxa"/>
          </w:tblCellMar>
        </w:tblPrEx>
        <w:trPr>
          <w:trHeight w:val="322"/>
          <w:jc w:val="center"/>
        </w:trPr>
        <w:tc>
          <w:tcPr>
            <w:tcW w:w="2984" w:type="dxa"/>
            <w:tcBorders>
              <w:top w:val="nil"/>
              <w:left w:val="single" w:sz="8" w:space="0" w:color="auto"/>
              <w:bottom w:val="nil"/>
              <w:right w:val="nil"/>
            </w:tcBorders>
            <w:shd w:val="clear" w:color="auto" w:fill="auto"/>
            <w:noWrap/>
            <w:vAlign w:val="center"/>
            <w:hideMark/>
          </w:tcPr>
          <w:p w14:paraId="6FB8B839" w14:textId="77777777" w:rsidR="00BB7C8C" w:rsidRPr="00BF197F" w:rsidRDefault="00BB7C8C" w:rsidP="00CA7EFF">
            <w:pPr>
              <w:jc w:val="both"/>
              <w:rPr>
                <w:rFonts w:ascii="Calibri" w:hAnsi="Calibri" w:cs="Calibri"/>
                <w:color w:val="000000"/>
                <w:sz w:val="22"/>
                <w:szCs w:val="22"/>
                <w:lang w:eastAsia="en-GB"/>
              </w:rPr>
            </w:pPr>
            <w:r w:rsidRPr="00BF197F">
              <w:rPr>
                <w:rFonts w:ascii="Calibri" w:hAnsi="Calibri" w:cs="Calibri"/>
                <w:color w:val="000000"/>
                <w:sz w:val="22"/>
                <w:szCs w:val="22"/>
                <w:lang w:eastAsia="en-GB"/>
              </w:rPr>
              <w:t>Adjusted</w:t>
            </w:r>
            <w:r w:rsidRPr="00BF197F">
              <w:rPr>
                <w:rFonts w:ascii="Calibri" w:hAnsi="Calibri" w:cs="Calibri"/>
                <w:i/>
                <w:iCs/>
                <w:color w:val="000000"/>
                <w:sz w:val="22"/>
                <w:szCs w:val="22"/>
                <w:vertAlign w:val="superscript"/>
                <w:lang w:eastAsia="en-GB"/>
              </w:rPr>
              <w:t xml:space="preserve">5 </w:t>
            </w:r>
            <w:r w:rsidRPr="00BF197F">
              <w:rPr>
                <w:rFonts w:ascii="Calibri" w:hAnsi="Calibri" w:cs="Calibri"/>
                <w:color w:val="000000"/>
                <w:sz w:val="22"/>
                <w:szCs w:val="22"/>
                <w:lang w:eastAsia="en-GB"/>
              </w:rPr>
              <w:t>earnings per share</w:t>
            </w:r>
            <w:r w:rsidRPr="00BF197F">
              <w:rPr>
                <w:rFonts w:ascii="Calibri" w:hAnsi="Calibri" w:cs="Calibri"/>
                <w:color w:val="000000"/>
                <w:sz w:val="22"/>
                <w:szCs w:val="22"/>
                <w:vertAlign w:val="superscript"/>
                <w:lang w:eastAsia="en-GB"/>
              </w:rPr>
              <w:t>7</w:t>
            </w:r>
          </w:p>
        </w:tc>
        <w:tc>
          <w:tcPr>
            <w:tcW w:w="960" w:type="dxa"/>
            <w:tcBorders>
              <w:top w:val="nil"/>
              <w:left w:val="nil"/>
              <w:bottom w:val="nil"/>
              <w:right w:val="nil"/>
            </w:tcBorders>
            <w:shd w:val="clear" w:color="auto" w:fill="auto"/>
            <w:noWrap/>
            <w:vAlign w:val="center"/>
            <w:hideMark/>
          </w:tcPr>
          <w:p w14:paraId="1C8055B9"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187.5p</w:t>
            </w:r>
          </w:p>
        </w:tc>
        <w:tc>
          <w:tcPr>
            <w:tcW w:w="961" w:type="dxa"/>
            <w:tcBorders>
              <w:top w:val="nil"/>
              <w:left w:val="nil"/>
              <w:bottom w:val="nil"/>
              <w:right w:val="nil"/>
            </w:tcBorders>
            <w:shd w:val="clear" w:color="auto" w:fill="auto"/>
            <w:noWrap/>
            <w:vAlign w:val="center"/>
            <w:hideMark/>
          </w:tcPr>
          <w:p w14:paraId="02656D28"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145.5p</w:t>
            </w:r>
          </w:p>
        </w:tc>
        <w:tc>
          <w:tcPr>
            <w:tcW w:w="966" w:type="dxa"/>
            <w:tcBorders>
              <w:top w:val="nil"/>
              <w:left w:val="nil"/>
              <w:bottom w:val="nil"/>
              <w:right w:val="single" w:sz="8" w:space="0" w:color="auto"/>
            </w:tcBorders>
            <w:shd w:val="clear" w:color="auto" w:fill="auto"/>
            <w:noWrap/>
            <w:vAlign w:val="center"/>
            <w:hideMark/>
          </w:tcPr>
          <w:p w14:paraId="08194DEF"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+29%</w:t>
            </w:r>
          </w:p>
        </w:tc>
        <w:tc>
          <w:tcPr>
            <w:tcW w:w="961" w:type="dxa"/>
            <w:tcBorders>
              <w:top w:val="nil"/>
              <w:left w:val="nil"/>
              <w:bottom w:val="nil"/>
              <w:right w:val="nil"/>
            </w:tcBorders>
            <w:shd w:val="clear" w:color="auto" w:fill="auto"/>
            <w:noWrap/>
            <w:vAlign w:val="center"/>
            <w:hideMark/>
          </w:tcPr>
          <w:p w14:paraId="4DCF785B"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286.3p</w:t>
            </w:r>
          </w:p>
        </w:tc>
        <w:tc>
          <w:tcPr>
            <w:tcW w:w="961" w:type="dxa"/>
            <w:tcBorders>
              <w:top w:val="nil"/>
              <w:left w:val="nil"/>
              <w:bottom w:val="nil"/>
              <w:right w:val="nil"/>
            </w:tcBorders>
            <w:shd w:val="clear" w:color="auto" w:fill="auto"/>
            <w:noWrap/>
            <w:vAlign w:val="center"/>
            <w:hideMark/>
          </w:tcPr>
          <w:p w14:paraId="2B49242D" w14:textId="77777777" w:rsidR="00BB7C8C" w:rsidRPr="00BF197F" w:rsidRDefault="00BB7C8C" w:rsidP="00ED771D">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18</w:t>
            </w:r>
            <w:r w:rsidR="00ED771D">
              <w:rPr>
                <w:rFonts w:ascii="Calibri" w:hAnsi="Calibri" w:cs="Calibri"/>
                <w:color w:val="000000"/>
                <w:sz w:val="22"/>
                <w:szCs w:val="22"/>
                <w:lang w:eastAsia="en-GB"/>
              </w:rPr>
              <w:t>3.3</w:t>
            </w:r>
            <w:r w:rsidRPr="00BF197F">
              <w:rPr>
                <w:rFonts w:ascii="Calibri" w:hAnsi="Calibri" w:cs="Calibri"/>
                <w:color w:val="000000"/>
                <w:sz w:val="22"/>
                <w:szCs w:val="22"/>
                <w:lang w:eastAsia="en-GB"/>
              </w:rPr>
              <w:t>p</w:t>
            </w:r>
          </w:p>
        </w:tc>
        <w:tc>
          <w:tcPr>
            <w:tcW w:w="961" w:type="dxa"/>
            <w:tcBorders>
              <w:top w:val="nil"/>
              <w:left w:val="nil"/>
              <w:bottom w:val="nil"/>
              <w:right w:val="nil"/>
            </w:tcBorders>
            <w:shd w:val="clear" w:color="auto" w:fill="auto"/>
            <w:noWrap/>
            <w:vAlign w:val="center"/>
            <w:hideMark/>
          </w:tcPr>
          <w:p w14:paraId="2FFD96D5" w14:textId="77777777" w:rsidR="00BB7C8C" w:rsidRPr="00BF197F" w:rsidRDefault="00BB7C8C" w:rsidP="00ED771D">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+5</w:t>
            </w:r>
            <w:r w:rsidR="00ED771D">
              <w:rPr>
                <w:rFonts w:ascii="Calibri" w:hAnsi="Calibri" w:cs="Calibri"/>
                <w:color w:val="000000"/>
                <w:sz w:val="22"/>
                <w:szCs w:val="22"/>
                <w:lang w:eastAsia="en-GB"/>
              </w:rPr>
              <w:t>6</w:t>
            </w:r>
            <w:r w:rsidRPr="00BF197F">
              <w:rPr>
                <w:rFonts w:ascii="Calibri" w:hAnsi="Calibri" w:cs="Calibri"/>
                <w:color w:val="000000"/>
                <w:sz w:val="22"/>
                <w:szCs w:val="22"/>
                <w:lang w:eastAsia="en-GB"/>
              </w:rPr>
              <w:t>%</w:t>
            </w:r>
          </w:p>
        </w:tc>
        <w:tc>
          <w:tcPr>
            <w:tcW w:w="962" w:type="dxa"/>
            <w:tcBorders>
              <w:top w:val="nil"/>
              <w:left w:val="nil"/>
              <w:bottom w:val="nil"/>
              <w:right w:val="single" w:sz="8" w:space="0" w:color="auto"/>
            </w:tcBorders>
            <w:shd w:val="clear" w:color="auto" w:fill="auto"/>
            <w:noWrap/>
            <w:vAlign w:val="center"/>
            <w:hideMark/>
          </w:tcPr>
          <w:p w14:paraId="2E9043F8" w14:textId="77777777" w:rsidR="00BB7C8C" w:rsidRPr="00BF197F" w:rsidRDefault="00BB7C8C" w:rsidP="00CA7EFF">
            <w:pPr>
              <w:jc w:val="center"/>
              <w:rPr>
                <w:rFonts w:ascii="Calibri" w:hAnsi="Calibri" w:cs="Calibri"/>
                <w:color w:val="000000"/>
                <w:sz w:val="22"/>
                <w:szCs w:val="22"/>
                <w:lang w:eastAsia="en-GB"/>
              </w:rPr>
            </w:pPr>
          </w:p>
        </w:tc>
      </w:tr>
      <w:tr w:rsidR="00BB7C8C" w:rsidRPr="00BF197F" w14:paraId="2502EBF2" w14:textId="77777777" w:rsidTr="00BB7C8C">
        <w:tblPrEx>
          <w:jc w:val="center"/>
          <w:tblCellMar>
            <w:left w:w="57" w:type="dxa"/>
            <w:right w:w="57" w:type="dxa"/>
          </w:tblCellMar>
        </w:tblPrEx>
        <w:trPr>
          <w:trHeight w:val="50"/>
          <w:jc w:val="center"/>
        </w:trPr>
        <w:tc>
          <w:tcPr>
            <w:tcW w:w="2984" w:type="dxa"/>
            <w:tcBorders>
              <w:top w:val="nil"/>
              <w:left w:val="single" w:sz="8" w:space="0" w:color="auto"/>
              <w:bottom w:val="nil"/>
              <w:right w:val="nil"/>
            </w:tcBorders>
            <w:shd w:val="clear" w:color="auto" w:fill="auto"/>
            <w:noWrap/>
            <w:vAlign w:val="center"/>
            <w:hideMark/>
          </w:tcPr>
          <w:p w14:paraId="7441CEBF" w14:textId="77777777" w:rsidR="00BB7C8C" w:rsidRPr="00BF197F" w:rsidRDefault="00BB7C8C" w:rsidP="00CA7EFF">
            <w:pPr>
              <w:jc w:val="both"/>
              <w:rPr>
                <w:rFonts w:ascii="Calibri" w:hAnsi="Calibri" w:cs="Calibri"/>
                <w:color w:val="000000"/>
                <w:sz w:val="2"/>
                <w:szCs w:val="2"/>
                <w:lang w:eastAsia="en-GB"/>
              </w:rPr>
            </w:pPr>
            <w:r w:rsidRPr="00BF197F">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1BA56DCD"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3472010E" w14:textId="77777777" w:rsidR="00BB7C8C" w:rsidRPr="00BF197F" w:rsidRDefault="00BB7C8C" w:rsidP="00CA7EFF">
            <w:pPr>
              <w:jc w:val="center"/>
              <w:rPr>
                <w:rFonts w:ascii="Times New Roman" w:hAnsi="Times New Roman"/>
                <w:sz w:val="20"/>
                <w:lang w:eastAsia="en-GB"/>
              </w:rPr>
            </w:pPr>
          </w:p>
        </w:tc>
        <w:tc>
          <w:tcPr>
            <w:tcW w:w="966" w:type="dxa"/>
            <w:tcBorders>
              <w:top w:val="nil"/>
              <w:left w:val="nil"/>
              <w:bottom w:val="nil"/>
              <w:right w:val="single" w:sz="8" w:space="0" w:color="auto"/>
            </w:tcBorders>
            <w:shd w:val="clear" w:color="auto" w:fill="auto"/>
            <w:noWrap/>
            <w:vAlign w:val="center"/>
            <w:hideMark/>
          </w:tcPr>
          <w:p w14:paraId="149F36AD"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3B01545A" w14:textId="77777777" w:rsidR="00BB7C8C" w:rsidRPr="00BF197F" w:rsidRDefault="00BB7C8C" w:rsidP="00CA7EFF">
            <w:pPr>
              <w:jc w:val="center"/>
              <w:rPr>
                <w:rFonts w:ascii="Calibri" w:hAnsi="Calibri" w:cs="Calibri"/>
                <w:color w:val="000000"/>
                <w:sz w:val="2"/>
                <w:szCs w:val="2"/>
                <w:lang w:eastAsia="en-GB"/>
              </w:rPr>
            </w:pPr>
          </w:p>
        </w:tc>
        <w:tc>
          <w:tcPr>
            <w:tcW w:w="961" w:type="dxa"/>
            <w:tcBorders>
              <w:top w:val="nil"/>
              <w:left w:val="nil"/>
              <w:bottom w:val="nil"/>
              <w:right w:val="nil"/>
            </w:tcBorders>
            <w:shd w:val="clear" w:color="auto" w:fill="auto"/>
            <w:noWrap/>
            <w:vAlign w:val="center"/>
            <w:hideMark/>
          </w:tcPr>
          <w:p w14:paraId="3D0DE1CE" w14:textId="77777777" w:rsidR="00BB7C8C" w:rsidRPr="00BF197F" w:rsidRDefault="00BB7C8C" w:rsidP="00CA7EFF">
            <w:pPr>
              <w:jc w:val="center"/>
              <w:rPr>
                <w:rFonts w:ascii="Times New Roman" w:hAnsi="Times New Roman"/>
                <w:sz w:val="20"/>
                <w:lang w:eastAsia="en-GB"/>
              </w:rPr>
            </w:pPr>
          </w:p>
        </w:tc>
        <w:tc>
          <w:tcPr>
            <w:tcW w:w="961" w:type="dxa"/>
            <w:tcBorders>
              <w:top w:val="nil"/>
              <w:left w:val="nil"/>
              <w:bottom w:val="nil"/>
              <w:right w:val="nil"/>
            </w:tcBorders>
            <w:shd w:val="clear" w:color="auto" w:fill="auto"/>
            <w:noWrap/>
            <w:vAlign w:val="center"/>
            <w:hideMark/>
          </w:tcPr>
          <w:p w14:paraId="589C5EE5" w14:textId="77777777" w:rsidR="00BB7C8C" w:rsidRPr="00BF197F" w:rsidRDefault="00BB7C8C" w:rsidP="00CA7EFF">
            <w:pPr>
              <w:jc w:val="center"/>
              <w:rPr>
                <w:rFonts w:ascii="Times New Roman" w:hAnsi="Times New Roman"/>
                <w:sz w:val="20"/>
                <w:lang w:eastAsia="en-GB"/>
              </w:rPr>
            </w:pPr>
          </w:p>
        </w:tc>
        <w:tc>
          <w:tcPr>
            <w:tcW w:w="962" w:type="dxa"/>
            <w:tcBorders>
              <w:top w:val="nil"/>
              <w:left w:val="nil"/>
              <w:bottom w:val="nil"/>
              <w:right w:val="single" w:sz="8" w:space="0" w:color="auto"/>
            </w:tcBorders>
            <w:shd w:val="clear" w:color="auto" w:fill="auto"/>
            <w:noWrap/>
            <w:vAlign w:val="center"/>
            <w:hideMark/>
          </w:tcPr>
          <w:p w14:paraId="01F166D7" w14:textId="77777777" w:rsidR="00BB7C8C" w:rsidRPr="00BF197F" w:rsidRDefault="00BB7C8C" w:rsidP="00CA7EFF">
            <w:pPr>
              <w:jc w:val="center"/>
              <w:rPr>
                <w:rFonts w:ascii="Calibri" w:hAnsi="Calibri" w:cs="Calibri"/>
                <w:color w:val="000000"/>
                <w:sz w:val="2"/>
                <w:szCs w:val="2"/>
                <w:lang w:eastAsia="en-GB"/>
              </w:rPr>
            </w:pPr>
          </w:p>
        </w:tc>
      </w:tr>
      <w:tr w:rsidR="00BB7C8C" w:rsidRPr="00BF197F" w14:paraId="169C2BC2" w14:textId="77777777" w:rsidTr="00BB7C8C">
        <w:tblPrEx>
          <w:jc w:val="center"/>
          <w:tblCellMar>
            <w:left w:w="57" w:type="dxa"/>
            <w:right w:w="57" w:type="dxa"/>
          </w:tblCellMar>
        </w:tblPrEx>
        <w:trPr>
          <w:trHeight w:val="299"/>
          <w:jc w:val="center"/>
        </w:trPr>
        <w:tc>
          <w:tcPr>
            <w:tcW w:w="2984" w:type="dxa"/>
            <w:tcBorders>
              <w:top w:val="nil"/>
              <w:left w:val="single" w:sz="8" w:space="0" w:color="auto"/>
              <w:bottom w:val="single" w:sz="8" w:space="0" w:color="auto"/>
              <w:right w:val="nil"/>
            </w:tcBorders>
            <w:shd w:val="clear" w:color="auto" w:fill="auto"/>
            <w:noWrap/>
            <w:vAlign w:val="center"/>
            <w:hideMark/>
          </w:tcPr>
          <w:p w14:paraId="7C227256" w14:textId="77777777" w:rsidR="00BB7C8C" w:rsidRPr="00BF197F" w:rsidRDefault="00BB7C8C" w:rsidP="00CA7EFF">
            <w:pPr>
              <w:jc w:val="both"/>
              <w:rPr>
                <w:rFonts w:ascii="Calibri" w:hAnsi="Calibri" w:cs="Calibri"/>
                <w:color w:val="000000"/>
                <w:sz w:val="22"/>
                <w:szCs w:val="22"/>
                <w:lang w:eastAsia="en-GB"/>
              </w:rPr>
            </w:pPr>
            <w:r w:rsidRPr="00BF197F">
              <w:rPr>
                <w:rFonts w:ascii="Calibri" w:hAnsi="Calibri" w:cs="Calibri"/>
                <w:color w:val="000000"/>
                <w:sz w:val="22"/>
                <w:szCs w:val="22"/>
                <w:lang w:eastAsia="en-GB"/>
              </w:rPr>
              <w:t>Net Debt</w:t>
            </w:r>
          </w:p>
        </w:tc>
        <w:tc>
          <w:tcPr>
            <w:tcW w:w="960" w:type="dxa"/>
            <w:tcBorders>
              <w:top w:val="nil"/>
              <w:left w:val="nil"/>
              <w:bottom w:val="single" w:sz="8" w:space="0" w:color="auto"/>
              <w:right w:val="nil"/>
            </w:tcBorders>
            <w:shd w:val="clear" w:color="auto" w:fill="auto"/>
            <w:noWrap/>
            <w:vAlign w:val="center"/>
            <w:hideMark/>
          </w:tcPr>
          <w:p w14:paraId="508952C4"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2,899</w:t>
            </w:r>
          </w:p>
        </w:tc>
        <w:tc>
          <w:tcPr>
            <w:tcW w:w="961" w:type="dxa"/>
            <w:tcBorders>
              <w:top w:val="nil"/>
              <w:left w:val="nil"/>
              <w:bottom w:val="single" w:sz="8" w:space="0" w:color="auto"/>
              <w:right w:val="nil"/>
            </w:tcBorders>
            <w:shd w:val="clear" w:color="auto" w:fill="auto"/>
            <w:noWrap/>
            <w:vAlign w:val="center"/>
            <w:hideMark/>
          </w:tcPr>
          <w:p w14:paraId="3F38F70E" w14:textId="77777777" w:rsidR="00BB7C8C" w:rsidRPr="00BF197F" w:rsidRDefault="00BB7C8C" w:rsidP="00CA7EFF">
            <w:pPr>
              <w:jc w:val="center"/>
              <w:rPr>
                <w:rFonts w:ascii="Calibri" w:hAnsi="Calibri" w:cs="Calibri"/>
                <w:color w:val="000000"/>
                <w:sz w:val="22"/>
                <w:szCs w:val="22"/>
                <w:lang w:eastAsia="en-GB"/>
              </w:rPr>
            </w:pPr>
            <w:r w:rsidRPr="00BF197F">
              <w:rPr>
                <w:rFonts w:ascii="Calibri" w:hAnsi="Calibri" w:cs="Calibri"/>
                <w:color w:val="000000"/>
                <w:sz w:val="22"/>
                <w:szCs w:val="22"/>
                <w:lang w:eastAsia="en-GB"/>
              </w:rPr>
              <w:t>356</w:t>
            </w:r>
          </w:p>
        </w:tc>
        <w:tc>
          <w:tcPr>
            <w:tcW w:w="966" w:type="dxa"/>
            <w:tcBorders>
              <w:top w:val="nil"/>
              <w:left w:val="nil"/>
              <w:bottom w:val="single" w:sz="8" w:space="0" w:color="auto"/>
              <w:right w:val="single" w:sz="8" w:space="0" w:color="auto"/>
            </w:tcBorders>
            <w:shd w:val="clear" w:color="auto" w:fill="auto"/>
            <w:noWrap/>
            <w:vAlign w:val="center"/>
            <w:hideMark/>
          </w:tcPr>
          <w:p w14:paraId="076AA35D" w14:textId="77777777" w:rsidR="00BB7C8C" w:rsidRPr="00BF197F" w:rsidRDefault="00BB7C8C" w:rsidP="00CA7EFF">
            <w:pPr>
              <w:jc w:val="center"/>
              <w:rPr>
                <w:rFonts w:ascii="Calibri" w:hAnsi="Calibri" w:cs="Calibri"/>
                <w:color w:val="000000"/>
                <w:sz w:val="22"/>
                <w:szCs w:val="22"/>
                <w:lang w:eastAsia="en-GB"/>
              </w:rPr>
            </w:pPr>
          </w:p>
        </w:tc>
        <w:tc>
          <w:tcPr>
            <w:tcW w:w="961" w:type="dxa"/>
            <w:tcBorders>
              <w:top w:val="nil"/>
              <w:left w:val="nil"/>
              <w:bottom w:val="single" w:sz="8" w:space="0" w:color="auto"/>
              <w:right w:val="nil"/>
            </w:tcBorders>
            <w:shd w:val="clear" w:color="auto" w:fill="auto"/>
            <w:noWrap/>
            <w:vAlign w:val="center"/>
            <w:hideMark/>
          </w:tcPr>
          <w:p w14:paraId="2109E102" w14:textId="77777777" w:rsidR="00BB7C8C" w:rsidRPr="00BF197F" w:rsidRDefault="00BB7C8C" w:rsidP="00CA7EFF">
            <w:pPr>
              <w:jc w:val="center"/>
              <w:rPr>
                <w:rFonts w:ascii="Calibri" w:hAnsi="Calibri" w:cs="Calibri"/>
                <w:color w:val="000000"/>
                <w:sz w:val="22"/>
                <w:szCs w:val="22"/>
                <w:lang w:eastAsia="en-GB"/>
              </w:rPr>
            </w:pPr>
          </w:p>
        </w:tc>
        <w:tc>
          <w:tcPr>
            <w:tcW w:w="961" w:type="dxa"/>
            <w:tcBorders>
              <w:top w:val="nil"/>
              <w:left w:val="nil"/>
              <w:bottom w:val="single" w:sz="8" w:space="0" w:color="auto"/>
              <w:right w:val="nil"/>
            </w:tcBorders>
            <w:shd w:val="clear" w:color="auto" w:fill="auto"/>
            <w:noWrap/>
            <w:vAlign w:val="center"/>
            <w:hideMark/>
          </w:tcPr>
          <w:p w14:paraId="1309C260" w14:textId="77777777" w:rsidR="00BB7C8C" w:rsidRPr="00BF197F" w:rsidRDefault="00BB7C8C" w:rsidP="00CA7EFF">
            <w:pPr>
              <w:jc w:val="center"/>
              <w:rPr>
                <w:rFonts w:ascii="Calibri" w:hAnsi="Calibri" w:cs="Calibri"/>
                <w:color w:val="000000"/>
                <w:sz w:val="22"/>
                <w:szCs w:val="22"/>
                <w:lang w:eastAsia="en-GB"/>
              </w:rPr>
            </w:pPr>
          </w:p>
        </w:tc>
        <w:tc>
          <w:tcPr>
            <w:tcW w:w="961" w:type="dxa"/>
            <w:tcBorders>
              <w:top w:val="nil"/>
              <w:left w:val="nil"/>
              <w:bottom w:val="single" w:sz="8" w:space="0" w:color="auto"/>
              <w:right w:val="nil"/>
            </w:tcBorders>
            <w:shd w:val="clear" w:color="auto" w:fill="auto"/>
            <w:noWrap/>
            <w:vAlign w:val="center"/>
            <w:hideMark/>
          </w:tcPr>
          <w:p w14:paraId="78729CA3" w14:textId="77777777" w:rsidR="00BB7C8C" w:rsidRPr="00BF197F" w:rsidRDefault="00BB7C8C" w:rsidP="00CA7EFF">
            <w:pPr>
              <w:jc w:val="center"/>
              <w:rPr>
                <w:rFonts w:ascii="Calibri" w:hAnsi="Calibri" w:cs="Calibri"/>
                <w:color w:val="000000"/>
                <w:sz w:val="22"/>
                <w:szCs w:val="22"/>
                <w:lang w:eastAsia="en-GB"/>
              </w:rPr>
            </w:pPr>
          </w:p>
        </w:tc>
        <w:tc>
          <w:tcPr>
            <w:tcW w:w="962" w:type="dxa"/>
            <w:tcBorders>
              <w:top w:val="nil"/>
              <w:left w:val="nil"/>
              <w:bottom w:val="single" w:sz="8" w:space="0" w:color="auto"/>
              <w:right w:val="single" w:sz="8" w:space="0" w:color="auto"/>
            </w:tcBorders>
            <w:shd w:val="clear" w:color="auto" w:fill="auto"/>
            <w:noWrap/>
            <w:vAlign w:val="center"/>
            <w:hideMark/>
          </w:tcPr>
          <w:p w14:paraId="5FF00928" w14:textId="77777777" w:rsidR="00BB7C8C" w:rsidRPr="00BF197F" w:rsidRDefault="00BB7C8C" w:rsidP="00CA7EFF">
            <w:pPr>
              <w:jc w:val="center"/>
              <w:rPr>
                <w:rFonts w:ascii="Calibri" w:hAnsi="Calibri" w:cs="Calibri"/>
                <w:color w:val="000000"/>
                <w:sz w:val="22"/>
                <w:szCs w:val="22"/>
                <w:lang w:eastAsia="en-GB"/>
              </w:rPr>
            </w:pPr>
          </w:p>
        </w:tc>
      </w:tr>
    </w:tbl>
    <w:p w14:paraId="00477E5B" w14:textId="77777777" w:rsidR="00126631" w:rsidRPr="008A018C" w:rsidRDefault="00126631" w:rsidP="00807CDF">
      <w:pPr>
        <w:spacing w:before="120"/>
        <w:jc w:val="both"/>
        <w:rPr>
          <w:rFonts w:asciiTheme="minorHAnsi" w:hAnsiTheme="minorHAnsi"/>
          <w:b/>
          <w:sz w:val="21"/>
          <w:szCs w:val="21"/>
        </w:rPr>
      </w:pPr>
      <w:r>
        <w:rPr>
          <w:rFonts w:asciiTheme="minorHAnsi" w:hAnsiTheme="minorHAnsi"/>
          <w:b/>
          <w:sz w:val="21"/>
          <w:szCs w:val="21"/>
        </w:rPr>
        <w:t>Operational</w:t>
      </w:r>
      <w:r w:rsidR="00D83CE6">
        <w:rPr>
          <w:rFonts w:asciiTheme="minorHAnsi" w:hAnsiTheme="minorHAnsi"/>
          <w:b/>
          <w:sz w:val="21"/>
          <w:szCs w:val="21"/>
        </w:rPr>
        <w:t xml:space="preserve"> highlights</w:t>
      </w:r>
    </w:p>
    <w:p w14:paraId="51C72A78" w14:textId="77777777" w:rsidR="00AA1796" w:rsidRPr="007D6FE6" w:rsidRDefault="00AA1796" w:rsidP="009B6BB8">
      <w:pPr>
        <w:pStyle w:val="ListParagraph"/>
        <w:numPr>
          <w:ilvl w:val="0"/>
          <w:numId w:val="15"/>
        </w:numPr>
        <w:spacing w:after="40"/>
        <w:contextualSpacing w:val="0"/>
        <w:jc w:val="both"/>
        <w:rPr>
          <w:rFonts w:asciiTheme="minorHAnsi" w:hAnsiTheme="minorHAnsi"/>
          <w:sz w:val="22"/>
          <w:szCs w:val="21"/>
        </w:rPr>
      </w:pPr>
      <w:r w:rsidRPr="007D6FE6">
        <w:rPr>
          <w:rFonts w:asciiTheme="minorHAnsi" w:hAnsiTheme="minorHAnsi"/>
          <w:sz w:val="22"/>
          <w:szCs w:val="21"/>
        </w:rPr>
        <w:t>Combination with The Stars Group</w:t>
      </w:r>
      <w:r>
        <w:rPr>
          <w:rFonts w:asciiTheme="minorHAnsi" w:hAnsiTheme="minorHAnsi"/>
          <w:sz w:val="22"/>
          <w:szCs w:val="21"/>
        </w:rPr>
        <w:t xml:space="preserve"> (“TSG”)</w:t>
      </w:r>
      <w:r w:rsidRPr="007D6FE6">
        <w:rPr>
          <w:rFonts w:asciiTheme="minorHAnsi" w:hAnsiTheme="minorHAnsi"/>
          <w:sz w:val="22"/>
          <w:szCs w:val="21"/>
        </w:rPr>
        <w:t xml:space="preserve"> </w:t>
      </w:r>
      <w:r>
        <w:rPr>
          <w:rFonts w:asciiTheme="minorHAnsi" w:hAnsiTheme="minorHAnsi"/>
          <w:sz w:val="22"/>
          <w:szCs w:val="21"/>
        </w:rPr>
        <w:t>deliver</w:t>
      </w:r>
      <w:r w:rsidR="007859CF">
        <w:rPr>
          <w:rFonts w:asciiTheme="minorHAnsi" w:hAnsiTheme="minorHAnsi"/>
          <w:sz w:val="22"/>
          <w:szCs w:val="21"/>
        </w:rPr>
        <w:t>ing</w:t>
      </w:r>
      <w:r>
        <w:rPr>
          <w:rFonts w:asciiTheme="minorHAnsi" w:hAnsiTheme="minorHAnsi"/>
          <w:sz w:val="22"/>
          <w:szCs w:val="21"/>
        </w:rPr>
        <w:t xml:space="preserve"> enhanced diversification; evident in H1 performance</w:t>
      </w:r>
    </w:p>
    <w:p w14:paraId="60B52D63" w14:textId="77777777" w:rsidR="00340260" w:rsidRDefault="00126631" w:rsidP="009B6BB8">
      <w:pPr>
        <w:pStyle w:val="ListParagraph"/>
        <w:numPr>
          <w:ilvl w:val="1"/>
          <w:numId w:val="15"/>
        </w:numPr>
        <w:spacing w:after="40"/>
        <w:contextualSpacing w:val="0"/>
        <w:jc w:val="both"/>
        <w:rPr>
          <w:rFonts w:asciiTheme="minorHAnsi" w:hAnsiTheme="minorHAnsi"/>
          <w:sz w:val="22"/>
          <w:szCs w:val="21"/>
        </w:rPr>
      </w:pPr>
      <w:r w:rsidRPr="007D6FE6">
        <w:rPr>
          <w:rFonts w:asciiTheme="minorHAnsi" w:hAnsiTheme="minorHAnsi"/>
          <w:sz w:val="22"/>
          <w:szCs w:val="21"/>
        </w:rPr>
        <w:t xml:space="preserve">Integration </w:t>
      </w:r>
      <w:r w:rsidR="00D56161">
        <w:rPr>
          <w:rFonts w:asciiTheme="minorHAnsi" w:hAnsiTheme="minorHAnsi"/>
          <w:sz w:val="22"/>
          <w:szCs w:val="21"/>
        </w:rPr>
        <w:t>under</w:t>
      </w:r>
      <w:r w:rsidR="00800DFD">
        <w:rPr>
          <w:rFonts w:asciiTheme="minorHAnsi" w:hAnsiTheme="minorHAnsi"/>
          <w:sz w:val="22"/>
          <w:szCs w:val="21"/>
        </w:rPr>
        <w:t xml:space="preserve"> </w:t>
      </w:r>
      <w:r w:rsidR="00D56161">
        <w:rPr>
          <w:rFonts w:asciiTheme="minorHAnsi" w:hAnsiTheme="minorHAnsi"/>
          <w:sz w:val="22"/>
          <w:szCs w:val="21"/>
        </w:rPr>
        <w:t>way</w:t>
      </w:r>
      <w:r w:rsidR="00AA1796">
        <w:rPr>
          <w:rFonts w:asciiTheme="minorHAnsi" w:hAnsiTheme="minorHAnsi"/>
          <w:sz w:val="22"/>
          <w:szCs w:val="21"/>
        </w:rPr>
        <w:t xml:space="preserve"> with focus on maintaining </w:t>
      </w:r>
      <w:r w:rsidR="00340260">
        <w:rPr>
          <w:rFonts w:asciiTheme="minorHAnsi" w:hAnsiTheme="minorHAnsi"/>
          <w:sz w:val="22"/>
          <w:szCs w:val="21"/>
        </w:rPr>
        <w:t>business momentum</w:t>
      </w:r>
      <w:r w:rsidR="006E3F86">
        <w:rPr>
          <w:rFonts w:asciiTheme="minorHAnsi" w:hAnsiTheme="minorHAnsi"/>
          <w:sz w:val="22"/>
          <w:szCs w:val="21"/>
        </w:rPr>
        <w:t xml:space="preserve"> </w:t>
      </w:r>
    </w:p>
    <w:p w14:paraId="219B177E" w14:textId="77777777" w:rsidR="00126631" w:rsidRPr="007D6FE6" w:rsidRDefault="007D2346" w:rsidP="009B6BB8">
      <w:pPr>
        <w:pStyle w:val="ListParagraph"/>
        <w:numPr>
          <w:ilvl w:val="1"/>
          <w:numId w:val="15"/>
        </w:numPr>
        <w:spacing w:after="40"/>
        <w:contextualSpacing w:val="0"/>
        <w:jc w:val="both"/>
        <w:rPr>
          <w:rFonts w:asciiTheme="minorHAnsi" w:hAnsiTheme="minorHAnsi"/>
          <w:sz w:val="22"/>
          <w:szCs w:val="21"/>
        </w:rPr>
      </w:pPr>
      <w:r>
        <w:rPr>
          <w:rFonts w:asciiTheme="minorHAnsi" w:hAnsiTheme="minorHAnsi"/>
          <w:sz w:val="22"/>
          <w:szCs w:val="21"/>
        </w:rPr>
        <w:t>N</w:t>
      </w:r>
      <w:r w:rsidR="006314BB">
        <w:rPr>
          <w:rFonts w:asciiTheme="minorHAnsi" w:hAnsiTheme="minorHAnsi"/>
          <w:sz w:val="22"/>
          <w:szCs w:val="21"/>
        </w:rPr>
        <w:t>ew</w:t>
      </w:r>
      <w:r w:rsidR="00126631">
        <w:rPr>
          <w:rFonts w:asciiTheme="minorHAnsi" w:hAnsiTheme="minorHAnsi"/>
          <w:sz w:val="22"/>
          <w:szCs w:val="21"/>
        </w:rPr>
        <w:t xml:space="preserve"> organisation</w:t>
      </w:r>
      <w:r w:rsidR="00A50829">
        <w:rPr>
          <w:rFonts w:asciiTheme="minorHAnsi" w:hAnsiTheme="minorHAnsi"/>
          <w:sz w:val="22"/>
          <w:szCs w:val="21"/>
        </w:rPr>
        <w:t>al</w:t>
      </w:r>
      <w:r w:rsidR="00126631">
        <w:rPr>
          <w:rFonts w:asciiTheme="minorHAnsi" w:hAnsiTheme="minorHAnsi"/>
          <w:sz w:val="22"/>
          <w:szCs w:val="21"/>
        </w:rPr>
        <w:t xml:space="preserve"> structure</w:t>
      </w:r>
      <w:r w:rsidR="006E3F86">
        <w:rPr>
          <w:rFonts w:asciiTheme="minorHAnsi" w:hAnsiTheme="minorHAnsi"/>
          <w:sz w:val="22"/>
          <w:szCs w:val="21"/>
        </w:rPr>
        <w:t xml:space="preserve"> </w:t>
      </w:r>
      <w:r w:rsidR="00CF108C">
        <w:rPr>
          <w:rFonts w:asciiTheme="minorHAnsi" w:hAnsiTheme="minorHAnsi"/>
          <w:sz w:val="22"/>
          <w:szCs w:val="21"/>
        </w:rPr>
        <w:t>in place</w:t>
      </w:r>
      <w:r w:rsidR="004E4F48">
        <w:rPr>
          <w:rFonts w:asciiTheme="minorHAnsi" w:hAnsiTheme="minorHAnsi"/>
          <w:sz w:val="22"/>
          <w:szCs w:val="21"/>
        </w:rPr>
        <w:t>;</w:t>
      </w:r>
      <w:r w:rsidR="006E3F86">
        <w:rPr>
          <w:rFonts w:asciiTheme="minorHAnsi" w:hAnsiTheme="minorHAnsi"/>
          <w:sz w:val="22"/>
          <w:szCs w:val="21"/>
        </w:rPr>
        <w:t xml:space="preserve"> Australian</w:t>
      </w:r>
      <w:r w:rsidR="005F7FC8">
        <w:rPr>
          <w:rFonts w:asciiTheme="minorHAnsi" w:hAnsiTheme="minorHAnsi"/>
          <w:sz w:val="22"/>
          <w:szCs w:val="21"/>
        </w:rPr>
        <w:t xml:space="preserve"> integration well advanced</w:t>
      </w:r>
      <w:r w:rsidR="006314BB">
        <w:rPr>
          <w:rFonts w:asciiTheme="minorHAnsi" w:hAnsiTheme="minorHAnsi"/>
          <w:sz w:val="22"/>
          <w:szCs w:val="21"/>
        </w:rPr>
        <w:t>;</w:t>
      </w:r>
      <w:r w:rsidR="00AA1796">
        <w:rPr>
          <w:rFonts w:asciiTheme="minorHAnsi" w:hAnsiTheme="minorHAnsi"/>
          <w:sz w:val="22"/>
          <w:szCs w:val="21"/>
        </w:rPr>
        <w:t xml:space="preserve"> </w:t>
      </w:r>
      <w:r w:rsidR="005F7FC8">
        <w:rPr>
          <w:rFonts w:asciiTheme="minorHAnsi" w:hAnsiTheme="minorHAnsi"/>
          <w:sz w:val="22"/>
          <w:szCs w:val="21"/>
        </w:rPr>
        <w:t xml:space="preserve">global </w:t>
      </w:r>
      <w:r w:rsidR="00AA1796">
        <w:rPr>
          <w:rFonts w:asciiTheme="minorHAnsi" w:hAnsiTheme="minorHAnsi"/>
          <w:sz w:val="22"/>
          <w:szCs w:val="21"/>
        </w:rPr>
        <w:t>technology decisions progressing</w:t>
      </w:r>
    </w:p>
    <w:p w14:paraId="55E0FF29" w14:textId="77777777" w:rsidR="00AA1796" w:rsidRDefault="00125B2B"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 xml:space="preserve">Group ex-US: </w:t>
      </w:r>
      <w:r w:rsidR="00AA1796">
        <w:rPr>
          <w:rFonts w:asciiTheme="minorHAnsi" w:hAnsiTheme="minorHAnsi"/>
          <w:sz w:val="22"/>
          <w:szCs w:val="21"/>
        </w:rPr>
        <w:t>Strong</w:t>
      </w:r>
      <w:r>
        <w:rPr>
          <w:rFonts w:asciiTheme="minorHAnsi" w:hAnsiTheme="minorHAnsi"/>
          <w:sz w:val="22"/>
          <w:szCs w:val="21"/>
        </w:rPr>
        <w:t xml:space="preserve"> </w:t>
      </w:r>
      <w:r w:rsidR="00AA1796">
        <w:rPr>
          <w:rFonts w:asciiTheme="minorHAnsi" w:hAnsiTheme="minorHAnsi"/>
          <w:sz w:val="22"/>
          <w:szCs w:val="21"/>
        </w:rPr>
        <w:t>momentum through H1 against backdrop of Covid</w:t>
      </w:r>
      <w:r w:rsidR="002225E7">
        <w:rPr>
          <w:rFonts w:asciiTheme="minorHAnsi" w:hAnsiTheme="minorHAnsi"/>
          <w:sz w:val="22"/>
          <w:szCs w:val="21"/>
        </w:rPr>
        <w:t xml:space="preserve">-19 </w:t>
      </w:r>
      <w:r w:rsidR="00D441FC">
        <w:rPr>
          <w:rFonts w:asciiTheme="minorHAnsi" w:hAnsiTheme="minorHAnsi"/>
          <w:sz w:val="22"/>
          <w:szCs w:val="21"/>
        </w:rPr>
        <w:t>disruption</w:t>
      </w:r>
    </w:p>
    <w:p w14:paraId="33A99F30" w14:textId="77777777" w:rsidR="00AA1796" w:rsidRDefault="00AA1796" w:rsidP="009B6BB8">
      <w:pPr>
        <w:pStyle w:val="ListParagraph"/>
        <w:numPr>
          <w:ilvl w:val="1"/>
          <w:numId w:val="15"/>
        </w:numPr>
        <w:spacing w:after="40"/>
        <w:contextualSpacing w:val="0"/>
        <w:jc w:val="both"/>
        <w:rPr>
          <w:rFonts w:asciiTheme="minorHAnsi" w:hAnsiTheme="minorHAnsi"/>
          <w:sz w:val="22"/>
          <w:szCs w:val="21"/>
        </w:rPr>
      </w:pPr>
      <w:r>
        <w:rPr>
          <w:rFonts w:asciiTheme="minorHAnsi" w:hAnsiTheme="minorHAnsi"/>
          <w:sz w:val="22"/>
          <w:szCs w:val="21"/>
        </w:rPr>
        <w:t>Sports: Favourable results in Q1</w:t>
      </w:r>
      <w:r w:rsidR="00D56161">
        <w:rPr>
          <w:rFonts w:asciiTheme="minorHAnsi" w:hAnsiTheme="minorHAnsi"/>
          <w:sz w:val="22"/>
          <w:szCs w:val="21"/>
        </w:rPr>
        <w:t>;</w:t>
      </w:r>
      <w:r>
        <w:rPr>
          <w:rFonts w:asciiTheme="minorHAnsi" w:hAnsiTheme="minorHAnsi"/>
          <w:sz w:val="22"/>
          <w:szCs w:val="21"/>
        </w:rPr>
        <w:t xml:space="preserve"> </w:t>
      </w:r>
      <w:r w:rsidR="00CA7480">
        <w:rPr>
          <w:rFonts w:asciiTheme="minorHAnsi" w:hAnsiTheme="minorHAnsi"/>
          <w:sz w:val="22"/>
          <w:szCs w:val="21"/>
        </w:rPr>
        <w:t xml:space="preserve">strong </w:t>
      </w:r>
      <w:r w:rsidR="002225E7">
        <w:rPr>
          <w:rFonts w:asciiTheme="minorHAnsi" w:hAnsiTheme="minorHAnsi"/>
          <w:sz w:val="22"/>
          <w:szCs w:val="21"/>
        </w:rPr>
        <w:t>perfo</w:t>
      </w:r>
      <w:r>
        <w:rPr>
          <w:rFonts w:asciiTheme="minorHAnsi" w:hAnsiTheme="minorHAnsi"/>
          <w:sz w:val="22"/>
          <w:szCs w:val="21"/>
        </w:rPr>
        <w:t>rmance</w:t>
      </w:r>
      <w:r w:rsidR="002F2170">
        <w:rPr>
          <w:rFonts w:asciiTheme="minorHAnsi" w:hAnsiTheme="minorHAnsi"/>
          <w:sz w:val="22"/>
          <w:szCs w:val="21"/>
        </w:rPr>
        <w:t xml:space="preserve"> in Q2</w:t>
      </w:r>
      <w:r>
        <w:rPr>
          <w:rFonts w:asciiTheme="minorHAnsi" w:hAnsiTheme="minorHAnsi"/>
          <w:sz w:val="22"/>
          <w:szCs w:val="21"/>
        </w:rPr>
        <w:t xml:space="preserve"> </w:t>
      </w:r>
      <w:r w:rsidR="002225E7">
        <w:rPr>
          <w:rFonts w:asciiTheme="minorHAnsi" w:hAnsiTheme="minorHAnsi"/>
          <w:sz w:val="22"/>
          <w:szCs w:val="21"/>
        </w:rPr>
        <w:t>benefitting from continuation of horse</w:t>
      </w:r>
      <w:r w:rsidR="005A05F6">
        <w:rPr>
          <w:rFonts w:asciiTheme="minorHAnsi" w:hAnsiTheme="minorHAnsi"/>
          <w:sz w:val="22"/>
          <w:szCs w:val="21"/>
        </w:rPr>
        <w:t xml:space="preserve"> </w:t>
      </w:r>
      <w:r w:rsidR="002225E7">
        <w:rPr>
          <w:rFonts w:asciiTheme="minorHAnsi" w:hAnsiTheme="minorHAnsi"/>
          <w:sz w:val="22"/>
          <w:szCs w:val="21"/>
        </w:rPr>
        <w:t>racing in</w:t>
      </w:r>
      <w:r>
        <w:rPr>
          <w:rFonts w:asciiTheme="minorHAnsi" w:hAnsiTheme="minorHAnsi"/>
          <w:sz w:val="22"/>
          <w:szCs w:val="21"/>
        </w:rPr>
        <w:t xml:space="preserve"> Australia </w:t>
      </w:r>
    </w:p>
    <w:p w14:paraId="0D4CBF5F" w14:textId="77777777" w:rsidR="00AA1796" w:rsidRDefault="00AA1796" w:rsidP="009B6BB8">
      <w:pPr>
        <w:pStyle w:val="ListParagraph"/>
        <w:numPr>
          <w:ilvl w:val="1"/>
          <w:numId w:val="15"/>
        </w:numPr>
        <w:spacing w:after="40"/>
        <w:contextualSpacing w:val="0"/>
        <w:jc w:val="both"/>
        <w:rPr>
          <w:rFonts w:asciiTheme="minorHAnsi" w:hAnsiTheme="minorHAnsi"/>
          <w:sz w:val="22"/>
          <w:szCs w:val="21"/>
        </w:rPr>
      </w:pPr>
      <w:r>
        <w:rPr>
          <w:rFonts w:asciiTheme="minorHAnsi" w:hAnsiTheme="minorHAnsi"/>
          <w:sz w:val="22"/>
          <w:szCs w:val="21"/>
        </w:rPr>
        <w:t xml:space="preserve">Gaming: </w:t>
      </w:r>
      <w:r w:rsidR="002F2170">
        <w:rPr>
          <w:rFonts w:asciiTheme="minorHAnsi" w:hAnsiTheme="minorHAnsi"/>
          <w:sz w:val="22"/>
          <w:szCs w:val="21"/>
        </w:rPr>
        <w:t>Excellent performance with s</w:t>
      </w:r>
      <w:r>
        <w:rPr>
          <w:rFonts w:asciiTheme="minorHAnsi" w:hAnsiTheme="minorHAnsi"/>
          <w:sz w:val="22"/>
          <w:szCs w:val="21"/>
        </w:rPr>
        <w:t xml:space="preserve">ignificant growth </w:t>
      </w:r>
      <w:r w:rsidR="00D34045">
        <w:rPr>
          <w:rFonts w:asciiTheme="minorHAnsi" w:hAnsiTheme="minorHAnsi"/>
          <w:sz w:val="22"/>
          <w:szCs w:val="21"/>
        </w:rPr>
        <w:t xml:space="preserve">in </w:t>
      </w:r>
      <w:r w:rsidR="00CA7480">
        <w:rPr>
          <w:rFonts w:asciiTheme="minorHAnsi" w:hAnsiTheme="minorHAnsi"/>
          <w:sz w:val="22"/>
          <w:szCs w:val="21"/>
        </w:rPr>
        <w:t xml:space="preserve">our </w:t>
      </w:r>
      <w:r>
        <w:rPr>
          <w:rFonts w:asciiTheme="minorHAnsi" w:hAnsiTheme="minorHAnsi"/>
          <w:sz w:val="22"/>
          <w:szCs w:val="21"/>
        </w:rPr>
        <w:t xml:space="preserve">recreational </w:t>
      </w:r>
      <w:r w:rsidR="002F2170">
        <w:rPr>
          <w:rFonts w:asciiTheme="minorHAnsi" w:hAnsiTheme="minorHAnsi"/>
          <w:sz w:val="22"/>
          <w:szCs w:val="21"/>
        </w:rPr>
        <w:t>customer</w:t>
      </w:r>
      <w:r w:rsidR="00CA7480">
        <w:rPr>
          <w:rFonts w:asciiTheme="minorHAnsi" w:hAnsiTheme="minorHAnsi"/>
          <w:sz w:val="22"/>
          <w:szCs w:val="21"/>
        </w:rPr>
        <w:t xml:space="preserve"> base</w:t>
      </w:r>
    </w:p>
    <w:p w14:paraId="54564533" w14:textId="77777777" w:rsidR="008A020B" w:rsidRPr="008A020B" w:rsidRDefault="008A020B" w:rsidP="009B6BB8">
      <w:pPr>
        <w:pStyle w:val="ListParagraph"/>
        <w:numPr>
          <w:ilvl w:val="0"/>
          <w:numId w:val="15"/>
        </w:numPr>
        <w:spacing w:after="40"/>
        <w:contextualSpacing w:val="0"/>
        <w:jc w:val="both"/>
        <w:rPr>
          <w:rFonts w:asciiTheme="minorHAnsi" w:hAnsiTheme="minorHAnsi"/>
          <w:sz w:val="22"/>
          <w:szCs w:val="21"/>
        </w:rPr>
      </w:pPr>
      <w:r w:rsidRPr="00CA2C99">
        <w:rPr>
          <w:rFonts w:asciiTheme="minorHAnsi" w:hAnsiTheme="minorHAnsi"/>
          <w:sz w:val="22"/>
          <w:szCs w:val="21"/>
        </w:rPr>
        <w:t>US</w:t>
      </w:r>
      <w:r w:rsidR="00050AD2">
        <w:rPr>
          <w:rFonts w:asciiTheme="minorHAnsi" w:hAnsiTheme="minorHAnsi"/>
          <w:sz w:val="22"/>
          <w:szCs w:val="21"/>
        </w:rPr>
        <w:t>:</w:t>
      </w:r>
      <w:r w:rsidRPr="00CA2C99">
        <w:rPr>
          <w:rFonts w:asciiTheme="minorHAnsi" w:hAnsiTheme="minorHAnsi"/>
          <w:sz w:val="22"/>
          <w:szCs w:val="21"/>
        </w:rPr>
        <w:t xml:space="preserve"> </w:t>
      </w:r>
      <w:r w:rsidR="00050AD2">
        <w:rPr>
          <w:rFonts w:asciiTheme="minorHAnsi" w:hAnsiTheme="minorHAnsi"/>
          <w:sz w:val="22"/>
          <w:szCs w:val="21"/>
        </w:rPr>
        <w:t>S</w:t>
      </w:r>
      <w:r w:rsidR="00CA2C99" w:rsidRPr="00CA2C99">
        <w:rPr>
          <w:rFonts w:asciiTheme="minorHAnsi" w:hAnsiTheme="minorHAnsi"/>
          <w:sz w:val="22"/>
          <w:szCs w:val="21"/>
        </w:rPr>
        <w:t xml:space="preserve">ports and gaming </w:t>
      </w:r>
      <w:r w:rsidRPr="00CA2C99">
        <w:rPr>
          <w:rFonts w:asciiTheme="minorHAnsi" w:hAnsiTheme="minorHAnsi"/>
          <w:sz w:val="22"/>
          <w:szCs w:val="21"/>
        </w:rPr>
        <w:t xml:space="preserve">market </w:t>
      </w:r>
      <w:r w:rsidR="007859CF">
        <w:rPr>
          <w:rFonts w:asciiTheme="minorHAnsi" w:hAnsiTheme="minorHAnsi"/>
          <w:sz w:val="22"/>
          <w:szCs w:val="21"/>
        </w:rPr>
        <w:t xml:space="preserve">share </w:t>
      </w:r>
      <w:r w:rsidRPr="00CA2C99">
        <w:rPr>
          <w:rFonts w:asciiTheme="minorHAnsi" w:hAnsiTheme="minorHAnsi"/>
          <w:sz w:val="22"/>
          <w:szCs w:val="21"/>
        </w:rPr>
        <w:t>leader</w:t>
      </w:r>
      <w:r w:rsidR="00A058EF">
        <w:rPr>
          <w:rFonts w:asciiTheme="minorHAnsi" w:hAnsiTheme="minorHAnsi"/>
          <w:sz w:val="22"/>
          <w:szCs w:val="21"/>
        </w:rPr>
        <w:t xml:space="preserve"> in H1</w:t>
      </w:r>
      <w:r w:rsidR="00844F38" w:rsidRPr="00C9669A">
        <w:rPr>
          <w:rFonts w:asciiTheme="minorHAnsi" w:hAnsiTheme="minorHAnsi"/>
          <w:sz w:val="22"/>
          <w:szCs w:val="21"/>
          <w:vertAlign w:val="superscript"/>
        </w:rPr>
        <w:t>8</w:t>
      </w:r>
      <w:r>
        <w:rPr>
          <w:rFonts w:asciiTheme="minorHAnsi" w:hAnsiTheme="minorHAnsi"/>
          <w:sz w:val="22"/>
          <w:szCs w:val="21"/>
        </w:rPr>
        <w:t xml:space="preserve">; </w:t>
      </w:r>
      <w:r w:rsidRPr="00CA2C99">
        <w:rPr>
          <w:rFonts w:asciiTheme="minorHAnsi" w:hAnsiTheme="minorHAnsi"/>
          <w:sz w:val="22"/>
          <w:szCs w:val="21"/>
        </w:rPr>
        <w:t>4</w:t>
      </w:r>
      <w:r w:rsidR="00A058EF">
        <w:rPr>
          <w:rFonts w:asciiTheme="minorHAnsi" w:hAnsiTheme="minorHAnsi"/>
          <w:sz w:val="22"/>
          <w:szCs w:val="21"/>
        </w:rPr>
        <w:t>4</w:t>
      </w:r>
      <w:r w:rsidRPr="00CA2C99">
        <w:rPr>
          <w:rFonts w:asciiTheme="minorHAnsi" w:hAnsiTheme="minorHAnsi"/>
          <w:sz w:val="22"/>
          <w:szCs w:val="21"/>
        </w:rPr>
        <w:t>% online sportsbook</w:t>
      </w:r>
      <w:r w:rsidR="00CA2C99">
        <w:rPr>
          <w:rFonts w:asciiTheme="minorHAnsi" w:hAnsiTheme="minorHAnsi"/>
          <w:sz w:val="22"/>
          <w:szCs w:val="21"/>
        </w:rPr>
        <w:t xml:space="preserve">; </w:t>
      </w:r>
      <w:r w:rsidRPr="00CA2C99">
        <w:rPr>
          <w:rFonts w:asciiTheme="minorHAnsi" w:hAnsiTheme="minorHAnsi"/>
          <w:sz w:val="22"/>
          <w:szCs w:val="21"/>
        </w:rPr>
        <w:t>2</w:t>
      </w:r>
      <w:r w:rsidR="00C74DF4">
        <w:rPr>
          <w:rFonts w:asciiTheme="minorHAnsi" w:hAnsiTheme="minorHAnsi"/>
          <w:sz w:val="22"/>
          <w:szCs w:val="21"/>
        </w:rPr>
        <w:t>7</w:t>
      </w:r>
      <w:r w:rsidRPr="00CA2C99">
        <w:rPr>
          <w:rFonts w:asciiTheme="minorHAnsi" w:hAnsiTheme="minorHAnsi"/>
          <w:sz w:val="22"/>
          <w:szCs w:val="21"/>
        </w:rPr>
        <w:t xml:space="preserve">% online gaming </w:t>
      </w:r>
    </w:p>
    <w:p w14:paraId="0CA99D62" w14:textId="77777777" w:rsidR="00126631" w:rsidRPr="00A312C3" w:rsidRDefault="000A3D7B" w:rsidP="009B6BB8">
      <w:pPr>
        <w:pStyle w:val="ListParagraph"/>
        <w:numPr>
          <w:ilvl w:val="1"/>
          <w:numId w:val="15"/>
        </w:numPr>
        <w:spacing w:after="40"/>
        <w:contextualSpacing w:val="0"/>
        <w:jc w:val="both"/>
        <w:rPr>
          <w:rFonts w:asciiTheme="minorHAnsi" w:hAnsiTheme="minorHAnsi"/>
          <w:sz w:val="22"/>
          <w:szCs w:val="21"/>
        </w:rPr>
      </w:pPr>
      <w:r w:rsidRPr="00B10629">
        <w:rPr>
          <w:rFonts w:asciiTheme="minorHAnsi" w:hAnsiTheme="minorHAnsi"/>
          <w:sz w:val="22"/>
          <w:szCs w:val="21"/>
        </w:rPr>
        <w:t>Over 350,000</w:t>
      </w:r>
      <w:r w:rsidR="00CA2C99" w:rsidRPr="00A312C3">
        <w:rPr>
          <w:rFonts w:asciiTheme="minorHAnsi" w:hAnsiTheme="minorHAnsi"/>
          <w:sz w:val="22"/>
          <w:szCs w:val="21"/>
        </w:rPr>
        <w:t xml:space="preserve"> </w:t>
      </w:r>
      <w:r w:rsidR="00D56161">
        <w:rPr>
          <w:rFonts w:asciiTheme="minorHAnsi" w:hAnsiTheme="minorHAnsi"/>
          <w:sz w:val="22"/>
          <w:szCs w:val="21"/>
        </w:rPr>
        <w:t xml:space="preserve">customers </w:t>
      </w:r>
      <w:r w:rsidR="00CA2C99" w:rsidRPr="00A312C3">
        <w:rPr>
          <w:rFonts w:asciiTheme="minorHAnsi" w:hAnsiTheme="minorHAnsi"/>
          <w:sz w:val="22"/>
          <w:szCs w:val="21"/>
        </w:rPr>
        <w:t>acquired</w:t>
      </w:r>
      <w:r w:rsidR="00945B8D" w:rsidRPr="00A312C3">
        <w:rPr>
          <w:rFonts w:asciiTheme="minorHAnsi" w:hAnsiTheme="minorHAnsi"/>
          <w:sz w:val="22"/>
          <w:szCs w:val="21"/>
        </w:rPr>
        <w:t xml:space="preserve"> in H1</w:t>
      </w:r>
      <w:r w:rsidR="00B10629">
        <w:rPr>
          <w:rFonts w:asciiTheme="minorHAnsi" w:hAnsiTheme="minorHAnsi"/>
          <w:sz w:val="22"/>
          <w:szCs w:val="21"/>
        </w:rPr>
        <w:t>,</w:t>
      </w:r>
      <w:r w:rsidR="00A058EF">
        <w:rPr>
          <w:rFonts w:asciiTheme="minorHAnsi" w:hAnsiTheme="minorHAnsi"/>
          <w:sz w:val="22"/>
          <w:szCs w:val="21"/>
        </w:rPr>
        <w:t xml:space="preserve"> primarily through FanDuel and TVG</w:t>
      </w:r>
    </w:p>
    <w:p w14:paraId="620762A2" w14:textId="77777777" w:rsidR="00126631" w:rsidRDefault="00C24A0C" w:rsidP="009B6BB8">
      <w:pPr>
        <w:pStyle w:val="ListParagraph"/>
        <w:numPr>
          <w:ilvl w:val="1"/>
          <w:numId w:val="15"/>
        </w:numPr>
        <w:spacing w:after="40"/>
        <w:contextualSpacing w:val="0"/>
        <w:jc w:val="both"/>
        <w:rPr>
          <w:rFonts w:asciiTheme="minorHAnsi" w:hAnsiTheme="minorHAnsi"/>
          <w:sz w:val="22"/>
          <w:szCs w:val="21"/>
        </w:rPr>
      </w:pPr>
      <w:r>
        <w:rPr>
          <w:rFonts w:asciiTheme="minorHAnsi" w:hAnsiTheme="minorHAnsi"/>
          <w:sz w:val="22"/>
          <w:szCs w:val="21"/>
        </w:rPr>
        <w:t>Proprietary Fan</w:t>
      </w:r>
      <w:r w:rsidR="00F71D4A">
        <w:rPr>
          <w:rFonts w:asciiTheme="minorHAnsi" w:hAnsiTheme="minorHAnsi"/>
          <w:sz w:val="22"/>
          <w:szCs w:val="21"/>
        </w:rPr>
        <w:t>D</w:t>
      </w:r>
      <w:r>
        <w:rPr>
          <w:rFonts w:asciiTheme="minorHAnsi" w:hAnsiTheme="minorHAnsi"/>
          <w:sz w:val="22"/>
          <w:szCs w:val="21"/>
        </w:rPr>
        <w:t xml:space="preserve">uel </w:t>
      </w:r>
      <w:r w:rsidR="00CA2C99" w:rsidRPr="00A312C3">
        <w:rPr>
          <w:rFonts w:asciiTheme="minorHAnsi" w:hAnsiTheme="minorHAnsi"/>
          <w:sz w:val="22"/>
          <w:szCs w:val="21"/>
        </w:rPr>
        <w:t>a</w:t>
      </w:r>
      <w:r w:rsidR="00126631" w:rsidRPr="00A312C3">
        <w:rPr>
          <w:rFonts w:asciiTheme="minorHAnsi" w:hAnsiTheme="minorHAnsi"/>
          <w:sz w:val="22"/>
          <w:szCs w:val="21"/>
        </w:rPr>
        <w:t xml:space="preserve">ccount </w:t>
      </w:r>
      <w:r w:rsidR="007D2346">
        <w:rPr>
          <w:rFonts w:asciiTheme="minorHAnsi" w:hAnsiTheme="minorHAnsi"/>
          <w:sz w:val="22"/>
          <w:szCs w:val="21"/>
        </w:rPr>
        <w:t xml:space="preserve">and wallet </w:t>
      </w:r>
      <w:r>
        <w:rPr>
          <w:rFonts w:asciiTheme="minorHAnsi" w:hAnsiTheme="minorHAnsi"/>
          <w:sz w:val="22"/>
          <w:szCs w:val="21"/>
        </w:rPr>
        <w:t xml:space="preserve">launched </w:t>
      </w:r>
      <w:r w:rsidR="00CA2C99" w:rsidRPr="00A312C3">
        <w:rPr>
          <w:rFonts w:asciiTheme="minorHAnsi" w:hAnsiTheme="minorHAnsi"/>
          <w:sz w:val="22"/>
          <w:szCs w:val="21"/>
        </w:rPr>
        <w:t>in all states</w:t>
      </w:r>
    </w:p>
    <w:p w14:paraId="505FDD3B" w14:textId="77777777" w:rsidR="00721AC2" w:rsidRDefault="00FA5E43"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Aligning regulatory approach across expanded Group;</w:t>
      </w:r>
      <w:r w:rsidRPr="007D6FE6">
        <w:rPr>
          <w:rFonts w:asciiTheme="minorHAnsi" w:hAnsiTheme="minorHAnsi"/>
          <w:sz w:val="22"/>
          <w:szCs w:val="21"/>
        </w:rPr>
        <w:t xml:space="preserve"> </w:t>
      </w:r>
      <w:r w:rsidR="00721AC2">
        <w:rPr>
          <w:rFonts w:asciiTheme="minorHAnsi" w:hAnsiTheme="minorHAnsi"/>
          <w:sz w:val="22"/>
          <w:szCs w:val="21"/>
        </w:rPr>
        <w:t xml:space="preserve">changes expected to cost Group </w:t>
      </w:r>
      <w:r w:rsidR="00C24A0C">
        <w:rPr>
          <w:rFonts w:asciiTheme="minorHAnsi" w:hAnsiTheme="minorHAnsi"/>
          <w:sz w:val="22"/>
          <w:szCs w:val="21"/>
        </w:rPr>
        <w:t xml:space="preserve">circa </w:t>
      </w:r>
      <w:r w:rsidR="00721AC2">
        <w:rPr>
          <w:rFonts w:asciiTheme="minorHAnsi" w:hAnsiTheme="minorHAnsi"/>
          <w:sz w:val="22"/>
          <w:szCs w:val="21"/>
        </w:rPr>
        <w:t>£</w:t>
      </w:r>
      <w:r w:rsidR="00DE04C7">
        <w:rPr>
          <w:rFonts w:asciiTheme="minorHAnsi" w:hAnsiTheme="minorHAnsi"/>
          <w:sz w:val="22"/>
          <w:szCs w:val="21"/>
        </w:rPr>
        <w:t>65</w:t>
      </w:r>
      <w:r w:rsidR="00721AC2">
        <w:rPr>
          <w:rFonts w:asciiTheme="minorHAnsi" w:hAnsiTheme="minorHAnsi"/>
          <w:sz w:val="22"/>
          <w:szCs w:val="21"/>
        </w:rPr>
        <w:t xml:space="preserve">m </w:t>
      </w:r>
      <w:r w:rsidR="00607636">
        <w:rPr>
          <w:rFonts w:asciiTheme="minorHAnsi" w:hAnsiTheme="minorHAnsi"/>
          <w:sz w:val="22"/>
          <w:szCs w:val="21"/>
        </w:rPr>
        <w:t>i</w:t>
      </w:r>
      <w:r w:rsidR="00721AC2">
        <w:rPr>
          <w:rFonts w:asciiTheme="minorHAnsi" w:hAnsiTheme="minorHAnsi"/>
          <w:sz w:val="22"/>
          <w:szCs w:val="21"/>
        </w:rPr>
        <w:t>n contribution on an annualised basis</w:t>
      </w:r>
    </w:p>
    <w:p w14:paraId="08B70E5B" w14:textId="77777777" w:rsidR="00C24A0C" w:rsidRPr="007859CF" w:rsidRDefault="00C24A0C" w:rsidP="009B6BB8">
      <w:pPr>
        <w:pStyle w:val="ListParagraph"/>
        <w:numPr>
          <w:ilvl w:val="0"/>
          <w:numId w:val="15"/>
        </w:numPr>
        <w:spacing w:after="40"/>
        <w:contextualSpacing w:val="0"/>
        <w:jc w:val="both"/>
        <w:rPr>
          <w:rFonts w:asciiTheme="minorHAnsi" w:hAnsiTheme="minorHAnsi"/>
          <w:sz w:val="22"/>
          <w:szCs w:val="21"/>
        </w:rPr>
      </w:pPr>
      <w:r w:rsidRPr="007859CF">
        <w:rPr>
          <w:rFonts w:asciiTheme="minorHAnsi" w:hAnsiTheme="minorHAnsi"/>
          <w:sz w:val="22"/>
          <w:szCs w:val="21"/>
        </w:rPr>
        <w:t xml:space="preserve">Enhanced player protections during Covid-19 disruption </w:t>
      </w:r>
    </w:p>
    <w:p w14:paraId="71AE7E71" w14:textId="77777777" w:rsidR="00C24A0C" w:rsidRDefault="00481D86"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 xml:space="preserve">Strong focus on employee wellbeing, </w:t>
      </w:r>
      <w:r w:rsidR="00A312C3" w:rsidRPr="00D03057">
        <w:rPr>
          <w:rFonts w:asciiTheme="minorHAnsi" w:hAnsiTheme="minorHAnsi"/>
          <w:sz w:val="22"/>
          <w:szCs w:val="21"/>
        </w:rPr>
        <w:t xml:space="preserve">without </w:t>
      </w:r>
      <w:r w:rsidR="00C24A0C">
        <w:rPr>
          <w:rFonts w:asciiTheme="minorHAnsi" w:hAnsiTheme="minorHAnsi"/>
          <w:sz w:val="22"/>
          <w:szCs w:val="21"/>
        </w:rPr>
        <w:t xml:space="preserve">taking advantage </w:t>
      </w:r>
      <w:r w:rsidR="00A312C3" w:rsidRPr="00D03057">
        <w:rPr>
          <w:rFonts w:asciiTheme="minorHAnsi" w:hAnsiTheme="minorHAnsi"/>
          <w:sz w:val="22"/>
          <w:szCs w:val="21"/>
        </w:rPr>
        <w:t xml:space="preserve">of </w:t>
      </w:r>
      <w:r w:rsidR="00FA5E43">
        <w:rPr>
          <w:rFonts w:asciiTheme="minorHAnsi" w:hAnsiTheme="minorHAnsi"/>
          <w:sz w:val="22"/>
          <w:szCs w:val="21"/>
        </w:rPr>
        <w:t>furlough</w:t>
      </w:r>
      <w:r w:rsidR="00A312C3" w:rsidRPr="00D03057">
        <w:rPr>
          <w:rFonts w:asciiTheme="minorHAnsi" w:hAnsiTheme="minorHAnsi"/>
          <w:sz w:val="22"/>
          <w:szCs w:val="21"/>
        </w:rPr>
        <w:t xml:space="preserve"> schemes</w:t>
      </w:r>
    </w:p>
    <w:p w14:paraId="4E359688" w14:textId="77777777" w:rsidR="007859CF" w:rsidRDefault="007859CF"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I</w:t>
      </w:r>
      <w:r w:rsidRPr="007D6FE6">
        <w:rPr>
          <w:rFonts w:asciiTheme="minorHAnsi" w:hAnsiTheme="minorHAnsi"/>
          <w:sz w:val="22"/>
          <w:szCs w:val="21"/>
        </w:rPr>
        <w:t>nvestment opportunities identified for sustainable future growt</w:t>
      </w:r>
      <w:r>
        <w:rPr>
          <w:rFonts w:asciiTheme="minorHAnsi" w:hAnsiTheme="minorHAnsi"/>
          <w:sz w:val="22"/>
          <w:szCs w:val="21"/>
        </w:rPr>
        <w:t>h across the Group</w:t>
      </w:r>
    </w:p>
    <w:p w14:paraId="78DCC561" w14:textId="77777777" w:rsidR="00501E8D" w:rsidRPr="009F2C32" w:rsidRDefault="005E6C87" w:rsidP="00807CDF">
      <w:pPr>
        <w:spacing w:before="120"/>
        <w:jc w:val="both"/>
        <w:rPr>
          <w:rFonts w:asciiTheme="minorHAnsi" w:hAnsiTheme="minorHAnsi"/>
          <w:b/>
          <w:sz w:val="21"/>
          <w:szCs w:val="21"/>
        </w:rPr>
      </w:pPr>
      <w:r>
        <w:rPr>
          <w:rFonts w:asciiTheme="minorHAnsi" w:hAnsiTheme="minorHAnsi"/>
          <w:b/>
          <w:sz w:val="21"/>
          <w:szCs w:val="21"/>
        </w:rPr>
        <w:t>Financia</w:t>
      </w:r>
      <w:r w:rsidR="005B6AD3">
        <w:rPr>
          <w:rFonts w:asciiTheme="minorHAnsi" w:hAnsiTheme="minorHAnsi"/>
          <w:b/>
          <w:sz w:val="21"/>
          <w:szCs w:val="21"/>
        </w:rPr>
        <w:t>ls</w:t>
      </w:r>
      <w:r w:rsidR="00905BA0">
        <w:rPr>
          <w:rFonts w:asciiTheme="minorHAnsi" w:hAnsiTheme="minorHAnsi"/>
          <w:b/>
          <w:sz w:val="21"/>
          <w:szCs w:val="21"/>
          <w:vertAlign w:val="superscript"/>
        </w:rPr>
        <w:t xml:space="preserve"> </w:t>
      </w:r>
      <w:r w:rsidR="009F2C32" w:rsidRPr="0001653A">
        <w:rPr>
          <w:rFonts w:asciiTheme="minorHAnsi" w:hAnsiTheme="minorHAnsi"/>
          <w:i/>
          <w:sz w:val="21"/>
          <w:szCs w:val="21"/>
          <w:vertAlign w:val="superscript"/>
        </w:rPr>
        <w:t>2,</w:t>
      </w:r>
      <w:r w:rsidR="00CA2EED">
        <w:rPr>
          <w:rFonts w:asciiTheme="minorHAnsi" w:hAnsiTheme="minorHAnsi"/>
          <w:i/>
          <w:sz w:val="21"/>
          <w:szCs w:val="21"/>
          <w:vertAlign w:val="superscript"/>
        </w:rPr>
        <w:t>3,</w:t>
      </w:r>
      <w:r w:rsidR="00844F38">
        <w:rPr>
          <w:rFonts w:asciiTheme="minorHAnsi" w:hAnsiTheme="minorHAnsi"/>
          <w:i/>
          <w:sz w:val="21"/>
          <w:szCs w:val="21"/>
          <w:vertAlign w:val="superscript"/>
        </w:rPr>
        <w:t>5,6</w:t>
      </w:r>
    </w:p>
    <w:p w14:paraId="488D229C" w14:textId="77777777" w:rsidR="00FA5E43" w:rsidRDefault="00FA5E43"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Pro forma Group</w:t>
      </w:r>
      <w:r w:rsidR="00E11158">
        <w:rPr>
          <w:rFonts w:asciiTheme="minorHAnsi" w:hAnsiTheme="minorHAnsi"/>
          <w:sz w:val="22"/>
          <w:szCs w:val="21"/>
        </w:rPr>
        <w:t xml:space="preserve"> revenue</w:t>
      </w:r>
      <w:r>
        <w:rPr>
          <w:rFonts w:asciiTheme="minorHAnsi" w:hAnsiTheme="minorHAnsi"/>
          <w:sz w:val="22"/>
          <w:szCs w:val="21"/>
        </w:rPr>
        <w:t xml:space="preserve"> </w:t>
      </w:r>
      <w:r w:rsidR="00E11158">
        <w:rPr>
          <w:rFonts w:asciiTheme="minorHAnsi" w:hAnsiTheme="minorHAnsi"/>
          <w:sz w:val="22"/>
          <w:szCs w:val="21"/>
        </w:rPr>
        <w:t xml:space="preserve">growth of </w:t>
      </w:r>
      <w:r>
        <w:rPr>
          <w:rFonts w:asciiTheme="minorHAnsi" w:hAnsiTheme="minorHAnsi"/>
          <w:sz w:val="22"/>
          <w:szCs w:val="21"/>
        </w:rPr>
        <w:t xml:space="preserve">22% in H1 </w:t>
      </w:r>
      <w:r w:rsidR="00E11158">
        <w:rPr>
          <w:rFonts w:asciiTheme="minorHAnsi" w:hAnsiTheme="minorHAnsi"/>
          <w:sz w:val="22"/>
          <w:szCs w:val="21"/>
        </w:rPr>
        <w:t>(global o</w:t>
      </w:r>
      <w:r>
        <w:rPr>
          <w:rFonts w:asciiTheme="minorHAnsi" w:hAnsiTheme="minorHAnsi"/>
          <w:sz w:val="22"/>
          <w:szCs w:val="21"/>
        </w:rPr>
        <w:t>nline</w:t>
      </w:r>
      <w:r w:rsidR="00E11158">
        <w:rPr>
          <w:rFonts w:asciiTheme="minorHAnsi" w:hAnsiTheme="minorHAnsi"/>
          <w:sz w:val="22"/>
          <w:szCs w:val="21"/>
        </w:rPr>
        <w:t xml:space="preserve"> +</w:t>
      </w:r>
      <w:r>
        <w:rPr>
          <w:rFonts w:asciiTheme="minorHAnsi" w:hAnsiTheme="minorHAnsi"/>
          <w:sz w:val="22"/>
          <w:szCs w:val="21"/>
        </w:rPr>
        <w:t>29%</w:t>
      </w:r>
      <w:r w:rsidR="00E11158">
        <w:rPr>
          <w:rFonts w:asciiTheme="minorHAnsi" w:hAnsiTheme="minorHAnsi"/>
          <w:sz w:val="22"/>
          <w:szCs w:val="21"/>
        </w:rPr>
        <w:t>)</w:t>
      </w:r>
      <w:r>
        <w:rPr>
          <w:rFonts w:asciiTheme="minorHAnsi" w:hAnsiTheme="minorHAnsi"/>
          <w:sz w:val="22"/>
          <w:szCs w:val="21"/>
        </w:rPr>
        <w:t xml:space="preserve">; </w:t>
      </w:r>
      <w:r w:rsidR="00B65A72">
        <w:rPr>
          <w:rFonts w:asciiTheme="minorHAnsi" w:hAnsiTheme="minorHAnsi"/>
          <w:sz w:val="22"/>
          <w:szCs w:val="21"/>
        </w:rPr>
        <w:t>r</w:t>
      </w:r>
      <w:r>
        <w:rPr>
          <w:rFonts w:asciiTheme="minorHAnsi" w:hAnsiTheme="minorHAnsi"/>
          <w:sz w:val="22"/>
          <w:szCs w:val="21"/>
        </w:rPr>
        <w:t xml:space="preserve">eported </w:t>
      </w:r>
      <w:r w:rsidR="00E11158">
        <w:rPr>
          <w:rFonts w:asciiTheme="minorHAnsi" w:hAnsiTheme="minorHAnsi"/>
          <w:sz w:val="22"/>
          <w:szCs w:val="21"/>
        </w:rPr>
        <w:t xml:space="preserve">revenue increase of </w:t>
      </w:r>
      <w:r>
        <w:rPr>
          <w:rFonts w:asciiTheme="minorHAnsi" w:hAnsiTheme="minorHAnsi"/>
          <w:sz w:val="22"/>
          <w:szCs w:val="21"/>
        </w:rPr>
        <w:t>49%</w:t>
      </w:r>
    </w:p>
    <w:p w14:paraId="697584A0" w14:textId="77777777" w:rsidR="0079694C" w:rsidRDefault="00807CDF"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 xml:space="preserve">Pro forma </w:t>
      </w:r>
      <w:r w:rsidR="00947C31">
        <w:rPr>
          <w:rFonts w:asciiTheme="minorHAnsi" w:hAnsiTheme="minorHAnsi"/>
          <w:sz w:val="22"/>
          <w:szCs w:val="21"/>
        </w:rPr>
        <w:t>Adjusted</w:t>
      </w:r>
      <w:r w:rsidR="0079694C">
        <w:rPr>
          <w:rFonts w:asciiTheme="minorHAnsi" w:hAnsiTheme="minorHAnsi"/>
          <w:sz w:val="22"/>
          <w:szCs w:val="21"/>
        </w:rPr>
        <w:t xml:space="preserve"> EBITDA £</w:t>
      </w:r>
      <w:r>
        <w:rPr>
          <w:rFonts w:asciiTheme="minorHAnsi" w:hAnsiTheme="minorHAnsi"/>
          <w:sz w:val="22"/>
          <w:szCs w:val="21"/>
        </w:rPr>
        <w:t>684</w:t>
      </w:r>
      <w:r w:rsidR="0079694C" w:rsidRPr="007D6FE6">
        <w:rPr>
          <w:rFonts w:asciiTheme="minorHAnsi" w:hAnsiTheme="minorHAnsi"/>
          <w:sz w:val="22"/>
          <w:szCs w:val="21"/>
        </w:rPr>
        <w:t>m</w:t>
      </w:r>
      <w:r w:rsidR="00284EF3">
        <w:rPr>
          <w:rFonts w:asciiTheme="minorHAnsi" w:hAnsiTheme="minorHAnsi"/>
          <w:sz w:val="22"/>
          <w:szCs w:val="21"/>
        </w:rPr>
        <w:t>,</w:t>
      </w:r>
      <w:r w:rsidR="0079694C" w:rsidRPr="007D6FE6">
        <w:rPr>
          <w:rFonts w:asciiTheme="minorHAnsi" w:hAnsiTheme="minorHAnsi"/>
          <w:sz w:val="22"/>
          <w:szCs w:val="21"/>
        </w:rPr>
        <w:t xml:space="preserve"> growth of </w:t>
      </w:r>
      <w:r w:rsidR="0079694C">
        <w:rPr>
          <w:rFonts w:asciiTheme="minorHAnsi" w:hAnsiTheme="minorHAnsi"/>
          <w:sz w:val="22"/>
          <w:szCs w:val="21"/>
        </w:rPr>
        <w:t>3</w:t>
      </w:r>
      <w:r w:rsidR="00254D86">
        <w:rPr>
          <w:rFonts w:asciiTheme="minorHAnsi" w:hAnsiTheme="minorHAnsi"/>
          <w:sz w:val="22"/>
          <w:szCs w:val="21"/>
        </w:rPr>
        <w:t>5</w:t>
      </w:r>
      <w:r w:rsidR="0079694C" w:rsidRPr="007D6FE6">
        <w:rPr>
          <w:rFonts w:asciiTheme="minorHAnsi" w:hAnsiTheme="minorHAnsi"/>
          <w:sz w:val="22"/>
          <w:szCs w:val="21"/>
        </w:rPr>
        <w:t>%</w:t>
      </w:r>
      <w:r w:rsidR="00284EF3">
        <w:rPr>
          <w:rFonts w:asciiTheme="minorHAnsi" w:hAnsiTheme="minorHAnsi"/>
          <w:sz w:val="22"/>
          <w:szCs w:val="21"/>
        </w:rPr>
        <w:t>;</w:t>
      </w:r>
      <w:r>
        <w:rPr>
          <w:rFonts w:asciiTheme="minorHAnsi" w:hAnsiTheme="minorHAnsi"/>
          <w:sz w:val="22"/>
          <w:szCs w:val="21"/>
        </w:rPr>
        <w:t xml:space="preserve"> </w:t>
      </w:r>
      <w:r w:rsidR="00B65A72">
        <w:rPr>
          <w:rFonts w:asciiTheme="minorHAnsi" w:hAnsiTheme="minorHAnsi"/>
          <w:sz w:val="22"/>
          <w:szCs w:val="21"/>
        </w:rPr>
        <w:t>r</w:t>
      </w:r>
      <w:r>
        <w:rPr>
          <w:rFonts w:asciiTheme="minorHAnsi" w:hAnsiTheme="minorHAnsi"/>
          <w:sz w:val="22"/>
          <w:szCs w:val="21"/>
        </w:rPr>
        <w:t xml:space="preserve">eported Adjusted EBITDA £342m </w:t>
      </w:r>
      <w:r w:rsidR="0079694C" w:rsidRPr="007D6FE6">
        <w:rPr>
          <w:rFonts w:asciiTheme="minorHAnsi" w:hAnsiTheme="minorHAnsi"/>
          <w:sz w:val="22"/>
          <w:szCs w:val="21"/>
        </w:rPr>
        <w:t xml:space="preserve"> </w:t>
      </w:r>
      <w:r w:rsidR="0079694C">
        <w:rPr>
          <w:rFonts w:asciiTheme="minorHAnsi" w:hAnsiTheme="minorHAnsi"/>
          <w:sz w:val="22"/>
          <w:szCs w:val="21"/>
        </w:rPr>
        <w:t xml:space="preserve"> </w:t>
      </w:r>
    </w:p>
    <w:p w14:paraId="5C6DD2AD" w14:textId="77777777" w:rsidR="00E11158" w:rsidRDefault="0075571E"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L</w:t>
      </w:r>
      <w:r w:rsidR="00501E8D" w:rsidRPr="007D6FE6">
        <w:rPr>
          <w:rFonts w:asciiTheme="minorHAnsi" w:hAnsiTheme="minorHAnsi"/>
          <w:sz w:val="22"/>
          <w:szCs w:val="21"/>
        </w:rPr>
        <w:t>everag</w:t>
      </w:r>
      <w:r>
        <w:rPr>
          <w:rFonts w:asciiTheme="minorHAnsi" w:hAnsiTheme="minorHAnsi"/>
          <w:sz w:val="22"/>
          <w:szCs w:val="21"/>
        </w:rPr>
        <w:t>e</w:t>
      </w:r>
      <w:r w:rsidR="00844F38">
        <w:rPr>
          <w:rFonts w:asciiTheme="minorHAnsi" w:hAnsiTheme="minorHAnsi"/>
          <w:sz w:val="22"/>
          <w:szCs w:val="21"/>
          <w:vertAlign w:val="superscript"/>
        </w:rPr>
        <w:t>9</w:t>
      </w:r>
      <w:r w:rsidR="00501E8D" w:rsidRPr="007D6FE6">
        <w:rPr>
          <w:rFonts w:asciiTheme="minorHAnsi" w:hAnsiTheme="minorHAnsi"/>
          <w:sz w:val="22"/>
          <w:szCs w:val="21"/>
        </w:rPr>
        <w:t xml:space="preserve"> </w:t>
      </w:r>
      <w:r>
        <w:rPr>
          <w:rFonts w:asciiTheme="minorHAnsi" w:hAnsiTheme="minorHAnsi"/>
          <w:sz w:val="22"/>
          <w:szCs w:val="21"/>
        </w:rPr>
        <w:t>was</w:t>
      </w:r>
      <w:r w:rsidR="00501E8D" w:rsidRPr="007D6FE6">
        <w:rPr>
          <w:rFonts w:asciiTheme="minorHAnsi" w:hAnsiTheme="minorHAnsi"/>
          <w:sz w:val="22"/>
          <w:szCs w:val="21"/>
        </w:rPr>
        <w:t xml:space="preserve"> </w:t>
      </w:r>
      <w:r w:rsidR="00DD0322">
        <w:rPr>
          <w:rFonts w:asciiTheme="minorHAnsi" w:hAnsiTheme="minorHAnsi"/>
          <w:sz w:val="22"/>
          <w:szCs w:val="21"/>
        </w:rPr>
        <w:t>2.3</w:t>
      </w:r>
      <w:r w:rsidR="00E11158">
        <w:rPr>
          <w:rFonts w:asciiTheme="minorHAnsi" w:hAnsiTheme="minorHAnsi"/>
          <w:sz w:val="22"/>
          <w:szCs w:val="21"/>
        </w:rPr>
        <w:t xml:space="preserve"> times </w:t>
      </w:r>
      <w:r w:rsidRPr="0075571E">
        <w:rPr>
          <w:rFonts w:asciiTheme="minorHAnsi" w:hAnsiTheme="minorHAnsi"/>
          <w:sz w:val="22"/>
          <w:szCs w:val="21"/>
        </w:rPr>
        <w:t>at end of H1, driven by the strong EBITDA growth and some working capital benefits that we expect to unwind in H2</w:t>
      </w:r>
    </w:p>
    <w:p w14:paraId="7C382DE8" w14:textId="77777777" w:rsidR="00501E8D" w:rsidRPr="00856AC3" w:rsidRDefault="00E11158"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No interim dividend in 2020 as per previous guidance (2019 interim: 67 pence per share)</w:t>
      </w:r>
    </w:p>
    <w:p w14:paraId="12460F2D" w14:textId="77777777" w:rsidR="00144513" w:rsidRDefault="00144513" w:rsidP="00807CDF">
      <w:pPr>
        <w:spacing w:before="120"/>
        <w:jc w:val="both"/>
        <w:rPr>
          <w:rFonts w:asciiTheme="minorHAnsi" w:hAnsiTheme="minorHAnsi"/>
          <w:b/>
          <w:sz w:val="22"/>
          <w:szCs w:val="21"/>
        </w:rPr>
      </w:pPr>
    </w:p>
    <w:p w14:paraId="24C0E86C" w14:textId="77777777" w:rsidR="00F94D9C" w:rsidRPr="00791668" w:rsidRDefault="00F94D9C" w:rsidP="00807CDF">
      <w:pPr>
        <w:spacing w:before="120"/>
        <w:jc w:val="both"/>
        <w:rPr>
          <w:rFonts w:asciiTheme="minorHAnsi" w:hAnsiTheme="minorHAnsi"/>
          <w:b/>
          <w:sz w:val="22"/>
          <w:szCs w:val="21"/>
        </w:rPr>
      </w:pPr>
      <w:r w:rsidRPr="00791668">
        <w:rPr>
          <w:rFonts w:asciiTheme="minorHAnsi" w:hAnsiTheme="minorHAnsi"/>
          <w:b/>
          <w:sz w:val="22"/>
          <w:szCs w:val="21"/>
        </w:rPr>
        <w:lastRenderedPageBreak/>
        <w:t>Outlook</w:t>
      </w:r>
      <w:r w:rsidR="009F2C32" w:rsidRPr="009F2C32">
        <w:rPr>
          <w:rFonts w:asciiTheme="minorHAnsi" w:hAnsiTheme="minorHAnsi"/>
          <w:i/>
          <w:sz w:val="22"/>
          <w:szCs w:val="22"/>
          <w:vertAlign w:val="superscript"/>
        </w:rPr>
        <w:t>2,</w:t>
      </w:r>
      <w:r w:rsidR="00844F38">
        <w:rPr>
          <w:rFonts w:asciiTheme="minorHAnsi" w:hAnsiTheme="minorHAnsi"/>
          <w:i/>
          <w:sz w:val="22"/>
          <w:szCs w:val="22"/>
          <w:vertAlign w:val="superscript"/>
        </w:rPr>
        <w:t>5,6</w:t>
      </w:r>
    </w:p>
    <w:p w14:paraId="17A13E1F" w14:textId="77777777" w:rsidR="00E35FB1" w:rsidRPr="00516B17" w:rsidRDefault="00E35FB1"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Encouraging t</w:t>
      </w:r>
      <w:r w:rsidRPr="00791668">
        <w:rPr>
          <w:rFonts w:asciiTheme="minorHAnsi" w:hAnsiTheme="minorHAnsi"/>
          <w:sz w:val="22"/>
          <w:szCs w:val="21"/>
        </w:rPr>
        <w:t>rading H2 to date</w:t>
      </w:r>
      <w:r w:rsidR="00960FE0">
        <w:rPr>
          <w:rFonts w:asciiTheme="minorHAnsi" w:hAnsiTheme="minorHAnsi"/>
          <w:sz w:val="22"/>
          <w:szCs w:val="21"/>
        </w:rPr>
        <w:t xml:space="preserve">, </w:t>
      </w:r>
      <w:r w:rsidR="00C24A0C">
        <w:rPr>
          <w:rFonts w:asciiTheme="minorHAnsi" w:hAnsiTheme="minorHAnsi"/>
          <w:sz w:val="22"/>
          <w:szCs w:val="21"/>
        </w:rPr>
        <w:t>benefitting from</w:t>
      </w:r>
      <w:r w:rsidR="00960FE0" w:rsidRPr="00F724FC">
        <w:rPr>
          <w:rFonts w:asciiTheme="minorHAnsi" w:hAnsiTheme="minorHAnsi"/>
          <w:sz w:val="22"/>
          <w:szCs w:val="21"/>
        </w:rPr>
        <w:t xml:space="preserve"> condensed football fixtures, favourable sports results and ongoing resilience of gamin</w:t>
      </w:r>
      <w:r w:rsidR="00A22451">
        <w:rPr>
          <w:rFonts w:asciiTheme="minorHAnsi" w:hAnsiTheme="minorHAnsi"/>
          <w:sz w:val="22"/>
          <w:szCs w:val="21"/>
        </w:rPr>
        <w:t>g</w:t>
      </w:r>
    </w:p>
    <w:p w14:paraId="1FD8D84C" w14:textId="77777777" w:rsidR="00C24A0C" w:rsidRDefault="00480EB2"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T</w:t>
      </w:r>
      <w:r w:rsidR="007075C6">
        <w:rPr>
          <w:rFonts w:asciiTheme="minorHAnsi" w:hAnsiTheme="minorHAnsi"/>
          <w:sz w:val="22"/>
          <w:szCs w:val="21"/>
        </w:rPr>
        <w:t xml:space="preserve">he </w:t>
      </w:r>
      <w:r w:rsidR="00E35FB1" w:rsidRPr="00791668">
        <w:rPr>
          <w:rFonts w:asciiTheme="minorHAnsi" w:hAnsiTheme="minorHAnsi"/>
          <w:sz w:val="22"/>
          <w:szCs w:val="21"/>
        </w:rPr>
        <w:t>outlook remains highly uncertain</w:t>
      </w:r>
      <w:r w:rsidR="003E663D">
        <w:rPr>
          <w:rFonts w:asciiTheme="minorHAnsi" w:hAnsiTheme="minorHAnsi"/>
          <w:sz w:val="22"/>
          <w:szCs w:val="21"/>
        </w:rPr>
        <w:t xml:space="preserve">, due to potential further Covid-19 </w:t>
      </w:r>
      <w:r w:rsidR="00F97E4A">
        <w:rPr>
          <w:rFonts w:asciiTheme="minorHAnsi" w:hAnsiTheme="minorHAnsi"/>
          <w:sz w:val="22"/>
          <w:szCs w:val="21"/>
        </w:rPr>
        <w:t xml:space="preserve">related disruption </w:t>
      </w:r>
      <w:r w:rsidR="005F7FC8">
        <w:rPr>
          <w:rFonts w:asciiTheme="minorHAnsi" w:hAnsiTheme="minorHAnsi"/>
          <w:sz w:val="22"/>
          <w:szCs w:val="21"/>
        </w:rPr>
        <w:t xml:space="preserve">and </w:t>
      </w:r>
      <w:r w:rsidR="00F97E4A">
        <w:rPr>
          <w:rFonts w:asciiTheme="minorHAnsi" w:hAnsiTheme="minorHAnsi"/>
          <w:sz w:val="22"/>
          <w:szCs w:val="21"/>
        </w:rPr>
        <w:t>po</w:t>
      </w:r>
      <w:r w:rsidR="00A22451">
        <w:rPr>
          <w:rFonts w:asciiTheme="minorHAnsi" w:hAnsiTheme="minorHAnsi"/>
          <w:sz w:val="22"/>
          <w:szCs w:val="21"/>
        </w:rPr>
        <w:t>ssible</w:t>
      </w:r>
      <w:r w:rsidR="00F97E4A">
        <w:rPr>
          <w:rFonts w:asciiTheme="minorHAnsi" w:hAnsiTheme="minorHAnsi"/>
          <w:sz w:val="22"/>
          <w:szCs w:val="21"/>
        </w:rPr>
        <w:t xml:space="preserve"> </w:t>
      </w:r>
      <w:r w:rsidR="005F7FC8">
        <w:rPr>
          <w:rFonts w:asciiTheme="minorHAnsi" w:hAnsiTheme="minorHAnsi"/>
          <w:sz w:val="22"/>
          <w:szCs w:val="21"/>
        </w:rPr>
        <w:t xml:space="preserve">regulatory change </w:t>
      </w:r>
      <w:r w:rsidR="00A22451">
        <w:rPr>
          <w:rFonts w:asciiTheme="minorHAnsi" w:hAnsiTheme="minorHAnsi"/>
          <w:sz w:val="22"/>
          <w:szCs w:val="21"/>
        </w:rPr>
        <w:t xml:space="preserve">across </w:t>
      </w:r>
      <w:r w:rsidR="005F7FC8">
        <w:rPr>
          <w:rFonts w:asciiTheme="minorHAnsi" w:hAnsiTheme="minorHAnsi"/>
          <w:sz w:val="22"/>
          <w:szCs w:val="21"/>
        </w:rPr>
        <w:t>various markets</w:t>
      </w:r>
    </w:p>
    <w:p w14:paraId="5CEE9574" w14:textId="77777777" w:rsidR="00480EB2" w:rsidRDefault="00C24A0C"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A</w:t>
      </w:r>
      <w:r w:rsidR="00480EB2" w:rsidRPr="00791668">
        <w:rPr>
          <w:rFonts w:asciiTheme="minorHAnsi" w:hAnsiTheme="minorHAnsi"/>
          <w:sz w:val="22"/>
          <w:szCs w:val="21"/>
        </w:rPr>
        <w:t>ssum</w:t>
      </w:r>
      <w:r w:rsidR="00480EB2">
        <w:rPr>
          <w:rFonts w:asciiTheme="minorHAnsi" w:hAnsiTheme="minorHAnsi"/>
          <w:sz w:val="22"/>
          <w:szCs w:val="21"/>
        </w:rPr>
        <w:t>ing</w:t>
      </w:r>
      <w:r w:rsidR="00480EB2" w:rsidRPr="00791668">
        <w:rPr>
          <w:rFonts w:asciiTheme="minorHAnsi" w:hAnsiTheme="minorHAnsi"/>
          <w:sz w:val="22"/>
          <w:szCs w:val="21"/>
        </w:rPr>
        <w:t xml:space="preserve"> normalised net revenue margins for </w:t>
      </w:r>
      <w:r w:rsidR="00A22451">
        <w:rPr>
          <w:rFonts w:asciiTheme="minorHAnsi" w:hAnsiTheme="minorHAnsi"/>
          <w:sz w:val="22"/>
          <w:szCs w:val="21"/>
        </w:rPr>
        <w:t>balance</w:t>
      </w:r>
      <w:r w:rsidR="00480EB2" w:rsidRPr="00791668">
        <w:rPr>
          <w:rFonts w:asciiTheme="minorHAnsi" w:hAnsiTheme="minorHAnsi"/>
          <w:sz w:val="22"/>
          <w:szCs w:val="21"/>
        </w:rPr>
        <w:t xml:space="preserve"> of year</w:t>
      </w:r>
      <w:r w:rsidR="00480EB2">
        <w:rPr>
          <w:rFonts w:asciiTheme="minorHAnsi" w:hAnsiTheme="minorHAnsi"/>
          <w:sz w:val="22"/>
          <w:szCs w:val="21"/>
        </w:rPr>
        <w:t xml:space="preserve">, no material </w:t>
      </w:r>
      <w:r w:rsidR="00A22451">
        <w:rPr>
          <w:rFonts w:asciiTheme="minorHAnsi" w:hAnsiTheme="minorHAnsi"/>
          <w:sz w:val="22"/>
          <w:szCs w:val="21"/>
        </w:rPr>
        <w:t>further</w:t>
      </w:r>
      <w:r w:rsidR="00480EB2">
        <w:rPr>
          <w:rFonts w:asciiTheme="minorHAnsi" w:hAnsiTheme="minorHAnsi"/>
          <w:sz w:val="22"/>
          <w:szCs w:val="21"/>
        </w:rPr>
        <w:t xml:space="preserve"> disruption to sporting events</w:t>
      </w:r>
      <w:r w:rsidR="00480EB2" w:rsidRPr="00791668">
        <w:rPr>
          <w:rFonts w:asciiTheme="minorHAnsi" w:hAnsiTheme="minorHAnsi"/>
          <w:sz w:val="22"/>
          <w:szCs w:val="21"/>
        </w:rPr>
        <w:t xml:space="preserve"> and no furthe</w:t>
      </w:r>
      <w:r w:rsidR="00480EB2">
        <w:rPr>
          <w:rFonts w:asciiTheme="minorHAnsi" w:hAnsiTheme="minorHAnsi"/>
          <w:sz w:val="22"/>
          <w:szCs w:val="21"/>
        </w:rPr>
        <w:t>r shutdown of retail operations,</w:t>
      </w:r>
      <w:r w:rsidR="003E663D">
        <w:rPr>
          <w:rFonts w:asciiTheme="minorHAnsi" w:hAnsiTheme="minorHAnsi"/>
          <w:sz w:val="22"/>
          <w:szCs w:val="21"/>
        </w:rPr>
        <w:t xml:space="preserve"> </w:t>
      </w:r>
      <w:r w:rsidR="00137BF1">
        <w:rPr>
          <w:rFonts w:asciiTheme="minorHAnsi" w:hAnsiTheme="minorHAnsi"/>
          <w:sz w:val="22"/>
          <w:szCs w:val="21"/>
        </w:rPr>
        <w:t xml:space="preserve">we anticipate that </w:t>
      </w:r>
      <w:r w:rsidR="00E35FB1" w:rsidRPr="00791668">
        <w:rPr>
          <w:rFonts w:asciiTheme="minorHAnsi" w:hAnsiTheme="minorHAnsi"/>
          <w:sz w:val="22"/>
          <w:szCs w:val="21"/>
        </w:rPr>
        <w:t xml:space="preserve">2020 </w:t>
      </w:r>
      <w:r w:rsidR="00CA7480">
        <w:rPr>
          <w:rFonts w:asciiTheme="minorHAnsi" w:hAnsiTheme="minorHAnsi"/>
          <w:sz w:val="22"/>
          <w:szCs w:val="21"/>
        </w:rPr>
        <w:t xml:space="preserve">pro forma </w:t>
      </w:r>
      <w:r w:rsidR="00E35FB1">
        <w:rPr>
          <w:rFonts w:asciiTheme="minorHAnsi" w:hAnsiTheme="minorHAnsi"/>
          <w:sz w:val="22"/>
          <w:szCs w:val="21"/>
        </w:rPr>
        <w:t xml:space="preserve">Adjusted </w:t>
      </w:r>
      <w:r w:rsidR="00E35FB1" w:rsidRPr="00791668">
        <w:rPr>
          <w:rFonts w:asciiTheme="minorHAnsi" w:hAnsiTheme="minorHAnsi"/>
          <w:sz w:val="22"/>
          <w:szCs w:val="21"/>
        </w:rPr>
        <w:t>EBITDA</w:t>
      </w:r>
      <w:r w:rsidR="00480EB2">
        <w:rPr>
          <w:rFonts w:asciiTheme="minorHAnsi" w:hAnsiTheme="minorHAnsi"/>
          <w:sz w:val="22"/>
          <w:szCs w:val="21"/>
        </w:rPr>
        <w:t xml:space="preserve"> </w:t>
      </w:r>
      <w:r w:rsidR="00137BF1">
        <w:rPr>
          <w:rFonts w:asciiTheme="minorHAnsi" w:hAnsiTheme="minorHAnsi"/>
          <w:sz w:val="22"/>
          <w:szCs w:val="21"/>
        </w:rPr>
        <w:t xml:space="preserve">will </w:t>
      </w:r>
      <w:r w:rsidR="00F97E4A">
        <w:rPr>
          <w:rFonts w:asciiTheme="minorHAnsi" w:hAnsiTheme="minorHAnsi"/>
          <w:sz w:val="22"/>
          <w:szCs w:val="21"/>
        </w:rPr>
        <w:t>be</w:t>
      </w:r>
      <w:r w:rsidR="00480EB2">
        <w:rPr>
          <w:rFonts w:asciiTheme="minorHAnsi" w:hAnsiTheme="minorHAnsi"/>
          <w:sz w:val="22"/>
          <w:szCs w:val="21"/>
        </w:rPr>
        <w:t>:</w:t>
      </w:r>
    </w:p>
    <w:p w14:paraId="47E865AC" w14:textId="77777777" w:rsidR="00480EB2" w:rsidRDefault="0066477A" w:rsidP="009B6BB8">
      <w:pPr>
        <w:pStyle w:val="ListParagraph"/>
        <w:numPr>
          <w:ilvl w:val="1"/>
          <w:numId w:val="15"/>
        </w:numPr>
        <w:spacing w:after="40"/>
        <w:contextualSpacing w:val="0"/>
        <w:jc w:val="both"/>
        <w:rPr>
          <w:rFonts w:asciiTheme="minorHAnsi" w:hAnsiTheme="minorHAnsi"/>
          <w:sz w:val="22"/>
          <w:szCs w:val="21"/>
        </w:rPr>
      </w:pPr>
      <w:r>
        <w:rPr>
          <w:rFonts w:asciiTheme="minorHAnsi" w:hAnsiTheme="minorHAnsi"/>
          <w:sz w:val="22"/>
          <w:szCs w:val="21"/>
        </w:rPr>
        <w:t>B</w:t>
      </w:r>
      <w:r w:rsidR="00E35FB1">
        <w:rPr>
          <w:rFonts w:asciiTheme="minorHAnsi" w:hAnsiTheme="minorHAnsi"/>
          <w:sz w:val="22"/>
          <w:szCs w:val="21"/>
        </w:rPr>
        <w:t>etween</w:t>
      </w:r>
      <w:r w:rsidR="00E35FB1" w:rsidRPr="00791668">
        <w:rPr>
          <w:rFonts w:asciiTheme="minorHAnsi" w:hAnsiTheme="minorHAnsi"/>
          <w:sz w:val="22"/>
          <w:szCs w:val="21"/>
        </w:rPr>
        <w:t xml:space="preserve"> </w:t>
      </w:r>
      <w:r w:rsidR="00E35FB1" w:rsidRPr="008D761F">
        <w:rPr>
          <w:rFonts w:asciiTheme="minorHAnsi" w:hAnsiTheme="minorHAnsi"/>
          <w:b/>
          <w:sz w:val="22"/>
          <w:szCs w:val="21"/>
        </w:rPr>
        <w:t>£</w:t>
      </w:r>
      <w:r w:rsidR="00AE29FB" w:rsidRPr="008D761F">
        <w:rPr>
          <w:rFonts w:asciiTheme="minorHAnsi" w:hAnsiTheme="minorHAnsi"/>
          <w:b/>
          <w:sz w:val="22"/>
          <w:szCs w:val="21"/>
        </w:rPr>
        <w:t>1,1</w:t>
      </w:r>
      <w:r w:rsidR="00930B8D">
        <w:rPr>
          <w:rFonts w:asciiTheme="minorHAnsi" w:hAnsiTheme="minorHAnsi"/>
          <w:b/>
          <w:sz w:val="22"/>
          <w:szCs w:val="21"/>
        </w:rPr>
        <w:t>7</w:t>
      </w:r>
      <w:r w:rsidR="00AE29FB" w:rsidRPr="008D761F">
        <w:rPr>
          <w:rFonts w:asciiTheme="minorHAnsi" w:hAnsiTheme="minorHAnsi"/>
          <w:b/>
          <w:sz w:val="22"/>
          <w:szCs w:val="21"/>
        </w:rPr>
        <w:t>5</w:t>
      </w:r>
      <w:r w:rsidR="00E35FB1" w:rsidRPr="008D761F">
        <w:rPr>
          <w:rFonts w:asciiTheme="minorHAnsi" w:hAnsiTheme="minorHAnsi"/>
          <w:b/>
          <w:sz w:val="22"/>
          <w:szCs w:val="21"/>
        </w:rPr>
        <w:t>m</w:t>
      </w:r>
      <w:r w:rsidR="00E35FB1">
        <w:rPr>
          <w:rFonts w:asciiTheme="minorHAnsi" w:hAnsiTheme="minorHAnsi"/>
          <w:sz w:val="22"/>
          <w:szCs w:val="21"/>
        </w:rPr>
        <w:t xml:space="preserve"> and </w:t>
      </w:r>
      <w:r w:rsidR="00E35FB1" w:rsidRPr="008D761F">
        <w:rPr>
          <w:rFonts w:asciiTheme="minorHAnsi" w:hAnsiTheme="minorHAnsi"/>
          <w:b/>
          <w:sz w:val="22"/>
          <w:szCs w:val="21"/>
        </w:rPr>
        <w:t>£</w:t>
      </w:r>
      <w:r w:rsidR="00AE29FB" w:rsidRPr="008D761F">
        <w:rPr>
          <w:rFonts w:asciiTheme="minorHAnsi" w:hAnsiTheme="minorHAnsi"/>
          <w:b/>
          <w:sz w:val="22"/>
          <w:szCs w:val="21"/>
        </w:rPr>
        <w:t>1,</w:t>
      </w:r>
      <w:r w:rsidR="00930B8D">
        <w:rPr>
          <w:rFonts w:asciiTheme="minorHAnsi" w:hAnsiTheme="minorHAnsi"/>
          <w:b/>
          <w:sz w:val="22"/>
          <w:szCs w:val="21"/>
        </w:rPr>
        <w:t>325</w:t>
      </w:r>
      <w:r w:rsidR="00E35FB1" w:rsidRPr="008D761F">
        <w:rPr>
          <w:rFonts w:asciiTheme="minorHAnsi" w:hAnsiTheme="minorHAnsi"/>
          <w:b/>
          <w:sz w:val="22"/>
          <w:szCs w:val="21"/>
        </w:rPr>
        <w:t>m</w:t>
      </w:r>
      <w:r>
        <w:rPr>
          <w:rFonts w:asciiTheme="minorHAnsi" w:hAnsiTheme="minorHAnsi"/>
          <w:sz w:val="22"/>
          <w:szCs w:val="21"/>
        </w:rPr>
        <w:t xml:space="preserve"> for Group ex-US</w:t>
      </w:r>
      <w:r w:rsidR="00C24A0C">
        <w:rPr>
          <w:rFonts w:asciiTheme="minorHAnsi" w:hAnsiTheme="minorHAnsi"/>
          <w:sz w:val="22"/>
          <w:szCs w:val="21"/>
        </w:rPr>
        <w:t>,</w:t>
      </w:r>
      <w:r w:rsidR="00F97E4A">
        <w:rPr>
          <w:rFonts w:asciiTheme="minorHAnsi" w:hAnsiTheme="minorHAnsi"/>
          <w:sz w:val="22"/>
          <w:szCs w:val="21"/>
        </w:rPr>
        <w:t xml:space="preserve"> reflect</w:t>
      </w:r>
      <w:r w:rsidR="00C24A0C">
        <w:rPr>
          <w:rFonts w:asciiTheme="minorHAnsi" w:hAnsiTheme="minorHAnsi"/>
          <w:sz w:val="22"/>
          <w:szCs w:val="21"/>
        </w:rPr>
        <w:t>ing</w:t>
      </w:r>
      <w:r w:rsidR="00F97E4A">
        <w:rPr>
          <w:rFonts w:asciiTheme="minorHAnsi" w:hAnsiTheme="minorHAnsi"/>
          <w:sz w:val="22"/>
          <w:szCs w:val="21"/>
        </w:rPr>
        <w:t xml:space="preserve"> </w:t>
      </w:r>
      <w:r w:rsidR="00125B2B">
        <w:rPr>
          <w:rFonts w:asciiTheme="minorHAnsi" w:hAnsiTheme="minorHAnsi"/>
          <w:sz w:val="22"/>
          <w:szCs w:val="21"/>
        </w:rPr>
        <w:t xml:space="preserve">an </w:t>
      </w:r>
      <w:r w:rsidR="00F97E4A">
        <w:rPr>
          <w:rFonts w:asciiTheme="minorHAnsi" w:hAnsiTheme="minorHAnsi"/>
          <w:sz w:val="22"/>
          <w:szCs w:val="21"/>
        </w:rPr>
        <w:t>additional £50m marketing investment in H2 over H1 and enhanced RG/AML measures introduced in PokerStars</w:t>
      </w:r>
      <w:r w:rsidR="00E35FB1" w:rsidRPr="00791668">
        <w:rPr>
          <w:rFonts w:asciiTheme="minorHAnsi" w:hAnsiTheme="minorHAnsi"/>
          <w:sz w:val="22"/>
          <w:szCs w:val="21"/>
        </w:rPr>
        <w:t xml:space="preserve"> </w:t>
      </w:r>
    </w:p>
    <w:p w14:paraId="39914BDB" w14:textId="77777777" w:rsidR="00E35FB1" w:rsidRDefault="00756FD6" w:rsidP="009B6BB8">
      <w:pPr>
        <w:pStyle w:val="ListParagraph"/>
        <w:numPr>
          <w:ilvl w:val="1"/>
          <w:numId w:val="15"/>
        </w:numPr>
        <w:spacing w:after="40"/>
        <w:contextualSpacing w:val="0"/>
        <w:jc w:val="both"/>
        <w:rPr>
          <w:rFonts w:asciiTheme="minorHAnsi" w:hAnsiTheme="minorHAnsi"/>
          <w:sz w:val="22"/>
          <w:szCs w:val="21"/>
        </w:rPr>
      </w:pPr>
      <w:r>
        <w:rPr>
          <w:rFonts w:asciiTheme="minorHAnsi" w:hAnsiTheme="minorHAnsi"/>
          <w:sz w:val="22"/>
          <w:szCs w:val="21"/>
        </w:rPr>
        <w:t xml:space="preserve">An </w:t>
      </w:r>
      <w:r w:rsidR="00125B2B">
        <w:rPr>
          <w:rFonts w:asciiTheme="minorHAnsi" w:hAnsiTheme="minorHAnsi"/>
          <w:sz w:val="22"/>
          <w:szCs w:val="21"/>
        </w:rPr>
        <w:t xml:space="preserve">EBITDA </w:t>
      </w:r>
      <w:r w:rsidR="00E35FB1" w:rsidRPr="00791668">
        <w:rPr>
          <w:rFonts w:asciiTheme="minorHAnsi" w:hAnsiTheme="minorHAnsi"/>
          <w:sz w:val="22"/>
          <w:szCs w:val="21"/>
        </w:rPr>
        <w:t xml:space="preserve">loss </w:t>
      </w:r>
      <w:r w:rsidR="00AE29FB">
        <w:rPr>
          <w:rFonts w:asciiTheme="minorHAnsi" w:hAnsiTheme="minorHAnsi"/>
          <w:sz w:val="22"/>
          <w:szCs w:val="21"/>
        </w:rPr>
        <w:t>of</w:t>
      </w:r>
      <w:r>
        <w:rPr>
          <w:rFonts w:asciiTheme="minorHAnsi" w:hAnsiTheme="minorHAnsi"/>
          <w:sz w:val="22"/>
          <w:szCs w:val="21"/>
        </w:rPr>
        <w:t xml:space="preserve"> </w:t>
      </w:r>
      <w:r w:rsidRPr="004D1BAC">
        <w:rPr>
          <w:rFonts w:asciiTheme="minorHAnsi" w:hAnsiTheme="minorHAnsi"/>
          <w:b/>
          <w:sz w:val="22"/>
          <w:szCs w:val="21"/>
        </w:rPr>
        <w:t>£1</w:t>
      </w:r>
      <w:r w:rsidR="006C1CAC">
        <w:rPr>
          <w:rFonts w:asciiTheme="minorHAnsi" w:hAnsiTheme="minorHAnsi"/>
          <w:b/>
          <w:sz w:val="22"/>
          <w:szCs w:val="21"/>
        </w:rPr>
        <w:t>4</w:t>
      </w:r>
      <w:r w:rsidRPr="004D1BAC">
        <w:rPr>
          <w:rFonts w:asciiTheme="minorHAnsi" w:hAnsiTheme="minorHAnsi"/>
          <w:b/>
          <w:sz w:val="22"/>
          <w:szCs w:val="21"/>
        </w:rPr>
        <w:t>0-1</w:t>
      </w:r>
      <w:r w:rsidR="006C1CAC">
        <w:rPr>
          <w:rFonts w:asciiTheme="minorHAnsi" w:hAnsiTheme="minorHAnsi"/>
          <w:b/>
          <w:sz w:val="22"/>
          <w:szCs w:val="21"/>
        </w:rPr>
        <w:t>6</w:t>
      </w:r>
      <w:r w:rsidRPr="004D1BAC">
        <w:rPr>
          <w:rFonts w:asciiTheme="minorHAnsi" w:hAnsiTheme="minorHAnsi"/>
          <w:b/>
          <w:sz w:val="22"/>
          <w:szCs w:val="21"/>
        </w:rPr>
        <w:t>0m</w:t>
      </w:r>
      <w:r>
        <w:rPr>
          <w:rFonts w:asciiTheme="minorHAnsi" w:hAnsiTheme="minorHAnsi"/>
          <w:sz w:val="22"/>
          <w:szCs w:val="21"/>
        </w:rPr>
        <w:t xml:space="preserve"> in the US</w:t>
      </w:r>
      <w:r w:rsidR="00C24A0C">
        <w:rPr>
          <w:rFonts w:asciiTheme="minorHAnsi" w:hAnsiTheme="minorHAnsi"/>
          <w:sz w:val="22"/>
          <w:szCs w:val="21"/>
        </w:rPr>
        <w:t>,</w:t>
      </w:r>
      <w:r w:rsidR="00F97E4A">
        <w:rPr>
          <w:rFonts w:asciiTheme="minorHAnsi" w:hAnsiTheme="minorHAnsi"/>
          <w:sz w:val="22"/>
          <w:szCs w:val="21"/>
        </w:rPr>
        <w:t xml:space="preserve"> </w:t>
      </w:r>
      <w:r w:rsidR="00AE29FB">
        <w:rPr>
          <w:rFonts w:asciiTheme="minorHAnsi" w:hAnsiTheme="minorHAnsi"/>
          <w:sz w:val="22"/>
          <w:szCs w:val="21"/>
        </w:rPr>
        <w:t>assum</w:t>
      </w:r>
      <w:r w:rsidR="00C24A0C">
        <w:rPr>
          <w:rFonts w:asciiTheme="minorHAnsi" w:hAnsiTheme="minorHAnsi"/>
          <w:sz w:val="22"/>
          <w:szCs w:val="21"/>
        </w:rPr>
        <w:t>ing</w:t>
      </w:r>
      <w:r w:rsidR="00AE29FB">
        <w:rPr>
          <w:rFonts w:asciiTheme="minorHAnsi" w:hAnsiTheme="minorHAnsi"/>
          <w:sz w:val="22"/>
          <w:szCs w:val="21"/>
        </w:rPr>
        <w:t xml:space="preserve"> </w:t>
      </w:r>
      <w:r w:rsidR="00125B2B">
        <w:rPr>
          <w:rFonts w:asciiTheme="minorHAnsi" w:hAnsiTheme="minorHAnsi"/>
          <w:sz w:val="22"/>
          <w:szCs w:val="21"/>
        </w:rPr>
        <w:t xml:space="preserve">online </w:t>
      </w:r>
      <w:r w:rsidR="00480EB2">
        <w:rPr>
          <w:rFonts w:asciiTheme="minorHAnsi" w:hAnsiTheme="minorHAnsi"/>
          <w:sz w:val="22"/>
          <w:szCs w:val="21"/>
        </w:rPr>
        <w:t>launch</w:t>
      </w:r>
      <w:r w:rsidR="00DB3F8A">
        <w:rPr>
          <w:rFonts w:asciiTheme="minorHAnsi" w:hAnsiTheme="minorHAnsi"/>
          <w:sz w:val="22"/>
          <w:szCs w:val="21"/>
        </w:rPr>
        <w:t>es</w:t>
      </w:r>
      <w:r w:rsidR="00480EB2">
        <w:rPr>
          <w:rFonts w:asciiTheme="minorHAnsi" w:hAnsiTheme="minorHAnsi"/>
          <w:sz w:val="22"/>
          <w:szCs w:val="21"/>
        </w:rPr>
        <w:t xml:space="preserve"> </w:t>
      </w:r>
      <w:r w:rsidR="00AE29FB">
        <w:rPr>
          <w:rFonts w:asciiTheme="minorHAnsi" w:hAnsiTheme="minorHAnsi"/>
          <w:sz w:val="22"/>
          <w:szCs w:val="21"/>
        </w:rPr>
        <w:t xml:space="preserve">in </w:t>
      </w:r>
      <w:r w:rsidR="006C1CAC" w:rsidRPr="006C1CAC">
        <w:rPr>
          <w:rFonts w:asciiTheme="minorHAnsi" w:hAnsiTheme="minorHAnsi"/>
          <w:sz w:val="22"/>
          <w:szCs w:val="21"/>
        </w:rPr>
        <w:t>Tennessee and Michigan in H2 and the continuation of mobile registration in Illinois for</w:t>
      </w:r>
      <w:r w:rsidR="00A04319">
        <w:rPr>
          <w:rFonts w:asciiTheme="minorHAnsi" w:hAnsiTheme="minorHAnsi"/>
          <w:sz w:val="22"/>
          <w:szCs w:val="21"/>
        </w:rPr>
        <w:t xml:space="preserve"> the full remainder of the half</w:t>
      </w:r>
      <w:r w:rsidR="00F71F04">
        <w:rPr>
          <w:rFonts w:asciiTheme="minorHAnsi" w:hAnsiTheme="minorHAnsi"/>
          <w:sz w:val="22"/>
          <w:szCs w:val="21"/>
        </w:rPr>
        <w:t>.</w:t>
      </w:r>
    </w:p>
    <w:p w14:paraId="1617D845" w14:textId="77777777" w:rsidR="00E35FB1" w:rsidRPr="00791668" w:rsidRDefault="00516B17" w:rsidP="009B6BB8">
      <w:pPr>
        <w:pStyle w:val="ListParagraph"/>
        <w:numPr>
          <w:ilvl w:val="0"/>
          <w:numId w:val="15"/>
        </w:numPr>
        <w:spacing w:after="40"/>
        <w:contextualSpacing w:val="0"/>
        <w:jc w:val="both"/>
        <w:rPr>
          <w:rFonts w:asciiTheme="minorHAnsi" w:hAnsiTheme="minorHAnsi"/>
          <w:sz w:val="22"/>
          <w:szCs w:val="21"/>
        </w:rPr>
      </w:pPr>
      <w:r>
        <w:rPr>
          <w:rFonts w:asciiTheme="minorHAnsi" w:hAnsiTheme="minorHAnsi"/>
          <w:sz w:val="22"/>
          <w:szCs w:val="21"/>
        </w:rPr>
        <w:t>Based on mi</w:t>
      </w:r>
      <w:r w:rsidR="00A22451">
        <w:rPr>
          <w:rFonts w:asciiTheme="minorHAnsi" w:hAnsiTheme="minorHAnsi"/>
          <w:sz w:val="22"/>
          <w:szCs w:val="21"/>
        </w:rPr>
        <w:t>d</w:t>
      </w:r>
      <w:r>
        <w:rPr>
          <w:rFonts w:asciiTheme="minorHAnsi" w:hAnsiTheme="minorHAnsi"/>
          <w:sz w:val="22"/>
          <w:szCs w:val="21"/>
        </w:rPr>
        <w:t xml:space="preserve">-range EBITDA outcome, </w:t>
      </w:r>
      <w:r w:rsidR="00E35FB1">
        <w:rPr>
          <w:rFonts w:asciiTheme="minorHAnsi" w:hAnsiTheme="minorHAnsi"/>
          <w:sz w:val="22"/>
          <w:szCs w:val="21"/>
        </w:rPr>
        <w:t>leverage ratio</w:t>
      </w:r>
      <w:r w:rsidR="00844F38">
        <w:rPr>
          <w:rFonts w:asciiTheme="minorHAnsi" w:hAnsiTheme="minorHAnsi"/>
          <w:sz w:val="22"/>
          <w:szCs w:val="21"/>
          <w:vertAlign w:val="superscript"/>
        </w:rPr>
        <w:t>9</w:t>
      </w:r>
      <w:r w:rsidR="00E35FB1">
        <w:rPr>
          <w:rFonts w:asciiTheme="minorHAnsi" w:hAnsiTheme="minorHAnsi"/>
          <w:sz w:val="22"/>
          <w:szCs w:val="21"/>
        </w:rPr>
        <w:t xml:space="preserve"> expected to</w:t>
      </w:r>
      <w:r>
        <w:rPr>
          <w:rFonts w:asciiTheme="minorHAnsi" w:hAnsiTheme="minorHAnsi"/>
          <w:sz w:val="22"/>
          <w:szCs w:val="21"/>
        </w:rPr>
        <w:t xml:space="preserve"> be </w:t>
      </w:r>
      <w:r w:rsidR="00C24A0C">
        <w:rPr>
          <w:rFonts w:asciiTheme="minorHAnsi" w:hAnsiTheme="minorHAnsi"/>
          <w:sz w:val="22"/>
          <w:szCs w:val="21"/>
        </w:rPr>
        <w:t xml:space="preserve">circa </w:t>
      </w:r>
      <w:r>
        <w:rPr>
          <w:rFonts w:asciiTheme="minorHAnsi" w:hAnsiTheme="minorHAnsi"/>
          <w:sz w:val="22"/>
          <w:szCs w:val="21"/>
        </w:rPr>
        <w:t>2.</w:t>
      </w:r>
      <w:r w:rsidR="0075571E">
        <w:rPr>
          <w:rFonts w:asciiTheme="minorHAnsi" w:hAnsiTheme="minorHAnsi"/>
          <w:sz w:val="22"/>
          <w:szCs w:val="21"/>
        </w:rPr>
        <w:t>5-2.8 times</w:t>
      </w:r>
      <w:r w:rsidR="00650EE3">
        <w:rPr>
          <w:rFonts w:asciiTheme="minorHAnsi" w:hAnsiTheme="minorHAnsi"/>
          <w:sz w:val="22"/>
          <w:szCs w:val="21"/>
        </w:rPr>
        <w:t xml:space="preserve"> at year-end</w:t>
      </w:r>
    </w:p>
    <w:p w14:paraId="2BD07C06" w14:textId="77777777" w:rsidR="00721AC2" w:rsidRDefault="00721AC2" w:rsidP="004667D0">
      <w:pPr>
        <w:rPr>
          <w:rFonts w:asciiTheme="minorHAnsi" w:hAnsiTheme="minorHAnsi"/>
          <w:b/>
          <w:sz w:val="21"/>
          <w:szCs w:val="21"/>
        </w:rPr>
      </w:pPr>
      <w:bookmarkStart w:id="1" w:name="_Hlk15054578"/>
    </w:p>
    <w:p w14:paraId="7832CB6B" w14:textId="77777777" w:rsidR="00F94D9C" w:rsidRPr="00A60D78" w:rsidRDefault="00F94D9C" w:rsidP="004667D0">
      <w:pPr>
        <w:rPr>
          <w:rFonts w:asciiTheme="minorHAnsi" w:hAnsiTheme="minorHAnsi"/>
          <w:b/>
          <w:sz w:val="21"/>
          <w:szCs w:val="21"/>
        </w:rPr>
      </w:pPr>
      <w:r w:rsidRPr="00A60D78">
        <w:rPr>
          <w:rFonts w:asciiTheme="minorHAnsi" w:hAnsiTheme="minorHAnsi"/>
          <w:b/>
          <w:sz w:val="21"/>
          <w:szCs w:val="21"/>
        </w:rPr>
        <w:t>Peter Jackson, Chief Executive, commented:</w:t>
      </w:r>
    </w:p>
    <w:p w14:paraId="4FB2AE86" w14:textId="77777777" w:rsidR="00D441FC" w:rsidRPr="00856AC3" w:rsidRDefault="00D441FC" w:rsidP="00D441FC">
      <w:pPr>
        <w:jc w:val="both"/>
        <w:rPr>
          <w:rFonts w:asciiTheme="minorHAnsi" w:hAnsiTheme="minorHAnsi" w:cstheme="minorHAnsi"/>
          <w:i/>
          <w:sz w:val="21"/>
          <w:szCs w:val="21"/>
        </w:rPr>
      </w:pPr>
      <w:r w:rsidRPr="00FC7BEC">
        <w:rPr>
          <w:rFonts w:asciiTheme="minorHAnsi" w:hAnsiTheme="minorHAnsi" w:cstheme="minorHAnsi"/>
          <w:i/>
          <w:sz w:val="21"/>
          <w:szCs w:val="21"/>
        </w:rPr>
        <w:t>“</w:t>
      </w:r>
      <w:r w:rsidR="00A4204E" w:rsidRPr="00856AC3">
        <w:rPr>
          <w:rFonts w:asciiTheme="minorHAnsi" w:hAnsiTheme="minorHAnsi" w:cstheme="minorHAnsi"/>
          <w:i/>
          <w:sz w:val="21"/>
          <w:szCs w:val="21"/>
        </w:rPr>
        <w:t xml:space="preserve">The </w:t>
      </w:r>
      <w:r w:rsidR="00E16F49">
        <w:rPr>
          <w:rFonts w:asciiTheme="minorHAnsi" w:hAnsiTheme="minorHAnsi" w:cstheme="minorHAnsi"/>
          <w:i/>
          <w:sz w:val="21"/>
          <w:szCs w:val="21"/>
        </w:rPr>
        <w:t xml:space="preserve">first half of 2020 has been defined by the </w:t>
      </w:r>
      <w:r w:rsidR="00A4204E" w:rsidRPr="00856AC3">
        <w:rPr>
          <w:rFonts w:asciiTheme="minorHAnsi" w:hAnsiTheme="minorHAnsi" w:cstheme="minorHAnsi"/>
          <w:i/>
          <w:sz w:val="21"/>
          <w:szCs w:val="21"/>
        </w:rPr>
        <w:t>outbreak of the global Covid-19 pandemic</w:t>
      </w:r>
      <w:r w:rsidRPr="00FC7BEC">
        <w:rPr>
          <w:rFonts w:asciiTheme="minorHAnsi" w:hAnsiTheme="minorHAnsi" w:cstheme="minorHAnsi"/>
          <w:i/>
          <w:sz w:val="21"/>
          <w:szCs w:val="21"/>
        </w:rPr>
        <w:t xml:space="preserve">. </w:t>
      </w:r>
      <w:r w:rsidR="00A4204E" w:rsidRPr="00856AC3">
        <w:rPr>
          <w:rFonts w:asciiTheme="minorHAnsi" w:hAnsiTheme="minorHAnsi" w:cstheme="minorHAnsi"/>
          <w:i/>
          <w:sz w:val="21"/>
          <w:szCs w:val="21"/>
        </w:rPr>
        <w:t xml:space="preserve">For Flutter, my primary concern has been </w:t>
      </w:r>
      <w:r w:rsidRPr="00FC7BEC">
        <w:rPr>
          <w:rFonts w:asciiTheme="minorHAnsi" w:hAnsiTheme="minorHAnsi" w:cstheme="minorHAnsi"/>
          <w:i/>
          <w:sz w:val="21"/>
          <w:szCs w:val="21"/>
        </w:rPr>
        <w:t xml:space="preserve">to keep </w:t>
      </w:r>
      <w:r w:rsidR="00A4204E" w:rsidRPr="00856AC3">
        <w:rPr>
          <w:rFonts w:asciiTheme="minorHAnsi" w:hAnsiTheme="minorHAnsi" w:cstheme="minorHAnsi"/>
          <w:i/>
          <w:sz w:val="21"/>
          <w:szCs w:val="21"/>
        </w:rPr>
        <w:t xml:space="preserve">our </w:t>
      </w:r>
      <w:r w:rsidRPr="00FC7BEC">
        <w:rPr>
          <w:rFonts w:asciiTheme="minorHAnsi" w:hAnsiTheme="minorHAnsi" w:cstheme="minorHAnsi"/>
          <w:i/>
          <w:sz w:val="21"/>
          <w:szCs w:val="21"/>
        </w:rPr>
        <w:t xml:space="preserve">colleagues and customers safe. I am proud of the support we have been able to provide to our </w:t>
      </w:r>
      <w:r w:rsidR="00125B2B">
        <w:rPr>
          <w:rFonts w:asciiTheme="minorHAnsi" w:hAnsiTheme="minorHAnsi" w:cstheme="minorHAnsi"/>
          <w:i/>
          <w:sz w:val="21"/>
          <w:szCs w:val="21"/>
        </w:rPr>
        <w:t xml:space="preserve">employees </w:t>
      </w:r>
      <w:r w:rsidR="00A122D2" w:rsidRPr="00FC7BEC">
        <w:rPr>
          <w:rFonts w:asciiTheme="minorHAnsi" w:hAnsiTheme="minorHAnsi" w:cstheme="minorHAnsi"/>
          <w:i/>
          <w:sz w:val="21"/>
          <w:szCs w:val="21"/>
        </w:rPr>
        <w:t xml:space="preserve">during this challenging </w:t>
      </w:r>
      <w:r w:rsidR="00A122D2" w:rsidRPr="00E16F49">
        <w:rPr>
          <w:rFonts w:asciiTheme="minorHAnsi" w:hAnsiTheme="minorHAnsi" w:cstheme="minorHAnsi"/>
          <w:i/>
          <w:sz w:val="21"/>
          <w:szCs w:val="21"/>
        </w:rPr>
        <w:t xml:space="preserve">time </w:t>
      </w:r>
      <w:r w:rsidRPr="00E16F49">
        <w:rPr>
          <w:rFonts w:asciiTheme="minorHAnsi" w:hAnsiTheme="minorHAnsi" w:cstheme="minorHAnsi"/>
          <w:i/>
          <w:sz w:val="21"/>
          <w:szCs w:val="21"/>
        </w:rPr>
        <w:t>and</w:t>
      </w:r>
      <w:r w:rsidR="00A122D2" w:rsidRPr="00E16F49">
        <w:rPr>
          <w:rFonts w:asciiTheme="minorHAnsi" w:hAnsiTheme="minorHAnsi" w:cstheme="minorHAnsi"/>
          <w:i/>
          <w:sz w:val="21"/>
          <w:szCs w:val="21"/>
        </w:rPr>
        <w:t xml:space="preserve"> </w:t>
      </w:r>
      <w:r w:rsidRPr="00E16F49">
        <w:rPr>
          <w:rFonts w:asciiTheme="minorHAnsi" w:hAnsiTheme="minorHAnsi" w:cstheme="minorHAnsi"/>
          <w:i/>
          <w:sz w:val="21"/>
          <w:szCs w:val="21"/>
        </w:rPr>
        <w:t xml:space="preserve">the additional safer gambling measures </w:t>
      </w:r>
      <w:r w:rsidR="00A4204E" w:rsidRPr="00856AC3">
        <w:rPr>
          <w:rFonts w:asciiTheme="minorHAnsi" w:hAnsiTheme="minorHAnsi" w:cstheme="minorHAnsi"/>
          <w:i/>
          <w:sz w:val="21"/>
          <w:szCs w:val="21"/>
        </w:rPr>
        <w:t xml:space="preserve">we </w:t>
      </w:r>
      <w:r w:rsidRPr="00FC7BEC">
        <w:rPr>
          <w:rFonts w:asciiTheme="minorHAnsi" w:hAnsiTheme="minorHAnsi" w:cstheme="minorHAnsi"/>
          <w:i/>
          <w:sz w:val="21"/>
          <w:szCs w:val="21"/>
        </w:rPr>
        <w:t>have put in place</w:t>
      </w:r>
      <w:r w:rsidR="00125B2B">
        <w:rPr>
          <w:rFonts w:asciiTheme="minorHAnsi" w:hAnsiTheme="minorHAnsi" w:cstheme="minorHAnsi"/>
          <w:i/>
          <w:sz w:val="21"/>
          <w:szCs w:val="21"/>
        </w:rPr>
        <w:t xml:space="preserve"> to enhance player protection</w:t>
      </w:r>
      <w:r w:rsidR="00A4204E" w:rsidRPr="00856AC3">
        <w:rPr>
          <w:rFonts w:asciiTheme="minorHAnsi" w:hAnsiTheme="minorHAnsi" w:cstheme="minorHAnsi"/>
          <w:i/>
          <w:sz w:val="21"/>
          <w:szCs w:val="21"/>
        </w:rPr>
        <w:t xml:space="preserve">. </w:t>
      </w:r>
      <w:r w:rsidRPr="00FC7BEC">
        <w:rPr>
          <w:rFonts w:asciiTheme="minorHAnsi" w:hAnsiTheme="minorHAnsi" w:cstheme="minorHAnsi"/>
          <w:i/>
          <w:sz w:val="21"/>
          <w:szCs w:val="21"/>
        </w:rPr>
        <w:t xml:space="preserve">The pandemic has been </w:t>
      </w:r>
      <w:r w:rsidR="00A122D2" w:rsidRPr="00E16F49">
        <w:rPr>
          <w:rFonts w:asciiTheme="minorHAnsi" w:hAnsiTheme="minorHAnsi" w:cstheme="minorHAnsi"/>
          <w:i/>
          <w:sz w:val="21"/>
          <w:szCs w:val="21"/>
        </w:rPr>
        <w:t xml:space="preserve">a highly unusual </w:t>
      </w:r>
      <w:r w:rsidRPr="00E16F49">
        <w:rPr>
          <w:rFonts w:asciiTheme="minorHAnsi" w:hAnsiTheme="minorHAnsi" w:cstheme="minorHAnsi"/>
          <w:i/>
          <w:sz w:val="21"/>
          <w:szCs w:val="21"/>
        </w:rPr>
        <w:t xml:space="preserve">backdrop </w:t>
      </w:r>
      <w:r w:rsidR="00A122D2" w:rsidRPr="00E16F49">
        <w:rPr>
          <w:rFonts w:asciiTheme="minorHAnsi" w:hAnsiTheme="minorHAnsi" w:cstheme="minorHAnsi"/>
          <w:i/>
          <w:sz w:val="21"/>
          <w:szCs w:val="21"/>
        </w:rPr>
        <w:t xml:space="preserve">for </w:t>
      </w:r>
      <w:r w:rsidRPr="00E16F49">
        <w:rPr>
          <w:rFonts w:asciiTheme="minorHAnsi" w:hAnsiTheme="minorHAnsi" w:cstheme="minorHAnsi"/>
          <w:i/>
          <w:sz w:val="21"/>
          <w:szCs w:val="21"/>
        </w:rPr>
        <w:t>complet</w:t>
      </w:r>
      <w:r w:rsidR="00A122D2" w:rsidRPr="00E16F49">
        <w:rPr>
          <w:rFonts w:asciiTheme="minorHAnsi" w:hAnsiTheme="minorHAnsi" w:cstheme="minorHAnsi"/>
          <w:i/>
          <w:sz w:val="21"/>
          <w:szCs w:val="21"/>
        </w:rPr>
        <w:t>ion of</w:t>
      </w:r>
      <w:r w:rsidRPr="00E16F49">
        <w:rPr>
          <w:rFonts w:asciiTheme="minorHAnsi" w:hAnsiTheme="minorHAnsi" w:cstheme="minorHAnsi"/>
          <w:i/>
          <w:sz w:val="21"/>
          <w:szCs w:val="21"/>
        </w:rPr>
        <w:t xml:space="preserve"> our </w:t>
      </w:r>
      <w:r w:rsidR="00ED33AA">
        <w:rPr>
          <w:rFonts w:asciiTheme="minorHAnsi" w:hAnsiTheme="minorHAnsi" w:cstheme="minorHAnsi"/>
          <w:i/>
          <w:sz w:val="21"/>
          <w:szCs w:val="21"/>
        </w:rPr>
        <w:t xml:space="preserve">combination </w:t>
      </w:r>
      <w:r w:rsidRPr="00E16F49">
        <w:rPr>
          <w:rFonts w:asciiTheme="minorHAnsi" w:hAnsiTheme="minorHAnsi" w:cstheme="minorHAnsi"/>
          <w:i/>
          <w:sz w:val="21"/>
          <w:szCs w:val="21"/>
        </w:rPr>
        <w:t xml:space="preserve">with </w:t>
      </w:r>
      <w:r w:rsidR="00A122D2" w:rsidRPr="00856AC3">
        <w:rPr>
          <w:rFonts w:asciiTheme="minorHAnsi" w:hAnsiTheme="minorHAnsi" w:cstheme="minorHAnsi"/>
          <w:i/>
          <w:sz w:val="21"/>
          <w:szCs w:val="21"/>
        </w:rPr>
        <w:t xml:space="preserve">The Stars Group and </w:t>
      </w:r>
      <w:r w:rsidR="00A122D2" w:rsidRPr="00FC7BEC">
        <w:rPr>
          <w:rFonts w:asciiTheme="minorHAnsi" w:hAnsiTheme="minorHAnsi" w:cstheme="minorHAnsi"/>
          <w:i/>
          <w:sz w:val="21"/>
          <w:szCs w:val="21"/>
        </w:rPr>
        <w:t xml:space="preserve">I would like to take this opportunity to thank all of </w:t>
      </w:r>
      <w:r w:rsidR="00A122D2" w:rsidRPr="00E16F49">
        <w:rPr>
          <w:rFonts w:asciiTheme="minorHAnsi" w:hAnsiTheme="minorHAnsi" w:cstheme="minorHAnsi"/>
          <w:i/>
          <w:sz w:val="21"/>
          <w:szCs w:val="21"/>
        </w:rPr>
        <w:t xml:space="preserve">my colleagues across the </w:t>
      </w:r>
      <w:r w:rsidR="00ED33AA">
        <w:rPr>
          <w:rFonts w:asciiTheme="minorHAnsi" w:hAnsiTheme="minorHAnsi" w:cstheme="minorHAnsi"/>
          <w:i/>
          <w:sz w:val="21"/>
          <w:szCs w:val="21"/>
        </w:rPr>
        <w:t xml:space="preserve">enlarged Group </w:t>
      </w:r>
      <w:r w:rsidR="00A122D2" w:rsidRPr="00E16F49">
        <w:rPr>
          <w:rFonts w:asciiTheme="minorHAnsi" w:hAnsiTheme="minorHAnsi" w:cstheme="minorHAnsi"/>
          <w:i/>
          <w:sz w:val="21"/>
          <w:szCs w:val="21"/>
        </w:rPr>
        <w:t>for their hard work, commitment and resilience as we have combined to form one team.</w:t>
      </w:r>
    </w:p>
    <w:p w14:paraId="14DE1ED4" w14:textId="77777777" w:rsidR="00D441FC" w:rsidRDefault="00D441FC" w:rsidP="00EC022D">
      <w:pPr>
        <w:jc w:val="both"/>
        <w:rPr>
          <w:rFonts w:asciiTheme="minorHAnsi" w:hAnsiTheme="minorHAnsi" w:cstheme="minorHAnsi"/>
          <w:i/>
          <w:sz w:val="21"/>
          <w:szCs w:val="21"/>
        </w:rPr>
      </w:pPr>
    </w:p>
    <w:p w14:paraId="28515DD2" w14:textId="77777777" w:rsidR="004F7218" w:rsidRDefault="004F7218" w:rsidP="00EC022D">
      <w:pPr>
        <w:jc w:val="both"/>
        <w:rPr>
          <w:rFonts w:asciiTheme="minorHAnsi" w:hAnsiTheme="minorHAnsi" w:cstheme="minorHAnsi"/>
          <w:i/>
          <w:sz w:val="21"/>
          <w:szCs w:val="21"/>
        </w:rPr>
      </w:pPr>
      <w:r w:rsidRPr="00B8591F">
        <w:rPr>
          <w:rFonts w:asciiTheme="minorHAnsi" w:hAnsiTheme="minorHAnsi" w:cstheme="minorHAnsi"/>
          <w:i/>
          <w:sz w:val="21"/>
          <w:szCs w:val="21"/>
        </w:rPr>
        <w:t xml:space="preserve">The Group’s </w:t>
      </w:r>
      <w:r w:rsidR="00870542">
        <w:rPr>
          <w:rFonts w:asciiTheme="minorHAnsi" w:hAnsiTheme="minorHAnsi" w:cstheme="minorHAnsi"/>
          <w:i/>
          <w:sz w:val="21"/>
          <w:szCs w:val="21"/>
        </w:rPr>
        <w:t xml:space="preserve">first half </w:t>
      </w:r>
      <w:r w:rsidRPr="00B8591F">
        <w:rPr>
          <w:rFonts w:asciiTheme="minorHAnsi" w:hAnsiTheme="minorHAnsi" w:cstheme="minorHAnsi"/>
          <w:i/>
          <w:sz w:val="21"/>
          <w:szCs w:val="21"/>
        </w:rPr>
        <w:t>f</w:t>
      </w:r>
      <w:r w:rsidR="00EC022D" w:rsidRPr="00B8591F">
        <w:rPr>
          <w:rFonts w:asciiTheme="minorHAnsi" w:hAnsiTheme="minorHAnsi" w:cstheme="minorHAnsi"/>
          <w:i/>
          <w:sz w:val="21"/>
          <w:szCs w:val="21"/>
        </w:rPr>
        <w:t>inancial performance exceeded expectations</w:t>
      </w:r>
      <w:r w:rsidR="009749F9">
        <w:rPr>
          <w:rFonts w:asciiTheme="minorHAnsi" w:hAnsiTheme="minorHAnsi" w:cstheme="minorHAnsi"/>
          <w:i/>
          <w:sz w:val="21"/>
          <w:szCs w:val="21"/>
        </w:rPr>
        <w:t xml:space="preserve"> as w</w:t>
      </w:r>
      <w:r w:rsidR="00B8591F">
        <w:rPr>
          <w:rFonts w:asciiTheme="minorHAnsi" w:hAnsiTheme="minorHAnsi" w:cstheme="minorHAnsi"/>
          <w:i/>
          <w:sz w:val="21"/>
          <w:szCs w:val="21"/>
        </w:rPr>
        <w:t>e</w:t>
      </w:r>
      <w:r w:rsidR="00EC022D">
        <w:rPr>
          <w:rFonts w:asciiTheme="minorHAnsi" w:hAnsiTheme="minorHAnsi" w:cstheme="minorHAnsi"/>
          <w:i/>
          <w:sz w:val="21"/>
          <w:szCs w:val="21"/>
        </w:rPr>
        <w:t xml:space="preserve"> benefitt</w:t>
      </w:r>
      <w:r w:rsidR="00B8591F">
        <w:rPr>
          <w:rFonts w:asciiTheme="minorHAnsi" w:hAnsiTheme="minorHAnsi" w:cstheme="minorHAnsi"/>
          <w:i/>
          <w:sz w:val="21"/>
          <w:szCs w:val="21"/>
        </w:rPr>
        <w:t>ed</w:t>
      </w:r>
      <w:r w:rsidR="00EC022D">
        <w:rPr>
          <w:rFonts w:asciiTheme="minorHAnsi" w:hAnsiTheme="minorHAnsi" w:cstheme="minorHAnsi"/>
          <w:i/>
          <w:sz w:val="21"/>
          <w:szCs w:val="21"/>
        </w:rPr>
        <w:t xml:space="preserve"> from </w:t>
      </w:r>
      <w:r w:rsidR="00A22451">
        <w:rPr>
          <w:rFonts w:asciiTheme="minorHAnsi" w:hAnsiTheme="minorHAnsi" w:cstheme="minorHAnsi"/>
          <w:i/>
          <w:sz w:val="21"/>
          <w:szCs w:val="21"/>
        </w:rPr>
        <w:t xml:space="preserve">geographic and product </w:t>
      </w:r>
      <w:r w:rsidR="00EC022D" w:rsidRPr="00880C94">
        <w:rPr>
          <w:rFonts w:asciiTheme="minorHAnsi" w:hAnsiTheme="minorHAnsi" w:cstheme="minorHAnsi"/>
          <w:i/>
          <w:sz w:val="21"/>
          <w:szCs w:val="21"/>
        </w:rPr>
        <w:t>diversification.</w:t>
      </w:r>
      <w:r w:rsidR="00EC022D">
        <w:rPr>
          <w:rFonts w:asciiTheme="minorHAnsi" w:hAnsiTheme="minorHAnsi" w:cstheme="minorHAnsi"/>
          <w:i/>
          <w:sz w:val="21"/>
          <w:szCs w:val="21"/>
        </w:rPr>
        <w:t xml:space="preserve"> </w:t>
      </w:r>
      <w:r w:rsidR="00D56161">
        <w:rPr>
          <w:rFonts w:asciiTheme="minorHAnsi" w:hAnsiTheme="minorHAnsi" w:cstheme="minorHAnsi"/>
          <w:i/>
          <w:sz w:val="21"/>
          <w:szCs w:val="21"/>
        </w:rPr>
        <w:t>In the period p</w:t>
      </w:r>
      <w:r w:rsidR="00A22451">
        <w:rPr>
          <w:rFonts w:asciiTheme="minorHAnsi" w:hAnsiTheme="minorHAnsi" w:cstheme="minorHAnsi"/>
          <w:i/>
          <w:sz w:val="21"/>
          <w:szCs w:val="21"/>
        </w:rPr>
        <w:t xml:space="preserve">rior to </w:t>
      </w:r>
      <w:r w:rsidR="00EC022D">
        <w:rPr>
          <w:rFonts w:asciiTheme="minorHAnsi" w:hAnsiTheme="minorHAnsi" w:cstheme="minorHAnsi"/>
          <w:i/>
          <w:sz w:val="21"/>
          <w:szCs w:val="21"/>
        </w:rPr>
        <w:t>Covid</w:t>
      </w:r>
      <w:r w:rsidR="00A22451">
        <w:rPr>
          <w:rFonts w:asciiTheme="minorHAnsi" w:hAnsiTheme="minorHAnsi" w:cstheme="minorHAnsi"/>
          <w:i/>
          <w:sz w:val="21"/>
          <w:szCs w:val="21"/>
        </w:rPr>
        <w:t>-19</w:t>
      </w:r>
      <w:r w:rsidR="00F66428">
        <w:rPr>
          <w:rFonts w:asciiTheme="minorHAnsi" w:hAnsiTheme="minorHAnsi" w:cstheme="minorHAnsi"/>
          <w:i/>
          <w:sz w:val="21"/>
          <w:szCs w:val="21"/>
        </w:rPr>
        <w:t xml:space="preserve"> related disruption</w:t>
      </w:r>
      <w:r w:rsidR="00EC022D">
        <w:rPr>
          <w:rFonts w:asciiTheme="minorHAnsi" w:hAnsiTheme="minorHAnsi" w:cstheme="minorHAnsi"/>
          <w:i/>
          <w:sz w:val="21"/>
          <w:szCs w:val="21"/>
        </w:rPr>
        <w:t xml:space="preserve">, </w:t>
      </w:r>
      <w:r w:rsidR="00EC022D" w:rsidRPr="00880C94">
        <w:rPr>
          <w:rFonts w:asciiTheme="minorHAnsi" w:hAnsiTheme="minorHAnsi" w:cstheme="minorHAnsi"/>
          <w:i/>
          <w:sz w:val="21"/>
          <w:szCs w:val="21"/>
        </w:rPr>
        <w:t>our business</w:t>
      </w:r>
      <w:r w:rsidR="00E16F49">
        <w:rPr>
          <w:rFonts w:asciiTheme="minorHAnsi" w:hAnsiTheme="minorHAnsi" w:cstheme="minorHAnsi"/>
          <w:i/>
          <w:sz w:val="21"/>
          <w:szCs w:val="21"/>
        </w:rPr>
        <w:t>es</w:t>
      </w:r>
      <w:r w:rsidR="00EC022D" w:rsidRPr="00880C94">
        <w:rPr>
          <w:rFonts w:asciiTheme="minorHAnsi" w:hAnsiTheme="minorHAnsi" w:cstheme="minorHAnsi"/>
          <w:i/>
          <w:sz w:val="21"/>
          <w:szCs w:val="21"/>
        </w:rPr>
        <w:t xml:space="preserve"> performed</w:t>
      </w:r>
      <w:r w:rsidR="00EC022D">
        <w:rPr>
          <w:rFonts w:asciiTheme="minorHAnsi" w:hAnsiTheme="minorHAnsi" w:cstheme="minorHAnsi"/>
          <w:i/>
          <w:sz w:val="21"/>
          <w:szCs w:val="21"/>
        </w:rPr>
        <w:t xml:space="preserve"> well</w:t>
      </w:r>
      <w:r w:rsidR="00A22451">
        <w:rPr>
          <w:rFonts w:asciiTheme="minorHAnsi" w:hAnsiTheme="minorHAnsi" w:cstheme="minorHAnsi"/>
          <w:i/>
          <w:sz w:val="21"/>
          <w:szCs w:val="21"/>
        </w:rPr>
        <w:t xml:space="preserve"> with</w:t>
      </w:r>
      <w:r w:rsidR="00EC022D" w:rsidRPr="00880C94">
        <w:rPr>
          <w:rFonts w:asciiTheme="minorHAnsi" w:hAnsiTheme="minorHAnsi" w:cstheme="minorHAnsi"/>
          <w:i/>
          <w:sz w:val="21"/>
          <w:szCs w:val="21"/>
        </w:rPr>
        <w:t xml:space="preserve"> </w:t>
      </w:r>
      <w:r w:rsidR="00B8591F">
        <w:rPr>
          <w:rFonts w:asciiTheme="minorHAnsi" w:hAnsiTheme="minorHAnsi" w:cstheme="minorHAnsi"/>
          <w:i/>
          <w:sz w:val="21"/>
          <w:szCs w:val="21"/>
        </w:rPr>
        <w:t xml:space="preserve">strong </w:t>
      </w:r>
      <w:r w:rsidR="00EC022D" w:rsidRPr="00880C94">
        <w:rPr>
          <w:rFonts w:asciiTheme="minorHAnsi" w:hAnsiTheme="minorHAnsi" w:cstheme="minorHAnsi"/>
          <w:i/>
          <w:sz w:val="21"/>
          <w:szCs w:val="21"/>
        </w:rPr>
        <w:t xml:space="preserve">customer growth and favourable sports results. </w:t>
      </w:r>
      <w:r>
        <w:rPr>
          <w:rFonts w:asciiTheme="minorHAnsi" w:hAnsiTheme="minorHAnsi" w:cstheme="minorHAnsi"/>
          <w:i/>
          <w:sz w:val="21"/>
          <w:szCs w:val="21"/>
        </w:rPr>
        <w:t xml:space="preserve">In the </w:t>
      </w:r>
      <w:r w:rsidR="00716997">
        <w:rPr>
          <w:rFonts w:asciiTheme="minorHAnsi" w:hAnsiTheme="minorHAnsi" w:cstheme="minorHAnsi"/>
          <w:i/>
          <w:sz w:val="21"/>
          <w:szCs w:val="21"/>
        </w:rPr>
        <w:t>period</w:t>
      </w:r>
      <w:r w:rsidR="00F7259C">
        <w:rPr>
          <w:rFonts w:asciiTheme="minorHAnsi" w:hAnsiTheme="minorHAnsi" w:cstheme="minorHAnsi"/>
          <w:i/>
          <w:sz w:val="21"/>
          <w:szCs w:val="21"/>
        </w:rPr>
        <w:t xml:space="preserve"> thereafter</w:t>
      </w:r>
      <w:r>
        <w:rPr>
          <w:rFonts w:asciiTheme="minorHAnsi" w:hAnsiTheme="minorHAnsi" w:cstheme="minorHAnsi"/>
          <w:i/>
          <w:sz w:val="21"/>
          <w:szCs w:val="21"/>
        </w:rPr>
        <w:t>, the cancel</w:t>
      </w:r>
      <w:r w:rsidR="00B65A72">
        <w:rPr>
          <w:rFonts w:asciiTheme="minorHAnsi" w:hAnsiTheme="minorHAnsi" w:cstheme="minorHAnsi"/>
          <w:i/>
          <w:sz w:val="21"/>
          <w:szCs w:val="21"/>
        </w:rPr>
        <w:t>l</w:t>
      </w:r>
      <w:r>
        <w:rPr>
          <w:rFonts w:asciiTheme="minorHAnsi" w:hAnsiTheme="minorHAnsi" w:cstheme="minorHAnsi"/>
          <w:i/>
          <w:sz w:val="21"/>
          <w:szCs w:val="21"/>
        </w:rPr>
        <w:t>ation of sports</w:t>
      </w:r>
      <w:r w:rsidR="002C5905">
        <w:rPr>
          <w:rFonts w:asciiTheme="minorHAnsi" w:hAnsiTheme="minorHAnsi" w:cstheme="minorHAnsi"/>
          <w:i/>
          <w:sz w:val="21"/>
          <w:szCs w:val="21"/>
        </w:rPr>
        <w:t xml:space="preserve"> </w:t>
      </w:r>
      <w:r w:rsidR="00670B93">
        <w:rPr>
          <w:rFonts w:asciiTheme="minorHAnsi" w:hAnsiTheme="minorHAnsi" w:cstheme="minorHAnsi"/>
          <w:i/>
          <w:sz w:val="21"/>
          <w:szCs w:val="21"/>
        </w:rPr>
        <w:t>and</w:t>
      </w:r>
      <w:r>
        <w:rPr>
          <w:rFonts w:asciiTheme="minorHAnsi" w:hAnsiTheme="minorHAnsi" w:cstheme="minorHAnsi"/>
          <w:i/>
          <w:sz w:val="21"/>
          <w:szCs w:val="21"/>
        </w:rPr>
        <w:t xml:space="preserve"> closure of </w:t>
      </w:r>
      <w:r w:rsidR="00F7259C">
        <w:rPr>
          <w:rFonts w:asciiTheme="minorHAnsi" w:hAnsiTheme="minorHAnsi" w:cstheme="minorHAnsi"/>
          <w:i/>
          <w:sz w:val="21"/>
          <w:szCs w:val="21"/>
        </w:rPr>
        <w:t xml:space="preserve">our </w:t>
      </w:r>
      <w:r w:rsidR="00B8591F">
        <w:rPr>
          <w:rFonts w:asciiTheme="minorHAnsi" w:hAnsiTheme="minorHAnsi" w:cstheme="minorHAnsi"/>
          <w:i/>
          <w:sz w:val="21"/>
          <w:szCs w:val="21"/>
        </w:rPr>
        <w:t xml:space="preserve">shops </w:t>
      </w:r>
      <w:r w:rsidR="00716997">
        <w:rPr>
          <w:rFonts w:asciiTheme="minorHAnsi" w:hAnsiTheme="minorHAnsi" w:cstheme="minorHAnsi"/>
          <w:i/>
          <w:sz w:val="21"/>
          <w:szCs w:val="21"/>
        </w:rPr>
        <w:t>led to reduc</w:t>
      </w:r>
      <w:r w:rsidR="00A22451">
        <w:rPr>
          <w:rFonts w:asciiTheme="minorHAnsi" w:hAnsiTheme="minorHAnsi" w:cstheme="minorHAnsi"/>
          <w:i/>
          <w:sz w:val="21"/>
          <w:szCs w:val="21"/>
        </w:rPr>
        <w:t>ed</w:t>
      </w:r>
      <w:r w:rsidR="00716997">
        <w:rPr>
          <w:rFonts w:asciiTheme="minorHAnsi" w:hAnsiTheme="minorHAnsi" w:cstheme="minorHAnsi"/>
          <w:i/>
          <w:sz w:val="21"/>
          <w:szCs w:val="21"/>
        </w:rPr>
        <w:t xml:space="preserve"> </w:t>
      </w:r>
      <w:r w:rsidR="009749F9">
        <w:rPr>
          <w:rFonts w:asciiTheme="minorHAnsi" w:hAnsiTheme="minorHAnsi" w:cstheme="minorHAnsi"/>
          <w:i/>
          <w:sz w:val="21"/>
          <w:szCs w:val="21"/>
        </w:rPr>
        <w:t>sports revenues</w:t>
      </w:r>
      <w:r w:rsidR="00A96DC4">
        <w:rPr>
          <w:rFonts w:asciiTheme="minorHAnsi" w:hAnsiTheme="minorHAnsi" w:cstheme="minorHAnsi"/>
          <w:i/>
          <w:sz w:val="21"/>
          <w:szCs w:val="21"/>
        </w:rPr>
        <w:t xml:space="preserve"> in the UK and Ireland</w:t>
      </w:r>
      <w:r>
        <w:rPr>
          <w:rFonts w:asciiTheme="minorHAnsi" w:hAnsiTheme="minorHAnsi" w:cstheme="minorHAnsi"/>
          <w:i/>
          <w:sz w:val="21"/>
          <w:szCs w:val="21"/>
        </w:rPr>
        <w:t xml:space="preserve">. </w:t>
      </w:r>
      <w:r w:rsidR="00B35BB5">
        <w:rPr>
          <w:rFonts w:asciiTheme="minorHAnsi" w:hAnsiTheme="minorHAnsi" w:cstheme="minorHAnsi"/>
          <w:i/>
          <w:sz w:val="21"/>
          <w:szCs w:val="21"/>
        </w:rPr>
        <w:t>However, t</w:t>
      </w:r>
      <w:r w:rsidR="00B8591F">
        <w:rPr>
          <w:rFonts w:asciiTheme="minorHAnsi" w:hAnsiTheme="minorHAnsi" w:cstheme="minorHAnsi"/>
          <w:i/>
          <w:sz w:val="21"/>
          <w:szCs w:val="21"/>
        </w:rPr>
        <w:t xml:space="preserve">his was </w:t>
      </w:r>
      <w:r>
        <w:rPr>
          <w:rFonts w:asciiTheme="minorHAnsi" w:hAnsiTheme="minorHAnsi" w:cstheme="minorHAnsi"/>
          <w:i/>
          <w:sz w:val="21"/>
          <w:szCs w:val="21"/>
        </w:rPr>
        <w:t xml:space="preserve">more than offset by </w:t>
      </w:r>
      <w:r w:rsidR="009749F9">
        <w:rPr>
          <w:rFonts w:asciiTheme="minorHAnsi" w:hAnsiTheme="minorHAnsi" w:cstheme="minorHAnsi"/>
          <w:i/>
          <w:sz w:val="21"/>
          <w:szCs w:val="21"/>
        </w:rPr>
        <w:t xml:space="preserve">an </w:t>
      </w:r>
      <w:r w:rsidR="00C20F25">
        <w:rPr>
          <w:rFonts w:asciiTheme="minorHAnsi" w:hAnsiTheme="minorHAnsi" w:cstheme="minorHAnsi"/>
          <w:i/>
          <w:sz w:val="21"/>
          <w:szCs w:val="21"/>
        </w:rPr>
        <w:t xml:space="preserve">increase </w:t>
      </w:r>
      <w:r w:rsidR="00E1417C">
        <w:rPr>
          <w:rFonts w:asciiTheme="minorHAnsi" w:hAnsiTheme="minorHAnsi" w:cstheme="minorHAnsi"/>
          <w:i/>
          <w:sz w:val="21"/>
          <w:szCs w:val="21"/>
        </w:rPr>
        <w:t>in</w:t>
      </w:r>
      <w:r w:rsidR="00EC0A01">
        <w:rPr>
          <w:rFonts w:asciiTheme="minorHAnsi" w:hAnsiTheme="minorHAnsi" w:cstheme="minorHAnsi"/>
          <w:i/>
          <w:sz w:val="21"/>
          <w:szCs w:val="21"/>
        </w:rPr>
        <w:t xml:space="preserve"> the number of</w:t>
      </w:r>
      <w:r w:rsidR="00E1417C">
        <w:rPr>
          <w:rFonts w:asciiTheme="minorHAnsi" w:hAnsiTheme="minorHAnsi" w:cstheme="minorHAnsi"/>
          <w:i/>
          <w:sz w:val="21"/>
          <w:szCs w:val="21"/>
        </w:rPr>
        <w:t xml:space="preserve"> </w:t>
      </w:r>
      <w:r w:rsidR="00C20F25">
        <w:rPr>
          <w:rFonts w:asciiTheme="minorHAnsi" w:hAnsiTheme="minorHAnsi" w:cstheme="minorHAnsi"/>
          <w:i/>
          <w:sz w:val="21"/>
          <w:szCs w:val="21"/>
        </w:rPr>
        <w:t>recreational customer</w:t>
      </w:r>
      <w:r w:rsidR="00EC0A01">
        <w:rPr>
          <w:rFonts w:asciiTheme="minorHAnsi" w:hAnsiTheme="minorHAnsi" w:cstheme="minorHAnsi"/>
          <w:i/>
          <w:sz w:val="21"/>
          <w:szCs w:val="21"/>
        </w:rPr>
        <w:t>s</w:t>
      </w:r>
      <w:r w:rsidR="00C20F25">
        <w:rPr>
          <w:rFonts w:asciiTheme="minorHAnsi" w:hAnsiTheme="minorHAnsi" w:cstheme="minorHAnsi"/>
          <w:i/>
          <w:sz w:val="21"/>
          <w:szCs w:val="21"/>
        </w:rPr>
        <w:t xml:space="preserve"> </w:t>
      </w:r>
      <w:r w:rsidR="00EC0A01">
        <w:rPr>
          <w:rFonts w:asciiTheme="minorHAnsi" w:hAnsiTheme="minorHAnsi" w:cstheme="minorHAnsi"/>
          <w:i/>
          <w:sz w:val="21"/>
          <w:szCs w:val="21"/>
        </w:rPr>
        <w:t>playing</w:t>
      </w:r>
      <w:r w:rsidR="009749F9">
        <w:rPr>
          <w:rFonts w:asciiTheme="minorHAnsi" w:hAnsiTheme="minorHAnsi" w:cstheme="minorHAnsi"/>
          <w:i/>
          <w:sz w:val="21"/>
          <w:szCs w:val="21"/>
        </w:rPr>
        <w:t xml:space="preserve"> our </w:t>
      </w:r>
      <w:r w:rsidR="002C5905">
        <w:rPr>
          <w:rFonts w:asciiTheme="minorHAnsi" w:hAnsiTheme="minorHAnsi" w:cstheme="minorHAnsi"/>
          <w:i/>
          <w:sz w:val="21"/>
          <w:szCs w:val="21"/>
        </w:rPr>
        <w:t xml:space="preserve">poker and </w:t>
      </w:r>
      <w:r>
        <w:rPr>
          <w:rFonts w:asciiTheme="minorHAnsi" w:hAnsiTheme="minorHAnsi" w:cstheme="minorHAnsi"/>
          <w:i/>
          <w:sz w:val="21"/>
          <w:szCs w:val="21"/>
        </w:rPr>
        <w:t>gaming</w:t>
      </w:r>
      <w:r w:rsidR="009749F9">
        <w:rPr>
          <w:rFonts w:asciiTheme="minorHAnsi" w:hAnsiTheme="minorHAnsi" w:cstheme="minorHAnsi"/>
          <w:i/>
          <w:sz w:val="21"/>
          <w:szCs w:val="21"/>
        </w:rPr>
        <w:t xml:space="preserve"> products</w:t>
      </w:r>
      <w:r w:rsidR="00D56161">
        <w:rPr>
          <w:rFonts w:asciiTheme="minorHAnsi" w:hAnsiTheme="minorHAnsi" w:cstheme="minorHAnsi"/>
          <w:i/>
          <w:sz w:val="21"/>
          <w:szCs w:val="21"/>
        </w:rPr>
        <w:t xml:space="preserve"> globally</w:t>
      </w:r>
      <w:r w:rsidR="00E1417C">
        <w:rPr>
          <w:rFonts w:asciiTheme="minorHAnsi" w:hAnsiTheme="minorHAnsi" w:cstheme="minorHAnsi"/>
          <w:i/>
          <w:sz w:val="21"/>
          <w:szCs w:val="21"/>
        </w:rPr>
        <w:t>,</w:t>
      </w:r>
      <w:r w:rsidR="00870542">
        <w:rPr>
          <w:rFonts w:asciiTheme="minorHAnsi" w:hAnsiTheme="minorHAnsi" w:cstheme="minorHAnsi"/>
          <w:i/>
          <w:sz w:val="21"/>
          <w:szCs w:val="21"/>
        </w:rPr>
        <w:t xml:space="preserve"> </w:t>
      </w:r>
      <w:r w:rsidR="00834909" w:rsidRPr="00880C94">
        <w:rPr>
          <w:rFonts w:asciiTheme="minorHAnsi" w:hAnsiTheme="minorHAnsi" w:cstheme="minorHAnsi"/>
          <w:i/>
          <w:sz w:val="21"/>
          <w:szCs w:val="21"/>
        </w:rPr>
        <w:t xml:space="preserve">as </w:t>
      </w:r>
      <w:r w:rsidR="00C20F25">
        <w:rPr>
          <w:rFonts w:asciiTheme="minorHAnsi" w:hAnsiTheme="minorHAnsi" w:cstheme="minorHAnsi"/>
          <w:i/>
          <w:sz w:val="21"/>
          <w:szCs w:val="21"/>
        </w:rPr>
        <w:t>p</w:t>
      </w:r>
      <w:r w:rsidR="00EC0A01">
        <w:rPr>
          <w:rFonts w:asciiTheme="minorHAnsi" w:hAnsiTheme="minorHAnsi" w:cstheme="minorHAnsi"/>
          <w:i/>
          <w:sz w:val="21"/>
          <w:szCs w:val="21"/>
        </w:rPr>
        <w:t>eople</w:t>
      </w:r>
      <w:r w:rsidR="00C20F25">
        <w:rPr>
          <w:rFonts w:asciiTheme="minorHAnsi" w:hAnsiTheme="minorHAnsi" w:cstheme="minorHAnsi"/>
          <w:i/>
          <w:sz w:val="21"/>
          <w:szCs w:val="21"/>
        </w:rPr>
        <w:t xml:space="preserve"> </w:t>
      </w:r>
      <w:r w:rsidR="00834909">
        <w:rPr>
          <w:rFonts w:asciiTheme="minorHAnsi" w:hAnsiTheme="minorHAnsi" w:cstheme="minorHAnsi"/>
          <w:i/>
          <w:sz w:val="21"/>
          <w:szCs w:val="21"/>
        </w:rPr>
        <w:t xml:space="preserve">sought </w:t>
      </w:r>
      <w:r w:rsidR="002C5905">
        <w:rPr>
          <w:rFonts w:asciiTheme="minorHAnsi" w:hAnsiTheme="minorHAnsi" w:cstheme="minorHAnsi"/>
          <w:i/>
          <w:sz w:val="21"/>
          <w:szCs w:val="21"/>
        </w:rPr>
        <w:t xml:space="preserve">new forms of home </w:t>
      </w:r>
      <w:r w:rsidR="00834909" w:rsidRPr="00880C94">
        <w:rPr>
          <w:rFonts w:asciiTheme="minorHAnsi" w:hAnsiTheme="minorHAnsi" w:cstheme="minorHAnsi"/>
          <w:i/>
          <w:sz w:val="21"/>
          <w:szCs w:val="21"/>
        </w:rPr>
        <w:t>entertain</w:t>
      </w:r>
      <w:r w:rsidR="002C5905">
        <w:rPr>
          <w:rFonts w:asciiTheme="minorHAnsi" w:hAnsiTheme="minorHAnsi" w:cstheme="minorHAnsi"/>
          <w:i/>
          <w:sz w:val="21"/>
          <w:szCs w:val="21"/>
        </w:rPr>
        <w:t xml:space="preserve">ment. </w:t>
      </w:r>
      <w:r w:rsidR="00C20F25">
        <w:rPr>
          <w:rFonts w:asciiTheme="minorHAnsi" w:hAnsiTheme="minorHAnsi" w:cstheme="minorHAnsi"/>
          <w:i/>
          <w:sz w:val="21"/>
          <w:szCs w:val="21"/>
        </w:rPr>
        <w:t>In Australia and the US, t</w:t>
      </w:r>
      <w:r>
        <w:rPr>
          <w:rFonts w:asciiTheme="minorHAnsi" w:hAnsiTheme="minorHAnsi" w:cstheme="minorHAnsi"/>
          <w:i/>
          <w:sz w:val="21"/>
          <w:szCs w:val="21"/>
        </w:rPr>
        <w:t xml:space="preserve">he continuation of horse racing </w:t>
      </w:r>
      <w:r w:rsidR="002C5905">
        <w:rPr>
          <w:rFonts w:asciiTheme="minorHAnsi" w:hAnsiTheme="minorHAnsi" w:cstheme="minorHAnsi"/>
          <w:i/>
          <w:sz w:val="21"/>
          <w:szCs w:val="21"/>
        </w:rPr>
        <w:t xml:space="preserve">meant that </w:t>
      </w:r>
      <w:r w:rsidR="009749F9">
        <w:rPr>
          <w:rFonts w:asciiTheme="minorHAnsi" w:hAnsiTheme="minorHAnsi" w:cstheme="minorHAnsi"/>
          <w:i/>
          <w:sz w:val="21"/>
          <w:szCs w:val="21"/>
        </w:rPr>
        <w:t xml:space="preserve">overall </w:t>
      </w:r>
      <w:r w:rsidR="002C5905">
        <w:rPr>
          <w:rFonts w:asciiTheme="minorHAnsi" w:hAnsiTheme="minorHAnsi" w:cstheme="minorHAnsi"/>
          <w:i/>
          <w:sz w:val="21"/>
          <w:szCs w:val="21"/>
        </w:rPr>
        <w:t>sports revenue</w:t>
      </w:r>
      <w:r w:rsidR="00E1417C">
        <w:rPr>
          <w:rFonts w:asciiTheme="minorHAnsi" w:hAnsiTheme="minorHAnsi" w:cstheme="minorHAnsi"/>
          <w:i/>
          <w:sz w:val="21"/>
          <w:szCs w:val="21"/>
        </w:rPr>
        <w:t>s</w:t>
      </w:r>
      <w:r w:rsidR="002C5905">
        <w:rPr>
          <w:rFonts w:asciiTheme="minorHAnsi" w:hAnsiTheme="minorHAnsi" w:cstheme="minorHAnsi"/>
          <w:i/>
          <w:sz w:val="21"/>
          <w:szCs w:val="21"/>
        </w:rPr>
        <w:t xml:space="preserve"> </w:t>
      </w:r>
      <w:r w:rsidR="00C20F25">
        <w:rPr>
          <w:rFonts w:asciiTheme="minorHAnsi" w:hAnsiTheme="minorHAnsi" w:cstheme="minorHAnsi"/>
          <w:i/>
          <w:sz w:val="21"/>
          <w:szCs w:val="21"/>
        </w:rPr>
        <w:t xml:space="preserve">grew </w:t>
      </w:r>
      <w:r w:rsidR="00A37964">
        <w:rPr>
          <w:rFonts w:asciiTheme="minorHAnsi" w:hAnsiTheme="minorHAnsi" w:cstheme="minorHAnsi"/>
          <w:i/>
          <w:sz w:val="21"/>
          <w:szCs w:val="21"/>
        </w:rPr>
        <w:t xml:space="preserve">in </w:t>
      </w:r>
      <w:r w:rsidR="002C5905">
        <w:rPr>
          <w:rFonts w:asciiTheme="minorHAnsi" w:hAnsiTheme="minorHAnsi" w:cstheme="minorHAnsi"/>
          <w:i/>
          <w:sz w:val="21"/>
          <w:szCs w:val="21"/>
        </w:rPr>
        <w:t>both regions.</w:t>
      </w:r>
    </w:p>
    <w:p w14:paraId="5488FA9C" w14:textId="77777777" w:rsidR="00EC022D" w:rsidRDefault="00EC022D" w:rsidP="00EC022D">
      <w:pPr>
        <w:jc w:val="both"/>
        <w:rPr>
          <w:rFonts w:asciiTheme="minorHAnsi" w:hAnsiTheme="minorHAnsi" w:cstheme="minorHAnsi"/>
          <w:b/>
          <w:i/>
          <w:sz w:val="21"/>
          <w:szCs w:val="21"/>
        </w:rPr>
      </w:pPr>
    </w:p>
    <w:p w14:paraId="26030ACA" w14:textId="77777777" w:rsidR="00B8591F" w:rsidRPr="00880C94" w:rsidRDefault="00EC0A01" w:rsidP="00B8591F">
      <w:pPr>
        <w:jc w:val="both"/>
        <w:rPr>
          <w:rFonts w:asciiTheme="minorHAnsi" w:hAnsiTheme="minorHAnsi" w:cstheme="minorHAnsi"/>
          <w:i/>
          <w:sz w:val="21"/>
          <w:szCs w:val="21"/>
        </w:rPr>
      </w:pPr>
      <w:r>
        <w:rPr>
          <w:rFonts w:asciiTheme="minorHAnsi" w:hAnsiTheme="minorHAnsi" w:cstheme="minorHAnsi"/>
          <w:i/>
          <w:sz w:val="21"/>
          <w:szCs w:val="21"/>
        </w:rPr>
        <w:t xml:space="preserve">While maintaining strong </w:t>
      </w:r>
      <w:r w:rsidR="00237ADB">
        <w:rPr>
          <w:rFonts w:asciiTheme="minorHAnsi" w:hAnsiTheme="minorHAnsi" w:cstheme="minorHAnsi"/>
          <w:i/>
          <w:sz w:val="21"/>
          <w:szCs w:val="21"/>
        </w:rPr>
        <w:t xml:space="preserve">trading </w:t>
      </w:r>
      <w:r>
        <w:rPr>
          <w:rFonts w:asciiTheme="minorHAnsi" w:hAnsiTheme="minorHAnsi" w:cstheme="minorHAnsi"/>
          <w:i/>
          <w:sz w:val="21"/>
          <w:szCs w:val="21"/>
        </w:rPr>
        <w:t xml:space="preserve">momentum, </w:t>
      </w:r>
      <w:r w:rsidR="00ED33AA">
        <w:rPr>
          <w:rFonts w:asciiTheme="minorHAnsi" w:hAnsiTheme="minorHAnsi" w:cstheme="minorHAnsi"/>
          <w:i/>
          <w:sz w:val="21"/>
          <w:szCs w:val="21"/>
        </w:rPr>
        <w:t xml:space="preserve">we have also made </w:t>
      </w:r>
      <w:r>
        <w:rPr>
          <w:rFonts w:asciiTheme="minorHAnsi" w:hAnsiTheme="minorHAnsi" w:cstheme="minorHAnsi"/>
          <w:i/>
          <w:sz w:val="21"/>
          <w:szCs w:val="21"/>
        </w:rPr>
        <w:t xml:space="preserve">good </w:t>
      </w:r>
      <w:r w:rsidR="00B8591F">
        <w:rPr>
          <w:rFonts w:asciiTheme="minorHAnsi" w:hAnsiTheme="minorHAnsi" w:cstheme="minorHAnsi"/>
          <w:i/>
          <w:sz w:val="21"/>
          <w:szCs w:val="21"/>
        </w:rPr>
        <w:t xml:space="preserve">progress </w:t>
      </w:r>
      <w:r w:rsidR="00F7259C">
        <w:rPr>
          <w:rFonts w:asciiTheme="minorHAnsi" w:hAnsiTheme="minorHAnsi" w:cstheme="minorHAnsi"/>
          <w:i/>
          <w:sz w:val="21"/>
          <w:szCs w:val="21"/>
        </w:rPr>
        <w:t xml:space="preserve">since May </w:t>
      </w:r>
      <w:r>
        <w:rPr>
          <w:rFonts w:asciiTheme="minorHAnsi" w:hAnsiTheme="minorHAnsi" w:cstheme="minorHAnsi"/>
          <w:i/>
          <w:sz w:val="21"/>
          <w:szCs w:val="21"/>
        </w:rPr>
        <w:t>on</w:t>
      </w:r>
      <w:r w:rsidR="00F7259C">
        <w:rPr>
          <w:rFonts w:asciiTheme="minorHAnsi" w:hAnsiTheme="minorHAnsi" w:cstheme="minorHAnsi"/>
          <w:i/>
          <w:sz w:val="21"/>
          <w:szCs w:val="21"/>
        </w:rPr>
        <w:t xml:space="preserve"> </w:t>
      </w:r>
      <w:r w:rsidR="00ED33AA">
        <w:rPr>
          <w:rFonts w:asciiTheme="minorHAnsi" w:hAnsiTheme="minorHAnsi" w:cstheme="minorHAnsi"/>
          <w:i/>
          <w:sz w:val="21"/>
          <w:szCs w:val="21"/>
        </w:rPr>
        <w:t xml:space="preserve">the </w:t>
      </w:r>
      <w:r>
        <w:rPr>
          <w:rFonts w:asciiTheme="minorHAnsi" w:hAnsiTheme="minorHAnsi" w:cstheme="minorHAnsi"/>
          <w:i/>
          <w:sz w:val="21"/>
          <w:szCs w:val="21"/>
        </w:rPr>
        <w:t>integration</w:t>
      </w:r>
      <w:r w:rsidR="00ED33AA">
        <w:rPr>
          <w:rFonts w:asciiTheme="minorHAnsi" w:hAnsiTheme="minorHAnsi" w:cstheme="minorHAnsi"/>
          <w:i/>
          <w:sz w:val="21"/>
          <w:szCs w:val="21"/>
        </w:rPr>
        <w:t xml:space="preserve"> with TSG</w:t>
      </w:r>
      <w:r w:rsidR="00B8591F">
        <w:rPr>
          <w:rFonts w:asciiTheme="minorHAnsi" w:hAnsiTheme="minorHAnsi" w:cstheme="minorHAnsi"/>
          <w:i/>
          <w:sz w:val="21"/>
          <w:szCs w:val="21"/>
        </w:rPr>
        <w:t xml:space="preserve">. </w:t>
      </w:r>
      <w:r w:rsidR="00F7259C">
        <w:rPr>
          <w:rFonts w:asciiTheme="minorHAnsi" w:hAnsiTheme="minorHAnsi" w:cstheme="minorHAnsi"/>
          <w:i/>
          <w:sz w:val="21"/>
          <w:szCs w:val="21"/>
        </w:rPr>
        <w:t xml:space="preserve">All </w:t>
      </w:r>
      <w:r w:rsidR="00D83CE6">
        <w:rPr>
          <w:rFonts w:asciiTheme="minorHAnsi" w:hAnsiTheme="minorHAnsi" w:cstheme="minorHAnsi"/>
          <w:i/>
          <w:sz w:val="21"/>
          <w:szCs w:val="21"/>
        </w:rPr>
        <w:t>four</w:t>
      </w:r>
      <w:r w:rsidR="00F7259C">
        <w:rPr>
          <w:rFonts w:asciiTheme="minorHAnsi" w:hAnsiTheme="minorHAnsi" w:cstheme="minorHAnsi"/>
          <w:i/>
          <w:sz w:val="21"/>
          <w:szCs w:val="21"/>
        </w:rPr>
        <w:t xml:space="preserve"> regional</w:t>
      </w:r>
      <w:r w:rsidR="009749F9">
        <w:rPr>
          <w:rFonts w:asciiTheme="minorHAnsi" w:hAnsiTheme="minorHAnsi" w:cstheme="minorHAnsi"/>
          <w:i/>
          <w:sz w:val="21"/>
          <w:szCs w:val="21"/>
        </w:rPr>
        <w:t xml:space="preserve"> CEOs </w:t>
      </w:r>
      <w:r w:rsidR="00220B15">
        <w:rPr>
          <w:rFonts w:asciiTheme="minorHAnsi" w:hAnsiTheme="minorHAnsi" w:cstheme="minorHAnsi"/>
          <w:i/>
          <w:sz w:val="21"/>
          <w:szCs w:val="21"/>
        </w:rPr>
        <w:t xml:space="preserve">have been </w:t>
      </w:r>
      <w:r w:rsidR="009749F9">
        <w:rPr>
          <w:rFonts w:asciiTheme="minorHAnsi" w:hAnsiTheme="minorHAnsi" w:cstheme="minorHAnsi"/>
          <w:i/>
          <w:sz w:val="21"/>
          <w:szCs w:val="21"/>
        </w:rPr>
        <w:t>appointed</w:t>
      </w:r>
      <w:r w:rsidR="00670B93">
        <w:rPr>
          <w:rFonts w:asciiTheme="minorHAnsi" w:hAnsiTheme="minorHAnsi" w:cstheme="minorHAnsi"/>
          <w:i/>
          <w:sz w:val="21"/>
          <w:szCs w:val="21"/>
        </w:rPr>
        <w:t xml:space="preserve"> and </w:t>
      </w:r>
      <w:r w:rsidR="00D56161">
        <w:rPr>
          <w:rFonts w:asciiTheme="minorHAnsi" w:hAnsiTheme="minorHAnsi" w:cstheme="minorHAnsi"/>
          <w:i/>
          <w:sz w:val="21"/>
          <w:szCs w:val="21"/>
        </w:rPr>
        <w:t>most</w:t>
      </w:r>
      <w:r w:rsidR="00E16F49">
        <w:rPr>
          <w:rFonts w:asciiTheme="minorHAnsi" w:hAnsiTheme="minorHAnsi" w:cstheme="minorHAnsi"/>
          <w:i/>
          <w:sz w:val="21"/>
          <w:szCs w:val="21"/>
        </w:rPr>
        <w:t xml:space="preserve"> </w:t>
      </w:r>
      <w:r w:rsidR="00237ADB">
        <w:rPr>
          <w:rFonts w:asciiTheme="minorHAnsi" w:hAnsiTheme="minorHAnsi" w:cstheme="minorHAnsi"/>
          <w:i/>
          <w:sz w:val="21"/>
          <w:szCs w:val="21"/>
        </w:rPr>
        <w:t>key leadership roles have now been filled</w:t>
      </w:r>
      <w:r w:rsidR="00603FC2">
        <w:rPr>
          <w:rFonts w:asciiTheme="minorHAnsi" w:hAnsiTheme="minorHAnsi" w:cstheme="minorHAnsi"/>
          <w:i/>
          <w:sz w:val="21"/>
          <w:szCs w:val="21"/>
        </w:rPr>
        <w:t xml:space="preserve">. </w:t>
      </w:r>
      <w:r w:rsidR="009749F9">
        <w:rPr>
          <w:rFonts w:asciiTheme="minorHAnsi" w:hAnsiTheme="minorHAnsi" w:cstheme="minorHAnsi"/>
          <w:i/>
          <w:sz w:val="21"/>
          <w:szCs w:val="21"/>
        </w:rPr>
        <w:t>I</w:t>
      </w:r>
      <w:r w:rsidR="00B8591F">
        <w:rPr>
          <w:rFonts w:asciiTheme="minorHAnsi" w:hAnsiTheme="minorHAnsi" w:cstheme="minorHAnsi"/>
          <w:i/>
          <w:sz w:val="21"/>
          <w:szCs w:val="21"/>
        </w:rPr>
        <w:t xml:space="preserve">mportant decisions </w:t>
      </w:r>
      <w:r w:rsidR="00A22451">
        <w:rPr>
          <w:rFonts w:asciiTheme="minorHAnsi" w:hAnsiTheme="minorHAnsi" w:cstheme="minorHAnsi"/>
          <w:i/>
          <w:sz w:val="21"/>
          <w:szCs w:val="21"/>
        </w:rPr>
        <w:t xml:space="preserve">are progressing on </w:t>
      </w:r>
      <w:r w:rsidR="00827E52">
        <w:rPr>
          <w:rFonts w:asciiTheme="minorHAnsi" w:hAnsiTheme="minorHAnsi" w:cstheme="minorHAnsi"/>
          <w:i/>
          <w:sz w:val="21"/>
          <w:szCs w:val="21"/>
        </w:rPr>
        <w:t xml:space="preserve">our </w:t>
      </w:r>
      <w:r w:rsidR="00B8591F">
        <w:rPr>
          <w:rFonts w:asciiTheme="minorHAnsi" w:hAnsiTheme="minorHAnsi" w:cstheme="minorHAnsi"/>
          <w:i/>
          <w:sz w:val="21"/>
          <w:szCs w:val="21"/>
        </w:rPr>
        <w:t xml:space="preserve">technology </w:t>
      </w:r>
      <w:r w:rsidR="00C20BDE">
        <w:rPr>
          <w:rFonts w:asciiTheme="minorHAnsi" w:hAnsiTheme="minorHAnsi" w:cstheme="minorHAnsi"/>
          <w:i/>
          <w:sz w:val="21"/>
          <w:szCs w:val="21"/>
        </w:rPr>
        <w:t>plans</w:t>
      </w:r>
      <w:r w:rsidR="00237ADB">
        <w:rPr>
          <w:rFonts w:asciiTheme="minorHAnsi" w:hAnsiTheme="minorHAnsi" w:cstheme="minorHAnsi"/>
          <w:i/>
          <w:sz w:val="21"/>
          <w:szCs w:val="21"/>
        </w:rPr>
        <w:t xml:space="preserve"> and we are aligning our regulatory </w:t>
      </w:r>
      <w:r w:rsidR="00ED33AA">
        <w:rPr>
          <w:rFonts w:asciiTheme="minorHAnsi" w:hAnsiTheme="minorHAnsi" w:cstheme="minorHAnsi"/>
          <w:i/>
          <w:sz w:val="21"/>
          <w:szCs w:val="21"/>
        </w:rPr>
        <w:t xml:space="preserve">and responsible gambling </w:t>
      </w:r>
      <w:r w:rsidR="00237ADB">
        <w:rPr>
          <w:rFonts w:asciiTheme="minorHAnsi" w:hAnsiTheme="minorHAnsi" w:cstheme="minorHAnsi"/>
          <w:i/>
          <w:sz w:val="21"/>
          <w:szCs w:val="21"/>
        </w:rPr>
        <w:t xml:space="preserve">approach across the expanded </w:t>
      </w:r>
      <w:r w:rsidR="005A05F6">
        <w:rPr>
          <w:rFonts w:asciiTheme="minorHAnsi" w:hAnsiTheme="minorHAnsi" w:cstheme="minorHAnsi"/>
          <w:i/>
          <w:sz w:val="21"/>
          <w:szCs w:val="21"/>
        </w:rPr>
        <w:t>G</w:t>
      </w:r>
      <w:r w:rsidR="00237ADB">
        <w:rPr>
          <w:rFonts w:asciiTheme="minorHAnsi" w:hAnsiTheme="minorHAnsi" w:cstheme="minorHAnsi"/>
          <w:i/>
          <w:sz w:val="21"/>
          <w:szCs w:val="21"/>
        </w:rPr>
        <w:t>roup</w:t>
      </w:r>
      <w:r w:rsidR="00B8591F">
        <w:rPr>
          <w:rFonts w:asciiTheme="minorHAnsi" w:hAnsiTheme="minorHAnsi" w:cstheme="minorHAnsi"/>
          <w:i/>
          <w:sz w:val="21"/>
          <w:szCs w:val="21"/>
        </w:rPr>
        <w:t xml:space="preserve">. In Australia, </w:t>
      </w:r>
      <w:r w:rsidR="00125B2B">
        <w:rPr>
          <w:rFonts w:asciiTheme="minorHAnsi" w:hAnsiTheme="minorHAnsi" w:cstheme="minorHAnsi"/>
          <w:i/>
          <w:sz w:val="21"/>
          <w:szCs w:val="21"/>
        </w:rPr>
        <w:t xml:space="preserve">integration is particularly well advanced and </w:t>
      </w:r>
      <w:r w:rsidR="00C20BDE">
        <w:rPr>
          <w:rFonts w:asciiTheme="minorHAnsi" w:hAnsiTheme="minorHAnsi" w:cstheme="minorHAnsi"/>
          <w:i/>
          <w:sz w:val="21"/>
          <w:szCs w:val="21"/>
        </w:rPr>
        <w:t xml:space="preserve">we </w:t>
      </w:r>
      <w:r w:rsidR="00125B2B">
        <w:rPr>
          <w:rFonts w:asciiTheme="minorHAnsi" w:hAnsiTheme="minorHAnsi" w:cstheme="minorHAnsi"/>
          <w:i/>
          <w:sz w:val="21"/>
          <w:szCs w:val="21"/>
        </w:rPr>
        <w:t xml:space="preserve">will </w:t>
      </w:r>
      <w:r w:rsidR="00C20BDE">
        <w:rPr>
          <w:rFonts w:asciiTheme="minorHAnsi" w:hAnsiTheme="minorHAnsi" w:cstheme="minorHAnsi"/>
          <w:i/>
          <w:sz w:val="21"/>
          <w:szCs w:val="21"/>
        </w:rPr>
        <w:t xml:space="preserve">migrate </w:t>
      </w:r>
      <w:r w:rsidR="00B8591F">
        <w:rPr>
          <w:rFonts w:asciiTheme="minorHAnsi" w:hAnsiTheme="minorHAnsi" w:cstheme="minorHAnsi"/>
          <w:i/>
          <w:sz w:val="21"/>
          <w:szCs w:val="21"/>
        </w:rPr>
        <w:t xml:space="preserve">BetEasy customers </w:t>
      </w:r>
      <w:r w:rsidR="00C20BDE">
        <w:rPr>
          <w:rFonts w:asciiTheme="minorHAnsi" w:hAnsiTheme="minorHAnsi" w:cstheme="minorHAnsi"/>
          <w:i/>
          <w:sz w:val="21"/>
          <w:szCs w:val="21"/>
        </w:rPr>
        <w:t xml:space="preserve">over </w:t>
      </w:r>
      <w:r w:rsidR="00B8591F">
        <w:rPr>
          <w:rFonts w:asciiTheme="minorHAnsi" w:hAnsiTheme="minorHAnsi" w:cstheme="minorHAnsi"/>
          <w:i/>
          <w:sz w:val="21"/>
          <w:szCs w:val="21"/>
        </w:rPr>
        <w:t>to Sportsbet</w:t>
      </w:r>
      <w:r w:rsidR="00125B2B">
        <w:rPr>
          <w:rFonts w:asciiTheme="minorHAnsi" w:hAnsiTheme="minorHAnsi" w:cstheme="minorHAnsi"/>
          <w:i/>
          <w:sz w:val="21"/>
          <w:szCs w:val="21"/>
        </w:rPr>
        <w:t xml:space="preserve"> imminently</w:t>
      </w:r>
      <w:r w:rsidR="00B8591F">
        <w:rPr>
          <w:rFonts w:asciiTheme="minorHAnsi" w:hAnsiTheme="minorHAnsi" w:cstheme="minorHAnsi"/>
          <w:i/>
          <w:sz w:val="21"/>
          <w:szCs w:val="21"/>
        </w:rPr>
        <w:t xml:space="preserve">. </w:t>
      </w:r>
      <w:r w:rsidR="00B8591F" w:rsidRPr="00880C94">
        <w:rPr>
          <w:rFonts w:asciiTheme="minorHAnsi" w:hAnsiTheme="minorHAnsi" w:cstheme="minorHAnsi"/>
          <w:i/>
          <w:sz w:val="21"/>
          <w:szCs w:val="21"/>
        </w:rPr>
        <w:t xml:space="preserve">We </w:t>
      </w:r>
      <w:r w:rsidR="00C20F25">
        <w:rPr>
          <w:rFonts w:asciiTheme="minorHAnsi" w:hAnsiTheme="minorHAnsi" w:cstheme="minorHAnsi"/>
          <w:i/>
          <w:sz w:val="21"/>
          <w:szCs w:val="21"/>
        </w:rPr>
        <w:t xml:space="preserve">plan to </w:t>
      </w:r>
      <w:r w:rsidR="00B8591F" w:rsidRPr="00880C94">
        <w:rPr>
          <w:rFonts w:asciiTheme="minorHAnsi" w:hAnsiTheme="minorHAnsi" w:cstheme="minorHAnsi"/>
          <w:i/>
          <w:sz w:val="21"/>
          <w:szCs w:val="21"/>
        </w:rPr>
        <w:t xml:space="preserve">provide a </w:t>
      </w:r>
      <w:r w:rsidR="00A22451">
        <w:rPr>
          <w:rFonts w:asciiTheme="minorHAnsi" w:hAnsiTheme="minorHAnsi" w:cstheme="minorHAnsi"/>
          <w:i/>
          <w:sz w:val="21"/>
          <w:szCs w:val="21"/>
        </w:rPr>
        <w:t xml:space="preserve">more detailed </w:t>
      </w:r>
      <w:r w:rsidR="00B8591F">
        <w:rPr>
          <w:rFonts w:asciiTheme="minorHAnsi" w:hAnsiTheme="minorHAnsi" w:cstheme="minorHAnsi"/>
          <w:i/>
          <w:sz w:val="21"/>
          <w:szCs w:val="21"/>
        </w:rPr>
        <w:t xml:space="preserve">strategic </w:t>
      </w:r>
      <w:r w:rsidR="00A22451">
        <w:rPr>
          <w:rFonts w:asciiTheme="minorHAnsi" w:hAnsiTheme="minorHAnsi" w:cstheme="minorHAnsi"/>
          <w:i/>
          <w:sz w:val="21"/>
          <w:szCs w:val="21"/>
        </w:rPr>
        <w:t>update</w:t>
      </w:r>
      <w:r w:rsidR="00B8591F">
        <w:rPr>
          <w:rFonts w:asciiTheme="minorHAnsi" w:hAnsiTheme="minorHAnsi" w:cstheme="minorHAnsi"/>
          <w:i/>
          <w:sz w:val="21"/>
          <w:szCs w:val="21"/>
        </w:rPr>
        <w:t>, as well as a</w:t>
      </w:r>
      <w:r w:rsidR="00A22451">
        <w:rPr>
          <w:rFonts w:asciiTheme="minorHAnsi" w:hAnsiTheme="minorHAnsi" w:cstheme="minorHAnsi"/>
          <w:i/>
          <w:sz w:val="21"/>
          <w:szCs w:val="21"/>
        </w:rPr>
        <w:t xml:space="preserve"> synergy</w:t>
      </w:r>
      <w:r w:rsidR="00B8591F">
        <w:rPr>
          <w:rFonts w:asciiTheme="minorHAnsi" w:hAnsiTheme="minorHAnsi" w:cstheme="minorHAnsi"/>
          <w:i/>
          <w:sz w:val="21"/>
          <w:szCs w:val="21"/>
        </w:rPr>
        <w:t xml:space="preserve"> update</w:t>
      </w:r>
      <w:r w:rsidR="00C20F25">
        <w:rPr>
          <w:rFonts w:asciiTheme="minorHAnsi" w:hAnsiTheme="minorHAnsi" w:cstheme="minorHAnsi"/>
          <w:i/>
          <w:sz w:val="21"/>
          <w:szCs w:val="21"/>
        </w:rPr>
        <w:t>,</w:t>
      </w:r>
      <w:r w:rsidR="00B8591F">
        <w:rPr>
          <w:rFonts w:asciiTheme="minorHAnsi" w:hAnsiTheme="minorHAnsi" w:cstheme="minorHAnsi"/>
          <w:i/>
          <w:sz w:val="21"/>
          <w:szCs w:val="21"/>
        </w:rPr>
        <w:t xml:space="preserve"> </w:t>
      </w:r>
      <w:r w:rsidR="00B8591F" w:rsidRPr="00880C94">
        <w:rPr>
          <w:rFonts w:asciiTheme="minorHAnsi" w:hAnsiTheme="minorHAnsi" w:cstheme="minorHAnsi"/>
          <w:i/>
          <w:sz w:val="21"/>
          <w:szCs w:val="21"/>
        </w:rPr>
        <w:t xml:space="preserve">at </w:t>
      </w:r>
      <w:r w:rsidR="00125B2B">
        <w:rPr>
          <w:rFonts w:asciiTheme="minorHAnsi" w:hAnsiTheme="minorHAnsi" w:cstheme="minorHAnsi"/>
          <w:i/>
          <w:sz w:val="21"/>
          <w:szCs w:val="21"/>
        </w:rPr>
        <w:t xml:space="preserve">the time of </w:t>
      </w:r>
      <w:r w:rsidR="00B8591F" w:rsidRPr="00880C94">
        <w:rPr>
          <w:rFonts w:asciiTheme="minorHAnsi" w:hAnsiTheme="minorHAnsi" w:cstheme="minorHAnsi"/>
          <w:i/>
          <w:sz w:val="21"/>
          <w:szCs w:val="21"/>
        </w:rPr>
        <w:t>our full year results</w:t>
      </w:r>
      <w:r w:rsidR="00B8591F">
        <w:rPr>
          <w:rFonts w:asciiTheme="minorHAnsi" w:hAnsiTheme="minorHAnsi" w:cstheme="minorHAnsi"/>
          <w:i/>
          <w:sz w:val="21"/>
          <w:szCs w:val="21"/>
        </w:rPr>
        <w:t xml:space="preserve"> in March</w:t>
      </w:r>
      <w:r w:rsidR="004B1885">
        <w:rPr>
          <w:rFonts w:asciiTheme="minorHAnsi" w:hAnsiTheme="minorHAnsi" w:cstheme="minorHAnsi"/>
          <w:i/>
          <w:sz w:val="21"/>
          <w:szCs w:val="21"/>
        </w:rPr>
        <w:t xml:space="preserve"> 2021</w:t>
      </w:r>
      <w:r w:rsidR="00B8591F" w:rsidRPr="00880C94">
        <w:rPr>
          <w:rFonts w:asciiTheme="minorHAnsi" w:hAnsiTheme="minorHAnsi" w:cstheme="minorHAnsi"/>
          <w:i/>
          <w:sz w:val="21"/>
          <w:szCs w:val="21"/>
        </w:rPr>
        <w:t>.</w:t>
      </w:r>
    </w:p>
    <w:p w14:paraId="5DC1B23C" w14:textId="77777777" w:rsidR="00B8591F" w:rsidRDefault="00B8591F" w:rsidP="00EC022D">
      <w:pPr>
        <w:jc w:val="both"/>
        <w:rPr>
          <w:rFonts w:asciiTheme="minorHAnsi" w:hAnsiTheme="minorHAnsi" w:cstheme="minorHAnsi"/>
          <w:i/>
          <w:sz w:val="21"/>
          <w:szCs w:val="21"/>
        </w:rPr>
      </w:pPr>
    </w:p>
    <w:p w14:paraId="6ADF933E" w14:textId="77777777" w:rsidR="00BD2897" w:rsidRPr="004667D0" w:rsidRDefault="00E57246" w:rsidP="004667D0">
      <w:pPr>
        <w:jc w:val="both"/>
        <w:rPr>
          <w:rFonts w:asciiTheme="minorHAnsi" w:hAnsiTheme="minorHAnsi"/>
          <w:i/>
          <w:color w:val="FF0000"/>
          <w:sz w:val="18"/>
          <w:szCs w:val="18"/>
        </w:rPr>
      </w:pPr>
      <w:r>
        <w:rPr>
          <w:rFonts w:asciiTheme="minorHAnsi" w:hAnsiTheme="minorHAnsi" w:cstheme="minorHAnsi"/>
          <w:i/>
          <w:sz w:val="21"/>
          <w:szCs w:val="21"/>
        </w:rPr>
        <w:t>The second half has started well</w:t>
      </w:r>
      <w:r w:rsidR="00E10CCC">
        <w:rPr>
          <w:rFonts w:asciiTheme="minorHAnsi" w:hAnsiTheme="minorHAnsi" w:cstheme="minorHAnsi"/>
          <w:i/>
          <w:sz w:val="21"/>
          <w:szCs w:val="21"/>
        </w:rPr>
        <w:t>,</w:t>
      </w:r>
      <w:r w:rsidR="009749F9">
        <w:rPr>
          <w:rFonts w:asciiTheme="minorHAnsi" w:hAnsiTheme="minorHAnsi" w:cstheme="minorHAnsi"/>
          <w:i/>
          <w:sz w:val="21"/>
          <w:szCs w:val="21"/>
        </w:rPr>
        <w:t xml:space="preserve"> with good sports</w:t>
      </w:r>
      <w:r w:rsidR="00281E2A">
        <w:rPr>
          <w:rFonts w:asciiTheme="minorHAnsi" w:hAnsiTheme="minorHAnsi" w:cstheme="minorHAnsi"/>
          <w:i/>
          <w:sz w:val="21"/>
          <w:szCs w:val="21"/>
        </w:rPr>
        <w:t xml:space="preserve"> </w:t>
      </w:r>
      <w:r w:rsidR="009749F9">
        <w:rPr>
          <w:rFonts w:asciiTheme="minorHAnsi" w:hAnsiTheme="minorHAnsi" w:cstheme="minorHAnsi"/>
          <w:i/>
          <w:sz w:val="21"/>
          <w:szCs w:val="21"/>
        </w:rPr>
        <w:t xml:space="preserve">betting performance </w:t>
      </w:r>
      <w:r w:rsidR="00670B93">
        <w:rPr>
          <w:rFonts w:asciiTheme="minorHAnsi" w:hAnsiTheme="minorHAnsi" w:cstheme="minorHAnsi"/>
          <w:i/>
          <w:sz w:val="21"/>
          <w:szCs w:val="21"/>
        </w:rPr>
        <w:t>following the return</w:t>
      </w:r>
      <w:r w:rsidR="009749F9">
        <w:rPr>
          <w:rFonts w:asciiTheme="minorHAnsi" w:hAnsiTheme="minorHAnsi" w:cstheme="minorHAnsi"/>
          <w:i/>
          <w:sz w:val="21"/>
          <w:szCs w:val="21"/>
        </w:rPr>
        <w:t xml:space="preserve"> of</w:t>
      </w:r>
      <w:r w:rsidR="004C44A6">
        <w:rPr>
          <w:rFonts w:asciiTheme="minorHAnsi" w:hAnsiTheme="minorHAnsi" w:cstheme="minorHAnsi"/>
          <w:i/>
          <w:sz w:val="21"/>
          <w:szCs w:val="21"/>
        </w:rPr>
        <w:t xml:space="preserve"> major sport</w:t>
      </w:r>
      <w:r w:rsidR="0061763F">
        <w:rPr>
          <w:rFonts w:asciiTheme="minorHAnsi" w:hAnsiTheme="minorHAnsi" w:cstheme="minorHAnsi"/>
          <w:i/>
          <w:sz w:val="21"/>
          <w:szCs w:val="21"/>
        </w:rPr>
        <w:t xml:space="preserve"> events</w:t>
      </w:r>
      <w:r w:rsidR="004B1885">
        <w:rPr>
          <w:rFonts w:asciiTheme="minorHAnsi" w:hAnsiTheme="minorHAnsi" w:cstheme="minorHAnsi"/>
          <w:i/>
          <w:sz w:val="21"/>
          <w:szCs w:val="21"/>
        </w:rPr>
        <w:t>, whilst g</w:t>
      </w:r>
      <w:r w:rsidR="00E10CCC">
        <w:rPr>
          <w:rFonts w:asciiTheme="minorHAnsi" w:hAnsiTheme="minorHAnsi" w:cstheme="minorHAnsi"/>
          <w:i/>
          <w:sz w:val="21"/>
          <w:szCs w:val="21"/>
        </w:rPr>
        <w:t xml:space="preserve">aming performance has </w:t>
      </w:r>
      <w:r w:rsidR="0061763F">
        <w:rPr>
          <w:rFonts w:asciiTheme="minorHAnsi" w:hAnsiTheme="minorHAnsi" w:cstheme="minorHAnsi"/>
          <w:i/>
          <w:sz w:val="21"/>
          <w:szCs w:val="21"/>
        </w:rPr>
        <w:t xml:space="preserve">remained </w:t>
      </w:r>
      <w:r w:rsidR="004C44A6">
        <w:rPr>
          <w:rFonts w:asciiTheme="minorHAnsi" w:hAnsiTheme="minorHAnsi" w:cstheme="minorHAnsi"/>
          <w:i/>
          <w:sz w:val="21"/>
          <w:szCs w:val="21"/>
        </w:rPr>
        <w:t>resilient</w:t>
      </w:r>
      <w:r>
        <w:rPr>
          <w:rFonts w:asciiTheme="minorHAnsi" w:hAnsiTheme="minorHAnsi" w:cstheme="minorHAnsi"/>
          <w:i/>
          <w:sz w:val="21"/>
          <w:szCs w:val="21"/>
        </w:rPr>
        <w:t xml:space="preserve">. </w:t>
      </w:r>
      <w:r w:rsidR="00ED33AA">
        <w:rPr>
          <w:rFonts w:asciiTheme="minorHAnsi" w:hAnsiTheme="minorHAnsi" w:cstheme="minorHAnsi"/>
          <w:i/>
          <w:sz w:val="21"/>
          <w:szCs w:val="21"/>
        </w:rPr>
        <w:t xml:space="preserve">Looking ahead, </w:t>
      </w:r>
      <w:r w:rsidR="0061763F">
        <w:rPr>
          <w:rFonts w:asciiTheme="minorHAnsi" w:hAnsiTheme="minorHAnsi" w:cstheme="minorHAnsi"/>
          <w:i/>
          <w:sz w:val="21"/>
          <w:szCs w:val="21"/>
        </w:rPr>
        <w:t>w</w:t>
      </w:r>
      <w:r w:rsidR="004C44A6">
        <w:rPr>
          <w:rFonts w:asciiTheme="minorHAnsi" w:hAnsiTheme="minorHAnsi" w:cstheme="minorHAnsi"/>
          <w:i/>
          <w:sz w:val="21"/>
          <w:szCs w:val="21"/>
        </w:rPr>
        <w:t xml:space="preserve">e have identified </w:t>
      </w:r>
      <w:r w:rsidR="00C20BDE">
        <w:rPr>
          <w:rFonts w:asciiTheme="minorHAnsi" w:hAnsiTheme="minorHAnsi" w:cstheme="minorHAnsi"/>
          <w:i/>
          <w:sz w:val="21"/>
          <w:szCs w:val="21"/>
        </w:rPr>
        <w:t xml:space="preserve">promising opportunities to increase </w:t>
      </w:r>
      <w:r w:rsidR="004C44A6">
        <w:rPr>
          <w:rFonts w:asciiTheme="minorHAnsi" w:hAnsiTheme="minorHAnsi" w:cstheme="minorHAnsi"/>
          <w:i/>
          <w:sz w:val="21"/>
          <w:szCs w:val="21"/>
        </w:rPr>
        <w:t>investment</w:t>
      </w:r>
      <w:r w:rsidR="00C20BDE">
        <w:rPr>
          <w:rFonts w:asciiTheme="minorHAnsi" w:hAnsiTheme="minorHAnsi" w:cstheme="minorHAnsi"/>
          <w:i/>
          <w:sz w:val="21"/>
          <w:szCs w:val="21"/>
        </w:rPr>
        <w:t xml:space="preserve"> across </w:t>
      </w:r>
      <w:r w:rsidR="00827E52">
        <w:rPr>
          <w:rFonts w:asciiTheme="minorHAnsi" w:hAnsiTheme="minorHAnsi" w:cstheme="minorHAnsi"/>
          <w:i/>
          <w:sz w:val="21"/>
          <w:szCs w:val="21"/>
        </w:rPr>
        <w:t xml:space="preserve">the </w:t>
      </w:r>
      <w:r w:rsidR="00596D54">
        <w:rPr>
          <w:rFonts w:asciiTheme="minorHAnsi" w:hAnsiTheme="minorHAnsi" w:cstheme="minorHAnsi"/>
          <w:i/>
          <w:sz w:val="21"/>
          <w:szCs w:val="21"/>
        </w:rPr>
        <w:t>Group</w:t>
      </w:r>
      <w:r w:rsidR="00827E52">
        <w:rPr>
          <w:rFonts w:asciiTheme="minorHAnsi" w:hAnsiTheme="minorHAnsi" w:cstheme="minorHAnsi"/>
          <w:i/>
          <w:sz w:val="21"/>
          <w:szCs w:val="21"/>
        </w:rPr>
        <w:t xml:space="preserve"> and</w:t>
      </w:r>
      <w:r w:rsidR="00596D54">
        <w:rPr>
          <w:rFonts w:asciiTheme="minorHAnsi" w:hAnsiTheme="minorHAnsi" w:cstheme="minorHAnsi"/>
          <w:i/>
          <w:sz w:val="21"/>
          <w:szCs w:val="21"/>
        </w:rPr>
        <w:t>,</w:t>
      </w:r>
      <w:r w:rsidR="00827E52">
        <w:rPr>
          <w:rFonts w:asciiTheme="minorHAnsi" w:hAnsiTheme="minorHAnsi" w:cstheme="minorHAnsi"/>
          <w:i/>
          <w:sz w:val="21"/>
          <w:szCs w:val="21"/>
        </w:rPr>
        <w:t xml:space="preserve"> while </w:t>
      </w:r>
      <w:r w:rsidR="009749F9">
        <w:rPr>
          <w:rFonts w:asciiTheme="minorHAnsi" w:hAnsiTheme="minorHAnsi" w:cstheme="minorHAnsi"/>
          <w:i/>
          <w:sz w:val="21"/>
          <w:szCs w:val="21"/>
        </w:rPr>
        <w:t xml:space="preserve">the outlook </w:t>
      </w:r>
      <w:r w:rsidR="00801CEA">
        <w:rPr>
          <w:rFonts w:asciiTheme="minorHAnsi" w:hAnsiTheme="minorHAnsi" w:cstheme="minorHAnsi"/>
          <w:i/>
          <w:sz w:val="21"/>
          <w:szCs w:val="21"/>
        </w:rPr>
        <w:t xml:space="preserve">with respect to Covid-19 </w:t>
      </w:r>
      <w:r w:rsidR="009749F9">
        <w:rPr>
          <w:rFonts w:asciiTheme="minorHAnsi" w:hAnsiTheme="minorHAnsi" w:cstheme="minorHAnsi"/>
          <w:i/>
          <w:sz w:val="21"/>
          <w:szCs w:val="21"/>
        </w:rPr>
        <w:t>remains highly uncertain,</w:t>
      </w:r>
      <w:r w:rsidR="004C44A6">
        <w:rPr>
          <w:rFonts w:asciiTheme="minorHAnsi" w:hAnsiTheme="minorHAnsi" w:cstheme="minorHAnsi"/>
          <w:i/>
          <w:sz w:val="21"/>
          <w:szCs w:val="21"/>
        </w:rPr>
        <w:t xml:space="preserve"> the diversifi</w:t>
      </w:r>
      <w:r w:rsidR="00596D54">
        <w:rPr>
          <w:rFonts w:asciiTheme="minorHAnsi" w:hAnsiTheme="minorHAnsi" w:cstheme="minorHAnsi"/>
          <w:i/>
          <w:sz w:val="21"/>
          <w:szCs w:val="21"/>
        </w:rPr>
        <w:t>cation</w:t>
      </w:r>
      <w:r w:rsidR="00827E52">
        <w:rPr>
          <w:rFonts w:asciiTheme="minorHAnsi" w:hAnsiTheme="minorHAnsi" w:cstheme="minorHAnsi"/>
          <w:i/>
          <w:sz w:val="21"/>
          <w:szCs w:val="21"/>
        </w:rPr>
        <w:t xml:space="preserve"> </w:t>
      </w:r>
      <w:r w:rsidR="004C44A6">
        <w:rPr>
          <w:rFonts w:asciiTheme="minorHAnsi" w:hAnsiTheme="minorHAnsi" w:cstheme="minorHAnsi"/>
          <w:i/>
          <w:sz w:val="21"/>
          <w:szCs w:val="21"/>
        </w:rPr>
        <w:t xml:space="preserve">of </w:t>
      </w:r>
      <w:r w:rsidR="00D836AB">
        <w:rPr>
          <w:rFonts w:asciiTheme="minorHAnsi" w:hAnsiTheme="minorHAnsi" w:cstheme="minorHAnsi"/>
          <w:i/>
          <w:sz w:val="21"/>
          <w:szCs w:val="21"/>
        </w:rPr>
        <w:t xml:space="preserve">our </w:t>
      </w:r>
      <w:r w:rsidR="004C44A6">
        <w:rPr>
          <w:rFonts w:asciiTheme="minorHAnsi" w:hAnsiTheme="minorHAnsi" w:cstheme="minorHAnsi"/>
          <w:i/>
          <w:sz w:val="21"/>
          <w:szCs w:val="21"/>
        </w:rPr>
        <w:t>Group means we approach the future with confidence.</w:t>
      </w:r>
      <w:r w:rsidR="001D4A90">
        <w:rPr>
          <w:rFonts w:asciiTheme="minorHAnsi" w:hAnsiTheme="minorHAnsi" w:cstheme="minorHAnsi"/>
          <w:i/>
          <w:sz w:val="21"/>
          <w:szCs w:val="21"/>
        </w:rPr>
        <w:t>”</w:t>
      </w:r>
      <w:bookmarkEnd w:id="1"/>
    </w:p>
    <w:p w14:paraId="1E209D7F" w14:textId="77777777" w:rsidR="00880C94" w:rsidRPr="0001653A" w:rsidRDefault="00880C94" w:rsidP="00156D9B">
      <w:pPr>
        <w:jc w:val="both"/>
        <w:rPr>
          <w:rFonts w:asciiTheme="minorHAnsi" w:hAnsiTheme="minorHAnsi"/>
          <w:i/>
          <w:sz w:val="18"/>
          <w:szCs w:val="18"/>
        </w:rPr>
      </w:pPr>
    </w:p>
    <w:p w14:paraId="6446E13C" w14:textId="77777777" w:rsidR="00125B2B" w:rsidRDefault="00125B2B" w:rsidP="00156D9B">
      <w:pPr>
        <w:jc w:val="both"/>
        <w:rPr>
          <w:rFonts w:asciiTheme="minorHAnsi" w:hAnsiTheme="minorHAnsi"/>
          <w:i/>
          <w:sz w:val="18"/>
          <w:szCs w:val="18"/>
        </w:rPr>
      </w:pPr>
    </w:p>
    <w:p w14:paraId="0E3B9B4F" w14:textId="77777777" w:rsidR="00596D54" w:rsidRDefault="00596D54" w:rsidP="00156D9B">
      <w:pPr>
        <w:jc w:val="both"/>
        <w:rPr>
          <w:rFonts w:asciiTheme="minorHAnsi" w:hAnsiTheme="minorHAnsi"/>
          <w:i/>
          <w:sz w:val="18"/>
          <w:szCs w:val="18"/>
        </w:rPr>
      </w:pPr>
    </w:p>
    <w:p w14:paraId="1FC1D761" w14:textId="77777777" w:rsidR="00596D54" w:rsidRDefault="00596D54" w:rsidP="00156D9B">
      <w:pPr>
        <w:jc w:val="both"/>
        <w:rPr>
          <w:rFonts w:asciiTheme="minorHAnsi" w:hAnsiTheme="minorHAnsi"/>
          <w:i/>
          <w:sz w:val="18"/>
          <w:szCs w:val="18"/>
        </w:rPr>
      </w:pPr>
    </w:p>
    <w:p w14:paraId="6A70681F" w14:textId="77777777" w:rsidR="00596D54" w:rsidRDefault="00596D54" w:rsidP="00156D9B">
      <w:pPr>
        <w:jc w:val="both"/>
        <w:rPr>
          <w:rFonts w:asciiTheme="minorHAnsi" w:hAnsiTheme="minorHAnsi"/>
          <w:i/>
          <w:sz w:val="18"/>
          <w:szCs w:val="18"/>
        </w:rPr>
      </w:pPr>
    </w:p>
    <w:p w14:paraId="75575CD4" w14:textId="77777777" w:rsidR="00596D54" w:rsidRDefault="00596D54" w:rsidP="00156D9B">
      <w:pPr>
        <w:jc w:val="both"/>
        <w:rPr>
          <w:rFonts w:asciiTheme="minorHAnsi" w:hAnsiTheme="minorHAnsi"/>
          <w:i/>
          <w:sz w:val="18"/>
          <w:szCs w:val="18"/>
        </w:rPr>
      </w:pPr>
    </w:p>
    <w:p w14:paraId="33911C9D" w14:textId="77777777" w:rsidR="00596D54" w:rsidRDefault="00596D54" w:rsidP="00156D9B">
      <w:pPr>
        <w:jc w:val="both"/>
        <w:rPr>
          <w:rFonts w:asciiTheme="minorHAnsi" w:hAnsiTheme="minorHAnsi"/>
          <w:i/>
          <w:sz w:val="18"/>
          <w:szCs w:val="18"/>
        </w:rPr>
      </w:pPr>
    </w:p>
    <w:p w14:paraId="61038694" w14:textId="77777777" w:rsidR="00125B2B" w:rsidRDefault="00125B2B" w:rsidP="00156D9B">
      <w:pPr>
        <w:jc w:val="both"/>
        <w:rPr>
          <w:rFonts w:asciiTheme="minorHAnsi" w:hAnsiTheme="minorHAnsi"/>
          <w:i/>
          <w:sz w:val="18"/>
          <w:szCs w:val="18"/>
        </w:rPr>
      </w:pPr>
    </w:p>
    <w:p w14:paraId="5F4EC9E9" w14:textId="77777777" w:rsidR="00125B2B" w:rsidRDefault="00125B2B" w:rsidP="00156D9B">
      <w:pPr>
        <w:jc w:val="both"/>
        <w:rPr>
          <w:rFonts w:asciiTheme="minorHAnsi" w:hAnsiTheme="minorHAnsi"/>
          <w:i/>
          <w:sz w:val="18"/>
          <w:szCs w:val="18"/>
        </w:rPr>
      </w:pPr>
    </w:p>
    <w:p w14:paraId="6CA4C9EE" w14:textId="77777777" w:rsidR="00125B2B" w:rsidRDefault="00125B2B" w:rsidP="00156D9B">
      <w:pPr>
        <w:jc w:val="both"/>
        <w:rPr>
          <w:rFonts w:asciiTheme="minorHAnsi" w:hAnsiTheme="minorHAnsi"/>
          <w:i/>
          <w:sz w:val="18"/>
          <w:szCs w:val="18"/>
        </w:rPr>
      </w:pPr>
    </w:p>
    <w:p w14:paraId="08E3AAF2" w14:textId="77777777" w:rsidR="0001019D" w:rsidRPr="0001653A" w:rsidRDefault="0001019D" w:rsidP="00B16C7A">
      <w:pPr>
        <w:jc w:val="both"/>
        <w:rPr>
          <w:rFonts w:asciiTheme="minorHAnsi" w:hAnsiTheme="minorHAnsi"/>
          <w:i/>
          <w:sz w:val="18"/>
          <w:szCs w:val="18"/>
        </w:rPr>
      </w:pPr>
      <w:r w:rsidRPr="0001653A">
        <w:rPr>
          <w:rFonts w:asciiTheme="minorHAnsi" w:hAnsiTheme="minorHAnsi"/>
          <w:i/>
          <w:sz w:val="18"/>
          <w:szCs w:val="18"/>
        </w:rPr>
        <w:lastRenderedPageBreak/>
        <w:t>Notes:</w:t>
      </w:r>
    </w:p>
    <w:p w14:paraId="2121C694" w14:textId="77777777" w:rsidR="00BB7C8C" w:rsidRDefault="00BB7C8C" w:rsidP="00BB7C8C">
      <w:pPr>
        <w:rPr>
          <w:rFonts w:asciiTheme="minorHAnsi" w:hAnsiTheme="minorHAnsi"/>
          <w:color w:val="FF0000"/>
          <w:sz w:val="18"/>
          <w:szCs w:val="18"/>
        </w:rPr>
      </w:pPr>
      <w:r>
        <w:rPr>
          <w:rFonts w:asciiTheme="minorHAnsi" w:hAnsiTheme="minorHAnsi"/>
          <w:i/>
          <w:sz w:val="18"/>
          <w:szCs w:val="18"/>
          <w:vertAlign w:val="superscript"/>
        </w:rPr>
        <w:t>1</w:t>
      </w:r>
      <w:r w:rsidRPr="009F2EC7">
        <w:rPr>
          <w:rFonts w:asciiTheme="minorHAnsi" w:hAnsiTheme="minorHAnsi"/>
          <w:i/>
          <w:sz w:val="18"/>
          <w:szCs w:val="18"/>
          <w:vertAlign w:val="superscript"/>
        </w:rPr>
        <w:t xml:space="preserve"> </w:t>
      </w:r>
      <w:r w:rsidRPr="004A049B">
        <w:rPr>
          <w:rFonts w:asciiTheme="minorHAnsi" w:hAnsiTheme="minorHAnsi"/>
          <w:i/>
          <w:sz w:val="18"/>
          <w:szCs w:val="18"/>
        </w:rPr>
        <w:t>Reported represents the IAS 34 reported numbers.  Where amounts in the table have been normalised for SDIs they are labelled as adjusted.</w:t>
      </w:r>
    </w:p>
    <w:p w14:paraId="27CBEC3E" w14:textId="77777777" w:rsidR="00BB7C8C" w:rsidRDefault="00BB7C8C" w:rsidP="00BB7C8C">
      <w:pPr>
        <w:jc w:val="both"/>
        <w:rPr>
          <w:rFonts w:asciiTheme="minorHAnsi" w:hAnsiTheme="minorHAnsi"/>
          <w:i/>
          <w:sz w:val="18"/>
          <w:szCs w:val="18"/>
        </w:rPr>
      </w:pPr>
      <w:r>
        <w:rPr>
          <w:rFonts w:asciiTheme="minorHAnsi" w:hAnsiTheme="minorHAnsi"/>
          <w:i/>
          <w:sz w:val="18"/>
          <w:szCs w:val="18"/>
          <w:vertAlign w:val="superscript"/>
        </w:rPr>
        <w:t>2</w:t>
      </w:r>
      <w:r w:rsidRPr="009F2EC7">
        <w:rPr>
          <w:rFonts w:asciiTheme="minorHAnsi" w:hAnsiTheme="minorHAnsi"/>
          <w:i/>
          <w:sz w:val="18"/>
          <w:szCs w:val="18"/>
          <w:vertAlign w:val="superscript"/>
        </w:rPr>
        <w:t xml:space="preserve"> </w:t>
      </w:r>
      <w:r w:rsidRPr="00B43EF0">
        <w:rPr>
          <w:rFonts w:asciiTheme="minorHAnsi" w:hAnsiTheme="minorHAnsi"/>
          <w:i/>
          <w:sz w:val="18"/>
          <w:szCs w:val="18"/>
        </w:rPr>
        <w:t xml:space="preserve">Flutter’s combination </w:t>
      </w:r>
      <w:r>
        <w:rPr>
          <w:rFonts w:asciiTheme="minorHAnsi" w:hAnsiTheme="minorHAnsi"/>
          <w:i/>
          <w:sz w:val="18"/>
          <w:szCs w:val="18"/>
        </w:rPr>
        <w:t>w</w:t>
      </w:r>
      <w:r w:rsidRPr="00B43EF0">
        <w:rPr>
          <w:rFonts w:asciiTheme="minorHAnsi" w:hAnsiTheme="minorHAnsi"/>
          <w:i/>
          <w:sz w:val="18"/>
          <w:szCs w:val="18"/>
        </w:rPr>
        <w:t xml:space="preserve">ith TSG completed on May 5 2020. </w:t>
      </w:r>
      <w:r w:rsidRPr="00694F31">
        <w:rPr>
          <w:rFonts w:asciiTheme="minorHAnsi" w:hAnsiTheme="minorHAnsi"/>
          <w:i/>
          <w:sz w:val="18"/>
          <w:szCs w:val="18"/>
        </w:rPr>
        <w:t>The pro f</w:t>
      </w:r>
      <w:r>
        <w:rPr>
          <w:rFonts w:asciiTheme="minorHAnsi" w:hAnsiTheme="minorHAnsi"/>
          <w:i/>
          <w:sz w:val="18"/>
          <w:szCs w:val="18"/>
        </w:rPr>
        <w:t xml:space="preserve">orma numbers presented show the </w:t>
      </w:r>
      <w:r w:rsidRPr="00694F31">
        <w:rPr>
          <w:rFonts w:asciiTheme="minorHAnsi" w:hAnsiTheme="minorHAnsi"/>
          <w:i/>
          <w:sz w:val="18"/>
          <w:szCs w:val="18"/>
        </w:rPr>
        <w:t>Group’s financials with TSG included for a full 6-month period in both 2019 and 2020</w:t>
      </w:r>
      <w:r w:rsidRPr="00B43EF0">
        <w:rPr>
          <w:rFonts w:asciiTheme="minorHAnsi" w:hAnsiTheme="minorHAnsi"/>
          <w:i/>
          <w:sz w:val="18"/>
          <w:szCs w:val="18"/>
        </w:rPr>
        <w:t>. The pro forma numbers include a 6-month contribution from Adjarabet in 2019 (completion date: Feb 1 2019).</w:t>
      </w:r>
      <w:r>
        <w:rPr>
          <w:rFonts w:asciiTheme="minorHAnsi" w:hAnsiTheme="minorHAnsi"/>
          <w:i/>
          <w:sz w:val="18"/>
          <w:szCs w:val="18"/>
        </w:rPr>
        <w:t xml:space="preserve"> See Appendix 4 for a r</w:t>
      </w:r>
      <w:r w:rsidRPr="00845E58">
        <w:rPr>
          <w:rFonts w:asciiTheme="minorHAnsi" w:hAnsiTheme="minorHAnsi"/>
          <w:i/>
          <w:sz w:val="18"/>
          <w:szCs w:val="18"/>
        </w:rPr>
        <w:t>econcil</w:t>
      </w:r>
      <w:r>
        <w:rPr>
          <w:rFonts w:asciiTheme="minorHAnsi" w:hAnsiTheme="minorHAnsi"/>
          <w:i/>
          <w:sz w:val="18"/>
          <w:szCs w:val="18"/>
        </w:rPr>
        <w:t>iation of pro forma results to s</w:t>
      </w:r>
      <w:r w:rsidRPr="00845E58">
        <w:rPr>
          <w:rFonts w:asciiTheme="minorHAnsi" w:hAnsiTheme="minorHAnsi"/>
          <w:i/>
          <w:sz w:val="18"/>
          <w:szCs w:val="18"/>
        </w:rPr>
        <w:t>tatutory results</w:t>
      </w:r>
      <w:r>
        <w:rPr>
          <w:rFonts w:asciiTheme="minorHAnsi" w:hAnsiTheme="minorHAnsi"/>
          <w:i/>
          <w:sz w:val="18"/>
          <w:szCs w:val="18"/>
        </w:rPr>
        <w:t>.</w:t>
      </w:r>
    </w:p>
    <w:p w14:paraId="5532BD25" w14:textId="77777777" w:rsidR="00BB7C8C" w:rsidRPr="009F2EC7" w:rsidRDefault="00BB7C8C" w:rsidP="00BB7C8C">
      <w:pPr>
        <w:jc w:val="both"/>
        <w:rPr>
          <w:rFonts w:asciiTheme="minorHAnsi" w:hAnsiTheme="minorHAnsi"/>
          <w:i/>
          <w:sz w:val="18"/>
          <w:szCs w:val="18"/>
        </w:rPr>
      </w:pPr>
      <w:r w:rsidRPr="009F2EC7">
        <w:rPr>
          <w:rFonts w:asciiTheme="minorHAnsi" w:hAnsiTheme="minorHAnsi"/>
          <w:i/>
          <w:sz w:val="18"/>
          <w:szCs w:val="18"/>
          <w:vertAlign w:val="superscript"/>
        </w:rPr>
        <w:t xml:space="preserve">3 </w:t>
      </w:r>
      <w:r w:rsidRPr="009F2EC7">
        <w:rPr>
          <w:rFonts w:asciiTheme="minorHAnsi" w:hAnsiTheme="minorHAnsi"/>
          <w:i/>
          <w:sz w:val="18"/>
          <w:szCs w:val="18"/>
        </w:rPr>
        <w:t xml:space="preserve">Constant currency (“cc”) growth is calculated by retranslating the non-sterling denominated component of H1 2019 at H1 2020 exchange </w:t>
      </w:r>
      <w:r w:rsidRPr="00700E9A">
        <w:rPr>
          <w:rFonts w:asciiTheme="minorHAnsi" w:hAnsiTheme="minorHAnsi"/>
          <w:i/>
          <w:sz w:val="18"/>
          <w:szCs w:val="18"/>
        </w:rPr>
        <w:t xml:space="preserve">rates </w:t>
      </w:r>
      <w:r w:rsidRPr="00856AC3">
        <w:rPr>
          <w:rFonts w:asciiTheme="minorHAnsi" w:hAnsiTheme="minorHAnsi"/>
          <w:i/>
          <w:sz w:val="18"/>
          <w:szCs w:val="18"/>
        </w:rPr>
        <w:t xml:space="preserve">(see Appendix </w:t>
      </w:r>
      <w:r>
        <w:rPr>
          <w:rFonts w:asciiTheme="minorHAnsi" w:hAnsiTheme="minorHAnsi"/>
          <w:i/>
          <w:sz w:val="18"/>
          <w:szCs w:val="18"/>
        </w:rPr>
        <w:t>5</w:t>
      </w:r>
      <w:r w:rsidRPr="00856AC3">
        <w:rPr>
          <w:rFonts w:asciiTheme="minorHAnsi" w:hAnsiTheme="minorHAnsi"/>
          <w:i/>
          <w:sz w:val="18"/>
          <w:szCs w:val="18"/>
        </w:rPr>
        <w:t>).</w:t>
      </w:r>
      <w:r w:rsidR="00CA2EED">
        <w:rPr>
          <w:rFonts w:asciiTheme="minorHAnsi" w:hAnsiTheme="minorHAnsi"/>
          <w:i/>
          <w:sz w:val="18"/>
          <w:szCs w:val="18"/>
        </w:rPr>
        <w:t xml:space="preserve"> </w:t>
      </w:r>
      <w:r w:rsidR="00CA2EED" w:rsidRPr="00CA2EED">
        <w:rPr>
          <w:rFonts w:asciiTheme="minorHAnsi" w:hAnsiTheme="minorHAnsi"/>
          <w:i/>
          <w:sz w:val="18"/>
          <w:szCs w:val="18"/>
        </w:rPr>
        <w:t>Growth rates in the commentary are in local or constant currency except reported numbers which are in nominal currency.</w:t>
      </w:r>
    </w:p>
    <w:p w14:paraId="168F1E3E" w14:textId="77777777" w:rsidR="00BB7C8C" w:rsidRDefault="00BB7C8C" w:rsidP="00BB7C8C">
      <w:pPr>
        <w:jc w:val="both"/>
        <w:rPr>
          <w:rFonts w:asciiTheme="minorHAnsi" w:hAnsiTheme="minorHAnsi"/>
          <w:i/>
          <w:sz w:val="18"/>
          <w:szCs w:val="18"/>
        </w:rPr>
      </w:pPr>
      <w:r>
        <w:rPr>
          <w:rFonts w:asciiTheme="minorHAnsi" w:hAnsiTheme="minorHAnsi"/>
          <w:i/>
          <w:sz w:val="18"/>
          <w:szCs w:val="18"/>
          <w:vertAlign w:val="superscript"/>
        </w:rPr>
        <w:t>4</w:t>
      </w:r>
      <w:r w:rsidRPr="009F2EC7">
        <w:rPr>
          <w:rFonts w:asciiTheme="minorHAnsi" w:hAnsiTheme="minorHAnsi"/>
          <w:i/>
          <w:sz w:val="18"/>
          <w:szCs w:val="18"/>
          <w:vertAlign w:val="superscript"/>
        </w:rPr>
        <w:t xml:space="preserve"> </w:t>
      </w:r>
      <w:r>
        <w:rPr>
          <w:rFonts w:asciiTheme="minorHAnsi" w:hAnsiTheme="minorHAnsi"/>
          <w:i/>
          <w:sz w:val="18"/>
          <w:szCs w:val="18"/>
        </w:rPr>
        <w:t>Revenue excludes SDIs which relate to a £13.7m refund of VAT from the HMRC, based on the historic incorrect application of VAT to UK gaming machines.</w:t>
      </w:r>
    </w:p>
    <w:p w14:paraId="0B87F649" w14:textId="77777777" w:rsidR="009F2C32" w:rsidRPr="009F2EC7" w:rsidRDefault="00BB7C8C" w:rsidP="00F71D4A">
      <w:pPr>
        <w:jc w:val="both"/>
        <w:rPr>
          <w:rFonts w:asciiTheme="minorHAnsi" w:hAnsiTheme="minorHAnsi"/>
          <w:i/>
          <w:sz w:val="18"/>
          <w:szCs w:val="18"/>
        </w:rPr>
      </w:pPr>
      <w:r>
        <w:rPr>
          <w:rFonts w:asciiTheme="minorHAnsi" w:hAnsiTheme="minorHAnsi"/>
          <w:i/>
          <w:sz w:val="18"/>
          <w:szCs w:val="18"/>
          <w:vertAlign w:val="superscript"/>
        </w:rPr>
        <w:t>5</w:t>
      </w:r>
      <w:r w:rsidR="009F2C32" w:rsidRPr="00F001D6">
        <w:rPr>
          <w:rFonts w:asciiTheme="minorHAnsi" w:hAnsiTheme="minorHAnsi"/>
          <w:i/>
          <w:sz w:val="18"/>
          <w:szCs w:val="18"/>
        </w:rPr>
        <w:t xml:space="preserve"> The “Adjusted</w:t>
      </w:r>
      <w:r w:rsidR="009F2C32" w:rsidRPr="009F2EC7">
        <w:rPr>
          <w:rFonts w:asciiTheme="minorHAnsi" w:hAnsiTheme="minorHAnsi"/>
          <w:i/>
          <w:sz w:val="18"/>
          <w:szCs w:val="18"/>
        </w:rPr>
        <w:t>” measures exclude separately disclosed items that are not part of the usual business activity of the Group,</w:t>
      </w:r>
      <w:r w:rsidR="003A7C06">
        <w:rPr>
          <w:rFonts w:asciiTheme="minorHAnsi" w:hAnsiTheme="minorHAnsi"/>
          <w:i/>
          <w:sz w:val="18"/>
          <w:szCs w:val="18"/>
        </w:rPr>
        <w:t xml:space="preserve"> </w:t>
      </w:r>
      <w:r w:rsidR="009F2C32" w:rsidRPr="009F2EC7">
        <w:rPr>
          <w:rFonts w:asciiTheme="minorHAnsi" w:hAnsiTheme="minorHAnsi"/>
          <w:i/>
          <w:sz w:val="18"/>
          <w:szCs w:val="18"/>
        </w:rPr>
        <w:t xml:space="preserve">and have therefore </w:t>
      </w:r>
      <w:r w:rsidR="004D07D9" w:rsidRPr="009F2EC7">
        <w:rPr>
          <w:rFonts w:asciiTheme="minorHAnsi" w:hAnsiTheme="minorHAnsi"/>
          <w:i/>
          <w:sz w:val="18"/>
          <w:szCs w:val="18"/>
        </w:rPr>
        <w:t xml:space="preserve">been </w:t>
      </w:r>
      <w:r w:rsidR="009F2C32" w:rsidRPr="009F2EC7">
        <w:rPr>
          <w:rFonts w:asciiTheme="minorHAnsi" w:hAnsiTheme="minorHAnsi"/>
          <w:i/>
          <w:sz w:val="18"/>
          <w:szCs w:val="18"/>
        </w:rPr>
        <w:t>reported as “separately disclosed items</w:t>
      </w:r>
      <w:r w:rsidR="00426002">
        <w:rPr>
          <w:rFonts w:asciiTheme="minorHAnsi" w:hAnsiTheme="minorHAnsi"/>
          <w:i/>
          <w:sz w:val="18"/>
          <w:szCs w:val="18"/>
        </w:rPr>
        <w:t xml:space="preserve"> (SDIs)</w:t>
      </w:r>
      <w:r w:rsidR="009F2C32" w:rsidRPr="009F2EC7">
        <w:rPr>
          <w:rFonts w:asciiTheme="minorHAnsi" w:hAnsiTheme="minorHAnsi"/>
          <w:i/>
          <w:sz w:val="18"/>
          <w:szCs w:val="18"/>
        </w:rPr>
        <w:t xml:space="preserve">” </w:t>
      </w:r>
      <w:r w:rsidR="009F2C32" w:rsidRPr="00426002">
        <w:rPr>
          <w:rFonts w:asciiTheme="minorHAnsi" w:hAnsiTheme="minorHAnsi"/>
          <w:i/>
          <w:sz w:val="18"/>
          <w:szCs w:val="18"/>
        </w:rPr>
        <w:t>(</w:t>
      </w:r>
      <w:r w:rsidR="009F2C32" w:rsidRPr="00886A51">
        <w:rPr>
          <w:rFonts w:asciiTheme="minorHAnsi" w:hAnsiTheme="minorHAnsi"/>
          <w:i/>
          <w:sz w:val="18"/>
          <w:szCs w:val="18"/>
        </w:rPr>
        <w:t>see note 5 to the financial statements).</w:t>
      </w:r>
    </w:p>
    <w:p w14:paraId="7A00061D" w14:textId="77777777" w:rsidR="009F2C32" w:rsidRPr="009F2EC7" w:rsidRDefault="00BB7C8C" w:rsidP="00F71D4A">
      <w:pPr>
        <w:jc w:val="both"/>
        <w:rPr>
          <w:rFonts w:asciiTheme="minorHAnsi" w:hAnsiTheme="minorHAnsi"/>
          <w:i/>
          <w:sz w:val="18"/>
          <w:szCs w:val="18"/>
        </w:rPr>
      </w:pPr>
      <w:r>
        <w:rPr>
          <w:rFonts w:asciiTheme="minorHAnsi" w:hAnsiTheme="minorHAnsi"/>
          <w:i/>
          <w:sz w:val="18"/>
          <w:szCs w:val="18"/>
          <w:vertAlign w:val="superscript"/>
        </w:rPr>
        <w:t>6</w:t>
      </w:r>
      <w:r w:rsidR="009F2C32" w:rsidRPr="009F2EC7">
        <w:rPr>
          <w:rFonts w:asciiTheme="minorHAnsi" w:hAnsiTheme="minorHAnsi"/>
          <w:i/>
          <w:sz w:val="18"/>
          <w:szCs w:val="18"/>
          <w:vertAlign w:val="superscript"/>
        </w:rPr>
        <w:t xml:space="preserve"> </w:t>
      </w:r>
      <w:r w:rsidR="009F2C32" w:rsidRPr="009F2EC7">
        <w:rPr>
          <w:rFonts w:asciiTheme="minorHAnsi" w:hAnsiTheme="minorHAnsi"/>
          <w:i/>
          <w:sz w:val="18"/>
          <w:szCs w:val="18"/>
        </w:rPr>
        <w:t>EBITDA is profit before interest, tax, depreciation and amortisation expenses and is a non-GAAP measure</w:t>
      </w:r>
      <w:r w:rsidR="003E663D">
        <w:rPr>
          <w:rFonts w:asciiTheme="minorHAnsi" w:hAnsiTheme="minorHAnsi"/>
          <w:i/>
          <w:sz w:val="18"/>
          <w:szCs w:val="18"/>
        </w:rPr>
        <w:t xml:space="preserve"> post IFRS-16.</w:t>
      </w:r>
    </w:p>
    <w:p w14:paraId="6DF77E31" w14:textId="77777777" w:rsidR="00BB7C8C" w:rsidRDefault="00BB7C8C" w:rsidP="00BB7C8C">
      <w:pPr>
        <w:jc w:val="both"/>
        <w:rPr>
          <w:rFonts w:asciiTheme="minorHAnsi" w:hAnsiTheme="minorHAnsi"/>
          <w:i/>
          <w:sz w:val="18"/>
          <w:szCs w:val="18"/>
        </w:rPr>
      </w:pPr>
      <w:r>
        <w:rPr>
          <w:rFonts w:asciiTheme="minorHAnsi" w:hAnsiTheme="minorHAnsi"/>
          <w:i/>
          <w:sz w:val="18"/>
          <w:szCs w:val="18"/>
          <w:vertAlign w:val="superscript"/>
        </w:rPr>
        <w:t>7</w:t>
      </w:r>
      <w:r w:rsidRPr="009F2EC7">
        <w:rPr>
          <w:rFonts w:asciiTheme="minorHAnsi" w:hAnsiTheme="minorHAnsi"/>
          <w:i/>
          <w:sz w:val="18"/>
          <w:szCs w:val="18"/>
          <w:vertAlign w:val="superscript"/>
        </w:rPr>
        <w:t xml:space="preserve"> </w:t>
      </w:r>
      <w:r w:rsidRPr="00456A99">
        <w:rPr>
          <w:rFonts w:asciiTheme="minorHAnsi" w:hAnsiTheme="minorHAnsi"/>
          <w:i/>
          <w:sz w:val="18"/>
          <w:szCs w:val="18"/>
        </w:rPr>
        <w:t>The 2019 earnings per share figures have been restated to incorporate the 1,312,260 new Flutter ordinary shares that were issued in May 2020 as payment of the 2019 final dividend. The weighted average number of shares in issue during the period was adjusted to include these bonus shares as if they were issued 1 January, 2019</w:t>
      </w:r>
      <w:r>
        <w:rPr>
          <w:rFonts w:asciiTheme="minorHAnsi" w:hAnsiTheme="minorHAnsi"/>
          <w:i/>
          <w:sz w:val="18"/>
          <w:szCs w:val="18"/>
        </w:rPr>
        <w:t>.</w:t>
      </w:r>
    </w:p>
    <w:p w14:paraId="4AB12126" w14:textId="77777777" w:rsidR="00BB7C8C" w:rsidRPr="00C9669A" w:rsidRDefault="00BB7C8C" w:rsidP="00BB7C8C">
      <w:pPr>
        <w:jc w:val="both"/>
        <w:rPr>
          <w:rFonts w:asciiTheme="minorHAnsi" w:hAnsiTheme="minorHAnsi"/>
          <w:i/>
          <w:sz w:val="18"/>
          <w:szCs w:val="18"/>
        </w:rPr>
      </w:pPr>
      <w:r>
        <w:rPr>
          <w:rFonts w:asciiTheme="minorHAnsi" w:hAnsiTheme="minorHAnsi"/>
          <w:i/>
          <w:sz w:val="18"/>
          <w:szCs w:val="18"/>
          <w:vertAlign w:val="superscript"/>
        </w:rPr>
        <w:t>8</w:t>
      </w:r>
      <w:r w:rsidRPr="009F2EC7">
        <w:rPr>
          <w:rFonts w:asciiTheme="minorHAnsi" w:hAnsiTheme="minorHAnsi"/>
          <w:i/>
          <w:sz w:val="18"/>
          <w:szCs w:val="18"/>
          <w:vertAlign w:val="superscript"/>
        </w:rPr>
        <w:t xml:space="preserve"> </w:t>
      </w:r>
      <w:r>
        <w:rPr>
          <w:rFonts w:asciiTheme="minorHAnsi" w:hAnsiTheme="minorHAnsi"/>
          <w:i/>
          <w:sz w:val="18"/>
          <w:szCs w:val="18"/>
        </w:rPr>
        <w:t>Market share refers to Flutter’s</w:t>
      </w:r>
      <w:r w:rsidRPr="00C9669A">
        <w:rPr>
          <w:rFonts w:asciiTheme="minorHAnsi" w:hAnsiTheme="minorHAnsi"/>
          <w:i/>
          <w:sz w:val="18"/>
          <w:szCs w:val="18"/>
        </w:rPr>
        <w:t xml:space="preserve"> </w:t>
      </w:r>
      <w:r>
        <w:rPr>
          <w:rFonts w:asciiTheme="minorHAnsi" w:hAnsiTheme="minorHAnsi"/>
          <w:i/>
          <w:sz w:val="18"/>
          <w:szCs w:val="18"/>
        </w:rPr>
        <w:t xml:space="preserve">total </w:t>
      </w:r>
      <w:r w:rsidRPr="00C9669A">
        <w:rPr>
          <w:rFonts w:asciiTheme="minorHAnsi" w:hAnsiTheme="minorHAnsi"/>
          <w:i/>
          <w:sz w:val="18"/>
          <w:szCs w:val="18"/>
        </w:rPr>
        <w:t xml:space="preserve">share of the online gross gaming revenue in the states </w:t>
      </w:r>
      <w:r w:rsidR="00844F38">
        <w:rPr>
          <w:rFonts w:asciiTheme="minorHAnsi" w:hAnsiTheme="minorHAnsi"/>
          <w:i/>
          <w:sz w:val="18"/>
          <w:szCs w:val="18"/>
        </w:rPr>
        <w:t>where our sportsbook and gaming products</w:t>
      </w:r>
      <w:r>
        <w:rPr>
          <w:rFonts w:asciiTheme="minorHAnsi" w:hAnsiTheme="minorHAnsi"/>
          <w:i/>
          <w:sz w:val="18"/>
          <w:szCs w:val="18"/>
        </w:rPr>
        <w:t xml:space="preserve"> were</w:t>
      </w:r>
      <w:r w:rsidRPr="00C9669A">
        <w:rPr>
          <w:rFonts w:asciiTheme="minorHAnsi" w:hAnsiTheme="minorHAnsi"/>
          <w:i/>
          <w:sz w:val="18"/>
          <w:szCs w:val="18"/>
        </w:rPr>
        <w:t xml:space="preserve"> live</w:t>
      </w:r>
      <w:r>
        <w:rPr>
          <w:rFonts w:asciiTheme="minorHAnsi" w:hAnsiTheme="minorHAnsi"/>
          <w:i/>
          <w:sz w:val="18"/>
          <w:szCs w:val="18"/>
        </w:rPr>
        <w:t xml:space="preserve"> online</w:t>
      </w:r>
      <w:r w:rsidRPr="00C9669A">
        <w:rPr>
          <w:rFonts w:asciiTheme="minorHAnsi" w:hAnsiTheme="minorHAnsi"/>
          <w:i/>
          <w:sz w:val="18"/>
          <w:szCs w:val="18"/>
        </w:rPr>
        <w:t xml:space="preserve"> in H1. Sports betting: Colorado, In</w:t>
      </w:r>
      <w:r w:rsidR="00844F38">
        <w:rPr>
          <w:rFonts w:asciiTheme="minorHAnsi" w:hAnsiTheme="minorHAnsi"/>
          <w:i/>
          <w:sz w:val="18"/>
          <w:szCs w:val="18"/>
        </w:rPr>
        <w:t>diana, New Jersey, Pennsylvania and</w:t>
      </w:r>
      <w:r w:rsidRPr="00C9669A">
        <w:rPr>
          <w:rFonts w:asciiTheme="minorHAnsi" w:hAnsiTheme="minorHAnsi"/>
          <w:i/>
          <w:sz w:val="18"/>
          <w:szCs w:val="18"/>
        </w:rPr>
        <w:t xml:space="preserve"> West Virginia.</w:t>
      </w:r>
      <w:r w:rsidR="00844F38">
        <w:rPr>
          <w:rFonts w:asciiTheme="minorHAnsi" w:hAnsiTheme="minorHAnsi"/>
          <w:i/>
          <w:sz w:val="18"/>
          <w:szCs w:val="18"/>
        </w:rPr>
        <w:t xml:space="preserve"> </w:t>
      </w:r>
      <w:r w:rsidR="00844F38">
        <w:rPr>
          <w:rFonts w:asciiTheme="minorHAnsi" w:hAnsiTheme="minorHAnsi"/>
          <w:i/>
          <w:iCs/>
          <w:sz w:val="18"/>
          <w:szCs w:val="18"/>
        </w:rPr>
        <w:t>G</w:t>
      </w:r>
      <w:r w:rsidR="00844F38" w:rsidRPr="00844F38">
        <w:rPr>
          <w:rFonts w:asciiTheme="minorHAnsi" w:hAnsiTheme="minorHAnsi"/>
          <w:i/>
          <w:iCs/>
          <w:sz w:val="18"/>
          <w:szCs w:val="18"/>
        </w:rPr>
        <w:t>aming: New Jersey and Pennsylvania</w:t>
      </w:r>
      <w:r w:rsidR="00844F38">
        <w:rPr>
          <w:rFonts w:asciiTheme="minorHAnsi" w:hAnsiTheme="minorHAnsi"/>
          <w:i/>
          <w:iCs/>
          <w:sz w:val="18"/>
          <w:szCs w:val="18"/>
        </w:rPr>
        <w:t>.</w:t>
      </w:r>
    </w:p>
    <w:p w14:paraId="085198AF" w14:textId="77777777" w:rsidR="00224360" w:rsidRDefault="00224360">
      <w:pPr>
        <w:jc w:val="both"/>
        <w:rPr>
          <w:rFonts w:asciiTheme="minorHAnsi" w:hAnsiTheme="minorHAnsi"/>
          <w:i/>
          <w:sz w:val="18"/>
          <w:szCs w:val="18"/>
        </w:rPr>
      </w:pPr>
      <w:r>
        <w:rPr>
          <w:rFonts w:asciiTheme="minorHAnsi" w:hAnsiTheme="minorHAnsi"/>
          <w:i/>
          <w:sz w:val="18"/>
          <w:szCs w:val="18"/>
        </w:rPr>
        <w:t>The leverage ratio is calculated using pro</w:t>
      </w:r>
      <w:r w:rsidR="00956296">
        <w:rPr>
          <w:rFonts w:asciiTheme="minorHAnsi" w:hAnsiTheme="minorHAnsi"/>
          <w:i/>
          <w:sz w:val="18"/>
          <w:szCs w:val="18"/>
        </w:rPr>
        <w:t xml:space="preserve"> </w:t>
      </w:r>
      <w:r>
        <w:rPr>
          <w:rFonts w:asciiTheme="minorHAnsi" w:hAnsiTheme="minorHAnsi"/>
          <w:i/>
          <w:sz w:val="18"/>
          <w:szCs w:val="18"/>
        </w:rPr>
        <w:t>forma Adjusted EBITDA for the 12</w:t>
      </w:r>
      <w:r w:rsidR="00CA7480">
        <w:rPr>
          <w:rFonts w:asciiTheme="minorHAnsi" w:hAnsiTheme="minorHAnsi"/>
          <w:i/>
          <w:sz w:val="18"/>
          <w:szCs w:val="18"/>
        </w:rPr>
        <w:t>-</w:t>
      </w:r>
      <w:r>
        <w:rPr>
          <w:rFonts w:asciiTheme="minorHAnsi" w:hAnsiTheme="minorHAnsi"/>
          <w:i/>
          <w:sz w:val="18"/>
          <w:szCs w:val="18"/>
        </w:rPr>
        <w:t>month period to 30 June 2020</w:t>
      </w:r>
      <w:r w:rsidR="00506B22">
        <w:rPr>
          <w:rFonts w:asciiTheme="minorHAnsi" w:hAnsiTheme="minorHAnsi"/>
          <w:i/>
          <w:sz w:val="18"/>
          <w:szCs w:val="18"/>
        </w:rPr>
        <w:t>.</w:t>
      </w:r>
    </w:p>
    <w:p w14:paraId="3D5B17F0" w14:textId="77777777" w:rsidR="008F6945" w:rsidRDefault="008F6945">
      <w:pPr>
        <w:jc w:val="both"/>
        <w:rPr>
          <w:rFonts w:asciiTheme="minorHAnsi" w:hAnsiTheme="minorHAnsi"/>
          <w:i/>
          <w:sz w:val="18"/>
          <w:szCs w:val="18"/>
        </w:rPr>
      </w:pPr>
      <w:r w:rsidRPr="00C9669A">
        <w:rPr>
          <w:rFonts w:asciiTheme="minorHAnsi" w:hAnsiTheme="minorHAnsi"/>
          <w:i/>
          <w:sz w:val="18"/>
          <w:szCs w:val="18"/>
          <w:vertAlign w:val="superscript"/>
        </w:rPr>
        <w:t>10</w:t>
      </w:r>
      <w:r>
        <w:rPr>
          <w:rFonts w:asciiTheme="minorHAnsi" w:hAnsiTheme="minorHAnsi"/>
          <w:i/>
          <w:sz w:val="18"/>
          <w:szCs w:val="18"/>
        </w:rPr>
        <w:t xml:space="preserve"> Differences due to rounding unless otherwise stated</w:t>
      </w:r>
    </w:p>
    <w:p w14:paraId="6AB22C06" w14:textId="77777777" w:rsidR="004A049B" w:rsidRPr="0001653A" w:rsidRDefault="004A049B" w:rsidP="00856AC3">
      <w:pPr>
        <w:rPr>
          <w:rFonts w:asciiTheme="minorHAnsi" w:hAnsiTheme="minorHAnsi"/>
          <w:color w:val="FF0000"/>
          <w:sz w:val="18"/>
          <w:szCs w:val="18"/>
        </w:rPr>
      </w:pPr>
    </w:p>
    <w:p w14:paraId="504FDA37" w14:textId="77777777" w:rsidR="00E16F49" w:rsidRPr="00A96702" w:rsidRDefault="00D836AB" w:rsidP="003D7BEA">
      <w:pPr>
        <w:jc w:val="both"/>
        <w:rPr>
          <w:rFonts w:asciiTheme="minorHAnsi" w:hAnsiTheme="minorHAnsi"/>
          <w:b/>
          <w:color w:val="FF0000"/>
          <w:sz w:val="22"/>
          <w:szCs w:val="22"/>
          <w:highlight w:val="yellow"/>
        </w:rPr>
      </w:pPr>
      <w:r w:rsidRPr="00A96702">
        <w:rPr>
          <w:rFonts w:asciiTheme="minorHAnsi" w:hAnsiTheme="minorHAnsi"/>
          <w:b/>
          <w:noProof/>
          <w:color w:val="FF0000"/>
          <w:sz w:val="22"/>
          <w:szCs w:val="22"/>
          <w:highlight w:val="yellow"/>
          <w:lang w:val="en-IE" w:eastAsia="en-IE"/>
        </w:rPr>
        <mc:AlternateContent>
          <mc:Choice Requires="wps">
            <w:drawing>
              <wp:anchor distT="0" distB="0" distL="114300" distR="114300" simplePos="0" relativeHeight="251659264" behindDoc="0" locked="0" layoutInCell="1" allowOverlap="1" wp14:anchorId="12EA12B3" wp14:editId="38DC287B">
                <wp:simplePos x="0" y="0"/>
                <wp:positionH relativeFrom="margin">
                  <wp:posOffset>-109855</wp:posOffset>
                </wp:positionH>
                <wp:positionV relativeFrom="paragraph">
                  <wp:posOffset>82550</wp:posOffset>
                </wp:positionV>
                <wp:extent cx="6248400" cy="351282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6248400" cy="35128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92039C" id="Rectangle 1" o:spid="_x0000_s1026" style="position:absolute;margin-left:-8.65pt;margin-top:6.5pt;width:492pt;height:276.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" filled="f" strokecolor="black [3213]">
                <w10:wrap anchorx="margin"/>
              </v:rect>
            </w:pict>
          </mc:Fallback>
        </mc:AlternateContent>
      </w:r>
    </w:p>
    <w:p w14:paraId="2273495F" w14:textId="77777777" w:rsidR="003D7BEA" w:rsidRPr="00EA0A9D" w:rsidRDefault="003D7BEA" w:rsidP="00245BEC">
      <w:pPr>
        <w:tabs>
          <w:tab w:val="left" w:pos="3090"/>
        </w:tabs>
        <w:jc w:val="both"/>
        <w:rPr>
          <w:rFonts w:asciiTheme="minorHAnsi" w:hAnsiTheme="minorHAnsi"/>
          <w:sz w:val="21"/>
          <w:szCs w:val="21"/>
        </w:rPr>
      </w:pPr>
      <w:r w:rsidRPr="00EA0A9D">
        <w:rPr>
          <w:rFonts w:asciiTheme="minorHAnsi" w:hAnsiTheme="minorHAnsi"/>
          <w:b/>
          <w:sz w:val="21"/>
          <w:szCs w:val="21"/>
        </w:rPr>
        <w:t>Analyst briefing:</w:t>
      </w:r>
      <w:r w:rsidRPr="00EA0A9D">
        <w:rPr>
          <w:rFonts w:asciiTheme="minorHAnsi" w:hAnsiTheme="minorHAnsi"/>
          <w:sz w:val="21"/>
          <w:szCs w:val="21"/>
        </w:rPr>
        <w:t> </w:t>
      </w:r>
    </w:p>
    <w:p w14:paraId="3BD28FBD" w14:textId="77777777" w:rsidR="003D7BEA" w:rsidRPr="00C9669A" w:rsidRDefault="003D7BEA" w:rsidP="003D7BEA">
      <w:pPr>
        <w:jc w:val="both"/>
        <w:rPr>
          <w:rFonts w:asciiTheme="minorHAnsi" w:hAnsiTheme="minorHAnsi"/>
          <w:sz w:val="21"/>
          <w:szCs w:val="21"/>
        </w:rPr>
      </w:pPr>
      <w:r w:rsidRPr="00B837FA">
        <w:rPr>
          <w:rFonts w:asciiTheme="minorHAnsi" w:hAnsiTheme="minorHAnsi"/>
          <w:sz w:val="21"/>
          <w:szCs w:val="21"/>
        </w:rPr>
        <w:t xml:space="preserve">The Group will host a </w:t>
      </w:r>
      <w:r w:rsidR="002549A6" w:rsidRPr="00B837FA">
        <w:rPr>
          <w:rFonts w:asciiTheme="minorHAnsi" w:hAnsiTheme="minorHAnsi"/>
          <w:sz w:val="21"/>
          <w:szCs w:val="21"/>
        </w:rPr>
        <w:t xml:space="preserve">questions and answers </w:t>
      </w:r>
      <w:r w:rsidR="00D10AE1" w:rsidRPr="00B837FA">
        <w:rPr>
          <w:rFonts w:asciiTheme="minorHAnsi" w:hAnsiTheme="minorHAnsi"/>
          <w:sz w:val="21"/>
          <w:szCs w:val="21"/>
        </w:rPr>
        <w:t xml:space="preserve">call </w:t>
      </w:r>
      <w:r w:rsidRPr="00B837FA">
        <w:rPr>
          <w:rFonts w:asciiTheme="minorHAnsi" w:hAnsiTheme="minorHAnsi"/>
          <w:sz w:val="21"/>
          <w:szCs w:val="21"/>
        </w:rPr>
        <w:t xml:space="preserve">for institutional investors and analysts this morning at </w:t>
      </w:r>
      <w:r w:rsidR="003706D8" w:rsidRPr="00B837FA">
        <w:rPr>
          <w:rFonts w:asciiTheme="minorHAnsi" w:hAnsiTheme="minorHAnsi"/>
          <w:sz w:val="21"/>
          <w:szCs w:val="21"/>
        </w:rPr>
        <w:t>9</w:t>
      </w:r>
      <w:r w:rsidRPr="00B837FA">
        <w:rPr>
          <w:rFonts w:asciiTheme="minorHAnsi" w:hAnsiTheme="minorHAnsi"/>
          <w:sz w:val="21"/>
          <w:szCs w:val="21"/>
        </w:rPr>
        <w:t>:</w:t>
      </w:r>
      <w:r w:rsidR="00790963" w:rsidRPr="00B837FA">
        <w:rPr>
          <w:rFonts w:asciiTheme="minorHAnsi" w:hAnsiTheme="minorHAnsi"/>
          <w:sz w:val="21"/>
          <w:szCs w:val="21"/>
        </w:rPr>
        <w:t>3</w:t>
      </w:r>
      <w:r w:rsidRPr="00B837FA">
        <w:rPr>
          <w:rFonts w:asciiTheme="minorHAnsi" w:hAnsiTheme="minorHAnsi"/>
          <w:sz w:val="21"/>
          <w:szCs w:val="21"/>
        </w:rPr>
        <w:t>0am (</w:t>
      </w:r>
      <w:r w:rsidR="00711017" w:rsidRPr="00B837FA">
        <w:rPr>
          <w:rFonts w:asciiTheme="minorHAnsi" w:hAnsiTheme="minorHAnsi"/>
          <w:sz w:val="21"/>
          <w:szCs w:val="21"/>
        </w:rPr>
        <w:t>IST/BST</w:t>
      </w:r>
      <w:r w:rsidRPr="00B837FA">
        <w:rPr>
          <w:rFonts w:asciiTheme="minorHAnsi" w:hAnsiTheme="minorHAnsi"/>
          <w:sz w:val="21"/>
          <w:szCs w:val="21"/>
        </w:rPr>
        <w:t>)</w:t>
      </w:r>
      <w:r w:rsidRPr="00F66428">
        <w:rPr>
          <w:rFonts w:asciiTheme="minorHAnsi" w:hAnsiTheme="minorHAnsi"/>
          <w:sz w:val="21"/>
          <w:szCs w:val="21"/>
        </w:rPr>
        <w:t xml:space="preserve">. </w:t>
      </w:r>
      <w:r w:rsidR="002549A6" w:rsidRPr="00F66428">
        <w:rPr>
          <w:rFonts w:asciiTheme="minorHAnsi" w:hAnsiTheme="minorHAnsi"/>
          <w:sz w:val="21"/>
          <w:szCs w:val="21"/>
        </w:rPr>
        <w:t xml:space="preserve">Ahead of that call, a </w:t>
      </w:r>
      <w:r w:rsidRPr="00F66428">
        <w:rPr>
          <w:rFonts w:asciiTheme="minorHAnsi" w:hAnsiTheme="minorHAnsi"/>
          <w:sz w:val="21"/>
          <w:szCs w:val="21"/>
        </w:rPr>
        <w:t xml:space="preserve">presentation will be </w:t>
      </w:r>
      <w:r w:rsidR="00D10AE1" w:rsidRPr="00F66428">
        <w:rPr>
          <w:rFonts w:asciiTheme="minorHAnsi" w:hAnsiTheme="minorHAnsi"/>
          <w:sz w:val="21"/>
          <w:szCs w:val="21"/>
        </w:rPr>
        <w:t xml:space="preserve">available </w:t>
      </w:r>
      <w:r w:rsidRPr="00F66428">
        <w:rPr>
          <w:rFonts w:asciiTheme="minorHAnsi" w:hAnsiTheme="minorHAnsi"/>
          <w:sz w:val="21"/>
          <w:szCs w:val="21"/>
        </w:rPr>
        <w:t>on the Group’s corporate website (</w:t>
      </w:r>
      <w:hyperlink r:id="rId12" w:history="1">
        <w:r w:rsidR="002549A6" w:rsidRPr="00F66428">
          <w:rPr>
            <w:rStyle w:val="Hyperlink"/>
            <w:rFonts w:asciiTheme="minorHAnsi" w:hAnsiTheme="minorHAnsi"/>
            <w:sz w:val="21"/>
            <w:szCs w:val="21"/>
          </w:rPr>
          <w:t>www.flutter.com</w:t>
        </w:r>
      </w:hyperlink>
      <w:r w:rsidRPr="00F66428">
        <w:rPr>
          <w:rFonts w:asciiTheme="minorHAnsi" w:hAnsiTheme="minorHAnsi"/>
          <w:sz w:val="21"/>
          <w:szCs w:val="21"/>
        </w:rPr>
        <w:t>)</w:t>
      </w:r>
      <w:r w:rsidR="002549A6" w:rsidRPr="00F66428">
        <w:rPr>
          <w:rFonts w:asciiTheme="minorHAnsi" w:hAnsiTheme="minorHAnsi"/>
          <w:sz w:val="21"/>
          <w:szCs w:val="21"/>
        </w:rPr>
        <w:t xml:space="preserve"> from 8am</w:t>
      </w:r>
      <w:r w:rsidRPr="00F66428">
        <w:rPr>
          <w:rFonts w:asciiTheme="minorHAnsi" w:hAnsiTheme="minorHAnsi"/>
          <w:sz w:val="21"/>
          <w:szCs w:val="21"/>
        </w:rPr>
        <w:t>. To dial into the conference call, participants</w:t>
      </w:r>
      <w:r w:rsidR="00BC61A4">
        <w:rPr>
          <w:rFonts w:asciiTheme="minorHAnsi" w:hAnsiTheme="minorHAnsi"/>
          <w:sz w:val="21"/>
          <w:szCs w:val="21"/>
        </w:rPr>
        <w:t xml:space="preserve"> need to register at </w:t>
      </w:r>
      <w:hyperlink r:id="rId13" w:history="1">
        <w:r w:rsidR="00BC61A4" w:rsidRPr="00B77049">
          <w:rPr>
            <w:rStyle w:val="Hyperlink"/>
            <w:rFonts w:asciiTheme="minorHAnsi" w:hAnsiTheme="minorHAnsi"/>
            <w:sz w:val="21"/>
            <w:szCs w:val="21"/>
          </w:rPr>
          <w:t>https://cossprereg.btci.com/prereg/key.process?key=PU4DAXQJL</w:t>
        </w:r>
      </w:hyperlink>
      <w:r w:rsidR="00BC61A4">
        <w:rPr>
          <w:rFonts w:asciiTheme="minorHAnsi" w:hAnsiTheme="minorHAnsi"/>
          <w:sz w:val="21"/>
          <w:szCs w:val="21"/>
        </w:rPr>
        <w:t xml:space="preserve"> where they w</w:t>
      </w:r>
      <w:r w:rsidR="00BC61A4" w:rsidRPr="001E6AB6">
        <w:rPr>
          <w:rFonts w:asciiTheme="minorHAnsi" w:hAnsiTheme="minorHAnsi"/>
          <w:sz w:val="21"/>
          <w:szCs w:val="21"/>
        </w:rPr>
        <w:t>ill be provided with the dial in details</w:t>
      </w:r>
      <w:r w:rsidRPr="001E6AB6">
        <w:rPr>
          <w:rFonts w:asciiTheme="minorHAnsi" w:hAnsiTheme="minorHAnsi"/>
          <w:sz w:val="21"/>
          <w:szCs w:val="21"/>
        </w:rPr>
        <w:t xml:space="preserve"> </w:t>
      </w:r>
      <w:r w:rsidR="0029797C">
        <w:rPr>
          <w:rFonts w:asciiTheme="minorHAnsi" w:hAnsiTheme="minorHAnsi"/>
          <w:sz w:val="21"/>
          <w:szCs w:val="21"/>
        </w:rPr>
        <w:t xml:space="preserve">they </w:t>
      </w:r>
      <w:r w:rsidRPr="00BC61A4">
        <w:rPr>
          <w:rFonts w:asciiTheme="minorHAnsi" w:hAnsiTheme="minorHAnsi"/>
          <w:sz w:val="21"/>
          <w:szCs w:val="21"/>
        </w:rPr>
        <w:t>should dial</w:t>
      </w:r>
      <w:r w:rsidR="00B8174D" w:rsidRPr="00BC61A4">
        <w:rPr>
          <w:rFonts w:asciiTheme="minorHAnsi" w:hAnsiTheme="minorHAnsi"/>
          <w:sz w:val="21"/>
          <w:szCs w:val="21"/>
        </w:rPr>
        <w:t xml:space="preserve">. </w:t>
      </w:r>
    </w:p>
    <w:p w14:paraId="17E1116A" w14:textId="77777777" w:rsidR="003D7BEA" w:rsidRPr="00EA0A9D" w:rsidRDefault="003D7BEA" w:rsidP="00792B44">
      <w:pPr>
        <w:spacing w:before="120" w:after="200"/>
        <w:rPr>
          <w:rFonts w:asciiTheme="minorHAnsi" w:hAnsiTheme="minorHAnsi"/>
          <w:sz w:val="21"/>
          <w:szCs w:val="21"/>
        </w:rPr>
      </w:pPr>
      <w:r w:rsidRPr="00EA0A9D">
        <w:rPr>
          <w:rFonts w:asciiTheme="minorHAnsi" w:hAnsiTheme="minorHAnsi"/>
          <w:sz w:val="21"/>
          <w:szCs w:val="21"/>
        </w:rPr>
        <w:t xml:space="preserve">A presentation replay facility will </w:t>
      </w:r>
      <w:r w:rsidR="00B837FA">
        <w:rPr>
          <w:rFonts w:asciiTheme="minorHAnsi" w:hAnsiTheme="minorHAnsi"/>
          <w:sz w:val="21"/>
          <w:szCs w:val="21"/>
        </w:rPr>
        <w:t xml:space="preserve">also </w:t>
      </w:r>
      <w:r w:rsidRPr="00EA0A9D">
        <w:rPr>
          <w:rFonts w:asciiTheme="minorHAnsi" w:hAnsiTheme="minorHAnsi"/>
          <w:sz w:val="21"/>
          <w:szCs w:val="21"/>
        </w:rPr>
        <w:t>be available later today on our corporate</w:t>
      </w:r>
      <w:r w:rsidR="00191A95" w:rsidRPr="00EA0A9D">
        <w:rPr>
          <w:rFonts w:asciiTheme="minorHAnsi" w:hAnsiTheme="minorHAnsi"/>
          <w:sz w:val="21"/>
          <w:szCs w:val="21"/>
        </w:rPr>
        <w:t xml:space="preserve"> website: </w:t>
      </w:r>
      <w:hyperlink r:id="rId14" w:history="1">
        <w:r w:rsidR="00B13A64" w:rsidRPr="00472F20">
          <w:rPr>
            <w:rStyle w:val="Hyperlink"/>
            <w:rFonts w:asciiTheme="minorHAnsi" w:hAnsiTheme="minorHAnsi"/>
            <w:sz w:val="21"/>
            <w:szCs w:val="21"/>
          </w:rPr>
          <w:t>https://www.Flutter.com/investors</w:t>
        </w:r>
      </w:hyperlink>
      <w:r w:rsidRPr="00EA0A9D">
        <w:rPr>
          <w:rFonts w:asciiTheme="minorHAnsi" w:hAnsiTheme="minorHAnsi"/>
          <w:sz w:val="21"/>
          <w:szCs w:val="21"/>
        </w:rPr>
        <w:t>.</w:t>
      </w:r>
    </w:p>
    <w:p w14:paraId="3065DB7D" w14:textId="77777777" w:rsidR="00F001D6" w:rsidRDefault="00F001D6" w:rsidP="00245BEC">
      <w:pPr>
        <w:pStyle w:val="HTMLPreformatted"/>
        <w:tabs>
          <w:tab w:val="clear" w:pos="916"/>
          <w:tab w:val="clear" w:pos="1832"/>
          <w:tab w:val="clear" w:pos="2748"/>
          <w:tab w:val="clear" w:pos="3664"/>
          <w:tab w:val="clear" w:pos="4580"/>
          <w:tab w:val="clear" w:pos="5496"/>
          <w:tab w:val="clear" w:pos="6412"/>
          <w:tab w:val="clear" w:pos="7328"/>
          <w:tab w:val="clear" w:pos="8244"/>
        </w:tabs>
        <w:rPr>
          <w:rFonts w:asciiTheme="minorHAnsi" w:hAnsiTheme="minorHAnsi" w:cs="Times New Roman"/>
          <w:b/>
          <w:sz w:val="21"/>
          <w:szCs w:val="21"/>
        </w:rPr>
      </w:pPr>
    </w:p>
    <w:p w14:paraId="4EA204EE" w14:textId="77777777" w:rsidR="00F001D6" w:rsidRDefault="00F001D6" w:rsidP="00245BEC">
      <w:pPr>
        <w:pStyle w:val="HTMLPreformatted"/>
        <w:tabs>
          <w:tab w:val="clear" w:pos="916"/>
          <w:tab w:val="clear" w:pos="1832"/>
          <w:tab w:val="clear" w:pos="2748"/>
          <w:tab w:val="clear" w:pos="3664"/>
          <w:tab w:val="clear" w:pos="4580"/>
          <w:tab w:val="clear" w:pos="5496"/>
          <w:tab w:val="clear" w:pos="6412"/>
          <w:tab w:val="clear" w:pos="7328"/>
          <w:tab w:val="clear" w:pos="8244"/>
        </w:tabs>
        <w:rPr>
          <w:rFonts w:asciiTheme="minorHAnsi" w:hAnsiTheme="minorHAnsi" w:cs="Times New Roman"/>
          <w:b/>
          <w:sz w:val="21"/>
          <w:szCs w:val="21"/>
        </w:rPr>
      </w:pPr>
    </w:p>
    <w:p w14:paraId="38A3F2FB" w14:textId="77777777" w:rsidR="003D7BEA" w:rsidRPr="0001653A" w:rsidRDefault="003D7BEA" w:rsidP="00245BEC">
      <w:pPr>
        <w:pStyle w:val="HTMLPreformatted"/>
        <w:tabs>
          <w:tab w:val="clear" w:pos="916"/>
          <w:tab w:val="clear" w:pos="1832"/>
          <w:tab w:val="clear" w:pos="2748"/>
          <w:tab w:val="clear" w:pos="3664"/>
          <w:tab w:val="clear" w:pos="4580"/>
          <w:tab w:val="clear" w:pos="5496"/>
          <w:tab w:val="clear" w:pos="6412"/>
          <w:tab w:val="clear" w:pos="7328"/>
          <w:tab w:val="clear" w:pos="8244"/>
        </w:tabs>
        <w:rPr>
          <w:rFonts w:asciiTheme="minorHAnsi" w:hAnsiTheme="minorHAnsi" w:cs="Times New Roman"/>
          <w:b/>
          <w:sz w:val="21"/>
          <w:szCs w:val="21"/>
        </w:rPr>
      </w:pPr>
      <w:r w:rsidRPr="0001653A">
        <w:rPr>
          <w:rFonts w:asciiTheme="minorHAnsi" w:hAnsiTheme="minorHAnsi" w:cs="Times New Roman"/>
          <w:b/>
          <w:sz w:val="21"/>
          <w:szCs w:val="21"/>
        </w:rPr>
        <w:t>Contacts:</w:t>
      </w:r>
    </w:p>
    <w:tbl>
      <w:tblPr>
        <w:tblW w:w="0" w:type="auto"/>
        <w:tblLook w:val="04A0" w:firstRow="1" w:lastRow="0" w:firstColumn="1" w:lastColumn="0" w:noHBand="0" w:noVBand="1"/>
      </w:tblPr>
      <w:tblGrid>
        <w:gridCol w:w="5521"/>
        <w:gridCol w:w="3505"/>
      </w:tblGrid>
      <w:tr w:rsidR="009F2C32" w:rsidRPr="00F001D6" w14:paraId="64A9FEB5" w14:textId="77777777" w:rsidTr="009F2C32">
        <w:trPr>
          <w:trHeight w:val="269"/>
        </w:trPr>
        <w:tc>
          <w:tcPr>
            <w:tcW w:w="5521" w:type="dxa"/>
          </w:tcPr>
          <w:p w14:paraId="04AD5CD5"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i/>
                <w:sz w:val="21"/>
                <w:szCs w:val="21"/>
              </w:rPr>
            </w:pPr>
            <w:r w:rsidRPr="0001653A">
              <w:rPr>
                <w:rFonts w:asciiTheme="minorHAnsi" w:hAnsiTheme="minorHAnsi" w:cs="Times New Roman"/>
                <w:i/>
                <w:sz w:val="21"/>
                <w:szCs w:val="21"/>
              </w:rPr>
              <w:t>Investor Relations:</w:t>
            </w:r>
          </w:p>
        </w:tc>
        <w:tc>
          <w:tcPr>
            <w:tcW w:w="3505" w:type="dxa"/>
          </w:tcPr>
          <w:p w14:paraId="09CEFC19"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p>
        </w:tc>
      </w:tr>
      <w:tr w:rsidR="009F2C32" w:rsidRPr="00F001D6" w14:paraId="26D48CCD" w14:textId="77777777" w:rsidTr="009F2C32">
        <w:trPr>
          <w:trHeight w:val="269"/>
        </w:trPr>
        <w:tc>
          <w:tcPr>
            <w:tcW w:w="5521" w:type="dxa"/>
          </w:tcPr>
          <w:p w14:paraId="689D455C"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xml:space="preserve">David Jennings, </w:t>
            </w:r>
            <w:r w:rsidR="00E16752">
              <w:rPr>
                <w:rFonts w:asciiTheme="minorHAnsi" w:hAnsiTheme="minorHAnsi" w:cs="Times New Roman"/>
                <w:sz w:val="21"/>
                <w:szCs w:val="21"/>
              </w:rPr>
              <w:t xml:space="preserve">Group Director of </w:t>
            </w:r>
            <w:r w:rsidRPr="0001653A">
              <w:rPr>
                <w:rFonts w:asciiTheme="minorHAnsi" w:hAnsiTheme="minorHAnsi" w:cs="Times New Roman"/>
                <w:sz w:val="21"/>
                <w:szCs w:val="21"/>
              </w:rPr>
              <w:t>Investor Relations</w:t>
            </w:r>
            <w:r w:rsidR="00561DF2">
              <w:rPr>
                <w:rFonts w:asciiTheme="minorHAnsi" w:hAnsiTheme="minorHAnsi" w:cs="Times New Roman"/>
                <w:sz w:val="21"/>
                <w:szCs w:val="21"/>
              </w:rPr>
              <w:t xml:space="preserve"> &amp; </w:t>
            </w:r>
            <w:r w:rsidR="00E16752">
              <w:rPr>
                <w:rFonts w:asciiTheme="minorHAnsi" w:hAnsiTheme="minorHAnsi" w:cs="Times New Roman"/>
                <w:sz w:val="21"/>
                <w:szCs w:val="21"/>
              </w:rPr>
              <w:t>F,P&amp;A</w:t>
            </w:r>
          </w:p>
        </w:tc>
        <w:tc>
          <w:tcPr>
            <w:tcW w:w="3505" w:type="dxa"/>
          </w:tcPr>
          <w:p w14:paraId="747AD1EE"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87 951 3560</w:t>
            </w:r>
          </w:p>
        </w:tc>
      </w:tr>
      <w:tr w:rsidR="009F2C32" w:rsidRPr="00F001D6" w14:paraId="2642684D" w14:textId="77777777" w:rsidTr="009F2C32">
        <w:trPr>
          <w:trHeight w:val="269"/>
        </w:trPr>
        <w:tc>
          <w:tcPr>
            <w:tcW w:w="5521" w:type="dxa"/>
          </w:tcPr>
          <w:p w14:paraId="432A5955"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Ciara O’Mullane, Investor Relations</w:t>
            </w:r>
          </w:p>
        </w:tc>
        <w:tc>
          <w:tcPr>
            <w:tcW w:w="3505" w:type="dxa"/>
          </w:tcPr>
          <w:p w14:paraId="4AB1E8F2"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87 947 7862</w:t>
            </w:r>
          </w:p>
        </w:tc>
      </w:tr>
      <w:tr w:rsidR="009F2C32" w:rsidRPr="00F001D6" w14:paraId="4F2DA743" w14:textId="77777777" w:rsidTr="009F2C32">
        <w:trPr>
          <w:trHeight w:val="269"/>
        </w:trPr>
        <w:tc>
          <w:tcPr>
            <w:tcW w:w="5521" w:type="dxa"/>
          </w:tcPr>
          <w:p w14:paraId="5CA82A63"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Liam Kealy, Investor Relations</w:t>
            </w:r>
          </w:p>
        </w:tc>
        <w:tc>
          <w:tcPr>
            <w:tcW w:w="3505" w:type="dxa"/>
          </w:tcPr>
          <w:p w14:paraId="3A6EFEB1"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87 665 2014</w:t>
            </w:r>
          </w:p>
        </w:tc>
      </w:tr>
      <w:tr w:rsidR="009F2C32" w:rsidRPr="00F001D6" w14:paraId="5D024D58" w14:textId="77777777" w:rsidTr="009F2C32">
        <w:trPr>
          <w:trHeight w:val="269"/>
        </w:trPr>
        <w:tc>
          <w:tcPr>
            <w:tcW w:w="5521" w:type="dxa"/>
          </w:tcPr>
          <w:p w14:paraId="2576A2D0"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i/>
                <w:sz w:val="21"/>
                <w:szCs w:val="21"/>
              </w:rPr>
            </w:pPr>
            <w:r w:rsidRPr="0001653A">
              <w:rPr>
                <w:rFonts w:asciiTheme="minorHAnsi" w:hAnsiTheme="minorHAnsi" w:cs="Times New Roman"/>
                <w:i/>
                <w:sz w:val="21"/>
                <w:szCs w:val="21"/>
              </w:rPr>
              <w:t>Press:</w:t>
            </w:r>
          </w:p>
        </w:tc>
        <w:tc>
          <w:tcPr>
            <w:tcW w:w="3505" w:type="dxa"/>
          </w:tcPr>
          <w:p w14:paraId="5350C780"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p>
        </w:tc>
      </w:tr>
      <w:tr w:rsidR="009F2C32" w:rsidRPr="00F001D6" w14:paraId="3530C414" w14:textId="77777777" w:rsidTr="009F2C32">
        <w:trPr>
          <w:trHeight w:val="269"/>
        </w:trPr>
        <w:tc>
          <w:tcPr>
            <w:tcW w:w="5521" w:type="dxa"/>
          </w:tcPr>
          <w:p w14:paraId="3C5E0CA0"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xml:space="preserve">Fi Thorne, Corporate Affairs  </w:t>
            </w:r>
          </w:p>
        </w:tc>
        <w:tc>
          <w:tcPr>
            <w:tcW w:w="3505" w:type="dxa"/>
          </w:tcPr>
          <w:p w14:paraId="7F171FED"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+ 44 75 2111 4787</w:t>
            </w:r>
          </w:p>
        </w:tc>
      </w:tr>
      <w:tr w:rsidR="009F2C32" w:rsidRPr="00F001D6" w14:paraId="4E7ACF62" w14:textId="77777777" w:rsidTr="009F2C32">
        <w:trPr>
          <w:trHeight w:val="269"/>
        </w:trPr>
        <w:tc>
          <w:tcPr>
            <w:tcW w:w="5521" w:type="dxa"/>
          </w:tcPr>
          <w:p w14:paraId="2ADF0C35"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xml:space="preserve">Billy Murphy, Drury / Porter </w:t>
            </w:r>
            <w:proofErr w:type="spellStart"/>
            <w:r w:rsidRPr="0001653A">
              <w:rPr>
                <w:rFonts w:asciiTheme="minorHAnsi" w:hAnsiTheme="minorHAnsi" w:cs="Times New Roman"/>
                <w:sz w:val="21"/>
                <w:szCs w:val="21"/>
              </w:rPr>
              <w:t>Novelli</w:t>
            </w:r>
            <w:proofErr w:type="spellEnd"/>
          </w:p>
        </w:tc>
        <w:tc>
          <w:tcPr>
            <w:tcW w:w="3505" w:type="dxa"/>
          </w:tcPr>
          <w:p w14:paraId="49E41808"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+ 353 1 260 5000</w:t>
            </w:r>
          </w:p>
        </w:tc>
      </w:tr>
      <w:tr w:rsidR="009F2C32" w:rsidRPr="00C420C4" w14:paraId="3A09C820" w14:textId="77777777" w:rsidTr="009F2C32">
        <w:trPr>
          <w:trHeight w:val="269"/>
        </w:trPr>
        <w:tc>
          <w:tcPr>
            <w:tcW w:w="5521" w:type="dxa"/>
          </w:tcPr>
          <w:p w14:paraId="5872D2B1"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James Murgatroyd, Finsbury</w:t>
            </w:r>
          </w:p>
        </w:tc>
        <w:tc>
          <w:tcPr>
            <w:tcW w:w="3505" w:type="dxa"/>
          </w:tcPr>
          <w:p w14:paraId="4809C650" w14:textId="77777777" w:rsidR="009F2C32" w:rsidRPr="0001653A" w:rsidRDefault="009F2C32" w:rsidP="009F2C32">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1"/>
                <w:szCs w:val="21"/>
              </w:rPr>
            </w:pPr>
            <w:r w:rsidRPr="0001653A">
              <w:rPr>
                <w:rFonts w:asciiTheme="minorHAnsi" w:hAnsiTheme="minorHAnsi" w:cs="Times New Roman"/>
                <w:sz w:val="21"/>
                <w:szCs w:val="21"/>
              </w:rPr>
              <w:t>+ 44 20 7251 3801</w:t>
            </w:r>
          </w:p>
        </w:tc>
      </w:tr>
    </w:tbl>
    <w:p w14:paraId="244F3E08" w14:textId="77777777" w:rsidR="00A96702" w:rsidRPr="007B5DA6" w:rsidRDefault="004C5B10" w:rsidP="00A96702">
      <w:pPr>
        <w:spacing w:after="120"/>
        <w:rPr>
          <w:rFonts w:asciiTheme="minorHAnsi" w:hAnsiTheme="minorHAnsi"/>
          <w:b/>
          <w:color w:val="FF0000"/>
          <w:highlight w:val="yellow"/>
          <w:u w:val="single"/>
        </w:rPr>
      </w:pPr>
      <w:r w:rsidRPr="00A96702">
        <w:rPr>
          <w:rFonts w:asciiTheme="minorHAnsi" w:hAnsiTheme="minorHAnsi"/>
          <w:b/>
          <w:i/>
          <w:color w:val="FF0000"/>
          <w:sz w:val="22"/>
          <w:szCs w:val="22"/>
          <w:highlight w:val="yellow"/>
        </w:rPr>
        <w:br w:type="page"/>
      </w:r>
      <w:r w:rsidR="00A96702" w:rsidRPr="00C91D34">
        <w:rPr>
          <w:rFonts w:asciiTheme="minorHAnsi" w:hAnsiTheme="minorHAnsi"/>
          <w:b/>
          <w:u w:val="single"/>
        </w:rPr>
        <w:lastRenderedPageBreak/>
        <w:t xml:space="preserve">Business Review </w:t>
      </w:r>
      <w:r w:rsidR="009F2C32" w:rsidRPr="0001653A">
        <w:rPr>
          <w:rFonts w:asciiTheme="minorHAnsi" w:hAnsiTheme="minorHAnsi"/>
          <w:i/>
          <w:sz w:val="22"/>
          <w:szCs w:val="22"/>
          <w:vertAlign w:val="superscript"/>
        </w:rPr>
        <w:t>1,2,</w:t>
      </w:r>
      <w:r w:rsidR="000B18F6">
        <w:rPr>
          <w:rFonts w:asciiTheme="minorHAnsi" w:hAnsiTheme="minorHAnsi"/>
          <w:i/>
          <w:sz w:val="22"/>
          <w:szCs w:val="22"/>
          <w:vertAlign w:val="superscript"/>
        </w:rPr>
        <w:t>3,</w:t>
      </w:r>
      <w:r w:rsidR="009F2C32" w:rsidRPr="0001653A">
        <w:rPr>
          <w:rFonts w:asciiTheme="minorHAnsi" w:hAnsiTheme="minorHAnsi"/>
          <w:i/>
          <w:sz w:val="22"/>
          <w:szCs w:val="22"/>
          <w:vertAlign w:val="superscript"/>
        </w:rPr>
        <w:t>4</w:t>
      </w:r>
    </w:p>
    <w:p w14:paraId="0F0B7A8C" w14:textId="77777777" w:rsidR="00C17B4F" w:rsidRPr="001E2810" w:rsidRDefault="00C17B4F" w:rsidP="00C17B4F">
      <w:pPr>
        <w:spacing w:after="160" w:line="259" w:lineRule="auto"/>
        <w:jc w:val="both"/>
        <w:rPr>
          <w:rFonts w:asciiTheme="minorHAnsi" w:hAnsiTheme="minorHAnsi" w:cstheme="minorHAnsi"/>
          <w:sz w:val="22"/>
          <w:szCs w:val="22"/>
        </w:rPr>
      </w:pPr>
      <w:r w:rsidRPr="001E2810">
        <w:rPr>
          <w:rFonts w:asciiTheme="minorHAnsi" w:hAnsiTheme="minorHAnsi" w:cstheme="minorHAnsi"/>
          <w:sz w:val="22"/>
          <w:szCs w:val="22"/>
        </w:rPr>
        <w:t xml:space="preserve">The first half of 2020 was </w:t>
      </w:r>
      <w:r w:rsidR="0036318A">
        <w:rPr>
          <w:rFonts w:asciiTheme="minorHAnsi" w:hAnsiTheme="minorHAnsi" w:cstheme="minorHAnsi"/>
          <w:sz w:val="22"/>
          <w:szCs w:val="22"/>
        </w:rPr>
        <w:t xml:space="preserve">a significant one </w:t>
      </w:r>
      <w:r w:rsidRPr="001E2810">
        <w:rPr>
          <w:rFonts w:asciiTheme="minorHAnsi" w:hAnsiTheme="minorHAnsi" w:cstheme="minorHAnsi"/>
          <w:sz w:val="22"/>
          <w:szCs w:val="22"/>
        </w:rPr>
        <w:t xml:space="preserve">for the Group with </w:t>
      </w:r>
      <w:r w:rsidR="00745CF3">
        <w:rPr>
          <w:rFonts w:asciiTheme="minorHAnsi" w:hAnsiTheme="minorHAnsi" w:cstheme="minorHAnsi"/>
          <w:sz w:val="22"/>
          <w:szCs w:val="22"/>
        </w:rPr>
        <w:t xml:space="preserve">the </w:t>
      </w:r>
      <w:r w:rsidRPr="001E2810">
        <w:rPr>
          <w:rFonts w:asciiTheme="minorHAnsi" w:hAnsiTheme="minorHAnsi" w:cstheme="minorHAnsi"/>
          <w:sz w:val="22"/>
          <w:szCs w:val="22"/>
        </w:rPr>
        <w:t xml:space="preserve">completion of our merger with The Stars Group (“TSG”). The combination has </w:t>
      </w:r>
      <w:r w:rsidR="00D56161">
        <w:rPr>
          <w:rFonts w:asciiTheme="minorHAnsi" w:hAnsiTheme="minorHAnsi" w:cstheme="minorHAnsi"/>
          <w:sz w:val="22"/>
          <w:szCs w:val="22"/>
        </w:rPr>
        <w:t>increased</w:t>
      </w:r>
      <w:r w:rsidRPr="001E2810">
        <w:rPr>
          <w:rFonts w:asciiTheme="minorHAnsi" w:hAnsiTheme="minorHAnsi" w:cstheme="minorHAnsi"/>
          <w:sz w:val="22"/>
          <w:szCs w:val="22"/>
        </w:rPr>
        <w:t xml:space="preserve"> our scale and </w:t>
      </w:r>
      <w:r w:rsidR="00D56161">
        <w:rPr>
          <w:rFonts w:asciiTheme="minorHAnsi" w:hAnsiTheme="minorHAnsi" w:cstheme="minorHAnsi"/>
          <w:sz w:val="22"/>
          <w:szCs w:val="22"/>
        </w:rPr>
        <w:t>enhanced</w:t>
      </w:r>
      <w:r w:rsidRPr="001E2810">
        <w:rPr>
          <w:rFonts w:asciiTheme="minorHAnsi" w:hAnsiTheme="minorHAnsi" w:cstheme="minorHAnsi"/>
          <w:sz w:val="22"/>
          <w:szCs w:val="22"/>
        </w:rPr>
        <w:t xml:space="preserve"> the diversification of our revenue streams, both on a product and geographical basis. </w:t>
      </w:r>
    </w:p>
    <w:p w14:paraId="466904D5" w14:textId="77777777" w:rsidR="00C17B4F" w:rsidRPr="001E2810" w:rsidRDefault="00B35BB5" w:rsidP="00C17B4F">
      <w:pPr>
        <w:spacing w:after="120"/>
        <w:jc w:val="both"/>
        <w:rPr>
          <w:rFonts w:asciiTheme="minorHAnsi" w:hAnsiTheme="minorHAnsi" w:cstheme="minorHAnsi"/>
          <w:sz w:val="22"/>
          <w:szCs w:val="22"/>
        </w:rPr>
      </w:pPr>
      <w:r w:rsidRPr="001B173D">
        <w:rPr>
          <w:rFonts w:asciiTheme="minorHAnsi" w:hAnsiTheme="minorHAnsi" w:cstheme="minorHAnsi"/>
          <w:sz w:val="22"/>
          <w:szCs w:val="22"/>
        </w:rPr>
        <w:t>In the face of th</w:t>
      </w:r>
      <w:r w:rsidR="00DF0FAF" w:rsidRPr="00856AC3">
        <w:rPr>
          <w:rFonts w:asciiTheme="minorHAnsi" w:hAnsiTheme="minorHAnsi" w:cstheme="minorHAnsi"/>
          <w:sz w:val="22"/>
          <w:szCs w:val="22"/>
        </w:rPr>
        <w:t>e</w:t>
      </w:r>
      <w:r w:rsidRPr="001B173D">
        <w:rPr>
          <w:rFonts w:asciiTheme="minorHAnsi" w:hAnsiTheme="minorHAnsi" w:cstheme="minorHAnsi"/>
          <w:sz w:val="22"/>
          <w:szCs w:val="22"/>
        </w:rPr>
        <w:t xml:space="preserve"> </w:t>
      </w:r>
      <w:r w:rsidR="00DF0FAF" w:rsidRPr="00856AC3">
        <w:rPr>
          <w:rFonts w:asciiTheme="minorHAnsi" w:hAnsiTheme="minorHAnsi" w:cstheme="minorHAnsi"/>
          <w:sz w:val="22"/>
          <w:szCs w:val="22"/>
        </w:rPr>
        <w:t>Covid</w:t>
      </w:r>
      <w:r w:rsidR="000707D9">
        <w:rPr>
          <w:rFonts w:asciiTheme="minorHAnsi" w:hAnsiTheme="minorHAnsi" w:cstheme="minorHAnsi"/>
          <w:sz w:val="22"/>
          <w:szCs w:val="22"/>
        </w:rPr>
        <w:t>-</w:t>
      </w:r>
      <w:r w:rsidR="00DF0FAF" w:rsidRPr="00856AC3">
        <w:rPr>
          <w:rFonts w:asciiTheme="minorHAnsi" w:hAnsiTheme="minorHAnsi" w:cstheme="minorHAnsi"/>
          <w:sz w:val="22"/>
          <w:szCs w:val="22"/>
        </w:rPr>
        <w:t>19 pandemic</w:t>
      </w:r>
      <w:r w:rsidRPr="001B173D">
        <w:rPr>
          <w:rFonts w:asciiTheme="minorHAnsi" w:hAnsiTheme="minorHAnsi" w:cstheme="minorHAnsi"/>
          <w:sz w:val="22"/>
          <w:szCs w:val="22"/>
        </w:rPr>
        <w:t xml:space="preserve"> we have</w:t>
      </w:r>
      <w:r w:rsidRPr="001E2810">
        <w:rPr>
          <w:rFonts w:asciiTheme="minorHAnsi" w:hAnsiTheme="minorHAnsi" w:cstheme="minorHAnsi"/>
          <w:sz w:val="22"/>
          <w:szCs w:val="22"/>
        </w:rPr>
        <w:t xml:space="preserve"> managed to run the business remotely across some of our busiest days while also making a great start in bringing our two businesses together. </w:t>
      </w:r>
      <w:r>
        <w:rPr>
          <w:rFonts w:asciiTheme="minorHAnsi" w:hAnsiTheme="minorHAnsi" w:cstheme="minorHAnsi"/>
          <w:sz w:val="22"/>
          <w:szCs w:val="22"/>
        </w:rPr>
        <w:t>F</w:t>
      </w:r>
      <w:r w:rsidRPr="001E2810">
        <w:rPr>
          <w:rFonts w:asciiTheme="minorHAnsi" w:hAnsiTheme="minorHAnsi" w:cstheme="minorHAnsi"/>
          <w:sz w:val="22"/>
          <w:szCs w:val="22"/>
        </w:rPr>
        <w:t xml:space="preserve">eedback from </w:t>
      </w:r>
      <w:r w:rsidR="001B173D">
        <w:rPr>
          <w:rFonts w:asciiTheme="minorHAnsi" w:hAnsiTheme="minorHAnsi" w:cstheme="minorHAnsi"/>
          <w:sz w:val="22"/>
          <w:szCs w:val="22"/>
        </w:rPr>
        <w:t>colleagues</w:t>
      </w:r>
      <w:r w:rsidRPr="001E2810">
        <w:rPr>
          <w:rFonts w:asciiTheme="minorHAnsi" w:hAnsiTheme="minorHAnsi" w:cstheme="minorHAnsi"/>
          <w:sz w:val="22"/>
          <w:szCs w:val="22"/>
        </w:rPr>
        <w:t xml:space="preserve"> with respect to our response to the Covid</w:t>
      </w:r>
      <w:r>
        <w:rPr>
          <w:rFonts w:asciiTheme="minorHAnsi" w:hAnsiTheme="minorHAnsi" w:cstheme="minorHAnsi"/>
          <w:sz w:val="22"/>
          <w:szCs w:val="22"/>
        </w:rPr>
        <w:t>-19</w:t>
      </w:r>
      <w:r w:rsidRPr="001E2810">
        <w:rPr>
          <w:rFonts w:asciiTheme="minorHAnsi" w:hAnsiTheme="minorHAnsi" w:cstheme="minorHAnsi"/>
          <w:sz w:val="22"/>
          <w:szCs w:val="22"/>
        </w:rPr>
        <w:t xml:space="preserve"> crisis</w:t>
      </w:r>
      <w:r>
        <w:rPr>
          <w:rFonts w:asciiTheme="minorHAnsi" w:hAnsiTheme="minorHAnsi" w:cstheme="minorHAnsi"/>
          <w:sz w:val="22"/>
          <w:szCs w:val="22"/>
        </w:rPr>
        <w:t xml:space="preserve"> has been positive</w:t>
      </w:r>
      <w:r w:rsidRPr="001E2810">
        <w:rPr>
          <w:rFonts w:asciiTheme="minorHAnsi" w:hAnsiTheme="minorHAnsi" w:cstheme="minorHAnsi"/>
          <w:sz w:val="22"/>
          <w:szCs w:val="22"/>
        </w:rPr>
        <w:t xml:space="preserve">; employee surveys have revealed that our team felt </w:t>
      </w:r>
      <w:r>
        <w:rPr>
          <w:rFonts w:asciiTheme="minorHAnsi" w:hAnsiTheme="minorHAnsi" w:cstheme="minorHAnsi"/>
          <w:sz w:val="22"/>
          <w:szCs w:val="22"/>
        </w:rPr>
        <w:t xml:space="preserve">that </w:t>
      </w:r>
      <w:r w:rsidRPr="001E2810">
        <w:rPr>
          <w:rFonts w:asciiTheme="minorHAnsi" w:hAnsiTheme="minorHAnsi" w:cstheme="minorHAnsi"/>
          <w:sz w:val="22"/>
          <w:szCs w:val="22"/>
        </w:rPr>
        <w:t xml:space="preserve">we introduced the right precautions to keep our </w:t>
      </w:r>
      <w:r w:rsidR="001B173D">
        <w:rPr>
          <w:rFonts w:asciiTheme="minorHAnsi" w:hAnsiTheme="minorHAnsi" w:cstheme="minorHAnsi"/>
          <w:sz w:val="22"/>
          <w:szCs w:val="22"/>
        </w:rPr>
        <w:t>colleagues</w:t>
      </w:r>
      <w:r w:rsidRPr="001E2810">
        <w:rPr>
          <w:rFonts w:asciiTheme="minorHAnsi" w:hAnsiTheme="minorHAnsi" w:cstheme="minorHAnsi"/>
          <w:sz w:val="22"/>
          <w:szCs w:val="22"/>
        </w:rPr>
        <w:t xml:space="preserve"> and customers safe and that they were </w:t>
      </w:r>
      <w:r w:rsidR="003A7C06">
        <w:rPr>
          <w:rFonts w:asciiTheme="minorHAnsi" w:hAnsiTheme="minorHAnsi" w:cstheme="minorHAnsi"/>
          <w:sz w:val="22"/>
          <w:szCs w:val="22"/>
        </w:rPr>
        <w:t xml:space="preserve">supportive </w:t>
      </w:r>
      <w:r w:rsidRPr="001E2810">
        <w:rPr>
          <w:rFonts w:asciiTheme="minorHAnsi" w:hAnsiTheme="minorHAnsi" w:cstheme="minorHAnsi"/>
          <w:sz w:val="22"/>
          <w:szCs w:val="22"/>
        </w:rPr>
        <w:t xml:space="preserve">of our decision not to </w:t>
      </w:r>
      <w:r w:rsidR="000707D9">
        <w:rPr>
          <w:rFonts w:asciiTheme="minorHAnsi" w:hAnsiTheme="minorHAnsi" w:cstheme="minorHAnsi"/>
          <w:sz w:val="22"/>
          <w:szCs w:val="22"/>
        </w:rPr>
        <w:t>take advantage</w:t>
      </w:r>
      <w:r w:rsidRPr="001E2810">
        <w:rPr>
          <w:rFonts w:asciiTheme="minorHAnsi" w:hAnsiTheme="minorHAnsi" w:cstheme="minorHAnsi"/>
          <w:sz w:val="22"/>
          <w:szCs w:val="22"/>
        </w:rPr>
        <w:t xml:space="preserve"> of the various Government </w:t>
      </w:r>
      <w:r w:rsidR="003A7C06">
        <w:rPr>
          <w:rFonts w:asciiTheme="minorHAnsi" w:hAnsiTheme="minorHAnsi" w:cstheme="minorHAnsi"/>
          <w:sz w:val="22"/>
          <w:szCs w:val="22"/>
        </w:rPr>
        <w:t xml:space="preserve">financial support </w:t>
      </w:r>
      <w:r w:rsidRPr="001E2810">
        <w:rPr>
          <w:rFonts w:asciiTheme="minorHAnsi" w:hAnsiTheme="minorHAnsi" w:cstheme="minorHAnsi"/>
          <w:sz w:val="22"/>
          <w:szCs w:val="22"/>
        </w:rPr>
        <w:t>schemes offered</w:t>
      </w:r>
      <w:r w:rsidR="008F2D97" w:rsidRPr="001E2810">
        <w:rPr>
          <w:rFonts w:asciiTheme="minorHAnsi" w:hAnsiTheme="minorHAnsi" w:cstheme="minorHAnsi"/>
          <w:sz w:val="22"/>
          <w:szCs w:val="22"/>
        </w:rPr>
        <w:t>.</w:t>
      </w:r>
      <w:r w:rsidR="00C17B4F" w:rsidRPr="001E2810">
        <w:rPr>
          <w:rFonts w:asciiTheme="minorHAnsi" w:hAnsiTheme="minorHAnsi" w:cstheme="minorHAnsi"/>
          <w:sz w:val="22"/>
          <w:szCs w:val="22"/>
        </w:rPr>
        <w:t xml:space="preserve"> </w:t>
      </w:r>
    </w:p>
    <w:p w14:paraId="45EB2D28" w14:textId="77777777" w:rsidR="00C17B4F" w:rsidRPr="001E2810" w:rsidRDefault="00C17B4F" w:rsidP="00C17B4F">
      <w:pPr>
        <w:spacing w:after="160" w:line="259" w:lineRule="auto"/>
        <w:jc w:val="both"/>
        <w:rPr>
          <w:rFonts w:asciiTheme="minorHAnsi" w:hAnsiTheme="minorHAnsi" w:cstheme="minorHAnsi"/>
          <w:sz w:val="22"/>
          <w:szCs w:val="22"/>
        </w:rPr>
      </w:pPr>
      <w:r w:rsidRPr="001E2810">
        <w:rPr>
          <w:rFonts w:asciiTheme="minorHAnsi" w:hAnsiTheme="minorHAnsi" w:cstheme="minorHAnsi"/>
          <w:sz w:val="22"/>
          <w:szCs w:val="22"/>
        </w:rPr>
        <w:t xml:space="preserve">Against this challenging backdrop, we were very pleased with the performance of the Group. During the first half, </w:t>
      </w:r>
      <w:r w:rsidR="000707D9">
        <w:rPr>
          <w:rFonts w:asciiTheme="minorHAnsi" w:hAnsiTheme="minorHAnsi" w:cstheme="minorHAnsi"/>
          <w:sz w:val="22"/>
          <w:szCs w:val="22"/>
        </w:rPr>
        <w:t>our</w:t>
      </w:r>
      <w:r w:rsidRPr="001E2810">
        <w:rPr>
          <w:rFonts w:asciiTheme="minorHAnsi" w:hAnsiTheme="minorHAnsi" w:cstheme="minorHAnsi"/>
          <w:sz w:val="22"/>
          <w:szCs w:val="22"/>
        </w:rPr>
        <w:t xml:space="preserve"> revenue </w:t>
      </w:r>
      <w:r w:rsidR="000707D9">
        <w:rPr>
          <w:rFonts w:asciiTheme="minorHAnsi" w:hAnsiTheme="minorHAnsi" w:cstheme="minorHAnsi"/>
          <w:sz w:val="22"/>
          <w:szCs w:val="22"/>
        </w:rPr>
        <w:t xml:space="preserve">increased </w:t>
      </w:r>
      <w:r w:rsidRPr="001E2810">
        <w:rPr>
          <w:rFonts w:asciiTheme="minorHAnsi" w:hAnsiTheme="minorHAnsi" w:cstheme="minorHAnsi"/>
          <w:sz w:val="22"/>
          <w:szCs w:val="22"/>
        </w:rPr>
        <w:t>by 22% to £2.4bn and Adjusted EBITDA</w:t>
      </w:r>
      <w:r w:rsidR="009F2C32">
        <w:rPr>
          <w:rFonts w:asciiTheme="minorHAnsi" w:hAnsiTheme="minorHAnsi" w:cstheme="minorHAnsi"/>
          <w:sz w:val="22"/>
          <w:szCs w:val="22"/>
        </w:rPr>
        <w:t xml:space="preserve"> </w:t>
      </w:r>
      <w:r w:rsidRPr="001E2810">
        <w:rPr>
          <w:rFonts w:asciiTheme="minorHAnsi" w:hAnsiTheme="minorHAnsi" w:cstheme="minorHAnsi"/>
          <w:sz w:val="22"/>
          <w:szCs w:val="22"/>
        </w:rPr>
        <w:t>by 3</w:t>
      </w:r>
      <w:r w:rsidR="00EE101B" w:rsidRPr="001E2810">
        <w:rPr>
          <w:rFonts w:asciiTheme="minorHAnsi" w:hAnsiTheme="minorHAnsi" w:cstheme="minorHAnsi"/>
          <w:sz w:val="22"/>
          <w:szCs w:val="22"/>
        </w:rPr>
        <w:t>5</w:t>
      </w:r>
      <w:r w:rsidRPr="001E2810">
        <w:rPr>
          <w:rFonts w:asciiTheme="minorHAnsi" w:hAnsiTheme="minorHAnsi" w:cstheme="minorHAnsi"/>
          <w:sz w:val="22"/>
          <w:szCs w:val="22"/>
        </w:rPr>
        <w:t>% to £684m on a pro</w:t>
      </w:r>
      <w:r w:rsidR="00273820">
        <w:rPr>
          <w:rFonts w:asciiTheme="minorHAnsi" w:hAnsiTheme="minorHAnsi" w:cstheme="minorHAnsi"/>
          <w:sz w:val="22"/>
          <w:szCs w:val="22"/>
        </w:rPr>
        <w:t xml:space="preserve"> </w:t>
      </w:r>
      <w:r w:rsidRPr="001E2810">
        <w:rPr>
          <w:rFonts w:asciiTheme="minorHAnsi" w:hAnsiTheme="minorHAnsi" w:cstheme="minorHAnsi"/>
          <w:sz w:val="22"/>
          <w:szCs w:val="22"/>
        </w:rPr>
        <w:t xml:space="preserve">forma basis. This performance reflected two very </w:t>
      </w:r>
      <w:r w:rsidR="00133D73" w:rsidRPr="001E2810">
        <w:rPr>
          <w:rFonts w:asciiTheme="minorHAnsi" w:hAnsiTheme="minorHAnsi" w:cstheme="minorHAnsi"/>
          <w:sz w:val="22"/>
          <w:szCs w:val="22"/>
        </w:rPr>
        <w:t xml:space="preserve">distinct </w:t>
      </w:r>
      <w:r w:rsidRPr="001E2810">
        <w:rPr>
          <w:rFonts w:asciiTheme="minorHAnsi" w:hAnsiTheme="minorHAnsi" w:cstheme="minorHAnsi"/>
          <w:sz w:val="22"/>
          <w:szCs w:val="22"/>
        </w:rPr>
        <w:t>periods.  Pre</w:t>
      </w:r>
      <w:r w:rsidR="0036318A">
        <w:rPr>
          <w:rFonts w:asciiTheme="minorHAnsi" w:hAnsiTheme="minorHAnsi" w:cstheme="minorHAnsi"/>
          <w:sz w:val="22"/>
          <w:szCs w:val="22"/>
        </w:rPr>
        <w:t xml:space="preserve"> March 15</w:t>
      </w:r>
      <w:r w:rsidRPr="001E2810">
        <w:rPr>
          <w:rFonts w:asciiTheme="minorHAnsi" w:hAnsiTheme="minorHAnsi" w:cstheme="minorHAnsi"/>
          <w:sz w:val="22"/>
          <w:szCs w:val="22"/>
        </w:rPr>
        <w:t xml:space="preserve"> the </w:t>
      </w:r>
      <w:r w:rsidR="000707D9">
        <w:rPr>
          <w:rFonts w:asciiTheme="minorHAnsi" w:hAnsiTheme="minorHAnsi" w:cstheme="minorHAnsi"/>
          <w:sz w:val="22"/>
          <w:szCs w:val="22"/>
        </w:rPr>
        <w:t>G</w:t>
      </w:r>
      <w:r w:rsidRPr="001E2810">
        <w:rPr>
          <w:rFonts w:asciiTheme="minorHAnsi" w:hAnsiTheme="minorHAnsi" w:cstheme="minorHAnsi"/>
          <w:sz w:val="22"/>
          <w:szCs w:val="22"/>
        </w:rPr>
        <w:t>roup deliver</w:t>
      </w:r>
      <w:r w:rsidR="005A635F" w:rsidRPr="001E2810">
        <w:rPr>
          <w:rFonts w:asciiTheme="minorHAnsi" w:hAnsiTheme="minorHAnsi" w:cstheme="minorHAnsi"/>
          <w:sz w:val="22"/>
          <w:szCs w:val="22"/>
        </w:rPr>
        <w:t>ed</w:t>
      </w:r>
      <w:r w:rsidRPr="001E2810">
        <w:rPr>
          <w:rFonts w:asciiTheme="minorHAnsi" w:hAnsiTheme="minorHAnsi" w:cstheme="minorHAnsi"/>
          <w:sz w:val="22"/>
          <w:szCs w:val="22"/>
        </w:rPr>
        <w:t xml:space="preserve"> a strong performance</w:t>
      </w:r>
      <w:r w:rsidR="00C11529" w:rsidRPr="001E2810">
        <w:rPr>
          <w:rFonts w:asciiTheme="minorHAnsi" w:hAnsiTheme="minorHAnsi" w:cstheme="minorHAnsi"/>
          <w:sz w:val="22"/>
          <w:szCs w:val="22"/>
        </w:rPr>
        <w:t>,</w:t>
      </w:r>
      <w:r w:rsidRPr="001E2810">
        <w:rPr>
          <w:rFonts w:asciiTheme="minorHAnsi" w:hAnsiTheme="minorHAnsi" w:cstheme="minorHAnsi"/>
          <w:sz w:val="22"/>
          <w:szCs w:val="22"/>
        </w:rPr>
        <w:t xml:space="preserve"> with pro forma revenues 26% higher year</w:t>
      </w:r>
      <w:r w:rsidR="00C11529" w:rsidRPr="001E2810">
        <w:rPr>
          <w:rFonts w:asciiTheme="minorHAnsi" w:hAnsiTheme="minorHAnsi" w:cstheme="minorHAnsi"/>
          <w:sz w:val="22"/>
          <w:szCs w:val="22"/>
        </w:rPr>
        <w:t>-</w:t>
      </w:r>
      <w:r w:rsidRPr="001E2810">
        <w:rPr>
          <w:rFonts w:asciiTheme="minorHAnsi" w:hAnsiTheme="minorHAnsi" w:cstheme="minorHAnsi"/>
          <w:sz w:val="22"/>
          <w:szCs w:val="22"/>
        </w:rPr>
        <w:t>on</w:t>
      </w:r>
      <w:r w:rsidR="00C11529" w:rsidRPr="001E2810">
        <w:rPr>
          <w:rFonts w:asciiTheme="minorHAnsi" w:hAnsiTheme="minorHAnsi" w:cstheme="minorHAnsi"/>
          <w:sz w:val="22"/>
          <w:szCs w:val="22"/>
        </w:rPr>
        <w:t>-</w:t>
      </w:r>
      <w:r w:rsidRPr="001E2810">
        <w:rPr>
          <w:rFonts w:asciiTheme="minorHAnsi" w:hAnsiTheme="minorHAnsi" w:cstheme="minorHAnsi"/>
          <w:sz w:val="22"/>
          <w:szCs w:val="22"/>
        </w:rPr>
        <w:t xml:space="preserve">year.  </w:t>
      </w:r>
      <w:r w:rsidR="00C11529" w:rsidRPr="001E2810">
        <w:rPr>
          <w:rFonts w:asciiTheme="minorHAnsi" w:hAnsiTheme="minorHAnsi" w:cstheme="minorHAnsi"/>
          <w:sz w:val="22"/>
          <w:szCs w:val="22"/>
        </w:rPr>
        <w:t>In the period thereafter</w:t>
      </w:r>
      <w:r w:rsidR="004E264D" w:rsidRPr="001E2810">
        <w:rPr>
          <w:rFonts w:asciiTheme="minorHAnsi" w:hAnsiTheme="minorHAnsi" w:cstheme="minorHAnsi"/>
          <w:sz w:val="22"/>
          <w:szCs w:val="22"/>
        </w:rPr>
        <w:t xml:space="preserve"> (March 16 to June 30</w:t>
      </w:r>
      <w:r w:rsidR="000707D9">
        <w:rPr>
          <w:rFonts w:asciiTheme="minorHAnsi" w:hAnsiTheme="minorHAnsi" w:cstheme="minorHAnsi"/>
          <w:sz w:val="22"/>
          <w:szCs w:val="22"/>
        </w:rPr>
        <w:t>,</w:t>
      </w:r>
      <w:r w:rsidR="0036318A">
        <w:rPr>
          <w:rFonts w:asciiTheme="minorHAnsi" w:hAnsiTheme="minorHAnsi" w:cstheme="minorHAnsi"/>
          <w:sz w:val="22"/>
          <w:szCs w:val="22"/>
        </w:rPr>
        <w:t xml:space="preserve"> “the disrupted period”</w:t>
      </w:r>
      <w:r w:rsidR="004E264D" w:rsidRPr="001E2810">
        <w:rPr>
          <w:rFonts w:asciiTheme="minorHAnsi" w:hAnsiTheme="minorHAnsi" w:cstheme="minorHAnsi"/>
          <w:sz w:val="22"/>
          <w:szCs w:val="22"/>
        </w:rPr>
        <w:t>)</w:t>
      </w:r>
      <w:r w:rsidR="00C11529" w:rsidRPr="001E2810">
        <w:rPr>
          <w:rFonts w:asciiTheme="minorHAnsi" w:hAnsiTheme="minorHAnsi" w:cstheme="minorHAnsi"/>
          <w:sz w:val="22"/>
          <w:szCs w:val="22"/>
        </w:rPr>
        <w:t xml:space="preserve">, </w:t>
      </w:r>
      <w:r w:rsidRPr="001E2810">
        <w:rPr>
          <w:rFonts w:asciiTheme="minorHAnsi" w:hAnsiTheme="minorHAnsi" w:cstheme="minorHAnsi"/>
          <w:sz w:val="22"/>
          <w:szCs w:val="22"/>
        </w:rPr>
        <w:t>our poker and gaming offering</w:t>
      </w:r>
      <w:r w:rsidR="00C11529" w:rsidRPr="001E2810">
        <w:rPr>
          <w:rFonts w:asciiTheme="minorHAnsi" w:hAnsiTheme="minorHAnsi" w:cstheme="minorHAnsi"/>
          <w:sz w:val="22"/>
          <w:szCs w:val="22"/>
        </w:rPr>
        <w:t xml:space="preserve">s delivered substantial </w:t>
      </w:r>
      <w:r w:rsidR="004E264D" w:rsidRPr="001E2810">
        <w:rPr>
          <w:rFonts w:asciiTheme="minorHAnsi" w:hAnsiTheme="minorHAnsi" w:cstheme="minorHAnsi"/>
          <w:sz w:val="22"/>
          <w:szCs w:val="22"/>
        </w:rPr>
        <w:t xml:space="preserve">year-on-year </w:t>
      </w:r>
      <w:r w:rsidR="00C11529" w:rsidRPr="001E2810">
        <w:rPr>
          <w:rFonts w:asciiTheme="minorHAnsi" w:hAnsiTheme="minorHAnsi" w:cstheme="minorHAnsi"/>
          <w:sz w:val="22"/>
          <w:szCs w:val="22"/>
        </w:rPr>
        <w:t>growth</w:t>
      </w:r>
      <w:r w:rsidR="004E264D" w:rsidRPr="001E2810">
        <w:rPr>
          <w:rFonts w:asciiTheme="minorHAnsi" w:hAnsiTheme="minorHAnsi" w:cstheme="minorHAnsi"/>
          <w:sz w:val="22"/>
          <w:szCs w:val="22"/>
        </w:rPr>
        <w:t>,</w:t>
      </w:r>
      <w:r w:rsidR="00C11529" w:rsidRPr="001E2810">
        <w:rPr>
          <w:rFonts w:asciiTheme="minorHAnsi" w:hAnsiTheme="minorHAnsi" w:cstheme="minorHAnsi"/>
          <w:sz w:val="22"/>
          <w:szCs w:val="22"/>
        </w:rPr>
        <w:t xml:space="preserve"> while</w:t>
      </w:r>
      <w:r w:rsidRPr="001E2810">
        <w:rPr>
          <w:rFonts w:asciiTheme="minorHAnsi" w:hAnsiTheme="minorHAnsi" w:cstheme="minorHAnsi"/>
          <w:sz w:val="22"/>
          <w:szCs w:val="22"/>
        </w:rPr>
        <w:t xml:space="preserve"> the continuation of horse racing </w:t>
      </w:r>
      <w:r w:rsidR="004E264D" w:rsidRPr="001E2810">
        <w:rPr>
          <w:rFonts w:asciiTheme="minorHAnsi" w:hAnsiTheme="minorHAnsi" w:cstheme="minorHAnsi"/>
          <w:sz w:val="22"/>
          <w:szCs w:val="22"/>
        </w:rPr>
        <w:t xml:space="preserve">in both Australia and the US, </w:t>
      </w:r>
      <w:r w:rsidR="00C11529" w:rsidRPr="001E2810">
        <w:rPr>
          <w:rFonts w:asciiTheme="minorHAnsi" w:hAnsiTheme="minorHAnsi" w:cstheme="minorHAnsi"/>
          <w:sz w:val="22"/>
          <w:szCs w:val="22"/>
        </w:rPr>
        <w:t xml:space="preserve">coupled with </w:t>
      </w:r>
      <w:r w:rsidRPr="001E2810">
        <w:rPr>
          <w:rFonts w:asciiTheme="minorHAnsi" w:hAnsiTheme="minorHAnsi" w:cstheme="minorHAnsi"/>
          <w:sz w:val="22"/>
          <w:szCs w:val="22"/>
        </w:rPr>
        <w:t>a run of bookmaker friendly sports results</w:t>
      </w:r>
      <w:r w:rsidR="00C11529" w:rsidRPr="001E2810">
        <w:rPr>
          <w:rFonts w:asciiTheme="minorHAnsi" w:hAnsiTheme="minorHAnsi" w:cstheme="minorHAnsi"/>
          <w:sz w:val="22"/>
          <w:szCs w:val="22"/>
        </w:rPr>
        <w:t>,</w:t>
      </w:r>
      <w:r w:rsidRPr="001E2810">
        <w:rPr>
          <w:rFonts w:asciiTheme="minorHAnsi" w:hAnsiTheme="minorHAnsi" w:cstheme="minorHAnsi"/>
          <w:sz w:val="22"/>
          <w:szCs w:val="22"/>
        </w:rPr>
        <w:t xml:space="preserve"> benefited </w:t>
      </w:r>
      <w:r w:rsidR="00676367" w:rsidRPr="001E2810">
        <w:rPr>
          <w:rFonts w:asciiTheme="minorHAnsi" w:hAnsiTheme="minorHAnsi" w:cstheme="minorHAnsi"/>
          <w:sz w:val="22"/>
          <w:szCs w:val="22"/>
        </w:rPr>
        <w:t xml:space="preserve">our </w:t>
      </w:r>
      <w:r w:rsidR="00C11529" w:rsidRPr="001E2810">
        <w:rPr>
          <w:rFonts w:asciiTheme="minorHAnsi" w:hAnsiTheme="minorHAnsi" w:cstheme="minorHAnsi"/>
          <w:sz w:val="22"/>
          <w:szCs w:val="22"/>
        </w:rPr>
        <w:t xml:space="preserve">sportsbooks </w:t>
      </w:r>
      <w:r w:rsidR="00676367" w:rsidRPr="001E2810">
        <w:rPr>
          <w:rFonts w:asciiTheme="minorHAnsi" w:hAnsiTheme="minorHAnsi" w:cstheme="minorHAnsi"/>
          <w:sz w:val="22"/>
          <w:szCs w:val="22"/>
        </w:rPr>
        <w:t>globally.</w:t>
      </w:r>
      <w:r w:rsidRPr="001E2810">
        <w:rPr>
          <w:rFonts w:asciiTheme="minorHAnsi" w:hAnsiTheme="minorHAnsi" w:cstheme="minorHAnsi"/>
          <w:sz w:val="22"/>
          <w:szCs w:val="22"/>
        </w:rPr>
        <w:t xml:space="preserve"> </w:t>
      </w:r>
      <w:r w:rsidR="00133D73" w:rsidRPr="001E2810">
        <w:rPr>
          <w:rFonts w:asciiTheme="minorHAnsi" w:hAnsiTheme="minorHAnsi" w:cstheme="minorHAnsi"/>
          <w:sz w:val="22"/>
          <w:szCs w:val="22"/>
        </w:rPr>
        <w:t>Therefore notwithstanding the cance</w:t>
      </w:r>
      <w:r w:rsidR="00B65A72">
        <w:rPr>
          <w:rFonts w:asciiTheme="minorHAnsi" w:hAnsiTheme="minorHAnsi" w:cstheme="minorHAnsi"/>
          <w:sz w:val="22"/>
          <w:szCs w:val="22"/>
        </w:rPr>
        <w:t>l</w:t>
      </w:r>
      <w:r w:rsidR="00133D73" w:rsidRPr="001E2810">
        <w:rPr>
          <w:rFonts w:asciiTheme="minorHAnsi" w:hAnsiTheme="minorHAnsi" w:cstheme="minorHAnsi"/>
          <w:sz w:val="22"/>
          <w:szCs w:val="22"/>
        </w:rPr>
        <w:t>lation of many sports, our revenues grew 2</w:t>
      </w:r>
      <w:r w:rsidR="00E57246" w:rsidRPr="001E2810">
        <w:rPr>
          <w:rFonts w:asciiTheme="minorHAnsi" w:hAnsiTheme="minorHAnsi" w:cstheme="minorHAnsi"/>
          <w:sz w:val="22"/>
          <w:szCs w:val="22"/>
        </w:rPr>
        <w:t>0</w:t>
      </w:r>
      <w:r w:rsidR="00133D73" w:rsidRPr="001E2810">
        <w:rPr>
          <w:rFonts w:asciiTheme="minorHAnsi" w:hAnsiTheme="minorHAnsi" w:cstheme="minorHAnsi"/>
          <w:sz w:val="22"/>
          <w:szCs w:val="22"/>
        </w:rPr>
        <w:t xml:space="preserve">% </w:t>
      </w:r>
      <w:r w:rsidR="00B91C4D">
        <w:rPr>
          <w:rFonts w:asciiTheme="minorHAnsi" w:hAnsiTheme="minorHAnsi" w:cstheme="minorHAnsi"/>
          <w:sz w:val="22"/>
          <w:szCs w:val="22"/>
        </w:rPr>
        <w:t>in th</w:t>
      </w:r>
      <w:r w:rsidR="000B1318">
        <w:rPr>
          <w:rFonts w:asciiTheme="minorHAnsi" w:hAnsiTheme="minorHAnsi" w:cstheme="minorHAnsi"/>
          <w:sz w:val="22"/>
          <w:szCs w:val="22"/>
        </w:rPr>
        <w:t>e</w:t>
      </w:r>
      <w:r w:rsidR="00B91C4D">
        <w:rPr>
          <w:rFonts w:asciiTheme="minorHAnsi" w:hAnsiTheme="minorHAnsi" w:cstheme="minorHAnsi"/>
          <w:sz w:val="22"/>
          <w:szCs w:val="22"/>
        </w:rPr>
        <w:t xml:space="preserve"> disrupted period</w:t>
      </w:r>
      <w:r w:rsidR="00133D73" w:rsidRPr="001E2810">
        <w:rPr>
          <w:rFonts w:asciiTheme="minorHAnsi" w:hAnsiTheme="minorHAnsi" w:cstheme="minorHAnsi"/>
          <w:sz w:val="22"/>
          <w:szCs w:val="22"/>
        </w:rPr>
        <w:t xml:space="preserve">.  </w:t>
      </w:r>
    </w:p>
    <w:p w14:paraId="6A301FD6" w14:textId="77777777" w:rsidR="00C17B4F" w:rsidRPr="001E2810" w:rsidRDefault="00C17B4F" w:rsidP="00C17B4F">
      <w:pPr>
        <w:spacing w:after="80" w:line="259" w:lineRule="auto"/>
        <w:jc w:val="both"/>
        <w:rPr>
          <w:rFonts w:asciiTheme="minorHAnsi" w:hAnsiTheme="minorHAnsi" w:cstheme="minorHAnsi"/>
          <w:b/>
          <w:sz w:val="22"/>
          <w:szCs w:val="22"/>
        </w:rPr>
      </w:pPr>
      <w:r w:rsidRPr="001E2810">
        <w:rPr>
          <w:rFonts w:asciiTheme="minorHAnsi" w:hAnsiTheme="minorHAnsi" w:cstheme="minorHAnsi"/>
          <w:b/>
          <w:sz w:val="22"/>
          <w:szCs w:val="22"/>
        </w:rPr>
        <w:t>Combination with TSG</w:t>
      </w:r>
    </w:p>
    <w:p w14:paraId="53423972" w14:textId="77777777" w:rsidR="00C17B4F" w:rsidRPr="001E2810" w:rsidRDefault="00C17B4F" w:rsidP="00C17B4F">
      <w:pPr>
        <w:spacing w:after="160" w:line="259" w:lineRule="auto"/>
        <w:jc w:val="both"/>
        <w:rPr>
          <w:rFonts w:asciiTheme="minorHAnsi" w:hAnsiTheme="minorHAnsi" w:cstheme="minorHAnsi"/>
          <w:sz w:val="22"/>
          <w:szCs w:val="22"/>
        </w:rPr>
      </w:pPr>
      <w:r w:rsidRPr="001E2810">
        <w:rPr>
          <w:rFonts w:asciiTheme="minorHAnsi" w:hAnsiTheme="minorHAnsi" w:cstheme="minorHAnsi"/>
          <w:sz w:val="22"/>
          <w:szCs w:val="22"/>
        </w:rPr>
        <w:t>On May 5 2020,</w:t>
      </w:r>
      <w:r w:rsidR="005A635F" w:rsidRPr="001E2810">
        <w:rPr>
          <w:rFonts w:asciiTheme="minorHAnsi" w:hAnsiTheme="minorHAnsi" w:cstheme="minorHAnsi"/>
          <w:sz w:val="22"/>
          <w:szCs w:val="22"/>
        </w:rPr>
        <w:t xml:space="preserve"> </w:t>
      </w:r>
      <w:r w:rsidRPr="001E2810">
        <w:rPr>
          <w:rFonts w:asciiTheme="minorHAnsi" w:hAnsiTheme="minorHAnsi" w:cstheme="minorHAnsi"/>
          <w:sz w:val="22"/>
          <w:szCs w:val="22"/>
        </w:rPr>
        <w:t xml:space="preserve">we completed our combination with TSG. </w:t>
      </w:r>
      <w:r w:rsidR="00D56161">
        <w:rPr>
          <w:rFonts w:asciiTheme="minorHAnsi" w:hAnsiTheme="minorHAnsi" w:cstheme="minorHAnsi"/>
          <w:sz w:val="22"/>
          <w:szCs w:val="22"/>
        </w:rPr>
        <w:t>In addition to</w:t>
      </w:r>
      <w:r w:rsidR="005A635F" w:rsidRPr="001E2810">
        <w:rPr>
          <w:rFonts w:asciiTheme="minorHAnsi" w:hAnsiTheme="minorHAnsi" w:cstheme="minorHAnsi"/>
          <w:sz w:val="22"/>
          <w:szCs w:val="22"/>
        </w:rPr>
        <w:t xml:space="preserve"> the </w:t>
      </w:r>
      <w:r w:rsidR="00C11529" w:rsidRPr="001E2810">
        <w:rPr>
          <w:rFonts w:asciiTheme="minorHAnsi" w:hAnsiTheme="minorHAnsi" w:cstheme="minorHAnsi"/>
          <w:sz w:val="22"/>
          <w:szCs w:val="22"/>
        </w:rPr>
        <w:t xml:space="preserve">clear </w:t>
      </w:r>
      <w:r w:rsidR="005A635F" w:rsidRPr="001E2810">
        <w:rPr>
          <w:rFonts w:asciiTheme="minorHAnsi" w:hAnsiTheme="minorHAnsi" w:cstheme="minorHAnsi"/>
          <w:sz w:val="22"/>
          <w:szCs w:val="22"/>
        </w:rPr>
        <w:t>diversification benefits</w:t>
      </w:r>
      <w:r w:rsidR="00C11529" w:rsidRPr="001E2810">
        <w:rPr>
          <w:rFonts w:asciiTheme="minorHAnsi" w:hAnsiTheme="minorHAnsi" w:cstheme="minorHAnsi"/>
          <w:sz w:val="22"/>
          <w:szCs w:val="22"/>
        </w:rPr>
        <w:t xml:space="preserve"> </w:t>
      </w:r>
      <w:r w:rsidR="00A54ECA">
        <w:rPr>
          <w:rFonts w:asciiTheme="minorHAnsi" w:hAnsiTheme="minorHAnsi" w:cstheme="minorHAnsi"/>
          <w:sz w:val="22"/>
          <w:szCs w:val="22"/>
        </w:rPr>
        <w:t xml:space="preserve">that </w:t>
      </w:r>
      <w:r w:rsidR="005A635F" w:rsidRPr="001E2810">
        <w:rPr>
          <w:rFonts w:asciiTheme="minorHAnsi" w:hAnsiTheme="minorHAnsi" w:cstheme="minorHAnsi"/>
          <w:sz w:val="22"/>
          <w:szCs w:val="22"/>
        </w:rPr>
        <w:t>t</w:t>
      </w:r>
      <w:r w:rsidRPr="001E2810">
        <w:rPr>
          <w:rFonts w:asciiTheme="minorHAnsi" w:hAnsiTheme="minorHAnsi" w:cstheme="minorHAnsi"/>
          <w:sz w:val="22"/>
          <w:szCs w:val="22"/>
        </w:rPr>
        <w:t xml:space="preserve">he transaction </w:t>
      </w:r>
      <w:r w:rsidR="00A54ECA">
        <w:rPr>
          <w:rFonts w:asciiTheme="minorHAnsi" w:hAnsiTheme="minorHAnsi" w:cstheme="minorHAnsi"/>
          <w:sz w:val="22"/>
          <w:szCs w:val="22"/>
        </w:rPr>
        <w:t xml:space="preserve">brought, it </w:t>
      </w:r>
      <w:r w:rsidR="003A7C06">
        <w:rPr>
          <w:rFonts w:asciiTheme="minorHAnsi" w:hAnsiTheme="minorHAnsi" w:cstheme="minorHAnsi"/>
          <w:sz w:val="22"/>
          <w:szCs w:val="22"/>
        </w:rPr>
        <w:t xml:space="preserve">enhanced </w:t>
      </w:r>
      <w:r w:rsidRPr="001E2810">
        <w:rPr>
          <w:rFonts w:asciiTheme="minorHAnsi" w:hAnsiTheme="minorHAnsi" w:cstheme="minorHAnsi"/>
          <w:sz w:val="22"/>
          <w:szCs w:val="22"/>
        </w:rPr>
        <w:t xml:space="preserve">the Group’s brand portfolio, adding </w:t>
      </w:r>
      <w:r w:rsidR="005A635F" w:rsidRPr="001E2810">
        <w:rPr>
          <w:rFonts w:asciiTheme="minorHAnsi" w:hAnsiTheme="minorHAnsi" w:cstheme="minorHAnsi"/>
          <w:sz w:val="22"/>
          <w:szCs w:val="22"/>
        </w:rPr>
        <w:t xml:space="preserve">high quality </w:t>
      </w:r>
      <w:r w:rsidR="00D70A16" w:rsidRPr="001E2810">
        <w:rPr>
          <w:rFonts w:asciiTheme="minorHAnsi" w:hAnsiTheme="minorHAnsi" w:cstheme="minorHAnsi"/>
          <w:sz w:val="22"/>
          <w:szCs w:val="22"/>
        </w:rPr>
        <w:t xml:space="preserve">consumer-facing </w:t>
      </w:r>
      <w:r w:rsidR="005A635F" w:rsidRPr="001E2810">
        <w:rPr>
          <w:rFonts w:asciiTheme="minorHAnsi" w:hAnsiTheme="minorHAnsi" w:cstheme="minorHAnsi"/>
          <w:sz w:val="22"/>
          <w:szCs w:val="22"/>
        </w:rPr>
        <w:t xml:space="preserve">names such as </w:t>
      </w:r>
      <w:r w:rsidRPr="001E2810">
        <w:rPr>
          <w:rFonts w:asciiTheme="minorHAnsi" w:hAnsiTheme="minorHAnsi" w:cstheme="minorHAnsi"/>
          <w:sz w:val="22"/>
          <w:szCs w:val="22"/>
        </w:rPr>
        <w:t>Sky</w:t>
      </w:r>
      <w:r w:rsidR="003634C1">
        <w:rPr>
          <w:rFonts w:asciiTheme="minorHAnsi" w:hAnsiTheme="minorHAnsi" w:cstheme="minorHAnsi"/>
          <w:sz w:val="22"/>
          <w:szCs w:val="22"/>
        </w:rPr>
        <w:t xml:space="preserve"> </w:t>
      </w:r>
      <w:r w:rsidRPr="001E2810">
        <w:rPr>
          <w:rFonts w:asciiTheme="minorHAnsi" w:hAnsiTheme="minorHAnsi" w:cstheme="minorHAnsi"/>
          <w:sz w:val="22"/>
          <w:szCs w:val="22"/>
        </w:rPr>
        <w:t>Bet</w:t>
      </w:r>
      <w:r w:rsidR="00D70A16" w:rsidRPr="001E2810">
        <w:rPr>
          <w:rFonts w:asciiTheme="minorHAnsi" w:hAnsiTheme="minorHAnsi" w:cstheme="minorHAnsi"/>
          <w:sz w:val="22"/>
          <w:szCs w:val="22"/>
        </w:rPr>
        <w:t>, Sky Vegas</w:t>
      </w:r>
      <w:r w:rsidRPr="001E2810">
        <w:rPr>
          <w:rFonts w:asciiTheme="minorHAnsi" w:hAnsiTheme="minorHAnsi" w:cstheme="minorHAnsi"/>
          <w:sz w:val="22"/>
          <w:szCs w:val="22"/>
        </w:rPr>
        <w:t xml:space="preserve"> and PokerStars to the Flutter stable. It also </w:t>
      </w:r>
      <w:r w:rsidR="003A7C06">
        <w:rPr>
          <w:rFonts w:asciiTheme="minorHAnsi" w:hAnsiTheme="minorHAnsi" w:cstheme="minorHAnsi"/>
          <w:sz w:val="22"/>
          <w:szCs w:val="22"/>
        </w:rPr>
        <w:t xml:space="preserve">strengthened </w:t>
      </w:r>
      <w:r w:rsidRPr="001E2810">
        <w:rPr>
          <w:rFonts w:asciiTheme="minorHAnsi" w:hAnsiTheme="minorHAnsi" w:cstheme="minorHAnsi"/>
          <w:sz w:val="22"/>
          <w:szCs w:val="22"/>
        </w:rPr>
        <w:t xml:space="preserve">the breadth of </w:t>
      </w:r>
      <w:r w:rsidR="005A635F" w:rsidRPr="001E2810">
        <w:rPr>
          <w:rFonts w:asciiTheme="minorHAnsi" w:hAnsiTheme="minorHAnsi" w:cstheme="minorHAnsi"/>
          <w:sz w:val="22"/>
          <w:szCs w:val="22"/>
        </w:rPr>
        <w:t xml:space="preserve">the Group’s </w:t>
      </w:r>
      <w:r w:rsidRPr="001E2810">
        <w:rPr>
          <w:rFonts w:asciiTheme="minorHAnsi" w:hAnsiTheme="minorHAnsi" w:cstheme="minorHAnsi"/>
          <w:sz w:val="22"/>
          <w:szCs w:val="22"/>
        </w:rPr>
        <w:t xml:space="preserve">technology capabilities, with </w:t>
      </w:r>
      <w:r w:rsidR="00D70A16" w:rsidRPr="001E2810">
        <w:rPr>
          <w:rFonts w:asciiTheme="minorHAnsi" w:hAnsiTheme="minorHAnsi" w:cstheme="minorHAnsi"/>
          <w:sz w:val="22"/>
          <w:szCs w:val="22"/>
        </w:rPr>
        <w:t xml:space="preserve">our task </w:t>
      </w:r>
      <w:r w:rsidRPr="001E2810">
        <w:rPr>
          <w:rFonts w:asciiTheme="minorHAnsi" w:hAnsiTheme="minorHAnsi" w:cstheme="minorHAnsi"/>
          <w:sz w:val="22"/>
          <w:szCs w:val="22"/>
        </w:rPr>
        <w:t xml:space="preserve">now to develop and expand </w:t>
      </w:r>
      <w:r w:rsidR="0061763F" w:rsidRPr="001E2810">
        <w:rPr>
          <w:rFonts w:asciiTheme="minorHAnsi" w:hAnsiTheme="minorHAnsi" w:cstheme="minorHAnsi"/>
          <w:sz w:val="22"/>
          <w:szCs w:val="22"/>
        </w:rPr>
        <w:t xml:space="preserve">our </w:t>
      </w:r>
      <w:r w:rsidRPr="001E2810">
        <w:rPr>
          <w:rFonts w:asciiTheme="minorHAnsi" w:hAnsiTheme="minorHAnsi" w:cstheme="minorHAnsi"/>
          <w:sz w:val="22"/>
          <w:szCs w:val="22"/>
        </w:rPr>
        <w:t>range of innovative products while delivering the best player protection framework to our customers. In the 3½ months since completion, we have made important decisions on how we will operate and run the business:</w:t>
      </w:r>
    </w:p>
    <w:p w14:paraId="2EA2A90D" w14:textId="77777777" w:rsidR="00C17B4F" w:rsidRPr="001E2810" w:rsidRDefault="00C17B4F" w:rsidP="009B6BB8">
      <w:pPr>
        <w:pStyle w:val="ListParagraph"/>
        <w:numPr>
          <w:ilvl w:val="0"/>
          <w:numId w:val="16"/>
        </w:numPr>
        <w:spacing w:after="160" w:line="259" w:lineRule="auto"/>
        <w:jc w:val="both"/>
        <w:rPr>
          <w:rFonts w:asciiTheme="minorHAnsi" w:hAnsiTheme="minorHAnsi" w:cstheme="minorHAnsi"/>
          <w:sz w:val="22"/>
          <w:szCs w:val="22"/>
        </w:rPr>
      </w:pPr>
      <w:r w:rsidRPr="001E2810">
        <w:rPr>
          <w:rFonts w:asciiTheme="minorHAnsi" w:hAnsiTheme="minorHAnsi" w:cstheme="minorHAnsi"/>
          <w:b/>
          <w:sz w:val="22"/>
          <w:szCs w:val="22"/>
        </w:rPr>
        <w:t>Operating model and org</w:t>
      </w:r>
      <w:r w:rsidR="00EF3808">
        <w:rPr>
          <w:rFonts w:asciiTheme="minorHAnsi" w:hAnsiTheme="minorHAnsi" w:cstheme="minorHAnsi"/>
          <w:b/>
          <w:sz w:val="22"/>
          <w:szCs w:val="22"/>
        </w:rPr>
        <w:t>anisation</w:t>
      </w:r>
      <w:r w:rsidRPr="001E2810">
        <w:rPr>
          <w:rFonts w:asciiTheme="minorHAnsi" w:hAnsiTheme="minorHAnsi" w:cstheme="minorHAnsi"/>
          <w:b/>
          <w:sz w:val="22"/>
          <w:szCs w:val="22"/>
        </w:rPr>
        <w:t xml:space="preserve"> design:</w:t>
      </w:r>
      <w:r w:rsidRPr="001E2810">
        <w:rPr>
          <w:rFonts w:asciiTheme="minorHAnsi" w:hAnsiTheme="minorHAnsi" w:cstheme="minorHAnsi"/>
          <w:sz w:val="22"/>
          <w:szCs w:val="22"/>
        </w:rPr>
        <w:t xml:space="preserve"> Flutter will continue to operate a decentralised operating model, with a lean</w:t>
      </w:r>
      <w:r w:rsidR="00D70A16" w:rsidRPr="001E2810">
        <w:rPr>
          <w:rFonts w:asciiTheme="minorHAnsi" w:hAnsiTheme="minorHAnsi" w:cstheme="minorHAnsi"/>
          <w:sz w:val="22"/>
          <w:szCs w:val="22"/>
        </w:rPr>
        <w:t xml:space="preserve"> </w:t>
      </w:r>
      <w:r w:rsidRPr="001E2810">
        <w:rPr>
          <w:rFonts w:asciiTheme="minorHAnsi" w:hAnsiTheme="minorHAnsi" w:cstheme="minorHAnsi"/>
          <w:sz w:val="22"/>
          <w:szCs w:val="22"/>
        </w:rPr>
        <w:t xml:space="preserve">Group function supporting </w:t>
      </w:r>
      <w:r w:rsidR="00D83CE6">
        <w:rPr>
          <w:rFonts w:asciiTheme="minorHAnsi" w:hAnsiTheme="minorHAnsi" w:cstheme="minorHAnsi"/>
          <w:sz w:val="22"/>
          <w:szCs w:val="22"/>
        </w:rPr>
        <w:t>four</w:t>
      </w:r>
      <w:r w:rsidRPr="001E2810">
        <w:rPr>
          <w:rFonts w:asciiTheme="minorHAnsi" w:hAnsiTheme="minorHAnsi" w:cstheme="minorHAnsi"/>
          <w:sz w:val="22"/>
          <w:szCs w:val="22"/>
        </w:rPr>
        <w:t xml:space="preserve"> regional teams. Th</w:t>
      </w:r>
      <w:r w:rsidR="00EF3808">
        <w:rPr>
          <w:rFonts w:asciiTheme="minorHAnsi" w:hAnsiTheme="minorHAnsi" w:cstheme="minorHAnsi"/>
          <w:sz w:val="22"/>
          <w:szCs w:val="22"/>
        </w:rPr>
        <w:t>e</w:t>
      </w:r>
      <w:r w:rsidRPr="001E2810">
        <w:rPr>
          <w:rFonts w:asciiTheme="minorHAnsi" w:hAnsiTheme="minorHAnsi" w:cstheme="minorHAnsi"/>
          <w:sz w:val="22"/>
          <w:szCs w:val="22"/>
        </w:rPr>
        <w:t xml:space="preserve"> </w:t>
      </w:r>
      <w:r w:rsidR="00D83CE6">
        <w:rPr>
          <w:rFonts w:asciiTheme="minorHAnsi" w:hAnsiTheme="minorHAnsi" w:cstheme="minorHAnsi"/>
          <w:sz w:val="22"/>
          <w:szCs w:val="22"/>
        </w:rPr>
        <w:t>four</w:t>
      </w:r>
      <w:r w:rsidRPr="001E2810">
        <w:rPr>
          <w:rFonts w:asciiTheme="minorHAnsi" w:hAnsiTheme="minorHAnsi" w:cstheme="minorHAnsi"/>
          <w:sz w:val="22"/>
          <w:szCs w:val="22"/>
        </w:rPr>
        <w:t xml:space="preserve"> regions will be </w:t>
      </w:r>
      <w:r w:rsidR="00D70A16" w:rsidRPr="001E2810">
        <w:rPr>
          <w:rFonts w:asciiTheme="minorHAnsi" w:hAnsiTheme="minorHAnsi" w:cstheme="minorHAnsi"/>
          <w:sz w:val="22"/>
          <w:szCs w:val="22"/>
        </w:rPr>
        <w:t>(</w:t>
      </w:r>
      <w:proofErr w:type="spellStart"/>
      <w:r w:rsidR="00D70A16" w:rsidRPr="001E2810">
        <w:rPr>
          <w:rFonts w:asciiTheme="minorHAnsi" w:hAnsiTheme="minorHAnsi" w:cstheme="minorHAnsi"/>
          <w:sz w:val="22"/>
          <w:szCs w:val="22"/>
        </w:rPr>
        <w:t>i</w:t>
      </w:r>
      <w:proofErr w:type="spellEnd"/>
      <w:r w:rsidR="00D70A16" w:rsidRPr="001E2810">
        <w:rPr>
          <w:rFonts w:asciiTheme="minorHAnsi" w:hAnsiTheme="minorHAnsi" w:cstheme="minorHAnsi"/>
          <w:sz w:val="22"/>
          <w:szCs w:val="22"/>
        </w:rPr>
        <w:t xml:space="preserve">) </w:t>
      </w:r>
      <w:r w:rsidRPr="001E2810">
        <w:rPr>
          <w:rFonts w:asciiTheme="minorHAnsi" w:hAnsiTheme="minorHAnsi" w:cstheme="minorHAnsi"/>
          <w:sz w:val="22"/>
          <w:szCs w:val="22"/>
        </w:rPr>
        <w:t>UK and Ireland (which includes Sky Betting &amp; Gaming</w:t>
      </w:r>
      <w:r w:rsidR="000707D9">
        <w:rPr>
          <w:rFonts w:asciiTheme="minorHAnsi" w:hAnsiTheme="minorHAnsi" w:cstheme="minorHAnsi"/>
          <w:sz w:val="22"/>
          <w:szCs w:val="22"/>
        </w:rPr>
        <w:t xml:space="preserve"> (“SBG”),</w:t>
      </w:r>
      <w:r w:rsidR="000707D9" w:rsidRPr="000707D9">
        <w:rPr>
          <w:rFonts w:asciiTheme="minorHAnsi" w:hAnsiTheme="minorHAnsi" w:cstheme="minorHAnsi"/>
          <w:sz w:val="22"/>
          <w:szCs w:val="22"/>
        </w:rPr>
        <w:t xml:space="preserve"> </w:t>
      </w:r>
      <w:r w:rsidR="000707D9" w:rsidRPr="001E2810">
        <w:rPr>
          <w:rFonts w:asciiTheme="minorHAnsi" w:hAnsiTheme="minorHAnsi" w:cstheme="minorHAnsi"/>
          <w:sz w:val="22"/>
          <w:szCs w:val="22"/>
        </w:rPr>
        <w:t>Paddy Power</w:t>
      </w:r>
      <w:r w:rsidRPr="001E2810">
        <w:rPr>
          <w:rFonts w:asciiTheme="minorHAnsi" w:hAnsiTheme="minorHAnsi" w:cstheme="minorHAnsi"/>
          <w:sz w:val="22"/>
          <w:szCs w:val="22"/>
        </w:rPr>
        <w:t xml:space="preserve"> and Betfair UK</w:t>
      </w:r>
      <w:r w:rsidR="00992FC5">
        <w:rPr>
          <w:rFonts w:asciiTheme="minorHAnsi" w:hAnsiTheme="minorHAnsi" w:cstheme="minorHAnsi"/>
          <w:sz w:val="22"/>
          <w:szCs w:val="22"/>
        </w:rPr>
        <w:t>&amp;I</w:t>
      </w:r>
      <w:r w:rsidRPr="001E2810">
        <w:rPr>
          <w:rFonts w:asciiTheme="minorHAnsi" w:hAnsiTheme="minorHAnsi" w:cstheme="minorHAnsi"/>
          <w:sz w:val="22"/>
          <w:szCs w:val="22"/>
        </w:rPr>
        <w:t xml:space="preserve"> operations), </w:t>
      </w:r>
      <w:r w:rsidR="00D70A16" w:rsidRPr="001E2810">
        <w:rPr>
          <w:rFonts w:asciiTheme="minorHAnsi" w:hAnsiTheme="minorHAnsi" w:cstheme="minorHAnsi"/>
          <w:sz w:val="22"/>
          <w:szCs w:val="22"/>
        </w:rPr>
        <w:t xml:space="preserve">(ii) </w:t>
      </w:r>
      <w:r w:rsidRPr="001E2810">
        <w:rPr>
          <w:rFonts w:asciiTheme="minorHAnsi" w:hAnsiTheme="minorHAnsi" w:cstheme="minorHAnsi"/>
          <w:sz w:val="22"/>
          <w:szCs w:val="22"/>
        </w:rPr>
        <w:t xml:space="preserve">International (comprising PokerStars, Betfair International, Adjarabet and </w:t>
      </w:r>
      <w:r w:rsidR="007859CF">
        <w:rPr>
          <w:rFonts w:asciiTheme="minorHAnsi" w:hAnsiTheme="minorHAnsi" w:cstheme="minorHAnsi"/>
          <w:sz w:val="22"/>
          <w:szCs w:val="22"/>
        </w:rPr>
        <w:t xml:space="preserve">the Group’s risk and trading </w:t>
      </w:r>
      <w:r w:rsidRPr="001E2810">
        <w:rPr>
          <w:rFonts w:asciiTheme="minorHAnsi" w:hAnsiTheme="minorHAnsi" w:cstheme="minorHAnsi"/>
          <w:sz w:val="22"/>
          <w:szCs w:val="22"/>
        </w:rPr>
        <w:t xml:space="preserve">B2B operations), </w:t>
      </w:r>
      <w:r w:rsidR="00D70A16" w:rsidRPr="001E2810">
        <w:rPr>
          <w:rFonts w:asciiTheme="minorHAnsi" w:hAnsiTheme="minorHAnsi" w:cstheme="minorHAnsi"/>
          <w:sz w:val="22"/>
          <w:szCs w:val="22"/>
        </w:rPr>
        <w:t>(iii)</w:t>
      </w:r>
      <w:r w:rsidR="000707D9">
        <w:rPr>
          <w:rFonts w:asciiTheme="minorHAnsi" w:hAnsiTheme="minorHAnsi" w:cstheme="minorHAnsi"/>
          <w:sz w:val="22"/>
          <w:szCs w:val="22"/>
        </w:rPr>
        <w:t xml:space="preserve"> Australia</w:t>
      </w:r>
      <w:r w:rsidR="00D70A16" w:rsidRPr="001E2810">
        <w:rPr>
          <w:rFonts w:asciiTheme="minorHAnsi" w:hAnsiTheme="minorHAnsi" w:cstheme="minorHAnsi"/>
          <w:sz w:val="22"/>
          <w:szCs w:val="22"/>
        </w:rPr>
        <w:t xml:space="preserve"> </w:t>
      </w:r>
      <w:r w:rsidRPr="001E2810">
        <w:rPr>
          <w:rFonts w:asciiTheme="minorHAnsi" w:hAnsiTheme="minorHAnsi" w:cstheme="minorHAnsi"/>
          <w:sz w:val="22"/>
          <w:szCs w:val="22"/>
        </w:rPr>
        <w:t xml:space="preserve">and </w:t>
      </w:r>
      <w:r w:rsidR="00D70A16" w:rsidRPr="001E2810">
        <w:rPr>
          <w:rFonts w:asciiTheme="minorHAnsi" w:hAnsiTheme="minorHAnsi" w:cstheme="minorHAnsi"/>
          <w:sz w:val="22"/>
          <w:szCs w:val="22"/>
        </w:rPr>
        <w:t xml:space="preserve">(iv) </w:t>
      </w:r>
      <w:r w:rsidR="000707D9" w:rsidRPr="001E2810">
        <w:rPr>
          <w:rFonts w:asciiTheme="minorHAnsi" w:hAnsiTheme="minorHAnsi" w:cstheme="minorHAnsi"/>
          <w:sz w:val="22"/>
          <w:szCs w:val="22"/>
        </w:rPr>
        <w:t>US</w:t>
      </w:r>
      <w:r w:rsidR="000707D9">
        <w:rPr>
          <w:rFonts w:asciiTheme="minorHAnsi" w:hAnsiTheme="minorHAnsi" w:cstheme="minorHAnsi"/>
          <w:sz w:val="22"/>
          <w:szCs w:val="22"/>
        </w:rPr>
        <w:t xml:space="preserve"> (FanDuel, FoxBet, TVG and PokerStars US operations)</w:t>
      </w:r>
      <w:r w:rsidRPr="001E2810">
        <w:rPr>
          <w:rFonts w:asciiTheme="minorHAnsi" w:hAnsiTheme="minorHAnsi" w:cstheme="minorHAnsi"/>
          <w:sz w:val="22"/>
          <w:szCs w:val="22"/>
        </w:rPr>
        <w:t xml:space="preserve">. </w:t>
      </w:r>
      <w:r w:rsidR="0061763F" w:rsidRPr="001E2810">
        <w:rPr>
          <w:rFonts w:asciiTheme="minorHAnsi" w:hAnsiTheme="minorHAnsi" w:cstheme="minorHAnsi"/>
          <w:sz w:val="22"/>
          <w:szCs w:val="22"/>
        </w:rPr>
        <w:t xml:space="preserve">Our </w:t>
      </w:r>
      <w:r w:rsidR="00D70A16" w:rsidRPr="001E2810">
        <w:rPr>
          <w:rFonts w:asciiTheme="minorHAnsi" w:hAnsiTheme="minorHAnsi" w:cstheme="minorHAnsi"/>
          <w:sz w:val="22"/>
          <w:szCs w:val="22"/>
        </w:rPr>
        <w:t>4 d</w:t>
      </w:r>
      <w:r w:rsidRPr="001E2810">
        <w:rPr>
          <w:rFonts w:asciiTheme="minorHAnsi" w:hAnsiTheme="minorHAnsi" w:cstheme="minorHAnsi"/>
          <w:sz w:val="22"/>
          <w:szCs w:val="22"/>
        </w:rPr>
        <w:t xml:space="preserve">ivisional CEOs have </w:t>
      </w:r>
      <w:r w:rsidR="00D70A16" w:rsidRPr="001E2810">
        <w:rPr>
          <w:rFonts w:asciiTheme="minorHAnsi" w:hAnsiTheme="minorHAnsi" w:cstheme="minorHAnsi"/>
          <w:sz w:val="22"/>
          <w:szCs w:val="22"/>
        </w:rPr>
        <w:t xml:space="preserve">all </w:t>
      </w:r>
      <w:r w:rsidRPr="001E2810">
        <w:rPr>
          <w:rFonts w:asciiTheme="minorHAnsi" w:hAnsiTheme="minorHAnsi" w:cstheme="minorHAnsi"/>
          <w:sz w:val="22"/>
          <w:szCs w:val="22"/>
        </w:rPr>
        <w:t xml:space="preserve">been appointed and </w:t>
      </w:r>
      <w:r w:rsidR="00B91C4D">
        <w:rPr>
          <w:rFonts w:asciiTheme="minorHAnsi" w:hAnsiTheme="minorHAnsi" w:cstheme="minorHAnsi"/>
          <w:sz w:val="22"/>
          <w:szCs w:val="22"/>
        </w:rPr>
        <w:t>most</w:t>
      </w:r>
      <w:r w:rsidRPr="001E2810">
        <w:rPr>
          <w:rFonts w:asciiTheme="minorHAnsi" w:hAnsiTheme="minorHAnsi" w:cstheme="minorHAnsi"/>
          <w:sz w:val="22"/>
          <w:szCs w:val="22"/>
        </w:rPr>
        <w:t xml:space="preserve"> key leadership roles have been filled. </w:t>
      </w:r>
      <w:r w:rsidR="007859CF">
        <w:rPr>
          <w:rFonts w:asciiTheme="minorHAnsi" w:hAnsiTheme="minorHAnsi" w:cstheme="minorHAnsi"/>
          <w:sz w:val="22"/>
          <w:szCs w:val="22"/>
        </w:rPr>
        <w:t xml:space="preserve">We intend to report earnings on </w:t>
      </w:r>
      <w:r w:rsidR="004D07D9">
        <w:rPr>
          <w:rFonts w:asciiTheme="minorHAnsi" w:hAnsiTheme="minorHAnsi" w:cstheme="minorHAnsi"/>
          <w:sz w:val="22"/>
          <w:szCs w:val="22"/>
        </w:rPr>
        <w:t xml:space="preserve">this revised </w:t>
      </w:r>
      <w:r w:rsidR="007859CF">
        <w:rPr>
          <w:rFonts w:asciiTheme="minorHAnsi" w:hAnsiTheme="minorHAnsi" w:cstheme="minorHAnsi"/>
          <w:sz w:val="22"/>
          <w:szCs w:val="22"/>
        </w:rPr>
        <w:t xml:space="preserve">4 division basis from 2021 on. </w:t>
      </w:r>
    </w:p>
    <w:p w14:paraId="313C1B02" w14:textId="77777777" w:rsidR="00C17B4F" w:rsidRPr="001E2810" w:rsidRDefault="00C17B4F" w:rsidP="009B6BB8">
      <w:pPr>
        <w:pStyle w:val="ListParagraph"/>
        <w:numPr>
          <w:ilvl w:val="0"/>
          <w:numId w:val="16"/>
        </w:numPr>
        <w:spacing w:after="160" w:line="259" w:lineRule="auto"/>
        <w:jc w:val="both"/>
        <w:rPr>
          <w:rFonts w:asciiTheme="minorHAnsi" w:hAnsiTheme="minorHAnsi" w:cstheme="minorHAnsi"/>
          <w:sz w:val="22"/>
          <w:szCs w:val="22"/>
        </w:rPr>
      </w:pPr>
      <w:r w:rsidRPr="001E2810">
        <w:rPr>
          <w:rFonts w:asciiTheme="minorHAnsi" w:hAnsiTheme="minorHAnsi" w:cstheme="minorHAnsi"/>
          <w:b/>
          <w:sz w:val="22"/>
          <w:szCs w:val="22"/>
        </w:rPr>
        <w:t xml:space="preserve">Technology: </w:t>
      </w:r>
      <w:r w:rsidRPr="001E2810">
        <w:rPr>
          <w:rFonts w:asciiTheme="minorHAnsi" w:hAnsiTheme="minorHAnsi" w:cstheme="minorHAnsi"/>
          <w:sz w:val="22"/>
          <w:szCs w:val="22"/>
        </w:rPr>
        <w:t xml:space="preserve">Protecting the momentum in each part of the business is of paramount importance and our approach to technology integration has been developed with this principle in mind. </w:t>
      </w:r>
      <w:r w:rsidR="000707D9" w:rsidRPr="00886A51">
        <w:rPr>
          <w:rFonts w:asciiTheme="minorHAnsi" w:hAnsiTheme="minorHAnsi" w:cstheme="minorHAnsi"/>
          <w:sz w:val="22"/>
          <w:szCs w:val="22"/>
        </w:rPr>
        <w:t>We have concluded that PPB’s current online sports</w:t>
      </w:r>
      <w:r w:rsidR="00281E2A" w:rsidRPr="00886A51">
        <w:rPr>
          <w:rFonts w:asciiTheme="minorHAnsi" w:hAnsiTheme="minorHAnsi" w:cstheme="minorHAnsi"/>
          <w:sz w:val="22"/>
          <w:szCs w:val="22"/>
        </w:rPr>
        <w:t xml:space="preserve"> </w:t>
      </w:r>
      <w:r w:rsidR="000707D9" w:rsidRPr="00886A51">
        <w:rPr>
          <w:rFonts w:asciiTheme="minorHAnsi" w:hAnsiTheme="minorHAnsi" w:cstheme="minorHAnsi"/>
          <w:sz w:val="22"/>
          <w:szCs w:val="22"/>
        </w:rPr>
        <w:t>betting platform will become the Group’s global sports</w:t>
      </w:r>
      <w:r w:rsidR="00281E2A" w:rsidRPr="00886A51">
        <w:rPr>
          <w:rFonts w:asciiTheme="minorHAnsi" w:hAnsiTheme="minorHAnsi" w:cstheme="minorHAnsi"/>
          <w:sz w:val="22"/>
          <w:szCs w:val="22"/>
        </w:rPr>
        <w:t xml:space="preserve"> </w:t>
      </w:r>
      <w:r w:rsidR="000707D9" w:rsidRPr="00886A51">
        <w:rPr>
          <w:rFonts w:asciiTheme="minorHAnsi" w:hAnsiTheme="minorHAnsi" w:cstheme="minorHAnsi"/>
          <w:sz w:val="22"/>
          <w:szCs w:val="22"/>
        </w:rPr>
        <w:t>betting platform.</w:t>
      </w:r>
      <w:r w:rsidR="000707D9" w:rsidRPr="001E2810">
        <w:rPr>
          <w:rFonts w:asciiTheme="minorHAnsi" w:hAnsiTheme="minorHAnsi" w:cstheme="minorHAnsi"/>
          <w:sz w:val="22"/>
          <w:szCs w:val="22"/>
        </w:rPr>
        <w:t xml:space="preserve"> The roll out </w:t>
      </w:r>
      <w:r w:rsidR="00EC091B">
        <w:rPr>
          <w:rFonts w:asciiTheme="minorHAnsi" w:hAnsiTheme="minorHAnsi" w:cstheme="minorHAnsi"/>
          <w:sz w:val="22"/>
          <w:szCs w:val="22"/>
        </w:rPr>
        <w:t xml:space="preserve">of this platform </w:t>
      </w:r>
      <w:r w:rsidR="000707D9">
        <w:rPr>
          <w:rFonts w:asciiTheme="minorHAnsi" w:hAnsiTheme="minorHAnsi" w:cstheme="minorHAnsi"/>
          <w:sz w:val="22"/>
          <w:szCs w:val="22"/>
        </w:rPr>
        <w:t>to Fan</w:t>
      </w:r>
      <w:r w:rsidR="00D836AB">
        <w:rPr>
          <w:rFonts w:asciiTheme="minorHAnsi" w:hAnsiTheme="minorHAnsi" w:cstheme="minorHAnsi"/>
          <w:sz w:val="22"/>
          <w:szCs w:val="22"/>
        </w:rPr>
        <w:t>D</w:t>
      </w:r>
      <w:r w:rsidR="000707D9">
        <w:rPr>
          <w:rFonts w:asciiTheme="minorHAnsi" w:hAnsiTheme="minorHAnsi" w:cstheme="minorHAnsi"/>
          <w:sz w:val="22"/>
          <w:szCs w:val="22"/>
        </w:rPr>
        <w:t xml:space="preserve">uel </w:t>
      </w:r>
      <w:r w:rsidR="000707D9" w:rsidRPr="001E2810">
        <w:rPr>
          <w:rFonts w:asciiTheme="minorHAnsi" w:hAnsiTheme="minorHAnsi" w:cstheme="minorHAnsi"/>
          <w:sz w:val="22"/>
          <w:szCs w:val="22"/>
        </w:rPr>
        <w:t>will commence later this year and we plan to deploy it to other parts of the Group</w:t>
      </w:r>
      <w:r w:rsidR="00EC091B" w:rsidRPr="00EC091B">
        <w:rPr>
          <w:rFonts w:asciiTheme="minorHAnsi" w:hAnsiTheme="minorHAnsi" w:cstheme="minorHAnsi"/>
          <w:sz w:val="22"/>
          <w:szCs w:val="22"/>
        </w:rPr>
        <w:t xml:space="preserve"> </w:t>
      </w:r>
      <w:r w:rsidR="00EC091B" w:rsidRPr="001E2810">
        <w:rPr>
          <w:rFonts w:asciiTheme="minorHAnsi" w:hAnsiTheme="minorHAnsi" w:cstheme="minorHAnsi"/>
          <w:sz w:val="22"/>
          <w:szCs w:val="22"/>
        </w:rPr>
        <w:t>over time</w:t>
      </w:r>
      <w:r w:rsidR="000707D9" w:rsidRPr="001E2810">
        <w:rPr>
          <w:rFonts w:asciiTheme="minorHAnsi" w:hAnsiTheme="minorHAnsi" w:cstheme="minorHAnsi"/>
          <w:sz w:val="22"/>
          <w:szCs w:val="22"/>
        </w:rPr>
        <w:t>.</w:t>
      </w:r>
      <w:r w:rsidRPr="001E2810">
        <w:rPr>
          <w:rFonts w:asciiTheme="minorHAnsi" w:hAnsiTheme="minorHAnsi" w:cstheme="minorHAnsi"/>
          <w:sz w:val="22"/>
          <w:szCs w:val="22"/>
        </w:rPr>
        <w:t xml:space="preserve"> </w:t>
      </w:r>
    </w:p>
    <w:p w14:paraId="69E4F9E9" w14:textId="77777777" w:rsidR="00C17B4F" w:rsidRPr="001E2810" w:rsidRDefault="00C17B4F" w:rsidP="009B6BB8">
      <w:pPr>
        <w:pStyle w:val="ListParagraph"/>
        <w:numPr>
          <w:ilvl w:val="0"/>
          <w:numId w:val="16"/>
        </w:numPr>
        <w:spacing w:after="120" w:line="259" w:lineRule="auto"/>
        <w:ind w:left="714" w:hanging="357"/>
        <w:jc w:val="both"/>
        <w:rPr>
          <w:rFonts w:asciiTheme="minorHAnsi" w:hAnsiTheme="minorHAnsi" w:cstheme="minorHAnsi"/>
          <w:sz w:val="22"/>
          <w:szCs w:val="22"/>
        </w:rPr>
      </w:pPr>
      <w:r w:rsidRPr="001E2810">
        <w:rPr>
          <w:rFonts w:asciiTheme="minorHAnsi" w:hAnsiTheme="minorHAnsi" w:cstheme="minorHAnsi"/>
          <w:b/>
          <w:sz w:val="22"/>
          <w:szCs w:val="22"/>
        </w:rPr>
        <w:t xml:space="preserve">Improving the quality and sustainability of the business: </w:t>
      </w:r>
      <w:r w:rsidRPr="001E2810">
        <w:rPr>
          <w:rFonts w:asciiTheme="minorHAnsi" w:hAnsiTheme="minorHAnsi" w:cstheme="minorHAnsi"/>
          <w:sz w:val="22"/>
          <w:szCs w:val="22"/>
        </w:rPr>
        <w:t xml:space="preserve">We said at the time of the merger announcement that we would review the </w:t>
      </w:r>
      <w:r w:rsidR="00FA4984" w:rsidRPr="001E2810">
        <w:rPr>
          <w:rFonts w:asciiTheme="minorHAnsi" w:hAnsiTheme="minorHAnsi" w:cstheme="minorHAnsi"/>
          <w:sz w:val="22"/>
          <w:szCs w:val="22"/>
        </w:rPr>
        <w:t xml:space="preserve">compliance standards </w:t>
      </w:r>
      <w:r w:rsidR="00FA4984">
        <w:rPr>
          <w:rFonts w:asciiTheme="minorHAnsi" w:hAnsiTheme="minorHAnsi" w:cstheme="minorHAnsi"/>
          <w:sz w:val="22"/>
          <w:szCs w:val="22"/>
        </w:rPr>
        <w:t xml:space="preserve">and </w:t>
      </w:r>
      <w:r w:rsidRPr="001E2810">
        <w:rPr>
          <w:rFonts w:asciiTheme="minorHAnsi" w:hAnsiTheme="minorHAnsi" w:cstheme="minorHAnsi"/>
          <w:sz w:val="22"/>
          <w:szCs w:val="22"/>
        </w:rPr>
        <w:t xml:space="preserve">market exposures of </w:t>
      </w:r>
      <w:r w:rsidR="00EC091B">
        <w:rPr>
          <w:rFonts w:asciiTheme="minorHAnsi" w:hAnsiTheme="minorHAnsi" w:cstheme="minorHAnsi"/>
          <w:sz w:val="22"/>
          <w:szCs w:val="22"/>
        </w:rPr>
        <w:t xml:space="preserve">the combined </w:t>
      </w:r>
      <w:r w:rsidR="000707D9">
        <w:rPr>
          <w:rFonts w:asciiTheme="minorHAnsi" w:hAnsiTheme="minorHAnsi" w:cstheme="minorHAnsi"/>
          <w:sz w:val="22"/>
          <w:szCs w:val="22"/>
        </w:rPr>
        <w:t>Group</w:t>
      </w:r>
      <w:r w:rsidRPr="001E2810">
        <w:rPr>
          <w:rFonts w:asciiTheme="minorHAnsi" w:hAnsiTheme="minorHAnsi" w:cstheme="minorHAnsi"/>
          <w:sz w:val="22"/>
          <w:szCs w:val="22"/>
        </w:rPr>
        <w:t xml:space="preserve"> once the transaction was complete. Where standards differed from those of Flutter, we </w:t>
      </w:r>
      <w:r w:rsidR="0061763F" w:rsidRPr="001E2810">
        <w:rPr>
          <w:rFonts w:asciiTheme="minorHAnsi" w:hAnsiTheme="minorHAnsi" w:cstheme="minorHAnsi"/>
          <w:sz w:val="22"/>
          <w:szCs w:val="22"/>
        </w:rPr>
        <w:t xml:space="preserve">aimed to </w:t>
      </w:r>
      <w:r w:rsidRPr="001E2810">
        <w:rPr>
          <w:rFonts w:asciiTheme="minorHAnsi" w:hAnsiTheme="minorHAnsi" w:cstheme="minorHAnsi"/>
          <w:sz w:val="22"/>
          <w:szCs w:val="22"/>
        </w:rPr>
        <w:t xml:space="preserve">adopt the higher of the two. Our review has fallen into </w:t>
      </w:r>
      <w:r w:rsidR="00112D21" w:rsidRPr="001E2810">
        <w:rPr>
          <w:rFonts w:asciiTheme="minorHAnsi" w:hAnsiTheme="minorHAnsi" w:cstheme="minorHAnsi"/>
          <w:sz w:val="22"/>
          <w:szCs w:val="22"/>
        </w:rPr>
        <w:t>2</w:t>
      </w:r>
      <w:r w:rsidRPr="001E2810">
        <w:rPr>
          <w:rFonts w:asciiTheme="minorHAnsi" w:hAnsiTheme="minorHAnsi" w:cstheme="minorHAnsi"/>
          <w:sz w:val="22"/>
          <w:szCs w:val="22"/>
        </w:rPr>
        <w:t xml:space="preserve"> broad categories;</w:t>
      </w:r>
    </w:p>
    <w:p w14:paraId="105445DA" w14:textId="77777777" w:rsidR="00083F7C" w:rsidRPr="001E2810" w:rsidRDefault="00083F7C" w:rsidP="009B6BB8">
      <w:pPr>
        <w:pStyle w:val="ListParagraph"/>
        <w:numPr>
          <w:ilvl w:val="0"/>
          <w:numId w:val="20"/>
        </w:numPr>
        <w:spacing w:after="160" w:line="259" w:lineRule="auto"/>
        <w:ind w:firstLine="273"/>
        <w:jc w:val="both"/>
        <w:rPr>
          <w:rFonts w:asciiTheme="minorHAnsi" w:hAnsiTheme="minorHAnsi" w:cstheme="minorHAnsi"/>
          <w:sz w:val="22"/>
          <w:szCs w:val="22"/>
        </w:rPr>
      </w:pPr>
      <w:r w:rsidRPr="001E2810">
        <w:rPr>
          <w:rFonts w:asciiTheme="minorHAnsi" w:hAnsiTheme="minorHAnsi" w:cstheme="minorHAnsi"/>
          <w:sz w:val="22"/>
          <w:szCs w:val="22"/>
        </w:rPr>
        <w:t>the quality of TSG’s safer gambling/anti money laundering (AML) procedures</w:t>
      </w:r>
      <w:r w:rsidR="00596D54">
        <w:rPr>
          <w:rFonts w:asciiTheme="minorHAnsi" w:hAnsiTheme="minorHAnsi" w:cstheme="minorHAnsi"/>
          <w:sz w:val="22"/>
          <w:szCs w:val="22"/>
        </w:rPr>
        <w:t>;</w:t>
      </w:r>
      <w:r>
        <w:rPr>
          <w:rFonts w:asciiTheme="minorHAnsi" w:hAnsiTheme="minorHAnsi" w:cstheme="minorHAnsi"/>
          <w:sz w:val="22"/>
          <w:szCs w:val="22"/>
        </w:rPr>
        <w:t xml:space="preserve"> and</w:t>
      </w:r>
      <w:r w:rsidR="00596D54">
        <w:rPr>
          <w:rFonts w:asciiTheme="minorHAnsi" w:hAnsiTheme="minorHAnsi" w:cstheme="minorHAnsi"/>
          <w:sz w:val="22"/>
          <w:szCs w:val="22"/>
        </w:rPr>
        <w:t>,</w:t>
      </w:r>
    </w:p>
    <w:p w14:paraId="0C086662" w14:textId="77777777" w:rsidR="00C17B4F" w:rsidRPr="001E2810" w:rsidRDefault="00C17B4F" w:rsidP="009B6BB8">
      <w:pPr>
        <w:pStyle w:val="ListParagraph"/>
        <w:numPr>
          <w:ilvl w:val="0"/>
          <w:numId w:val="20"/>
        </w:numPr>
        <w:spacing w:after="160" w:line="259" w:lineRule="auto"/>
        <w:ind w:firstLine="273"/>
        <w:jc w:val="both"/>
        <w:rPr>
          <w:rFonts w:asciiTheme="minorHAnsi" w:hAnsiTheme="minorHAnsi" w:cstheme="minorHAnsi"/>
          <w:sz w:val="22"/>
          <w:szCs w:val="22"/>
        </w:rPr>
      </w:pPr>
      <w:r w:rsidRPr="001E2810">
        <w:rPr>
          <w:rFonts w:asciiTheme="minorHAnsi" w:hAnsiTheme="minorHAnsi" w:cstheme="minorHAnsi"/>
          <w:sz w:val="22"/>
          <w:szCs w:val="22"/>
        </w:rPr>
        <w:t xml:space="preserve">the </w:t>
      </w:r>
      <w:r w:rsidR="00B91C4D">
        <w:rPr>
          <w:rFonts w:asciiTheme="minorHAnsi" w:hAnsiTheme="minorHAnsi" w:cstheme="minorHAnsi"/>
          <w:sz w:val="22"/>
          <w:szCs w:val="22"/>
        </w:rPr>
        <w:t xml:space="preserve">legal, </w:t>
      </w:r>
      <w:r w:rsidRPr="001E2810">
        <w:rPr>
          <w:rFonts w:asciiTheme="minorHAnsi" w:hAnsiTheme="minorHAnsi" w:cstheme="minorHAnsi"/>
          <w:sz w:val="22"/>
          <w:szCs w:val="22"/>
        </w:rPr>
        <w:t>regulatory</w:t>
      </w:r>
      <w:r w:rsidR="00B91C4D">
        <w:rPr>
          <w:rFonts w:asciiTheme="minorHAnsi" w:hAnsiTheme="minorHAnsi" w:cstheme="minorHAnsi"/>
          <w:sz w:val="22"/>
          <w:szCs w:val="22"/>
        </w:rPr>
        <w:t xml:space="preserve"> and tax</w:t>
      </w:r>
      <w:r w:rsidRPr="001E2810">
        <w:rPr>
          <w:rFonts w:asciiTheme="minorHAnsi" w:hAnsiTheme="minorHAnsi" w:cstheme="minorHAnsi"/>
          <w:sz w:val="22"/>
          <w:szCs w:val="22"/>
        </w:rPr>
        <w:t xml:space="preserve"> risk of </w:t>
      </w:r>
      <w:r w:rsidR="000707D9">
        <w:rPr>
          <w:rFonts w:asciiTheme="minorHAnsi" w:hAnsiTheme="minorHAnsi" w:cstheme="minorHAnsi"/>
          <w:sz w:val="22"/>
          <w:szCs w:val="22"/>
        </w:rPr>
        <w:t>each international</w:t>
      </w:r>
      <w:r w:rsidRPr="001E2810">
        <w:rPr>
          <w:rFonts w:asciiTheme="minorHAnsi" w:hAnsiTheme="minorHAnsi" w:cstheme="minorHAnsi"/>
          <w:sz w:val="22"/>
          <w:szCs w:val="22"/>
        </w:rPr>
        <w:t xml:space="preserve"> market</w:t>
      </w:r>
      <w:r w:rsidR="00596D54">
        <w:rPr>
          <w:rFonts w:asciiTheme="minorHAnsi" w:hAnsiTheme="minorHAnsi" w:cstheme="minorHAnsi"/>
          <w:sz w:val="22"/>
          <w:szCs w:val="22"/>
        </w:rPr>
        <w:t>.</w:t>
      </w:r>
    </w:p>
    <w:p w14:paraId="394C7B31" w14:textId="77777777" w:rsidR="00C17B4F" w:rsidRPr="001E2810" w:rsidRDefault="00C17B4F" w:rsidP="00C17B4F">
      <w:pPr>
        <w:pStyle w:val="ListParagraph"/>
        <w:spacing w:after="160" w:line="259" w:lineRule="auto"/>
        <w:ind w:left="993"/>
        <w:jc w:val="both"/>
        <w:rPr>
          <w:rFonts w:asciiTheme="minorHAnsi" w:hAnsiTheme="minorHAnsi" w:cstheme="minorHAnsi"/>
          <w:sz w:val="22"/>
          <w:szCs w:val="22"/>
        </w:rPr>
      </w:pPr>
    </w:p>
    <w:p w14:paraId="461EEC7A" w14:textId="77777777" w:rsidR="00C17B4F" w:rsidRPr="001E2810" w:rsidRDefault="00C17B4F" w:rsidP="00C17B4F">
      <w:pPr>
        <w:pStyle w:val="ListParagraph"/>
        <w:jc w:val="both"/>
        <w:rPr>
          <w:rFonts w:asciiTheme="minorHAnsi" w:hAnsiTheme="minorHAnsi" w:cstheme="minorHAnsi"/>
          <w:sz w:val="22"/>
          <w:szCs w:val="22"/>
        </w:rPr>
      </w:pPr>
      <w:r w:rsidRPr="001E2810">
        <w:rPr>
          <w:rFonts w:asciiTheme="minorHAnsi" w:hAnsiTheme="minorHAnsi" w:cstheme="minorHAnsi"/>
          <w:sz w:val="22"/>
          <w:szCs w:val="22"/>
        </w:rPr>
        <w:t>While we are yet to fully complete our review, we have identified areas where improvement</w:t>
      </w:r>
      <w:r w:rsidR="00112D21" w:rsidRPr="001E2810">
        <w:rPr>
          <w:rFonts w:asciiTheme="minorHAnsi" w:hAnsiTheme="minorHAnsi" w:cstheme="minorHAnsi"/>
          <w:sz w:val="22"/>
          <w:szCs w:val="22"/>
        </w:rPr>
        <w:t>s</w:t>
      </w:r>
      <w:r w:rsidRPr="001E2810">
        <w:rPr>
          <w:rFonts w:asciiTheme="minorHAnsi" w:hAnsiTheme="minorHAnsi" w:cstheme="minorHAnsi"/>
          <w:sz w:val="22"/>
          <w:szCs w:val="22"/>
        </w:rPr>
        <w:t xml:space="preserve"> need to be made. </w:t>
      </w:r>
      <w:bookmarkStart w:id="2" w:name="_Hlk46939454"/>
      <w:r w:rsidRPr="001E2810">
        <w:rPr>
          <w:rFonts w:asciiTheme="minorHAnsi" w:hAnsiTheme="minorHAnsi" w:cstheme="minorHAnsi"/>
          <w:sz w:val="22"/>
          <w:szCs w:val="22"/>
        </w:rPr>
        <w:t xml:space="preserve">For example, in the area of </w:t>
      </w:r>
      <w:r w:rsidR="00B359E2" w:rsidRPr="001E2810">
        <w:rPr>
          <w:rFonts w:asciiTheme="minorHAnsi" w:hAnsiTheme="minorHAnsi" w:cstheme="minorHAnsi"/>
          <w:sz w:val="22"/>
          <w:szCs w:val="22"/>
        </w:rPr>
        <w:t>safer</w:t>
      </w:r>
      <w:r w:rsidRPr="001E2810">
        <w:rPr>
          <w:rFonts w:asciiTheme="minorHAnsi" w:hAnsiTheme="minorHAnsi" w:cstheme="minorHAnsi"/>
          <w:sz w:val="22"/>
          <w:szCs w:val="22"/>
        </w:rPr>
        <w:t xml:space="preserve"> gambling/AML procedures, we have put our enhanced checks in place. </w:t>
      </w:r>
      <w:bookmarkEnd w:id="2"/>
      <w:r w:rsidRPr="001E2810">
        <w:rPr>
          <w:rFonts w:asciiTheme="minorHAnsi" w:hAnsiTheme="minorHAnsi" w:cstheme="minorHAnsi"/>
          <w:sz w:val="22"/>
          <w:szCs w:val="22"/>
        </w:rPr>
        <w:t xml:space="preserve">In addition, there were a small number of TSG jurisdictions that Flutter had previously determined it would not operate in and in such cases, we have now switched these markets off. </w:t>
      </w:r>
      <w:r w:rsidR="00112D21" w:rsidRPr="001E2810">
        <w:rPr>
          <w:rFonts w:asciiTheme="minorHAnsi" w:hAnsiTheme="minorHAnsi" w:cstheme="minorHAnsi"/>
          <w:sz w:val="22"/>
          <w:szCs w:val="22"/>
        </w:rPr>
        <w:t xml:space="preserve">We estimate that the combined impact of these measures </w:t>
      </w:r>
      <w:r w:rsidR="00295738" w:rsidRPr="001E2810">
        <w:rPr>
          <w:rFonts w:asciiTheme="minorHAnsi" w:hAnsiTheme="minorHAnsi" w:cstheme="minorHAnsi"/>
          <w:sz w:val="22"/>
          <w:szCs w:val="22"/>
        </w:rPr>
        <w:t xml:space="preserve">will </w:t>
      </w:r>
      <w:r w:rsidR="00112D21" w:rsidRPr="001E2810">
        <w:rPr>
          <w:rFonts w:asciiTheme="minorHAnsi" w:hAnsiTheme="minorHAnsi" w:cstheme="minorHAnsi"/>
          <w:sz w:val="22"/>
          <w:szCs w:val="22"/>
        </w:rPr>
        <w:t xml:space="preserve">reduce contribution </w:t>
      </w:r>
      <w:r w:rsidR="00476CCB" w:rsidRPr="001E2810">
        <w:rPr>
          <w:rFonts w:asciiTheme="minorHAnsi" w:hAnsiTheme="minorHAnsi" w:cstheme="minorHAnsi"/>
          <w:sz w:val="22"/>
          <w:szCs w:val="22"/>
        </w:rPr>
        <w:t xml:space="preserve">on an annualised basis </w:t>
      </w:r>
      <w:r w:rsidR="00112D21" w:rsidRPr="001E2810">
        <w:rPr>
          <w:rFonts w:asciiTheme="minorHAnsi" w:hAnsiTheme="minorHAnsi" w:cstheme="minorHAnsi"/>
          <w:sz w:val="22"/>
          <w:szCs w:val="22"/>
        </w:rPr>
        <w:t xml:space="preserve">by </w:t>
      </w:r>
      <w:r w:rsidR="00596D54">
        <w:rPr>
          <w:rFonts w:asciiTheme="minorHAnsi" w:hAnsiTheme="minorHAnsi" w:cstheme="minorHAnsi"/>
          <w:sz w:val="22"/>
          <w:szCs w:val="22"/>
        </w:rPr>
        <w:t>c.</w:t>
      </w:r>
      <w:r w:rsidR="00112D21" w:rsidRPr="001E2810">
        <w:rPr>
          <w:rFonts w:asciiTheme="minorHAnsi" w:hAnsiTheme="minorHAnsi" w:cstheme="minorHAnsi"/>
          <w:sz w:val="22"/>
          <w:szCs w:val="22"/>
        </w:rPr>
        <w:t>£</w:t>
      </w:r>
      <w:r w:rsidR="00D836AB">
        <w:rPr>
          <w:rFonts w:asciiTheme="minorHAnsi" w:hAnsiTheme="minorHAnsi" w:cstheme="minorHAnsi"/>
          <w:sz w:val="22"/>
          <w:szCs w:val="22"/>
        </w:rPr>
        <w:t>65</w:t>
      </w:r>
      <w:r w:rsidR="00112D21" w:rsidRPr="001E2810">
        <w:rPr>
          <w:rFonts w:asciiTheme="minorHAnsi" w:hAnsiTheme="minorHAnsi" w:cstheme="minorHAnsi"/>
          <w:sz w:val="22"/>
          <w:szCs w:val="22"/>
        </w:rPr>
        <w:t>m</w:t>
      </w:r>
      <w:r w:rsidR="00596D54">
        <w:rPr>
          <w:rFonts w:asciiTheme="minorHAnsi" w:hAnsiTheme="minorHAnsi" w:cstheme="minorHAnsi"/>
          <w:sz w:val="22"/>
          <w:szCs w:val="22"/>
        </w:rPr>
        <w:t>.</w:t>
      </w:r>
    </w:p>
    <w:p w14:paraId="2B62F0D1" w14:textId="77777777" w:rsidR="00BC0BDC" w:rsidRPr="001F5BA5" w:rsidRDefault="00C17B4F" w:rsidP="009B6BB8">
      <w:pPr>
        <w:pStyle w:val="ListParagraph"/>
        <w:numPr>
          <w:ilvl w:val="0"/>
          <w:numId w:val="16"/>
        </w:numPr>
        <w:spacing w:after="160" w:line="259" w:lineRule="auto"/>
        <w:jc w:val="both"/>
        <w:rPr>
          <w:rFonts w:asciiTheme="minorHAnsi" w:hAnsiTheme="minorHAnsi" w:cstheme="minorHAnsi"/>
          <w:sz w:val="22"/>
          <w:szCs w:val="22"/>
        </w:rPr>
      </w:pPr>
      <w:r w:rsidRPr="001E2810">
        <w:rPr>
          <w:rFonts w:asciiTheme="minorHAnsi" w:hAnsiTheme="minorHAnsi" w:cstheme="minorHAnsi"/>
          <w:b/>
          <w:sz w:val="22"/>
          <w:szCs w:val="22"/>
        </w:rPr>
        <w:t xml:space="preserve">Australian </w:t>
      </w:r>
      <w:r w:rsidR="00D836AB">
        <w:rPr>
          <w:rFonts w:asciiTheme="minorHAnsi" w:hAnsiTheme="minorHAnsi" w:cstheme="minorHAnsi"/>
          <w:b/>
          <w:sz w:val="22"/>
          <w:szCs w:val="22"/>
        </w:rPr>
        <w:t>integration well advanced</w:t>
      </w:r>
      <w:r w:rsidRPr="001E2810">
        <w:rPr>
          <w:rFonts w:asciiTheme="minorHAnsi" w:hAnsiTheme="minorHAnsi" w:cstheme="minorHAnsi"/>
          <w:b/>
          <w:sz w:val="22"/>
          <w:szCs w:val="22"/>
        </w:rPr>
        <w:t xml:space="preserve">: </w:t>
      </w:r>
      <w:r w:rsidRPr="001E2810">
        <w:rPr>
          <w:rFonts w:asciiTheme="minorHAnsi" w:hAnsiTheme="minorHAnsi" w:cstheme="minorHAnsi"/>
          <w:sz w:val="22"/>
          <w:szCs w:val="22"/>
        </w:rPr>
        <w:t xml:space="preserve">While pleased with the pace of </w:t>
      </w:r>
      <w:r w:rsidR="0061763F" w:rsidRPr="001E2810">
        <w:rPr>
          <w:rFonts w:asciiTheme="minorHAnsi" w:hAnsiTheme="minorHAnsi" w:cstheme="minorHAnsi"/>
          <w:sz w:val="22"/>
          <w:szCs w:val="22"/>
        </w:rPr>
        <w:t xml:space="preserve">Group-wide </w:t>
      </w:r>
      <w:r w:rsidRPr="001E2810">
        <w:rPr>
          <w:rFonts w:asciiTheme="minorHAnsi" w:hAnsiTheme="minorHAnsi" w:cstheme="minorHAnsi"/>
          <w:sz w:val="22"/>
          <w:szCs w:val="22"/>
        </w:rPr>
        <w:t>integration efforts, progress i</w:t>
      </w:r>
      <w:r w:rsidR="00561DF2">
        <w:rPr>
          <w:rFonts w:asciiTheme="minorHAnsi" w:hAnsiTheme="minorHAnsi" w:cstheme="minorHAnsi"/>
          <w:sz w:val="22"/>
          <w:szCs w:val="22"/>
        </w:rPr>
        <w:t>n</w:t>
      </w:r>
      <w:r w:rsidRPr="001E2810">
        <w:rPr>
          <w:rFonts w:asciiTheme="minorHAnsi" w:hAnsiTheme="minorHAnsi" w:cstheme="minorHAnsi"/>
          <w:sz w:val="22"/>
          <w:szCs w:val="22"/>
        </w:rPr>
        <w:t xml:space="preserve"> Australia is most advanced at this point. Following a detailed review, our conclusion was that a single brand strategy would give us the best opportunity to maintain product leadership and</w:t>
      </w:r>
      <w:r w:rsidR="004D07D9">
        <w:rPr>
          <w:rFonts w:asciiTheme="minorHAnsi" w:hAnsiTheme="minorHAnsi" w:cstheme="minorHAnsi"/>
          <w:sz w:val="22"/>
          <w:szCs w:val="22"/>
        </w:rPr>
        <w:t xml:space="preserve"> current momentum</w:t>
      </w:r>
      <w:r w:rsidRPr="001E2810">
        <w:rPr>
          <w:rFonts w:asciiTheme="minorHAnsi" w:hAnsiTheme="minorHAnsi" w:cstheme="minorHAnsi"/>
          <w:sz w:val="22"/>
          <w:szCs w:val="22"/>
        </w:rPr>
        <w:t xml:space="preserve"> </w:t>
      </w:r>
      <w:r w:rsidR="00D10AE1">
        <w:rPr>
          <w:rFonts w:asciiTheme="minorHAnsi" w:hAnsiTheme="minorHAnsi" w:cstheme="minorHAnsi"/>
          <w:sz w:val="22"/>
          <w:szCs w:val="22"/>
        </w:rPr>
        <w:t>and</w:t>
      </w:r>
      <w:r w:rsidRPr="001E2810">
        <w:rPr>
          <w:rFonts w:asciiTheme="minorHAnsi" w:hAnsiTheme="minorHAnsi" w:cstheme="minorHAnsi"/>
          <w:sz w:val="22"/>
          <w:szCs w:val="22"/>
        </w:rPr>
        <w:t xml:space="preserve"> </w:t>
      </w:r>
      <w:r w:rsidR="00561DF2">
        <w:rPr>
          <w:rFonts w:asciiTheme="minorHAnsi" w:hAnsiTheme="minorHAnsi" w:cstheme="minorHAnsi"/>
          <w:sz w:val="22"/>
          <w:szCs w:val="22"/>
        </w:rPr>
        <w:t xml:space="preserve">we </w:t>
      </w:r>
      <w:r w:rsidRPr="001E2810">
        <w:rPr>
          <w:rFonts w:asciiTheme="minorHAnsi" w:hAnsiTheme="minorHAnsi" w:cstheme="minorHAnsi"/>
          <w:sz w:val="22"/>
          <w:szCs w:val="22"/>
        </w:rPr>
        <w:t xml:space="preserve">have wasted no time in executing on our plan. BetEasy customers </w:t>
      </w:r>
      <w:r w:rsidR="000F175E">
        <w:rPr>
          <w:rFonts w:asciiTheme="minorHAnsi" w:hAnsiTheme="minorHAnsi" w:cstheme="minorHAnsi"/>
          <w:sz w:val="22"/>
          <w:szCs w:val="22"/>
        </w:rPr>
        <w:t xml:space="preserve">will be </w:t>
      </w:r>
      <w:r w:rsidRPr="001F5BA5">
        <w:rPr>
          <w:rFonts w:asciiTheme="minorHAnsi" w:hAnsiTheme="minorHAnsi" w:cstheme="minorHAnsi"/>
          <w:sz w:val="22"/>
          <w:szCs w:val="22"/>
        </w:rPr>
        <w:t>migrated across</w:t>
      </w:r>
      <w:r w:rsidR="000F175E">
        <w:rPr>
          <w:rFonts w:asciiTheme="minorHAnsi" w:hAnsiTheme="minorHAnsi" w:cstheme="minorHAnsi"/>
          <w:sz w:val="22"/>
          <w:szCs w:val="22"/>
        </w:rPr>
        <w:t xml:space="preserve"> to Sportsbet imminently</w:t>
      </w:r>
      <w:r w:rsidRPr="001F5BA5">
        <w:rPr>
          <w:rFonts w:asciiTheme="minorHAnsi" w:hAnsiTheme="minorHAnsi" w:cstheme="minorHAnsi"/>
          <w:sz w:val="22"/>
          <w:szCs w:val="22"/>
        </w:rPr>
        <w:t>.</w:t>
      </w:r>
    </w:p>
    <w:p w14:paraId="0DBD5C5E" w14:textId="77777777" w:rsidR="00C17B4F" w:rsidRPr="001E2810" w:rsidRDefault="00C17B4F" w:rsidP="00C17B4F">
      <w:pPr>
        <w:spacing w:after="160" w:line="259" w:lineRule="auto"/>
        <w:jc w:val="both"/>
        <w:rPr>
          <w:rFonts w:asciiTheme="minorHAnsi" w:hAnsiTheme="minorHAnsi" w:cstheme="minorHAnsi"/>
          <w:sz w:val="22"/>
          <w:szCs w:val="22"/>
        </w:rPr>
      </w:pPr>
      <w:r w:rsidRPr="00711443">
        <w:rPr>
          <w:rFonts w:asciiTheme="minorHAnsi" w:hAnsiTheme="minorHAnsi" w:cstheme="minorHAnsi"/>
          <w:sz w:val="22"/>
          <w:szCs w:val="22"/>
        </w:rPr>
        <w:t>Across the remaining divisions, detailed reviews are well advanced to determine our brand, product and technology strategies. Once completed we will move swiftly to execute on our</w:t>
      </w:r>
      <w:r w:rsidRPr="001F5BA5">
        <w:rPr>
          <w:rFonts w:asciiTheme="minorHAnsi" w:hAnsiTheme="minorHAnsi" w:cstheme="minorHAnsi"/>
          <w:sz w:val="22"/>
          <w:szCs w:val="22"/>
        </w:rPr>
        <w:t xml:space="preserve"> plans, just as we have in Australia. </w:t>
      </w:r>
      <w:r w:rsidR="0000440C" w:rsidRPr="001F5BA5">
        <w:rPr>
          <w:rFonts w:asciiTheme="minorHAnsi" w:hAnsiTheme="minorHAnsi" w:cstheme="minorHAnsi"/>
          <w:sz w:val="22"/>
          <w:szCs w:val="22"/>
        </w:rPr>
        <w:t>W</w:t>
      </w:r>
      <w:r w:rsidRPr="001F5BA5">
        <w:rPr>
          <w:rFonts w:asciiTheme="minorHAnsi" w:hAnsiTheme="minorHAnsi" w:cstheme="minorHAnsi"/>
          <w:sz w:val="22"/>
          <w:szCs w:val="22"/>
        </w:rPr>
        <w:t xml:space="preserve">e intend to provide a </w:t>
      </w:r>
      <w:r w:rsidR="006B7805" w:rsidRPr="001F5BA5">
        <w:rPr>
          <w:rFonts w:asciiTheme="minorHAnsi" w:hAnsiTheme="minorHAnsi" w:cstheme="minorHAnsi"/>
          <w:sz w:val="22"/>
          <w:szCs w:val="22"/>
        </w:rPr>
        <w:t xml:space="preserve">further </w:t>
      </w:r>
      <w:r w:rsidRPr="001F5BA5">
        <w:rPr>
          <w:rFonts w:asciiTheme="minorHAnsi" w:hAnsiTheme="minorHAnsi" w:cstheme="minorHAnsi"/>
          <w:sz w:val="22"/>
          <w:szCs w:val="22"/>
        </w:rPr>
        <w:t xml:space="preserve">detailed update on </w:t>
      </w:r>
      <w:r w:rsidR="008505C6">
        <w:rPr>
          <w:rFonts w:asciiTheme="minorHAnsi" w:hAnsiTheme="minorHAnsi" w:cstheme="minorHAnsi"/>
          <w:sz w:val="22"/>
          <w:szCs w:val="22"/>
        </w:rPr>
        <w:t xml:space="preserve">these plans and </w:t>
      </w:r>
      <w:r w:rsidR="00EF3808">
        <w:rPr>
          <w:rFonts w:asciiTheme="minorHAnsi" w:hAnsiTheme="minorHAnsi" w:cstheme="minorHAnsi"/>
          <w:sz w:val="22"/>
          <w:szCs w:val="22"/>
        </w:rPr>
        <w:t>synergies</w:t>
      </w:r>
      <w:r w:rsidRPr="001F5BA5">
        <w:rPr>
          <w:rFonts w:asciiTheme="minorHAnsi" w:hAnsiTheme="minorHAnsi" w:cstheme="minorHAnsi"/>
          <w:sz w:val="22"/>
          <w:szCs w:val="22"/>
        </w:rPr>
        <w:t xml:space="preserve"> at our full year results in March.</w:t>
      </w:r>
    </w:p>
    <w:p w14:paraId="348D3ED7" w14:textId="77777777" w:rsidR="00C17B4F" w:rsidRPr="001E2810" w:rsidRDefault="00C17B4F" w:rsidP="00C17B4F">
      <w:pPr>
        <w:spacing w:after="80" w:line="259" w:lineRule="auto"/>
        <w:jc w:val="both"/>
        <w:rPr>
          <w:rFonts w:asciiTheme="minorHAnsi" w:hAnsiTheme="minorHAnsi" w:cstheme="minorHAnsi"/>
          <w:sz w:val="22"/>
          <w:szCs w:val="22"/>
        </w:rPr>
      </w:pPr>
      <w:r w:rsidRPr="001E2810">
        <w:rPr>
          <w:rFonts w:asciiTheme="minorHAnsi" w:hAnsiTheme="minorHAnsi" w:cstheme="minorHAnsi"/>
          <w:b/>
          <w:sz w:val="22"/>
          <w:szCs w:val="22"/>
        </w:rPr>
        <w:t xml:space="preserve">First half review </w:t>
      </w:r>
    </w:p>
    <w:p w14:paraId="29B09CE4" w14:textId="77777777" w:rsidR="00C17B4F" w:rsidRPr="001E2810" w:rsidRDefault="00C17B4F" w:rsidP="00C17B4F">
      <w:pPr>
        <w:spacing w:after="120"/>
        <w:jc w:val="both"/>
        <w:rPr>
          <w:rFonts w:asciiTheme="minorHAnsi" w:hAnsiTheme="minorHAnsi" w:cstheme="minorHAnsi"/>
          <w:sz w:val="22"/>
          <w:szCs w:val="22"/>
        </w:rPr>
      </w:pPr>
      <w:bookmarkStart w:id="3" w:name="_Hlk519069447"/>
      <w:r w:rsidRPr="001E2810">
        <w:rPr>
          <w:rFonts w:asciiTheme="minorHAnsi" w:hAnsiTheme="minorHAnsi" w:cstheme="minorHAnsi"/>
          <w:sz w:val="22"/>
          <w:szCs w:val="22"/>
        </w:rPr>
        <w:t>On a combined basis, the pre-</w:t>
      </w:r>
      <w:r w:rsidR="00596D54">
        <w:rPr>
          <w:rFonts w:asciiTheme="minorHAnsi" w:hAnsiTheme="minorHAnsi" w:cstheme="minorHAnsi"/>
          <w:sz w:val="22"/>
          <w:szCs w:val="22"/>
        </w:rPr>
        <w:t>Covid-19</w:t>
      </w:r>
      <w:r w:rsidR="00105066" w:rsidRPr="001E2810">
        <w:rPr>
          <w:rFonts w:asciiTheme="minorHAnsi" w:hAnsiTheme="minorHAnsi" w:cstheme="minorHAnsi"/>
          <w:sz w:val="22"/>
          <w:szCs w:val="22"/>
        </w:rPr>
        <w:t xml:space="preserve"> </w:t>
      </w:r>
      <w:r w:rsidR="00F66428">
        <w:rPr>
          <w:rFonts w:asciiTheme="minorHAnsi" w:hAnsiTheme="minorHAnsi" w:cstheme="minorHAnsi"/>
          <w:sz w:val="22"/>
          <w:szCs w:val="22"/>
        </w:rPr>
        <w:t xml:space="preserve">disrupted </w:t>
      </w:r>
      <w:r w:rsidRPr="001E2810">
        <w:rPr>
          <w:rFonts w:asciiTheme="minorHAnsi" w:hAnsiTheme="minorHAnsi" w:cstheme="minorHAnsi"/>
          <w:sz w:val="22"/>
          <w:szCs w:val="22"/>
        </w:rPr>
        <w:t xml:space="preserve">period started </w:t>
      </w:r>
      <w:r w:rsidR="00D7393F">
        <w:rPr>
          <w:rFonts w:asciiTheme="minorHAnsi" w:hAnsiTheme="minorHAnsi" w:cstheme="minorHAnsi"/>
          <w:sz w:val="22"/>
          <w:szCs w:val="22"/>
        </w:rPr>
        <w:t xml:space="preserve">well </w:t>
      </w:r>
      <w:r w:rsidRPr="001E2810">
        <w:rPr>
          <w:rFonts w:asciiTheme="minorHAnsi" w:hAnsiTheme="minorHAnsi" w:cstheme="minorHAnsi"/>
          <w:sz w:val="22"/>
          <w:szCs w:val="22"/>
        </w:rPr>
        <w:t xml:space="preserve">with revenues up 26% on a pro forma basis, helped by bookmaker friendly sports results and </w:t>
      </w:r>
      <w:r w:rsidR="00D7393F">
        <w:rPr>
          <w:rFonts w:asciiTheme="minorHAnsi" w:hAnsiTheme="minorHAnsi" w:cstheme="minorHAnsi"/>
          <w:sz w:val="22"/>
          <w:szCs w:val="22"/>
        </w:rPr>
        <w:t xml:space="preserve">ongoing </w:t>
      </w:r>
      <w:r w:rsidRPr="001E2810">
        <w:rPr>
          <w:rFonts w:asciiTheme="minorHAnsi" w:hAnsiTheme="minorHAnsi" w:cstheme="minorHAnsi"/>
          <w:sz w:val="22"/>
          <w:szCs w:val="22"/>
        </w:rPr>
        <w:t xml:space="preserve">gaming customer growth across our recreational brands. </w:t>
      </w:r>
      <w:r w:rsidR="00FA4DEB">
        <w:rPr>
          <w:rFonts w:asciiTheme="minorHAnsi" w:hAnsiTheme="minorHAnsi" w:cstheme="minorHAnsi"/>
          <w:sz w:val="22"/>
          <w:szCs w:val="22"/>
        </w:rPr>
        <w:t xml:space="preserve">Growth was particularly </w:t>
      </w:r>
      <w:r w:rsidR="00D7393F">
        <w:rPr>
          <w:rFonts w:asciiTheme="minorHAnsi" w:hAnsiTheme="minorHAnsi" w:cstheme="minorHAnsi"/>
          <w:sz w:val="22"/>
          <w:szCs w:val="22"/>
        </w:rPr>
        <w:t xml:space="preserve">strong </w:t>
      </w:r>
      <w:r w:rsidR="00FA4DEB">
        <w:rPr>
          <w:rFonts w:asciiTheme="minorHAnsi" w:hAnsiTheme="minorHAnsi" w:cstheme="minorHAnsi"/>
          <w:sz w:val="22"/>
          <w:szCs w:val="22"/>
        </w:rPr>
        <w:t xml:space="preserve">at SBG, reflecting good </w:t>
      </w:r>
      <w:r w:rsidR="00D7393F">
        <w:rPr>
          <w:rFonts w:asciiTheme="minorHAnsi" w:hAnsiTheme="minorHAnsi" w:cstheme="minorHAnsi"/>
          <w:sz w:val="22"/>
          <w:szCs w:val="22"/>
        </w:rPr>
        <w:t xml:space="preserve">underlying </w:t>
      </w:r>
      <w:r w:rsidR="00FA4DEB">
        <w:rPr>
          <w:rFonts w:asciiTheme="minorHAnsi" w:hAnsiTheme="minorHAnsi" w:cstheme="minorHAnsi"/>
          <w:sz w:val="22"/>
          <w:szCs w:val="22"/>
        </w:rPr>
        <w:t xml:space="preserve">momentum and a significant </w:t>
      </w:r>
      <w:r w:rsidR="001C212C">
        <w:rPr>
          <w:rFonts w:asciiTheme="minorHAnsi" w:hAnsiTheme="minorHAnsi" w:cstheme="minorHAnsi"/>
          <w:sz w:val="22"/>
          <w:szCs w:val="22"/>
        </w:rPr>
        <w:t>variance</w:t>
      </w:r>
      <w:r w:rsidR="00FA4DEB">
        <w:rPr>
          <w:rFonts w:asciiTheme="minorHAnsi" w:hAnsiTheme="minorHAnsi" w:cstheme="minorHAnsi"/>
          <w:sz w:val="22"/>
          <w:szCs w:val="22"/>
        </w:rPr>
        <w:t xml:space="preserve"> in year-on-year net revenue margin. </w:t>
      </w:r>
      <w:r w:rsidRPr="00D7393F">
        <w:rPr>
          <w:rFonts w:asciiTheme="minorHAnsi" w:hAnsiTheme="minorHAnsi" w:cstheme="minorHAnsi"/>
          <w:sz w:val="22"/>
          <w:szCs w:val="22"/>
        </w:rPr>
        <w:t>In the US, FanDuel launched its online casino in Pennsylvania in January</w:t>
      </w:r>
      <w:r w:rsidR="00D7393F">
        <w:rPr>
          <w:rFonts w:asciiTheme="minorHAnsi" w:hAnsiTheme="minorHAnsi" w:cstheme="minorHAnsi"/>
          <w:sz w:val="22"/>
          <w:szCs w:val="22"/>
        </w:rPr>
        <w:t xml:space="preserve"> as well as retail operations in </w:t>
      </w:r>
      <w:r w:rsidR="00D60B8D">
        <w:rPr>
          <w:rFonts w:asciiTheme="minorHAnsi" w:hAnsiTheme="minorHAnsi" w:cstheme="minorHAnsi"/>
          <w:sz w:val="22"/>
          <w:szCs w:val="22"/>
        </w:rPr>
        <w:t xml:space="preserve">Mississippi </w:t>
      </w:r>
      <w:r w:rsidR="00D7393F">
        <w:rPr>
          <w:rFonts w:asciiTheme="minorHAnsi" w:hAnsiTheme="minorHAnsi" w:cstheme="minorHAnsi"/>
          <w:sz w:val="22"/>
          <w:szCs w:val="22"/>
        </w:rPr>
        <w:t xml:space="preserve">and </w:t>
      </w:r>
      <w:r w:rsidR="00902534">
        <w:rPr>
          <w:rFonts w:asciiTheme="minorHAnsi" w:hAnsiTheme="minorHAnsi" w:cstheme="minorHAnsi"/>
          <w:sz w:val="22"/>
          <w:szCs w:val="22"/>
        </w:rPr>
        <w:t>Michigan</w:t>
      </w:r>
      <w:r w:rsidR="00D60B8D">
        <w:rPr>
          <w:rFonts w:asciiTheme="minorHAnsi" w:hAnsiTheme="minorHAnsi" w:cstheme="minorHAnsi"/>
          <w:sz w:val="22"/>
          <w:szCs w:val="22"/>
        </w:rPr>
        <w:t>.</w:t>
      </w:r>
      <w:r w:rsidR="003E663D" w:rsidRPr="00D7393F">
        <w:rPr>
          <w:rFonts w:asciiTheme="minorHAnsi" w:hAnsiTheme="minorHAnsi" w:cstheme="minorHAnsi"/>
          <w:sz w:val="22"/>
          <w:szCs w:val="22"/>
        </w:rPr>
        <w:t xml:space="preserve"> </w:t>
      </w:r>
    </w:p>
    <w:p w14:paraId="777FA80C" w14:textId="77777777" w:rsidR="00C17B4F" w:rsidRPr="001E2810" w:rsidRDefault="00C17B4F" w:rsidP="00C17B4F">
      <w:pPr>
        <w:spacing w:after="120"/>
        <w:jc w:val="both"/>
        <w:rPr>
          <w:rFonts w:asciiTheme="minorHAnsi" w:hAnsiTheme="minorHAnsi" w:cstheme="minorHAnsi"/>
          <w:sz w:val="22"/>
          <w:szCs w:val="22"/>
        </w:rPr>
      </w:pPr>
      <w:r w:rsidRPr="001E2810">
        <w:rPr>
          <w:rFonts w:asciiTheme="minorHAnsi" w:hAnsiTheme="minorHAnsi" w:cstheme="minorHAnsi"/>
          <w:sz w:val="22"/>
          <w:szCs w:val="22"/>
        </w:rPr>
        <w:t>From mid-March on, the impact of Covid-19 disruption was felt across our business</w:t>
      </w:r>
      <w:r w:rsidR="00620BF5">
        <w:rPr>
          <w:rFonts w:asciiTheme="minorHAnsi" w:hAnsiTheme="minorHAnsi" w:cstheme="minorHAnsi"/>
          <w:sz w:val="22"/>
          <w:szCs w:val="22"/>
        </w:rPr>
        <w:t>es</w:t>
      </w:r>
      <w:r w:rsidRPr="001E2810">
        <w:rPr>
          <w:rFonts w:asciiTheme="minorHAnsi" w:hAnsiTheme="minorHAnsi" w:cstheme="minorHAnsi"/>
          <w:sz w:val="22"/>
          <w:szCs w:val="22"/>
        </w:rPr>
        <w:t xml:space="preserve"> in different ways. </w:t>
      </w:r>
      <w:r w:rsidR="00620BF5">
        <w:rPr>
          <w:rFonts w:asciiTheme="minorHAnsi" w:hAnsiTheme="minorHAnsi" w:cstheme="minorHAnsi"/>
          <w:sz w:val="22"/>
          <w:szCs w:val="22"/>
        </w:rPr>
        <w:t>The w</w:t>
      </w:r>
      <w:r w:rsidRPr="001E2810">
        <w:rPr>
          <w:rFonts w:asciiTheme="minorHAnsi" w:hAnsiTheme="minorHAnsi" w:cstheme="minorHAnsi"/>
          <w:sz w:val="22"/>
          <w:szCs w:val="22"/>
        </w:rPr>
        <w:t>idespread disruption to the sporting calendar materially impacted our sports and retail businesses. This was most acute in Europe where, in addition to all mainstream sports being postponed, UK and Irish horse racing was suspended for 2½ months. In Australia, and to a lesser degree the US, horse racing continued behind closed doors</w:t>
      </w:r>
      <w:r w:rsidR="00A54ECA">
        <w:rPr>
          <w:rFonts w:asciiTheme="minorHAnsi" w:hAnsiTheme="minorHAnsi" w:cstheme="minorHAnsi"/>
          <w:sz w:val="22"/>
          <w:szCs w:val="22"/>
        </w:rPr>
        <w:t>,</w:t>
      </w:r>
      <w:r w:rsidRPr="001E2810">
        <w:rPr>
          <w:rFonts w:asciiTheme="minorHAnsi" w:hAnsiTheme="minorHAnsi" w:cstheme="minorHAnsi"/>
          <w:sz w:val="22"/>
          <w:szCs w:val="22"/>
        </w:rPr>
        <w:t xml:space="preserve"> </w:t>
      </w:r>
      <w:r w:rsidR="0023071B">
        <w:rPr>
          <w:rFonts w:asciiTheme="minorHAnsi" w:hAnsiTheme="minorHAnsi" w:cstheme="minorHAnsi"/>
          <w:sz w:val="22"/>
          <w:szCs w:val="22"/>
        </w:rPr>
        <w:t xml:space="preserve">experiencing </w:t>
      </w:r>
      <w:r w:rsidRPr="001E2810">
        <w:rPr>
          <w:rFonts w:asciiTheme="minorHAnsi" w:hAnsiTheme="minorHAnsi" w:cstheme="minorHAnsi"/>
          <w:sz w:val="22"/>
          <w:szCs w:val="22"/>
        </w:rPr>
        <w:t xml:space="preserve">a higher level of prominence on mainstream </w:t>
      </w:r>
      <w:r w:rsidR="00EC091B">
        <w:rPr>
          <w:rFonts w:asciiTheme="minorHAnsi" w:hAnsiTheme="minorHAnsi" w:cstheme="minorHAnsi"/>
          <w:sz w:val="22"/>
          <w:szCs w:val="22"/>
        </w:rPr>
        <w:t>television</w:t>
      </w:r>
      <w:r w:rsidR="00A54ECA">
        <w:rPr>
          <w:rFonts w:asciiTheme="minorHAnsi" w:hAnsiTheme="minorHAnsi" w:cstheme="minorHAnsi"/>
          <w:sz w:val="22"/>
          <w:szCs w:val="22"/>
        </w:rPr>
        <w:t xml:space="preserve"> in the absence of </w:t>
      </w:r>
      <w:r w:rsidR="0023071B">
        <w:rPr>
          <w:rFonts w:asciiTheme="minorHAnsi" w:hAnsiTheme="minorHAnsi" w:cstheme="minorHAnsi"/>
          <w:sz w:val="22"/>
          <w:szCs w:val="22"/>
        </w:rPr>
        <w:t xml:space="preserve">competing </w:t>
      </w:r>
      <w:r w:rsidR="00A54ECA">
        <w:rPr>
          <w:rFonts w:asciiTheme="minorHAnsi" w:hAnsiTheme="minorHAnsi" w:cstheme="minorHAnsi"/>
          <w:sz w:val="22"/>
          <w:szCs w:val="22"/>
        </w:rPr>
        <w:t>sports</w:t>
      </w:r>
      <w:r w:rsidRPr="001E2810">
        <w:rPr>
          <w:rFonts w:asciiTheme="minorHAnsi" w:hAnsiTheme="minorHAnsi" w:cstheme="minorHAnsi"/>
          <w:sz w:val="22"/>
          <w:szCs w:val="22"/>
        </w:rPr>
        <w:t>. This</w:t>
      </w:r>
      <w:r w:rsidR="0023071B">
        <w:rPr>
          <w:rFonts w:asciiTheme="minorHAnsi" w:hAnsiTheme="minorHAnsi" w:cstheme="minorHAnsi"/>
          <w:sz w:val="22"/>
          <w:szCs w:val="22"/>
        </w:rPr>
        <w:t xml:space="preserve"> higher exposure</w:t>
      </w:r>
      <w:r w:rsidRPr="001E2810">
        <w:rPr>
          <w:rFonts w:asciiTheme="minorHAnsi" w:hAnsiTheme="minorHAnsi" w:cstheme="minorHAnsi"/>
          <w:sz w:val="22"/>
          <w:szCs w:val="22"/>
        </w:rPr>
        <w:t xml:space="preserve">, coupled with the closure of retail betting, led to </w:t>
      </w:r>
      <w:r w:rsidR="002E7C0A">
        <w:rPr>
          <w:rFonts w:asciiTheme="minorHAnsi" w:hAnsiTheme="minorHAnsi" w:cstheme="minorHAnsi"/>
          <w:sz w:val="22"/>
          <w:szCs w:val="22"/>
        </w:rPr>
        <w:t xml:space="preserve">an </w:t>
      </w:r>
      <w:r w:rsidRPr="001E2810">
        <w:rPr>
          <w:rFonts w:asciiTheme="minorHAnsi" w:hAnsiTheme="minorHAnsi" w:cstheme="minorHAnsi"/>
          <w:sz w:val="22"/>
          <w:szCs w:val="22"/>
        </w:rPr>
        <w:t>accelerat</w:t>
      </w:r>
      <w:r w:rsidR="002E7C0A">
        <w:rPr>
          <w:rFonts w:asciiTheme="minorHAnsi" w:hAnsiTheme="minorHAnsi" w:cstheme="minorHAnsi"/>
          <w:sz w:val="22"/>
          <w:szCs w:val="22"/>
        </w:rPr>
        <w:t>ed</w:t>
      </w:r>
      <w:r w:rsidRPr="001E2810">
        <w:rPr>
          <w:rFonts w:asciiTheme="minorHAnsi" w:hAnsiTheme="minorHAnsi" w:cstheme="minorHAnsi"/>
          <w:sz w:val="22"/>
          <w:szCs w:val="22"/>
        </w:rPr>
        <w:t xml:space="preserve"> migration of customers from retail to online. It remains to be seen whether these customers will </w:t>
      </w:r>
      <w:r w:rsidR="003E663D">
        <w:rPr>
          <w:rFonts w:asciiTheme="minorHAnsi" w:hAnsiTheme="minorHAnsi" w:cstheme="minorHAnsi"/>
          <w:sz w:val="22"/>
          <w:szCs w:val="22"/>
        </w:rPr>
        <w:t xml:space="preserve">continue to bet online as </w:t>
      </w:r>
      <w:r w:rsidRPr="001E2810">
        <w:rPr>
          <w:rFonts w:asciiTheme="minorHAnsi" w:hAnsiTheme="minorHAnsi" w:cstheme="minorHAnsi"/>
          <w:sz w:val="22"/>
          <w:szCs w:val="22"/>
        </w:rPr>
        <w:t xml:space="preserve">retail outlets re-open. </w:t>
      </w:r>
    </w:p>
    <w:p w14:paraId="775ED0AA" w14:textId="77777777" w:rsidR="00C17B4F" w:rsidRDefault="00C17B4F" w:rsidP="00C17B4F">
      <w:pPr>
        <w:spacing w:after="120"/>
        <w:jc w:val="both"/>
        <w:rPr>
          <w:rFonts w:asciiTheme="minorHAnsi" w:hAnsiTheme="minorHAnsi" w:cstheme="minorHAnsi"/>
          <w:sz w:val="22"/>
          <w:szCs w:val="22"/>
        </w:rPr>
      </w:pPr>
      <w:r w:rsidRPr="001E2810">
        <w:rPr>
          <w:rFonts w:asciiTheme="minorHAnsi" w:hAnsiTheme="minorHAnsi" w:cstheme="minorHAnsi"/>
          <w:sz w:val="22"/>
          <w:szCs w:val="22"/>
        </w:rPr>
        <w:t>In contrast to our sports betting operations, our poker and casino businesses experienced a</w:t>
      </w:r>
      <w:r w:rsidR="000707D9">
        <w:rPr>
          <w:rFonts w:asciiTheme="minorHAnsi" w:hAnsiTheme="minorHAnsi" w:cstheme="minorHAnsi"/>
          <w:sz w:val="22"/>
          <w:szCs w:val="22"/>
        </w:rPr>
        <w:t xml:space="preserve"> major</w:t>
      </w:r>
      <w:r w:rsidRPr="001E2810">
        <w:rPr>
          <w:rFonts w:asciiTheme="minorHAnsi" w:hAnsiTheme="minorHAnsi" w:cstheme="minorHAnsi"/>
          <w:sz w:val="22"/>
          <w:szCs w:val="22"/>
        </w:rPr>
        <w:t xml:space="preserve"> </w:t>
      </w:r>
      <w:r w:rsidRPr="000B1318">
        <w:rPr>
          <w:rFonts w:asciiTheme="minorHAnsi" w:hAnsiTheme="minorHAnsi" w:cstheme="minorHAnsi"/>
          <w:sz w:val="22"/>
          <w:szCs w:val="22"/>
        </w:rPr>
        <w:t>uplift in player</w:t>
      </w:r>
      <w:r w:rsidR="0023071B">
        <w:rPr>
          <w:rFonts w:asciiTheme="minorHAnsi" w:hAnsiTheme="minorHAnsi" w:cstheme="minorHAnsi"/>
          <w:sz w:val="22"/>
          <w:szCs w:val="22"/>
        </w:rPr>
        <w:t xml:space="preserve"> numbers</w:t>
      </w:r>
      <w:r w:rsidRPr="000B1318">
        <w:rPr>
          <w:rFonts w:asciiTheme="minorHAnsi" w:hAnsiTheme="minorHAnsi" w:cstheme="minorHAnsi"/>
          <w:sz w:val="22"/>
          <w:szCs w:val="22"/>
        </w:rPr>
        <w:t xml:space="preserve"> durin</w:t>
      </w:r>
      <w:r w:rsidRPr="001E2810">
        <w:rPr>
          <w:rFonts w:asciiTheme="minorHAnsi" w:hAnsiTheme="minorHAnsi" w:cstheme="minorHAnsi"/>
          <w:sz w:val="22"/>
          <w:szCs w:val="22"/>
        </w:rPr>
        <w:t xml:space="preserve">g this period as </w:t>
      </w:r>
      <w:r w:rsidR="000707D9">
        <w:rPr>
          <w:rFonts w:asciiTheme="minorHAnsi" w:hAnsiTheme="minorHAnsi" w:cstheme="minorHAnsi"/>
          <w:sz w:val="22"/>
          <w:szCs w:val="22"/>
        </w:rPr>
        <w:t>people</w:t>
      </w:r>
      <w:r w:rsidRPr="001E2810">
        <w:rPr>
          <w:rFonts w:asciiTheme="minorHAnsi" w:hAnsiTheme="minorHAnsi" w:cstheme="minorHAnsi"/>
          <w:sz w:val="22"/>
          <w:szCs w:val="22"/>
        </w:rPr>
        <w:t xml:space="preserve"> sought new ways to entertain themselves while staying at home. PokerStars’ average daily gaming customers increased 70% year-on-year in Q2</w:t>
      </w:r>
      <w:r w:rsidR="002E7C0A">
        <w:rPr>
          <w:rFonts w:asciiTheme="minorHAnsi" w:hAnsiTheme="minorHAnsi" w:cstheme="minorHAnsi"/>
          <w:sz w:val="22"/>
          <w:szCs w:val="22"/>
        </w:rPr>
        <w:t>,</w:t>
      </w:r>
      <w:r w:rsidR="00A1764C" w:rsidRPr="001E2810">
        <w:rPr>
          <w:rFonts w:asciiTheme="minorHAnsi" w:hAnsiTheme="minorHAnsi" w:cstheme="minorHAnsi"/>
          <w:sz w:val="22"/>
          <w:szCs w:val="22"/>
        </w:rPr>
        <w:t xml:space="preserve"> despite relatively low levels of marketing investment</w:t>
      </w:r>
      <w:r w:rsidR="002E7C0A">
        <w:rPr>
          <w:rFonts w:asciiTheme="minorHAnsi" w:hAnsiTheme="minorHAnsi" w:cstheme="minorHAnsi"/>
          <w:sz w:val="22"/>
          <w:szCs w:val="22"/>
        </w:rPr>
        <w:t>.</w:t>
      </w:r>
      <w:r w:rsidRPr="001E2810">
        <w:rPr>
          <w:rFonts w:asciiTheme="minorHAnsi" w:hAnsiTheme="minorHAnsi" w:cstheme="minorHAnsi"/>
          <w:sz w:val="22"/>
          <w:szCs w:val="22"/>
        </w:rPr>
        <w:t xml:space="preserve"> </w:t>
      </w:r>
      <w:r w:rsidR="007D0E8E">
        <w:rPr>
          <w:rFonts w:asciiTheme="minorHAnsi" w:hAnsiTheme="minorHAnsi" w:cstheme="minorHAnsi"/>
          <w:sz w:val="22"/>
          <w:szCs w:val="22"/>
        </w:rPr>
        <w:t>This pattern was similar to that seen at PPB and S</w:t>
      </w:r>
      <w:r w:rsidR="000707D9">
        <w:rPr>
          <w:rFonts w:asciiTheme="minorHAnsi" w:hAnsiTheme="minorHAnsi" w:cstheme="minorHAnsi"/>
          <w:sz w:val="22"/>
          <w:szCs w:val="22"/>
        </w:rPr>
        <w:t>BG</w:t>
      </w:r>
      <w:r w:rsidR="007D0E8E">
        <w:rPr>
          <w:rFonts w:asciiTheme="minorHAnsi" w:hAnsiTheme="minorHAnsi" w:cstheme="minorHAnsi"/>
          <w:sz w:val="22"/>
          <w:szCs w:val="22"/>
        </w:rPr>
        <w:t xml:space="preserve"> where </w:t>
      </w:r>
      <w:r w:rsidR="00273820">
        <w:rPr>
          <w:rFonts w:asciiTheme="minorHAnsi" w:hAnsiTheme="minorHAnsi" w:cstheme="minorHAnsi"/>
          <w:sz w:val="22"/>
          <w:szCs w:val="22"/>
        </w:rPr>
        <w:t xml:space="preserve">average </w:t>
      </w:r>
      <w:r w:rsidR="007D0E8E">
        <w:rPr>
          <w:rFonts w:asciiTheme="minorHAnsi" w:hAnsiTheme="minorHAnsi" w:cstheme="minorHAnsi"/>
          <w:sz w:val="22"/>
          <w:szCs w:val="22"/>
        </w:rPr>
        <w:t xml:space="preserve">daily </w:t>
      </w:r>
      <w:r w:rsidR="00466B55">
        <w:rPr>
          <w:rFonts w:asciiTheme="minorHAnsi" w:hAnsiTheme="minorHAnsi" w:cstheme="minorHAnsi"/>
          <w:sz w:val="22"/>
          <w:szCs w:val="22"/>
        </w:rPr>
        <w:t xml:space="preserve">gaming </w:t>
      </w:r>
      <w:r w:rsidR="007D0E8E">
        <w:rPr>
          <w:rFonts w:asciiTheme="minorHAnsi" w:hAnsiTheme="minorHAnsi" w:cstheme="minorHAnsi"/>
          <w:sz w:val="22"/>
          <w:szCs w:val="22"/>
        </w:rPr>
        <w:t xml:space="preserve">actives were up </w:t>
      </w:r>
      <w:r w:rsidR="00CF5DE5">
        <w:rPr>
          <w:rFonts w:asciiTheme="minorHAnsi" w:hAnsiTheme="minorHAnsi" w:cstheme="minorHAnsi"/>
          <w:sz w:val="22"/>
          <w:szCs w:val="22"/>
        </w:rPr>
        <w:t>65</w:t>
      </w:r>
      <w:r w:rsidR="007D0E8E">
        <w:rPr>
          <w:rFonts w:asciiTheme="minorHAnsi" w:hAnsiTheme="minorHAnsi" w:cstheme="minorHAnsi"/>
          <w:sz w:val="22"/>
          <w:szCs w:val="22"/>
        </w:rPr>
        <w:t>%</w:t>
      </w:r>
      <w:r w:rsidR="00CF5DE5">
        <w:rPr>
          <w:rFonts w:asciiTheme="minorHAnsi" w:hAnsiTheme="minorHAnsi" w:cstheme="minorHAnsi"/>
          <w:sz w:val="22"/>
          <w:szCs w:val="22"/>
        </w:rPr>
        <w:t xml:space="preserve"> in Q2</w:t>
      </w:r>
      <w:r w:rsidR="007D0E8E">
        <w:rPr>
          <w:rFonts w:asciiTheme="minorHAnsi" w:hAnsiTheme="minorHAnsi" w:cstheme="minorHAnsi"/>
          <w:sz w:val="22"/>
          <w:szCs w:val="22"/>
        </w:rPr>
        <w:t xml:space="preserve">. </w:t>
      </w:r>
    </w:p>
    <w:p w14:paraId="0B77F0CA" w14:textId="77777777" w:rsidR="0023071B" w:rsidRDefault="0023071B" w:rsidP="0023071B">
      <w:pPr>
        <w:spacing w:after="120"/>
        <w:jc w:val="both"/>
        <w:rPr>
          <w:rFonts w:asciiTheme="minorHAnsi" w:hAnsiTheme="minorHAnsi" w:cstheme="minorHAnsi"/>
          <w:sz w:val="22"/>
          <w:szCs w:val="22"/>
        </w:rPr>
      </w:pPr>
      <w:r w:rsidRPr="001E2810">
        <w:rPr>
          <w:rFonts w:asciiTheme="minorHAnsi" w:hAnsiTheme="minorHAnsi" w:cstheme="minorHAnsi"/>
          <w:sz w:val="22"/>
          <w:szCs w:val="22"/>
        </w:rPr>
        <w:t>Customer activity has been encouraging since the resumption of sports. Sky</w:t>
      </w:r>
      <w:r>
        <w:rPr>
          <w:rFonts w:asciiTheme="minorHAnsi" w:hAnsiTheme="minorHAnsi" w:cstheme="minorHAnsi"/>
          <w:sz w:val="22"/>
          <w:szCs w:val="22"/>
        </w:rPr>
        <w:t xml:space="preserve"> </w:t>
      </w:r>
      <w:r w:rsidRPr="001E2810">
        <w:rPr>
          <w:rFonts w:asciiTheme="minorHAnsi" w:hAnsiTheme="minorHAnsi" w:cstheme="minorHAnsi"/>
          <w:sz w:val="22"/>
          <w:szCs w:val="22"/>
        </w:rPr>
        <w:t xml:space="preserve">Bet has seen sportsbook customer numbers return to normal levels, benefitting from the condensed UK football calendar. Paddy Power was the most downloaded betting app during Royal Ascot, having offered festival-like generosity to coincide with the resumption of racing. Encouragingly, despite the return of sports, </w:t>
      </w:r>
      <w:r w:rsidR="004D07D9">
        <w:rPr>
          <w:rFonts w:asciiTheme="minorHAnsi" w:hAnsiTheme="minorHAnsi" w:cstheme="minorHAnsi"/>
          <w:sz w:val="22"/>
          <w:szCs w:val="22"/>
        </w:rPr>
        <w:t xml:space="preserve">overall </w:t>
      </w:r>
      <w:r w:rsidRPr="001E2810">
        <w:rPr>
          <w:rFonts w:asciiTheme="minorHAnsi" w:hAnsiTheme="minorHAnsi" w:cstheme="minorHAnsi"/>
          <w:sz w:val="22"/>
          <w:szCs w:val="22"/>
        </w:rPr>
        <w:t xml:space="preserve">gaming performance has remained resilient across our brands. </w:t>
      </w:r>
      <w:r w:rsidRPr="00627877">
        <w:rPr>
          <w:rFonts w:asciiTheme="minorHAnsi" w:hAnsiTheme="minorHAnsi" w:cstheme="minorHAnsi"/>
          <w:sz w:val="22"/>
          <w:szCs w:val="22"/>
        </w:rPr>
        <w:t>In the US we retained our online sportsbook and gaming leadership position with a combined market share of 31%</w:t>
      </w:r>
      <w:r w:rsidR="00641E3F">
        <w:rPr>
          <w:rFonts w:asciiTheme="minorHAnsi" w:hAnsiTheme="minorHAnsi" w:cstheme="minorHAnsi"/>
          <w:sz w:val="22"/>
          <w:szCs w:val="22"/>
          <w:vertAlign w:val="superscript"/>
        </w:rPr>
        <w:t>5</w:t>
      </w:r>
      <w:r w:rsidRPr="00627877">
        <w:rPr>
          <w:rFonts w:asciiTheme="minorHAnsi" w:hAnsiTheme="minorHAnsi" w:cstheme="minorHAnsi"/>
          <w:sz w:val="22"/>
          <w:szCs w:val="22"/>
        </w:rPr>
        <w:t xml:space="preserve"> in</w:t>
      </w:r>
      <w:r w:rsidRPr="001E2810">
        <w:rPr>
          <w:rFonts w:asciiTheme="minorHAnsi" w:hAnsiTheme="minorHAnsi" w:cstheme="minorHAnsi"/>
          <w:sz w:val="22"/>
          <w:szCs w:val="22"/>
        </w:rPr>
        <w:t xml:space="preserve"> H1</w:t>
      </w:r>
      <w:r>
        <w:rPr>
          <w:rFonts w:asciiTheme="minorHAnsi" w:hAnsiTheme="minorHAnsi" w:cstheme="minorHAnsi"/>
          <w:sz w:val="22"/>
          <w:szCs w:val="22"/>
        </w:rPr>
        <w:t>.</w:t>
      </w:r>
      <w:r w:rsidRPr="001E2810">
        <w:rPr>
          <w:rFonts w:asciiTheme="minorHAnsi" w:hAnsiTheme="minorHAnsi" w:cstheme="minorHAnsi"/>
          <w:sz w:val="22"/>
          <w:szCs w:val="22"/>
        </w:rPr>
        <w:t xml:space="preserve"> FanDuel </w:t>
      </w:r>
      <w:r>
        <w:rPr>
          <w:rFonts w:asciiTheme="minorHAnsi" w:hAnsiTheme="minorHAnsi" w:cstheme="minorHAnsi"/>
          <w:sz w:val="22"/>
          <w:szCs w:val="22"/>
        </w:rPr>
        <w:t xml:space="preserve">online </w:t>
      </w:r>
      <w:r w:rsidRPr="001E2810">
        <w:rPr>
          <w:rFonts w:asciiTheme="minorHAnsi" w:hAnsiTheme="minorHAnsi" w:cstheme="minorHAnsi"/>
          <w:sz w:val="22"/>
          <w:szCs w:val="22"/>
        </w:rPr>
        <w:t xml:space="preserve">sportsbook now has over half a million customers </w:t>
      </w:r>
      <w:r>
        <w:rPr>
          <w:rFonts w:asciiTheme="minorHAnsi" w:hAnsiTheme="minorHAnsi" w:cstheme="minorHAnsi"/>
          <w:sz w:val="22"/>
          <w:szCs w:val="22"/>
        </w:rPr>
        <w:t xml:space="preserve">and is operating </w:t>
      </w:r>
      <w:r w:rsidRPr="00DE04C7">
        <w:rPr>
          <w:rFonts w:asciiTheme="minorHAnsi" w:hAnsiTheme="minorHAnsi" w:cstheme="minorHAnsi"/>
          <w:sz w:val="22"/>
          <w:szCs w:val="22"/>
        </w:rPr>
        <w:t xml:space="preserve">across </w:t>
      </w:r>
      <w:r w:rsidR="0090788F">
        <w:rPr>
          <w:rFonts w:asciiTheme="minorHAnsi" w:hAnsiTheme="minorHAnsi" w:cstheme="minorHAnsi"/>
          <w:sz w:val="22"/>
          <w:szCs w:val="22"/>
        </w:rPr>
        <w:t>6</w:t>
      </w:r>
      <w:r w:rsidRPr="00DE04C7">
        <w:rPr>
          <w:rFonts w:asciiTheme="minorHAnsi" w:hAnsiTheme="minorHAnsi" w:cstheme="minorHAnsi"/>
          <w:sz w:val="22"/>
          <w:szCs w:val="22"/>
        </w:rPr>
        <w:t xml:space="preserve"> states</w:t>
      </w:r>
      <w:r w:rsidRPr="001E2810">
        <w:rPr>
          <w:rFonts w:asciiTheme="minorHAnsi" w:hAnsiTheme="minorHAnsi" w:cstheme="minorHAnsi"/>
          <w:sz w:val="22"/>
          <w:szCs w:val="22"/>
        </w:rPr>
        <w:t>, following our launch in Colorado in May</w:t>
      </w:r>
      <w:r>
        <w:rPr>
          <w:rFonts w:asciiTheme="minorHAnsi" w:hAnsiTheme="minorHAnsi" w:cstheme="minorHAnsi"/>
          <w:sz w:val="22"/>
          <w:szCs w:val="22"/>
        </w:rPr>
        <w:t xml:space="preserve"> and Iowa in August</w:t>
      </w:r>
      <w:r w:rsidRPr="001E2810">
        <w:rPr>
          <w:rFonts w:asciiTheme="minorHAnsi" w:hAnsiTheme="minorHAnsi" w:cstheme="minorHAnsi"/>
          <w:sz w:val="22"/>
          <w:szCs w:val="22"/>
        </w:rPr>
        <w:t>.</w:t>
      </w:r>
    </w:p>
    <w:p w14:paraId="135D1F92" w14:textId="77777777" w:rsidR="0023071B" w:rsidRPr="001E2810" w:rsidRDefault="004A387C" w:rsidP="0023071B">
      <w:pPr>
        <w:spacing w:after="120"/>
        <w:jc w:val="both"/>
        <w:rPr>
          <w:rFonts w:asciiTheme="minorHAnsi" w:hAnsiTheme="minorHAnsi" w:cstheme="minorHAnsi"/>
          <w:sz w:val="22"/>
          <w:szCs w:val="22"/>
        </w:rPr>
      </w:pPr>
      <w:r>
        <w:rPr>
          <w:rFonts w:asciiTheme="minorHAnsi" w:hAnsiTheme="minorHAnsi" w:cstheme="minorHAnsi"/>
          <w:sz w:val="22"/>
          <w:szCs w:val="22"/>
        </w:rPr>
        <w:t xml:space="preserve">This combination of volume-led gaming growth, stronger horse racing revenues in Australia and the US and the successful return of sports has resulted in </w:t>
      </w:r>
      <w:r w:rsidRPr="001E2810">
        <w:rPr>
          <w:rFonts w:asciiTheme="minorHAnsi" w:hAnsiTheme="minorHAnsi" w:cstheme="minorHAnsi"/>
          <w:sz w:val="22"/>
          <w:szCs w:val="22"/>
        </w:rPr>
        <w:t xml:space="preserve">Group revenue growth </w:t>
      </w:r>
      <w:r>
        <w:rPr>
          <w:rFonts w:asciiTheme="minorHAnsi" w:hAnsiTheme="minorHAnsi" w:cstheme="minorHAnsi"/>
          <w:sz w:val="22"/>
          <w:szCs w:val="22"/>
        </w:rPr>
        <w:t xml:space="preserve">of </w:t>
      </w:r>
      <w:r w:rsidRPr="001E2810">
        <w:rPr>
          <w:rFonts w:asciiTheme="minorHAnsi" w:hAnsiTheme="minorHAnsi" w:cstheme="minorHAnsi"/>
          <w:sz w:val="22"/>
          <w:szCs w:val="22"/>
        </w:rPr>
        <w:t>20%</w:t>
      </w:r>
      <w:r>
        <w:rPr>
          <w:rFonts w:asciiTheme="minorHAnsi" w:hAnsiTheme="minorHAnsi" w:cstheme="minorHAnsi"/>
          <w:sz w:val="22"/>
          <w:szCs w:val="22"/>
        </w:rPr>
        <w:t xml:space="preserve"> during the disrupted period</w:t>
      </w:r>
      <w:r w:rsidRPr="001E2810">
        <w:rPr>
          <w:rFonts w:asciiTheme="minorHAnsi" w:hAnsiTheme="minorHAnsi" w:cstheme="minorHAnsi"/>
          <w:sz w:val="22"/>
          <w:szCs w:val="22"/>
        </w:rPr>
        <w:t>.</w:t>
      </w:r>
    </w:p>
    <w:p w14:paraId="7690E1A1" w14:textId="77777777" w:rsidR="00A1764C" w:rsidRPr="001E2810" w:rsidRDefault="00D8530F" w:rsidP="00C17B4F">
      <w:pPr>
        <w:spacing w:after="120"/>
        <w:jc w:val="both"/>
        <w:rPr>
          <w:rFonts w:asciiTheme="minorHAnsi" w:hAnsiTheme="minorHAnsi" w:cstheme="minorHAnsi"/>
          <w:sz w:val="22"/>
          <w:szCs w:val="22"/>
        </w:rPr>
      </w:pPr>
      <w:r w:rsidRPr="001E2810">
        <w:rPr>
          <w:rFonts w:asciiTheme="minorHAnsi" w:hAnsiTheme="minorHAnsi" w:cstheme="minorHAnsi"/>
          <w:b/>
          <w:sz w:val="22"/>
          <w:szCs w:val="22"/>
        </w:rPr>
        <w:lastRenderedPageBreak/>
        <w:t xml:space="preserve">Maintaining </w:t>
      </w:r>
      <w:r w:rsidR="00C17B4F" w:rsidRPr="001E2810">
        <w:rPr>
          <w:rFonts w:asciiTheme="minorHAnsi" w:hAnsiTheme="minorHAnsi" w:cstheme="minorHAnsi"/>
          <w:b/>
          <w:sz w:val="22"/>
          <w:szCs w:val="22"/>
        </w:rPr>
        <w:t>player engagement</w:t>
      </w:r>
      <w:r w:rsidRPr="001E2810">
        <w:rPr>
          <w:rFonts w:asciiTheme="minorHAnsi" w:hAnsiTheme="minorHAnsi" w:cstheme="minorHAnsi"/>
          <w:b/>
          <w:sz w:val="22"/>
          <w:szCs w:val="22"/>
        </w:rPr>
        <w:t xml:space="preserve"> responsibly</w:t>
      </w:r>
      <w:r w:rsidR="00C17B4F" w:rsidRPr="001E2810">
        <w:rPr>
          <w:rFonts w:asciiTheme="minorHAnsi" w:hAnsiTheme="minorHAnsi" w:cstheme="minorHAnsi"/>
          <w:b/>
          <w:sz w:val="22"/>
          <w:szCs w:val="22"/>
        </w:rPr>
        <w:t xml:space="preserve">: </w:t>
      </w:r>
      <w:r w:rsidR="00C17B4F" w:rsidRPr="001E2810">
        <w:rPr>
          <w:rFonts w:asciiTheme="minorHAnsi" w:hAnsiTheme="minorHAnsi" w:cstheme="minorHAnsi"/>
          <w:sz w:val="22"/>
          <w:szCs w:val="22"/>
        </w:rPr>
        <w:t xml:space="preserve">A key focus for our teams </w:t>
      </w:r>
      <w:r w:rsidR="007C0F00">
        <w:rPr>
          <w:rFonts w:asciiTheme="minorHAnsi" w:hAnsiTheme="minorHAnsi" w:cstheme="minorHAnsi"/>
          <w:sz w:val="22"/>
          <w:szCs w:val="22"/>
        </w:rPr>
        <w:t>throughout the period</w:t>
      </w:r>
      <w:r w:rsidR="007C0F00" w:rsidRPr="001E2810">
        <w:rPr>
          <w:rFonts w:asciiTheme="minorHAnsi" w:hAnsiTheme="minorHAnsi" w:cstheme="minorHAnsi"/>
          <w:sz w:val="22"/>
          <w:szCs w:val="22"/>
        </w:rPr>
        <w:t xml:space="preserve"> </w:t>
      </w:r>
      <w:r w:rsidR="00A1764C" w:rsidRPr="001E2810">
        <w:rPr>
          <w:rFonts w:asciiTheme="minorHAnsi" w:hAnsiTheme="minorHAnsi" w:cstheme="minorHAnsi"/>
          <w:sz w:val="22"/>
          <w:szCs w:val="22"/>
        </w:rPr>
        <w:t xml:space="preserve">has been </w:t>
      </w:r>
      <w:r w:rsidR="007C0F00">
        <w:rPr>
          <w:rFonts w:asciiTheme="minorHAnsi" w:hAnsiTheme="minorHAnsi" w:cstheme="minorHAnsi"/>
          <w:sz w:val="22"/>
          <w:szCs w:val="22"/>
        </w:rPr>
        <w:t xml:space="preserve">responsible </w:t>
      </w:r>
      <w:r w:rsidR="00A1764C" w:rsidRPr="001E2810">
        <w:rPr>
          <w:rFonts w:asciiTheme="minorHAnsi" w:hAnsiTheme="minorHAnsi" w:cstheme="minorHAnsi"/>
          <w:sz w:val="22"/>
          <w:szCs w:val="22"/>
        </w:rPr>
        <w:t>engag</w:t>
      </w:r>
      <w:r w:rsidR="007C0F00">
        <w:rPr>
          <w:rFonts w:asciiTheme="minorHAnsi" w:hAnsiTheme="minorHAnsi" w:cstheme="minorHAnsi"/>
          <w:sz w:val="22"/>
          <w:szCs w:val="22"/>
        </w:rPr>
        <w:t>ement</w:t>
      </w:r>
      <w:r w:rsidR="00A1764C" w:rsidRPr="001E2810">
        <w:rPr>
          <w:rFonts w:asciiTheme="minorHAnsi" w:hAnsiTheme="minorHAnsi" w:cstheme="minorHAnsi"/>
          <w:sz w:val="22"/>
          <w:szCs w:val="22"/>
        </w:rPr>
        <w:t xml:space="preserve"> with </w:t>
      </w:r>
      <w:r w:rsidR="00C17B4F" w:rsidRPr="001E2810">
        <w:rPr>
          <w:rFonts w:asciiTheme="minorHAnsi" w:hAnsiTheme="minorHAnsi" w:cstheme="minorHAnsi"/>
          <w:sz w:val="22"/>
          <w:szCs w:val="22"/>
        </w:rPr>
        <w:t>customers</w:t>
      </w:r>
      <w:r w:rsidR="007C0F00">
        <w:rPr>
          <w:rFonts w:asciiTheme="minorHAnsi" w:hAnsiTheme="minorHAnsi" w:cstheme="minorHAnsi"/>
          <w:sz w:val="22"/>
          <w:szCs w:val="22"/>
        </w:rPr>
        <w:t xml:space="preserve">, with an emphasis on </w:t>
      </w:r>
      <w:r w:rsidR="00A1764C" w:rsidRPr="001E2810">
        <w:rPr>
          <w:rFonts w:asciiTheme="minorHAnsi" w:hAnsiTheme="minorHAnsi" w:cstheme="minorHAnsi"/>
          <w:sz w:val="22"/>
          <w:szCs w:val="22"/>
        </w:rPr>
        <w:t>providing entertainment experience</w:t>
      </w:r>
      <w:r w:rsidR="007C0F00">
        <w:rPr>
          <w:rFonts w:asciiTheme="minorHAnsi" w:hAnsiTheme="minorHAnsi" w:cstheme="minorHAnsi"/>
          <w:sz w:val="22"/>
          <w:szCs w:val="22"/>
        </w:rPr>
        <w:t>s</w:t>
      </w:r>
      <w:r w:rsidR="00C17B4F" w:rsidRPr="001E2810">
        <w:rPr>
          <w:rFonts w:asciiTheme="minorHAnsi" w:hAnsiTheme="minorHAnsi" w:cstheme="minorHAnsi"/>
          <w:sz w:val="22"/>
          <w:szCs w:val="22"/>
        </w:rPr>
        <w:t xml:space="preserve">. </w:t>
      </w:r>
    </w:p>
    <w:p w14:paraId="2F2CC32B" w14:textId="77777777" w:rsidR="00C17B4F" w:rsidRPr="001E2810" w:rsidRDefault="00C17B4F" w:rsidP="00C17B4F">
      <w:pPr>
        <w:spacing w:after="120"/>
        <w:jc w:val="both"/>
        <w:rPr>
          <w:rFonts w:asciiTheme="minorHAnsi" w:hAnsiTheme="minorHAnsi" w:cstheme="minorHAnsi"/>
          <w:sz w:val="22"/>
          <w:szCs w:val="22"/>
        </w:rPr>
      </w:pPr>
      <w:r w:rsidRPr="001E2810">
        <w:rPr>
          <w:rFonts w:asciiTheme="minorHAnsi" w:hAnsiTheme="minorHAnsi" w:cstheme="minorHAnsi"/>
          <w:sz w:val="22"/>
          <w:szCs w:val="22"/>
        </w:rPr>
        <w:t>At Poker</w:t>
      </w:r>
      <w:r w:rsidR="00B359E2" w:rsidRPr="001E2810">
        <w:rPr>
          <w:rFonts w:asciiTheme="minorHAnsi" w:hAnsiTheme="minorHAnsi" w:cstheme="minorHAnsi"/>
          <w:sz w:val="22"/>
          <w:szCs w:val="22"/>
        </w:rPr>
        <w:t>S</w:t>
      </w:r>
      <w:r w:rsidRPr="001E2810">
        <w:rPr>
          <w:rFonts w:asciiTheme="minorHAnsi" w:hAnsiTheme="minorHAnsi" w:cstheme="minorHAnsi"/>
          <w:sz w:val="22"/>
          <w:szCs w:val="22"/>
        </w:rPr>
        <w:t>tars for example, our customer surveys highlighted that the number one reason customer</w:t>
      </w:r>
      <w:r w:rsidR="00D8530F" w:rsidRPr="001E2810">
        <w:rPr>
          <w:rFonts w:asciiTheme="minorHAnsi" w:hAnsiTheme="minorHAnsi" w:cstheme="minorHAnsi"/>
          <w:sz w:val="22"/>
          <w:szCs w:val="22"/>
        </w:rPr>
        <w:t>s</w:t>
      </w:r>
      <w:r w:rsidRPr="001E2810">
        <w:rPr>
          <w:rFonts w:asciiTheme="minorHAnsi" w:hAnsiTheme="minorHAnsi" w:cstheme="minorHAnsi"/>
          <w:sz w:val="22"/>
          <w:szCs w:val="22"/>
        </w:rPr>
        <w:t xml:space="preserve"> signed up was to join friends and family playing online. Home games, where friends have the option of playing poker against each other for virtual chips (at no cost) proved particularly popular</w:t>
      </w:r>
      <w:r w:rsidR="00D8530F" w:rsidRPr="001E2810">
        <w:rPr>
          <w:rFonts w:asciiTheme="minorHAnsi" w:hAnsiTheme="minorHAnsi" w:cstheme="minorHAnsi"/>
          <w:sz w:val="22"/>
          <w:szCs w:val="22"/>
        </w:rPr>
        <w:t>,</w:t>
      </w:r>
      <w:r w:rsidRPr="001E2810">
        <w:rPr>
          <w:rFonts w:asciiTheme="minorHAnsi" w:hAnsiTheme="minorHAnsi" w:cstheme="minorHAnsi"/>
          <w:sz w:val="22"/>
          <w:szCs w:val="22"/>
        </w:rPr>
        <w:t xml:space="preserve"> with average daily players increasing more than </w:t>
      </w:r>
      <w:r w:rsidR="00642160">
        <w:rPr>
          <w:rFonts w:asciiTheme="minorHAnsi" w:hAnsiTheme="minorHAnsi" w:cstheme="minorHAnsi"/>
          <w:sz w:val="22"/>
          <w:szCs w:val="22"/>
        </w:rPr>
        <w:t>7</w:t>
      </w:r>
      <w:r w:rsidR="00D8530F" w:rsidRPr="001E2810">
        <w:rPr>
          <w:rFonts w:asciiTheme="minorHAnsi" w:hAnsiTheme="minorHAnsi" w:cstheme="minorHAnsi"/>
          <w:sz w:val="22"/>
          <w:szCs w:val="22"/>
        </w:rPr>
        <w:t>-</w:t>
      </w:r>
      <w:r w:rsidRPr="001E2810">
        <w:rPr>
          <w:rFonts w:asciiTheme="minorHAnsi" w:hAnsiTheme="minorHAnsi" w:cstheme="minorHAnsi"/>
          <w:sz w:val="22"/>
          <w:szCs w:val="22"/>
        </w:rPr>
        <w:t xml:space="preserve">fold in Q2 </w:t>
      </w:r>
      <w:r w:rsidR="00D8530F" w:rsidRPr="001E2810">
        <w:rPr>
          <w:rFonts w:asciiTheme="minorHAnsi" w:hAnsiTheme="minorHAnsi" w:cstheme="minorHAnsi"/>
          <w:sz w:val="22"/>
          <w:szCs w:val="22"/>
        </w:rPr>
        <w:t xml:space="preserve">versus </w:t>
      </w:r>
      <w:r w:rsidRPr="001E2810">
        <w:rPr>
          <w:rFonts w:asciiTheme="minorHAnsi" w:hAnsiTheme="minorHAnsi" w:cstheme="minorHAnsi"/>
          <w:sz w:val="22"/>
          <w:szCs w:val="22"/>
        </w:rPr>
        <w:t xml:space="preserve">the </w:t>
      </w:r>
      <w:r w:rsidR="00D8530F" w:rsidRPr="001E2810">
        <w:rPr>
          <w:rFonts w:asciiTheme="minorHAnsi" w:hAnsiTheme="minorHAnsi" w:cstheme="minorHAnsi"/>
          <w:sz w:val="22"/>
          <w:szCs w:val="22"/>
        </w:rPr>
        <w:t xml:space="preserve">prior </w:t>
      </w:r>
      <w:r w:rsidRPr="001E2810">
        <w:rPr>
          <w:rFonts w:asciiTheme="minorHAnsi" w:hAnsiTheme="minorHAnsi" w:cstheme="minorHAnsi"/>
          <w:sz w:val="22"/>
          <w:szCs w:val="22"/>
        </w:rPr>
        <w:t xml:space="preserve">quarter. </w:t>
      </w:r>
      <w:r w:rsidR="00D8530F" w:rsidRPr="001E2810">
        <w:rPr>
          <w:rFonts w:asciiTheme="minorHAnsi" w:hAnsiTheme="minorHAnsi" w:cstheme="minorHAnsi"/>
          <w:sz w:val="22"/>
          <w:szCs w:val="22"/>
        </w:rPr>
        <w:t>With very limited sport</w:t>
      </w:r>
      <w:r w:rsidR="00A1764C" w:rsidRPr="001E2810">
        <w:rPr>
          <w:rFonts w:asciiTheme="minorHAnsi" w:hAnsiTheme="minorHAnsi" w:cstheme="minorHAnsi"/>
          <w:sz w:val="22"/>
          <w:szCs w:val="22"/>
        </w:rPr>
        <w:t>ing</w:t>
      </w:r>
      <w:r w:rsidR="00D8530F" w:rsidRPr="001E2810">
        <w:rPr>
          <w:rFonts w:asciiTheme="minorHAnsi" w:hAnsiTheme="minorHAnsi" w:cstheme="minorHAnsi"/>
          <w:sz w:val="22"/>
          <w:szCs w:val="22"/>
        </w:rPr>
        <w:t xml:space="preserve"> events occurring</w:t>
      </w:r>
      <w:r w:rsidR="00A1764C" w:rsidRPr="001E2810">
        <w:rPr>
          <w:rFonts w:asciiTheme="minorHAnsi" w:hAnsiTheme="minorHAnsi" w:cstheme="minorHAnsi"/>
          <w:sz w:val="22"/>
          <w:szCs w:val="22"/>
        </w:rPr>
        <w:t xml:space="preserve"> in Q2</w:t>
      </w:r>
      <w:r w:rsidR="00D8530F" w:rsidRPr="001E2810">
        <w:rPr>
          <w:rFonts w:asciiTheme="minorHAnsi" w:hAnsiTheme="minorHAnsi" w:cstheme="minorHAnsi"/>
          <w:sz w:val="22"/>
          <w:szCs w:val="22"/>
        </w:rPr>
        <w:t xml:space="preserve">, our </w:t>
      </w:r>
      <w:r w:rsidR="00D518DD" w:rsidRPr="001E2810">
        <w:rPr>
          <w:rFonts w:asciiTheme="minorHAnsi" w:hAnsiTheme="minorHAnsi" w:cstheme="minorHAnsi"/>
          <w:sz w:val="22"/>
          <w:szCs w:val="22"/>
        </w:rPr>
        <w:t xml:space="preserve">sports-led brands </w:t>
      </w:r>
      <w:r w:rsidRPr="001E2810">
        <w:rPr>
          <w:rFonts w:asciiTheme="minorHAnsi" w:hAnsiTheme="minorHAnsi" w:cstheme="minorHAnsi"/>
          <w:sz w:val="22"/>
          <w:szCs w:val="22"/>
        </w:rPr>
        <w:t>design</w:t>
      </w:r>
      <w:r w:rsidR="00D518DD" w:rsidRPr="001E2810">
        <w:rPr>
          <w:rFonts w:asciiTheme="minorHAnsi" w:hAnsiTheme="minorHAnsi" w:cstheme="minorHAnsi"/>
          <w:sz w:val="22"/>
          <w:szCs w:val="22"/>
        </w:rPr>
        <w:t>ed</w:t>
      </w:r>
      <w:r w:rsidRPr="001E2810">
        <w:rPr>
          <w:rFonts w:asciiTheme="minorHAnsi" w:hAnsiTheme="minorHAnsi" w:cstheme="minorHAnsi"/>
          <w:sz w:val="22"/>
          <w:szCs w:val="22"/>
        </w:rPr>
        <w:t xml:space="preserve"> innovative content </w:t>
      </w:r>
      <w:r w:rsidR="00D518DD" w:rsidRPr="001E2810">
        <w:rPr>
          <w:rFonts w:asciiTheme="minorHAnsi" w:hAnsiTheme="minorHAnsi" w:cstheme="minorHAnsi"/>
          <w:sz w:val="22"/>
          <w:szCs w:val="22"/>
        </w:rPr>
        <w:t>to</w:t>
      </w:r>
      <w:r w:rsidR="00FD1241" w:rsidRPr="001E2810">
        <w:rPr>
          <w:rFonts w:asciiTheme="minorHAnsi" w:hAnsiTheme="minorHAnsi" w:cstheme="minorHAnsi"/>
          <w:sz w:val="22"/>
          <w:szCs w:val="22"/>
        </w:rPr>
        <w:t xml:space="preserve"> remain relevant to our customers</w:t>
      </w:r>
      <w:r w:rsidR="00D518DD" w:rsidRPr="001E2810">
        <w:rPr>
          <w:rFonts w:asciiTheme="minorHAnsi" w:hAnsiTheme="minorHAnsi" w:cstheme="minorHAnsi"/>
          <w:sz w:val="22"/>
          <w:szCs w:val="22"/>
        </w:rPr>
        <w:t xml:space="preserve">. Examples included </w:t>
      </w:r>
      <w:r w:rsidR="001925B7">
        <w:rPr>
          <w:rFonts w:asciiTheme="minorHAnsi" w:hAnsiTheme="minorHAnsi" w:cstheme="minorHAnsi"/>
          <w:sz w:val="22"/>
          <w:szCs w:val="22"/>
        </w:rPr>
        <w:t xml:space="preserve">free-to-play </w:t>
      </w:r>
      <w:r w:rsidRPr="001E2810">
        <w:rPr>
          <w:rFonts w:asciiTheme="minorHAnsi" w:hAnsiTheme="minorHAnsi" w:cstheme="minorHAnsi"/>
          <w:sz w:val="22"/>
          <w:szCs w:val="22"/>
        </w:rPr>
        <w:t xml:space="preserve">daily fantasy contests on the Democratic Party’s presidential debate, ‘Darts from Home’ on Paddy Power and Super 6 contests on the NFL Draft in April. </w:t>
      </w:r>
    </w:p>
    <w:p w14:paraId="63480ED4" w14:textId="77777777" w:rsidR="002A6828" w:rsidRPr="001E2810" w:rsidRDefault="00FD1241" w:rsidP="00C17B4F">
      <w:pPr>
        <w:spacing w:after="120"/>
        <w:jc w:val="both"/>
        <w:rPr>
          <w:rFonts w:asciiTheme="minorHAnsi" w:hAnsiTheme="minorHAnsi" w:cstheme="minorHAnsi"/>
          <w:sz w:val="22"/>
          <w:szCs w:val="22"/>
        </w:rPr>
      </w:pPr>
      <w:r w:rsidRPr="008A72ED">
        <w:rPr>
          <w:rFonts w:asciiTheme="minorHAnsi" w:hAnsiTheme="minorHAnsi" w:cstheme="minorHAnsi"/>
          <w:sz w:val="22"/>
          <w:szCs w:val="22"/>
        </w:rPr>
        <w:t xml:space="preserve">Safeguarding </w:t>
      </w:r>
      <w:r w:rsidR="00C17B4F" w:rsidRPr="008A72ED">
        <w:rPr>
          <w:rFonts w:asciiTheme="minorHAnsi" w:hAnsiTheme="minorHAnsi" w:cstheme="minorHAnsi"/>
          <w:sz w:val="22"/>
          <w:szCs w:val="22"/>
        </w:rPr>
        <w:t>the wellbeing of our customers remain</w:t>
      </w:r>
      <w:r w:rsidR="00083F7C">
        <w:rPr>
          <w:rFonts w:asciiTheme="minorHAnsi" w:hAnsiTheme="minorHAnsi" w:cstheme="minorHAnsi"/>
          <w:sz w:val="22"/>
          <w:szCs w:val="22"/>
        </w:rPr>
        <w:t>s</w:t>
      </w:r>
      <w:r w:rsidR="00C17B4F" w:rsidRPr="008A72ED">
        <w:rPr>
          <w:rFonts w:asciiTheme="minorHAnsi" w:hAnsiTheme="minorHAnsi" w:cstheme="minorHAnsi"/>
          <w:sz w:val="22"/>
          <w:szCs w:val="22"/>
        </w:rPr>
        <w:t xml:space="preserve"> paramount and we were particularly conscious of our heightened responsibility while ‘stay-at-home’ restrictions were in place. We </w:t>
      </w:r>
      <w:r w:rsidRPr="008A72ED">
        <w:rPr>
          <w:rFonts w:asciiTheme="minorHAnsi" w:hAnsiTheme="minorHAnsi" w:cstheme="minorHAnsi"/>
          <w:sz w:val="22"/>
          <w:szCs w:val="22"/>
        </w:rPr>
        <w:t xml:space="preserve">further </w:t>
      </w:r>
      <w:r w:rsidR="00C17B4F" w:rsidRPr="008A72ED">
        <w:rPr>
          <w:rFonts w:asciiTheme="minorHAnsi" w:hAnsiTheme="minorHAnsi" w:cstheme="minorHAnsi"/>
          <w:sz w:val="22"/>
          <w:szCs w:val="22"/>
        </w:rPr>
        <w:t xml:space="preserve">increased our safer gambling measures </w:t>
      </w:r>
      <w:r w:rsidR="000B10D3">
        <w:rPr>
          <w:rFonts w:asciiTheme="minorHAnsi" w:hAnsiTheme="minorHAnsi" w:cstheme="minorHAnsi"/>
          <w:sz w:val="22"/>
          <w:szCs w:val="22"/>
        </w:rPr>
        <w:t xml:space="preserve">with customer interactions two-thirds higher in Q2 versus Q1 for both PPB and Sportsbet. </w:t>
      </w:r>
      <w:r w:rsidR="00C17B4F" w:rsidRPr="008A72ED">
        <w:rPr>
          <w:rFonts w:asciiTheme="minorHAnsi" w:hAnsiTheme="minorHAnsi" w:cstheme="minorHAnsi"/>
          <w:sz w:val="22"/>
          <w:szCs w:val="22"/>
        </w:rPr>
        <w:t xml:space="preserve">In SBG we sent deposit limit messaging to over 700,000 customers </w:t>
      </w:r>
      <w:r w:rsidR="00083F7C">
        <w:rPr>
          <w:rFonts w:asciiTheme="minorHAnsi" w:hAnsiTheme="minorHAnsi" w:cstheme="minorHAnsi"/>
          <w:sz w:val="22"/>
          <w:szCs w:val="22"/>
        </w:rPr>
        <w:t xml:space="preserve">that were active with our brands </w:t>
      </w:r>
      <w:r w:rsidR="00C17B4F" w:rsidRPr="008A72ED">
        <w:rPr>
          <w:rFonts w:asciiTheme="minorHAnsi" w:hAnsiTheme="minorHAnsi" w:cstheme="minorHAnsi"/>
          <w:sz w:val="22"/>
          <w:szCs w:val="22"/>
        </w:rPr>
        <w:t>in the early weeks of the pandemic</w:t>
      </w:r>
      <w:r w:rsidR="000F563F" w:rsidRPr="00D03057">
        <w:rPr>
          <w:rFonts w:asciiTheme="minorHAnsi" w:hAnsiTheme="minorHAnsi" w:cstheme="minorHAnsi"/>
          <w:sz w:val="22"/>
          <w:szCs w:val="22"/>
        </w:rPr>
        <w:t>.</w:t>
      </w:r>
      <w:r w:rsidR="00C17B4F" w:rsidRPr="008A72ED">
        <w:rPr>
          <w:rFonts w:asciiTheme="minorHAnsi" w:hAnsiTheme="minorHAnsi" w:cstheme="minorHAnsi"/>
          <w:sz w:val="22"/>
          <w:szCs w:val="22"/>
        </w:rPr>
        <w:t xml:space="preserve"> </w:t>
      </w:r>
      <w:r w:rsidR="000F563F" w:rsidRPr="00D03057">
        <w:rPr>
          <w:rFonts w:asciiTheme="minorHAnsi" w:hAnsiTheme="minorHAnsi" w:cstheme="minorHAnsi"/>
          <w:sz w:val="22"/>
          <w:szCs w:val="22"/>
        </w:rPr>
        <w:t xml:space="preserve">Across PPB and SBG, total combined UK revenue was down 13% in Q2. </w:t>
      </w:r>
      <w:r w:rsidR="002A6828" w:rsidRPr="002A6828">
        <w:rPr>
          <w:rFonts w:asciiTheme="minorHAnsi" w:hAnsiTheme="minorHAnsi" w:cstheme="minorHAnsi"/>
          <w:sz w:val="22"/>
          <w:szCs w:val="22"/>
        </w:rPr>
        <w:t>Meanwhile at PokerStars, customers on average spent around £10 per week in the first half of 2020</w:t>
      </w:r>
      <w:r w:rsidR="00596D54">
        <w:rPr>
          <w:rFonts w:asciiTheme="minorHAnsi" w:hAnsiTheme="minorHAnsi" w:cstheme="minorHAnsi"/>
          <w:sz w:val="22"/>
          <w:szCs w:val="22"/>
        </w:rPr>
        <w:t>,</w:t>
      </w:r>
      <w:r w:rsidR="002A6828">
        <w:rPr>
          <w:rFonts w:asciiTheme="minorHAnsi" w:hAnsiTheme="minorHAnsi" w:cstheme="minorHAnsi"/>
          <w:sz w:val="22"/>
          <w:szCs w:val="22"/>
        </w:rPr>
        <w:t xml:space="preserve"> consistent with H1 2019</w:t>
      </w:r>
      <w:r w:rsidR="00596D54">
        <w:rPr>
          <w:rFonts w:asciiTheme="minorHAnsi" w:hAnsiTheme="minorHAnsi" w:cstheme="minorHAnsi"/>
          <w:sz w:val="22"/>
          <w:szCs w:val="22"/>
        </w:rPr>
        <w:t>.</w:t>
      </w:r>
      <w:r w:rsidR="002A6828" w:rsidRPr="002A6828">
        <w:rPr>
          <w:rFonts w:asciiTheme="minorHAnsi" w:hAnsiTheme="minorHAnsi" w:cstheme="minorHAnsi"/>
          <w:sz w:val="22"/>
          <w:szCs w:val="22"/>
        </w:rPr>
        <w:t xml:space="preserve"> </w:t>
      </w:r>
    </w:p>
    <w:p w14:paraId="5E6DBC6C" w14:textId="77777777" w:rsidR="00C17B4F" w:rsidRPr="001E2810" w:rsidRDefault="00C17B4F" w:rsidP="00C17B4F">
      <w:pPr>
        <w:spacing w:after="80" w:line="259" w:lineRule="auto"/>
        <w:jc w:val="both"/>
        <w:rPr>
          <w:rFonts w:asciiTheme="minorHAnsi" w:hAnsiTheme="minorHAnsi" w:cstheme="minorHAnsi"/>
          <w:b/>
          <w:sz w:val="22"/>
          <w:szCs w:val="22"/>
        </w:rPr>
      </w:pPr>
      <w:r w:rsidRPr="001E2810">
        <w:rPr>
          <w:rFonts w:asciiTheme="minorHAnsi" w:hAnsiTheme="minorHAnsi" w:cstheme="minorHAnsi"/>
          <w:b/>
          <w:sz w:val="22"/>
          <w:szCs w:val="22"/>
        </w:rPr>
        <w:t>Increasing investment as we target sustainable growth</w:t>
      </w:r>
    </w:p>
    <w:p w14:paraId="32E25A2B" w14:textId="77777777" w:rsidR="00DC407A" w:rsidRDefault="00C17B4F" w:rsidP="00C17B4F">
      <w:pPr>
        <w:spacing w:after="120"/>
        <w:jc w:val="both"/>
        <w:rPr>
          <w:rFonts w:asciiTheme="minorHAnsi" w:hAnsiTheme="minorHAnsi" w:cstheme="minorHAnsi"/>
          <w:sz w:val="22"/>
          <w:szCs w:val="22"/>
        </w:rPr>
      </w:pPr>
      <w:r w:rsidRPr="001E2810">
        <w:rPr>
          <w:rFonts w:asciiTheme="minorHAnsi" w:hAnsiTheme="minorHAnsi" w:cstheme="minorHAnsi"/>
          <w:sz w:val="22"/>
          <w:szCs w:val="22"/>
        </w:rPr>
        <w:t xml:space="preserve">At the time of our equity Placing in May, we outlined how we </w:t>
      </w:r>
      <w:r w:rsidR="00DC407A">
        <w:rPr>
          <w:rFonts w:asciiTheme="minorHAnsi" w:hAnsiTheme="minorHAnsi" w:cstheme="minorHAnsi"/>
          <w:sz w:val="22"/>
          <w:szCs w:val="22"/>
        </w:rPr>
        <w:t>believed</w:t>
      </w:r>
      <w:r w:rsidRPr="001E2810">
        <w:rPr>
          <w:rFonts w:asciiTheme="minorHAnsi" w:hAnsiTheme="minorHAnsi" w:cstheme="minorHAnsi"/>
          <w:sz w:val="22"/>
          <w:szCs w:val="22"/>
        </w:rPr>
        <w:t xml:space="preserve"> the evolving landscape could create additional investment opportunities for the Group, most notably in the US (where the prospects for accelerated online regulation were improving</w:t>
      </w:r>
      <w:r w:rsidR="00412DA8">
        <w:rPr>
          <w:rFonts w:asciiTheme="minorHAnsi" w:hAnsiTheme="minorHAnsi" w:cstheme="minorHAnsi"/>
          <w:sz w:val="22"/>
          <w:szCs w:val="22"/>
        </w:rPr>
        <w:t>)</w:t>
      </w:r>
      <w:r w:rsidR="00DC407A" w:rsidRPr="00DC407A">
        <w:rPr>
          <w:rFonts w:asciiTheme="minorHAnsi" w:hAnsiTheme="minorHAnsi" w:cstheme="minorHAnsi"/>
          <w:sz w:val="22"/>
          <w:szCs w:val="22"/>
        </w:rPr>
        <w:t xml:space="preserve"> </w:t>
      </w:r>
      <w:r w:rsidR="00DC407A" w:rsidRPr="001E2810">
        <w:rPr>
          <w:rFonts w:asciiTheme="minorHAnsi" w:hAnsiTheme="minorHAnsi" w:cstheme="minorHAnsi"/>
          <w:sz w:val="22"/>
          <w:szCs w:val="22"/>
        </w:rPr>
        <w:t xml:space="preserve">and in other markets where we were seeing faster customer migration from retail to online. </w:t>
      </w:r>
      <w:r w:rsidR="00C94D11">
        <w:rPr>
          <w:rFonts w:asciiTheme="minorHAnsi" w:hAnsiTheme="minorHAnsi" w:cstheme="minorHAnsi"/>
          <w:sz w:val="22"/>
          <w:szCs w:val="22"/>
        </w:rPr>
        <w:t xml:space="preserve">In addition, as </w:t>
      </w:r>
      <w:r w:rsidR="00DC407A" w:rsidRPr="001E2810">
        <w:rPr>
          <w:rFonts w:asciiTheme="minorHAnsi" w:hAnsiTheme="minorHAnsi" w:cstheme="minorHAnsi"/>
          <w:sz w:val="22"/>
          <w:szCs w:val="22"/>
        </w:rPr>
        <w:t xml:space="preserve">we have reviewed the </w:t>
      </w:r>
      <w:r w:rsidR="00412DA8">
        <w:rPr>
          <w:rFonts w:asciiTheme="minorHAnsi" w:hAnsiTheme="minorHAnsi" w:cstheme="minorHAnsi"/>
          <w:sz w:val="22"/>
          <w:szCs w:val="22"/>
        </w:rPr>
        <w:t xml:space="preserve">PokerStars </w:t>
      </w:r>
      <w:r w:rsidR="00DC407A" w:rsidRPr="001E2810">
        <w:rPr>
          <w:rFonts w:asciiTheme="minorHAnsi" w:hAnsiTheme="minorHAnsi" w:cstheme="minorHAnsi"/>
          <w:sz w:val="22"/>
          <w:szCs w:val="22"/>
        </w:rPr>
        <w:t>business</w:t>
      </w:r>
      <w:r w:rsidR="00C94D11">
        <w:rPr>
          <w:rFonts w:asciiTheme="minorHAnsi" w:hAnsiTheme="minorHAnsi" w:cstheme="minorHAnsi"/>
          <w:sz w:val="22"/>
          <w:szCs w:val="22"/>
        </w:rPr>
        <w:t>,</w:t>
      </w:r>
      <w:r w:rsidR="00DC407A" w:rsidRPr="001E2810">
        <w:rPr>
          <w:rFonts w:asciiTheme="minorHAnsi" w:hAnsiTheme="minorHAnsi" w:cstheme="minorHAnsi"/>
          <w:sz w:val="22"/>
          <w:szCs w:val="22"/>
        </w:rPr>
        <w:t xml:space="preserve"> we have identified further opportunities to invest in areas such as marketing, product and technology. </w:t>
      </w:r>
    </w:p>
    <w:p w14:paraId="30AA02C8" w14:textId="77777777" w:rsidR="00C17B4F" w:rsidRPr="001E2810" w:rsidRDefault="00A35DDD" w:rsidP="00C17B4F">
      <w:pPr>
        <w:spacing w:after="120"/>
        <w:jc w:val="both"/>
        <w:rPr>
          <w:rFonts w:asciiTheme="minorHAnsi" w:hAnsiTheme="minorHAnsi" w:cstheme="minorHAnsi"/>
          <w:sz w:val="22"/>
          <w:szCs w:val="22"/>
        </w:rPr>
      </w:pPr>
      <w:r w:rsidRPr="004667D0">
        <w:rPr>
          <w:rFonts w:asciiTheme="minorHAnsi" w:hAnsiTheme="minorHAnsi" w:cstheme="minorHAnsi"/>
          <w:b/>
          <w:sz w:val="22"/>
          <w:szCs w:val="22"/>
        </w:rPr>
        <w:t xml:space="preserve">US: </w:t>
      </w:r>
      <w:r w:rsidR="00C17B4F" w:rsidRPr="001E2810">
        <w:rPr>
          <w:rFonts w:asciiTheme="minorHAnsi" w:hAnsiTheme="minorHAnsi" w:cstheme="minorHAnsi"/>
          <w:sz w:val="22"/>
          <w:szCs w:val="22"/>
        </w:rPr>
        <w:t xml:space="preserve">The US remains a key focus </w:t>
      </w:r>
      <w:r w:rsidR="00C94D11">
        <w:rPr>
          <w:rFonts w:asciiTheme="minorHAnsi" w:hAnsiTheme="minorHAnsi" w:cstheme="minorHAnsi"/>
          <w:sz w:val="22"/>
          <w:szCs w:val="22"/>
        </w:rPr>
        <w:t xml:space="preserve">of investment </w:t>
      </w:r>
      <w:r w:rsidR="00C17B4F" w:rsidRPr="001E2810">
        <w:rPr>
          <w:rFonts w:asciiTheme="minorHAnsi" w:hAnsiTheme="minorHAnsi" w:cstheme="minorHAnsi"/>
          <w:sz w:val="22"/>
          <w:szCs w:val="22"/>
        </w:rPr>
        <w:t>for the Group. At our full year results in February, we outlined how we expected to offer FanDuel</w:t>
      </w:r>
      <w:r w:rsidR="00840964">
        <w:rPr>
          <w:rFonts w:asciiTheme="minorHAnsi" w:hAnsiTheme="minorHAnsi" w:cstheme="minorHAnsi"/>
          <w:sz w:val="22"/>
          <w:szCs w:val="22"/>
        </w:rPr>
        <w:t>’s</w:t>
      </w:r>
      <w:r w:rsidR="00C17B4F" w:rsidRPr="001E2810">
        <w:rPr>
          <w:rFonts w:asciiTheme="minorHAnsi" w:hAnsiTheme="minorHAnsi" w:cstheme="minorHAnsi"/>
          <w:sz w:val="22"/>
          <w:szCs w:val="22"/>
        </w:rPr>
        <w:t xml:space="preserve"> online sportsbook to 21% of the US population in 2021 (across 9 legislated states). Since then legislation has </w:t>
      </w:r>
      <w:r w:rsidR="00FD1241" w:rsidRPr="001E2810">
        <w:rPr>
          <w:rFonts w:asciiTheme="minorHAnsi" w:hAnsiTheme="minorHAnsi" w:cstheme="minorHAnsi"/>
          <w:sz w:val="22"/>
          <w:szCs w:val="22"/>
        </w:rPr>
        <w:t xml:space="preserve">also </w:t>
      </w:r>
      <w:r w:rsidR="00C17B4F" w:rsidRPr="001E2810">
        <w:rPr>
          <w:rFonts w:asciiTheme="minorHAnsi" w:hAnsiTheme="minorHAnsi" w:cstheme="minorHAnsi"/>
          <w:sz w:val="22"/>
          <w:szCs w:val="22"/>
        </w:rPr>
        <w:t xml:space="preserve">been passed </w:t>
      </w:r>
      <w:r w:rsidR="00C17B4F" w:rsidRPr="00DE04C7">
        <w:rPr>
          <w:rFonts w:asciiTheme="minorHAnsi" w:hAnsiTheme="minorHAnsi" w:cstheme="minorHAnsi"/>
          <w:sz w:val="22"/>
          <w:szCs w:val="22"/>
        </w:rPr>
        <w:t>in Virginia</w:t>
      </w:r>
      <w:r w:rsidR="00BD0901" w:rsidRPr="00DE04C7">
        <w:rPr>
          <w:rFonts w:asciiTheme="minorHAnsi" w:hAnsiTheme="minorHAnsi" w:cstheme="minorHAnsi"/>
          <w:sz w:val="22"/>
          <w:szCs w:val="22"/>
        </w:rPr>
        <w:t xml:space="preserve"> (c. </w:t>
      </w:r>
      <w:r w:rsidR="00A51468">
        <w:rPr>
          <w:rFonts w:asciiTheme="minorHAnsi" w:hAnsiTheme="minorHAnsi" w:cstheme="minorHAnsi"/>
          <w:sz w:val="22"/>
          <w:szCs w:val="22"/>
        </w:rPr>
        <w:t>2.5</w:t>
      </w:r>
      <w:r w:rsidR="00BD0901" w:rsidRPr="00DE04C7">
        <w:rPr>
          <w:rFonts w:asciiTheme="minorHAnsi" w:hAnsiTheme="minorHAnsi" w:cstheme="minorHAnsi"/>
          <w:sz w:val="22"/>
          <w:szCs w:val="22"/>
        </w:rPr>
        <w:t>% of US population)</w:t>
      </w:r>
      <w:r w:rsidR="00FD1241" w:rsidRPr="00DE04C7">
        <w:rPr>
          <w:rFonts w:asciiTheme="minorHAnsi" w:hAnsiTheme="minorHAnsi" w:cstheme="minorHAnsi"/>
          <w:sz w:val="22"/>
          <w:szCs w:val="22"/>
        </w:rPr>
        <w:t xml:space="preserve">, with </w:t>
      </w:r>
      <w:r w:rsidR="00BD0901" w:rsidRPr="00DE04C7">
        <w:rPr>
          <w:rFonts w:asciiTheme="minorHAnsi" w:hAnsiTheme="minorHAnsi" w:cstheme="minorHAnsi"/>
          <w:sz w:val="22"/>
          <w:szCs w:val="22"/>
        </w:rPr>
        <w:t>planned referenda in Maryland and Louisiana in H2 to potentially approve sports</w:t>
      </w:r>
      <w:r w:rsidR="00627877">
        <w:rPr>
          <w:rFonts w:asciiTheme="minorHAnsi" w:hAnsiTheme="minorHAnsi" w:cstheme="minorHAnsi"/>
          <w:sz w:val="22"/>
          <w:szCs w:val="22"/>
        </w:rPr>
        <w:t xml:space="preserve"> </w:t>
      </w:r>
      <w:r w:rsidR="00BD0901" w:rsidRPr="00DE04C7">
        <w:rPr>
          <w:rFonts w:asciiTheme="minorHAnsi" w:hAnsiTheme="minorHAnsi" w:cstheme="minorHAnsi"/>
          <w:sz w:val="22"/>
          <w:szCs w:val="22"/>
        </w:rPr>
        <w:t>betting</w:t>
      </w:r>
      <w:r w:rsidR="00627877">
        <w:rPr>
          <w:rFonts w:asciiTheme="minorHAnsi" w:hAnsiTheme="minorHAnsi" w:cstheme="minorHAnsi"/>
          <w:sz w:val="22"/>
          <w:szCs w:val="22"/>
        </w:rPr>
        <w:t xml:space="preserve"> there also</w:t>
      </w:r>
      <w:r w:rsidR="00FD1241" w:rsidRPr="00DE04C7">
        <w:rPr>
          <w:rFonts w:asciiTheme="minorHAnsi" w:hAnsiTheme="minorHAnsi" w:cstheme="minorHAnsi"/>
          <w:sz w:val="22"/>
          <w:szCs w:val="22"/>
        </w:rPr>
        <w:t xml:space="preserve">. </w:t>
      </w:r>
      <w:r w:rsidR="006663F3" w:rsidRPr="006663F3">
        <w:rPr>
          <w:rFonts w:asciiTheme="minorHAnsi" w:hAnsiTheme="minorHAnsi" w:cstheme="minorHAnsi"/>
          <w:sz w:val="22"/>
          <w:szCs w:val="22"/>
        </w:rPr>
        <w:t>Our planned investment in Michigan and Illinois may now occur earlier than we previously anticipated. Michigan could possibl</w:t>
      </w:r>
      <w:r w:rsidR="00DD16F0">
        <w:rPr>
          <w:rFonts w:asciiTheme="minorHAnsi" w:hAnsiTheme="minorHAnsi" w:cstheme="minorHAnsi"/>
          <w:sz w:val="22"/>
          <w:szCs w:val="22"/>
        </w:rPr>
        <w:t>y</w:t>
      </w:r>
      <w:r w:rsidR="006663F3" w:rsidRPr="006663F3">
        <w:rPr>
          <w:rFonts w:asciiTheme="minorHAnsi" w:hAnsiTheme="minorHAnsi" w:cstheme="minorHAnsi"/>
          <w:sz w:val="22"/>
          <w:szCs w:val="22"/>
        </w:rPr>
        <w:t xml:space="preserve"> “go live” date in Q4 2020, subject to regulatory approvals. In Illinois, the requirement for in-property mobile account registration has been temporarily removed in response to the Covid</w:t>
      </w:r>
      <w:r w:rsidR="00241662">
        <w:rPr>
          <w:rFonts w:asciiTheme="minorHAnsi" w:hAnsiTheme="minorHAnsi" w:cstheme="minorHAnsi"/>
          <w:sz w:val="22"/>
          <w:szCs w:val="22"/>
        </w:rPr>
        <w:t>-19</w:t>
      </w:r>
      <w:r w:rsidR="006663F3" w:rsidRPr="006663F3">
        <w:rPr>
          <w:rFonts w:asciiTheme="minorHAnsi" w:hAnsiTheme="minorHAnsi" w:cstheme="minorHAnsi"/>
          <w:sz w:val="22"/>
          <w:szCs w:val="22"/>
        </w:rPr>
        <w:t xml:space="preserve"> outbreak.</w:t>
      </w:r>
      <w:r w:rsidR="005E0BBF">
        <w:rPr>
          <w:rFonts w:asciiTheme="minorHAnsi" w:hAnsiTheme="minorHAnsi" w:cstheme="minorHAnsi"/>
          <w:sz w:val="22"/>
          <w:szCs w:val="22"/>
        </w:rPr>
        <w:t xml:space="preserve"> It remains uncertain as to how long th</w:t>
      </w:r>
      <w:r w:rsidR="00782595">
        <w:rPr>
          <w:rFonts w:asciiTheme="minorHAnsi" w:hAnsiTheme="minorHAnsi" w:cstheme="minorHAnsi"/>
          <w:sz w:val="22"/>
          <w:szCs w:val="22"/>
        </w:rPr>
        <w:t>e</w:t>
      </w:r>
      <w:r w:rsidR="005E0BBF">
        <w:rPr>
          <w:rFonts w:asciiTheme="minorHAnsi" w:hAnsiTheme="minorHAnsi" w:cstheme="minorHAnsi"/>
          <w:sz w:val="22"/>
          <w:szCs w:val="22"/>
        </w:rPr>
        <w:t xml:space="preserve"> easing of </w:t>
      </w:r>
      <w:r w:rsidR="00782595">
        <w:rPr>
          <w:rFonts w:asciiTheme="minorHAnsi" w:hAnsiTheme="minorHAnsi" w:cstheme="minorHAnsi"/>
          <w:sz w:val="22"/>
          <w:szCs w:val="22"/>
        </w:rPr>
        <w:t xml:space="preserve">this </w:t>
      </w:r>
      <w:r w:rsidR="005E0BBF">
        <w:rPr>
          <w:rFonts w:asciiTheme="minorHAnsi" w:hAnsiTheme="minorHAnsi" w:cstheme="minorHAnsi"/>
          <w:sz w:val="22"/>
          <w:szCs w:val="22"/>
        </w:rPr>
        <w:t xml:space="preserve">restriction will remain in place. </w:t>
      </w:r>
      <w:r w:rsidR="00C94D11">
        <w:rPr>
          <w:rFonts w:asciiTheme="minorHAnsi" w:hAnsiTheme="minorHAnsi" w:cstheme="minorHAnsi"/>
          <w:sz w:val="22"/>
          <w:szCs w:val="22"/>
        </w:rPr>
        <w:t xml:space="preserve">Along with new state launches, </w:t>
      </w:r>
      <w:r w:rsidR="00C17B4F" w:rsidRPr="001E2810">
        <w:rPr>
          <w:rFonts w:asciiTheme="minorHAnsi" w:hAnsiTheme="minorHAnsi" w:cstheme="minorHAnsi"/>
          <w:sz w:val="22"/>
          <w:szCs w:val="22"/>
        </w:rPr>
        <w:t xml:space="preserve">investment in technology has been a priority and we are pleased to now have our own proprietary account and wallet live across all states. </w:t>
      </w:r>
      <w:r w:rsidR="00FD1241" w:rsidRPr="001E2810">
        <w:rPr>
          <w:rFonts w:asciiTheme="minorHAnsi" w:hAnsiTheme="minorHAnsi" w:cstheme="minorHAnsi"/>
          <w:sz w:val="22"/>
          <w:szCs w:val="22"/>
        </w:rPr>
        <w:t>W</w:t>
      </w:r>
      <w:r w:rsidR="00C17B4F" w:rsidRPr="001E2810">
        <w:rPr>
          <w:rFonts w:asciiTheme="minorHAnsi" w:hAnsiTheme="minorHAnsi" w:cstheme="minorHAnsi"/>
          <w:sz w:val="22"/>
          <w:szCs w:val="22"/>
        </w:rPr>
        <w:t>e expect to begin migration of FanDuel</w:t>
      </w:r>
      <w:r w:rsidR="00C94D11">
        <w:rPr>
          <w:rFonts w:asciiTheme="minorHAnsi" w:hAnsiTheme="minorHAnsi" w:cstheme="minorHAnsi"/>
          <w:sz w:val="22"/>
          <w:szCs w:val="22"/>
        </w:rPr>
        <w:t>’s</w:t>
      </w:r>
      <w:r w:rsidR="00C17B4F" w:rsidRPr="001E2810">
        <w:rPr>
          <w:rFonts w:asciiTheme="minorHAnsi" w:hAnsiTheme="minorHAnsi" w:cstheme="minorHAnsi"/>
          <w:sz w:val="22"/>
          <w:szCs w:val="22"/>
        </w:rPr>
        <w:t xml:space="preserve"> </w:t>
      </w:r>
      <w:r w:rsidR="00596D54">
        <w:rPr>
          <w:rFonts w:asciiTheme="minorHAnsi" w:hAnsiTheme="minorHAnsi" w:cstheme="minorHAnsi"/>
          <w:sz w:val="22"/>
          <w:szCs w:val="22"/>
        </w:rPr>
        <w:t>existing third</w:t>
      </w:r>
      <w:r w:rsidR="00A51468">
        <w:rPr>
          <w:rFonts w:asciiTheme="minorHAnsi" w:hAnsiTheme="minorHAnsi" w:cstheme="minorHAnsi"/>
          <w:sz w:val="22"/>
          <w:szCs w:val="22"/>
        </w:rPr>
        <w:t>-</w:t>
      </w:r>
      <w:r w:rsidR="00596D54">
        <w:rPr>
          <w:rFonts w:asciiTheme="minorHAnsi" w:hAnsiTheme="minorHAnsi" w:cstheme="minorHAnsi"/>
          <w:sz w:val="22"/>
          <w:szCs w:val="22"/>
        </w:rPr>
        <w:t xml:space="preserve">party </w:t>
      </w:r>
      <w:r w:rsidR="00C17B4F" w:rsidRPr="001E2810">
        <w:rPr>
          <w:rFonts w:asciiTheme="minorHAnsi" w:hAnsiTheme="minorHAnsi" w:cstheme="minorHAnsi"/>
          <w:sz w:val="22"/>
          <w:szCs w:val="22"/>
        </w:rPr>
        <w:t xml:space="preserve">online </w:t>
      </w:r>
      <w:r w:rsidR="00596D54">
        <w:rPr>
          <w:rFonts w:asciiTheme="minorHAnsi" w:hAnsiTheme="minorHAnsi" w:cstheme="minorHAnsi"/>
          <w:sz w:val="22"/>
          <w:szCs w:val="22"/>
        </w:rPr>
        <w:t>betting platform</w:t>
      </w:r>
      <w:r w:rsidR="00C17B4F" w:rsidRPr="001E2810">
        <w:rPr>
          <w:rFonts w:asciiTheme="minorHAnsi" w:hAnsiTheme="minorHAnsi" w:cstheme="minorHAnsi"/>
          <w:sz w:val="22"/>
          <w:szCs w:val="22"/>
        </w:rPr>
        <w:t xml:space="preserve"> to </w:t>
      </w:r>
      <w:r w:rsidR="00596D54">
        <w:rPr>
          <w:rFonts w:asciiTheme="minorHAnsi" w:hAnsiTheme="minorHAnsi" w:cstheme="minorHAnsi"/>
          <w:sz w:val="22"/>
          <w:szCs w:val="22"/>
        </w:rPr>
        <w:t>in</w:t>
      </w:r>
      <w:r w:rsidR="00A51468">
        <w:rPr>
          <w:rFonts w:asciiTheme="minorHAnsi" w:hAnsiTheme="minorHAnsi" w:cstheme="minorHAnsi"/>
          <w:sz w:val="22"/>
          <w:szCs w:val="22"/>
        </w:rPr>
        <w:t>-</w:t>
      </w:r>
      <w:r w:rsidR="00596D54">
        <w:rPr>
          <w:rFonts w:asciiTheme="minorHAnsi" w:hAnsiTheme="minorHAnsi" w:cstheme="minorHAnsi"/>
          <w:sz w:val="22"/>
          <w:szCs w:val="22"/>
        </w:rPr>
        <w:t>house technology</w:t>
      </w:r>
      <w:r w:rsidR="00C17B4F" w:rsidRPr="001E2810">
        <w:rPr>
          <w:rFonts w:asciiTheme="minorHAnsi" w:hAnsiTheme="minorHAnsi" w:cstheme="minorHAnsi"/>
          <w:sz w:val="22"/>
          <w:szCs w:val="22"/>
        </w:rPr>
        <w:t xml:space="preserve"> before the end of</w:t>
      </w:r>
      <w:r w:rsidR="00C94D11">
        <w:rPr>
          <w:rFonts w:asciiTheme="minorHAnsi" w:hAnsiTheme="minorHAnsi" w:cstheme="minorHAnsi"/>
          <w:sz w:val="22"/>
          <w:szCs w:val="22"/>
        </w:rPr>
        <w:t xml:space="preserve"> 2020</w:t>
      </w:r>
      <w:r w:rsidR="00A51468">
        <w:rPr>
          <w:rFonts w:asciiTheme="minorHAnsi" w:hAnsiTheme="minorHAnsi" w:cstheme="minorHAnsi"/>
          <w:sz w:val="22"/>
          <w:szCs w:val="22"/>
        </w:rPr>
        <w:t>.</w:t>
      </w:r>
      <w:r w:rsidR="00596D54">
        <w:rPr>
          <w:rFonts w:asciiTheme="minorHAnsi" w:hAnsiTheme="minorHAnsi" w:cstheme="minorHAnsi"/>
          <w:sz w:val="22"/>
          <w:szCs w:val="22"/>
        </w:rPr>
        <w:t xml:space="preserve"> </w:t>
      </w:r>
    </w:p>
    <w:p w14:paraId="0539805C" w14:textId="77777777" w:rsidR="00C17B4F" w:rsidRPr="001E2810" w:rsidRDefault="00A35DDD" w:rsidP="00C17B4F">
      <w:pPr>
        <w:spacing w:after="120"/>
        <w:jc w:val="both"/>
        <w:rPr>
          <w:rFonts w:asciiTheme="minorHAnsi" w:hAnsiTheme="minorHAnsi" w:cstheme="minorHAnsi"/>
          <w:sz w:val="22"/>
          <w:szCs w:val="22"/>
        </w:rPr>
      </w:pPr>
      <w:r w:rsidRPr="001A03E8">
        <w:rPr>
          <w:rFonts w:asciiTheme="minorHAnsi" w:hAnsiTheme="minorHAnsi" w:cstheme="minorHAnsi"/>
          <w:b/>
          <w:sz w:val="22"/>
          <w:szCs w:val="22"/>
        </w:rPr>
        <w:t xml:space="preserve">Online migration: </w:t>
      </w:r>
      <w:r w:rsidR="00B35BB5" w:rsidRPr="00CB78AE">
        <w:rPr>
          <w:rFonts w:asciiTheme="minorHAnsi" w:hAnsiTheme="minorHAnsi" w:cstheme="minorHAnsi"/>
          <w:sz w:val="22"/>
          <w:szCs w:val="22"/>
        </w:rPr>
        <w:t>We have highlighted in the past the ongoing</w:t>
      </w:r>
      <w:r w:rsidR="00B35BB5">
        <w:rPr>
          <w:rFonts w:asciiTheme="minorHAnsi" w:hAnsiTheme="minorHAnsi" w:cstheme="minorHAnsi"/>
          <w:b/>
          <w:sz w:val="22"/>
          <w:szCs w:val="22"/>
        </w:rPr>
        <w:t xml:space="preserve"> </w:t>
      </w:r>
      <w:r w:rsidR="00B35BB5" w:rsidRPr="009F2EC7">
        <w:rPr>
          <w:rFonts w:asciiTheme="minorHAnsi" w:hAnsiTheme="minorHAnsi" w:cstheme="minorHAnsi"/>
          <w:sz w:val="22"/>
          <w:szCs w:val="22"/>
        </w:rPr>
        <w:t>migration</w:t>
      </w:r>
      <w:r w:rsidR="00B35BB5">
        <w:rPr>
          <w:rFonts w:asciiTheme="minorHAnsi" w:hAnsiTheme="minorHAnsi" w:cstheme="minorHAnsi"/>
          <w:b/>
          <w:sz w:val="22"/>
          <w:szCs w:val="22"/>
        </w:rPr>
        <w:t xml:space="preserve"> </w:t>
      </w:r>
      <w:r w:rsidR="00B35BB5">
        <w:rPr>
          <w:rFonts w:asciiTheme="minorHAnsi" w:hAnsiTheme="minorHAnsi" w:cstheme="minorHAnsi"/>
          <w:sz w:val="22"/>
          <w:szCs w:val="22"/>
        </w:rPr>
        <w:t xml:space="preserve">of customers </w:t>
      </w:r>
      <w:r w:rsidR="00EC3C34">
        <w:rPr>
          <w:rFonts w:asciiTheme="minorHAnsi" w:hAnsiTheme="minorHAnsi" w:cstheme="minorHAnsi"/>
          <w:sz w:val="22"/>
          <w:szCs w:val="22"/>
        </w:rPr>
        <w:t xml:space="preserve">from retail to online in </w:t>
      </w:r>
      <w:r w:rsidR="00B35BB5">
        <w:rPr>
          <w:rFonts w:asciiTheme="minorHAnsi" w:hAnsiTheme="minorHAnsi" w:cstheme="minorHAnsi"/>
          <w:sz w:val="22"/>
          <w:szCs w:val="22"/>
        </w:rPr>
        <w:t xml:space="preserve">our core markets. In the last two years alone, this has contributed to a </w:t>
      </w:r>
      <w:r w:rsidR="00273820">
        <w:rPr>
          <w:rFonts w:asciiTheme="minorHAnsi" w:hAnsiTheme="minorHAnsi" w:cstheme="minorHAnsi"/>
          <w:sz w:val="22"/>
          <w:szCs w:val="22"/>
        </w:rPr>
        <w:t xml:space="preserve">circa </w:t>
      </w:r>
      <w:r w:rsidR="00B35BB5">
        <w:rPr>
          <w:rFonts w:asciiTheme="minorHAnsi" w:hAnsiTheme="minorHAnsi" w:cstheme="minorHAnsi"/>
          <w:sz w:val="22"/>
          <w:szCs w:val="22"/>
        </w:rPr>
        <w:t>20% reduction in the number of betting shops in the UK</w:t>
      </w:r>
      <w:r w:rsidR="001419BB">
        <w:rPr>
          <w:rFonts w:asciiTheme="minorHAnsi" w:hAnsiTheme="minorHAnsi" w:cstheme="minorHAnsi"/>
          <w:sz w:val="22"/>
          <w:szCs w:val="22"/>
        </w:rPr>
        <w:t xml:space="preserve">. </w:t>
      </w:r>
      <w:r w:rsidR="006663F3">
        <w:rPr>
          <w:rFonts w:asciiTheme="minorHAnsi" w:hAnsiTheme="minorHAnsi" w:cstheme="minorHAnsi"/>
          <w:sz w:val="22"/>
          <w:szCs w:val="22"/>
        </w:rPr>
        <w:t xml:space="preserve">Research has shown that </w:t>
      </w:r>
      <w:r w:rsidR="00E91228">
        <w:rPr>
          <w:rFonts w:asciiTheme="minorHAnsi" w:hAnsiTheme="minorHAnsi" w:cstheme="minorHAnsi"/>
          <w:sz w:val="22"/>
          <w:szCs w:val="22"/>
        </w:rPr>
        <w:t xml:space="preserve">retail brands only retain </w:t>
      </w:r>
      <w:r w:rsidR="006663F3">
        <w:rPr>
          <w:rFonts w:asciiTheme="minorHAnsi" w:hAnsiTheme="minorHAnsi" w:cstheme="minorHAnsi"/>
          <w:sz w:val="22"/>
          <w:szCs w:val="22"/>
        </w:rPr>
        <w:t xml:space="preserve">40-50% of </w:t>
      </w:r>
      <w:r w:rsidR="00E91228">
        <w:rPr>
          <w:rFonts w:asciiTheme="minorHAnsi" w:hAnsiTheme="minorHAnsi" w:cstheme="minorHAnsi"/>
          <w:sz w:val="22"/>
          <w:szCs w:val="22"/>
        </w:rPr>
        <w:t xml:space="preserve">their customers who migrate </w:t>
      </w:r>
      <w:r w:rsidR="00E91228" w:rsidRPr="001E6AB6">
        <w:rPr>
          <w:rFonts w:asciiTheme="minorHAnsi" w:hAnsiTheme="minorHAnsi" w:cstheme="minorHAnsi"/>
          <w:sz w:val="22"/>
          <w:szCs w:val="22"/>
        </w:rPr>
        <w:t>online</w:t>
      </w:r>
      <w:r w:rsidR="00641E3F" w:rsidRPr="001E6AB6">
        <w:rPr>
          <w:rFonts w:asciiTheme="minorHAnsi" w:hAnsiTheme="minorHAnsi" w:cstheme="minorHAnsi"/>
          <w:sz w:val="22"/>
          <w:szCs w:val="22"/>
          <w:vertAlign w:val="superscript"/>
        </w:rPr>
        <w:t>6</w:t>
      </w:r>
      <w:r w:rsidR="00E91228" w:rsidRPr="00824BDD">
        <w:rPr>
          <w:rFonts w:asciiTheme="minorHAnsi" w:hAnsiTheme="minorHAnsi" w:cstheme="minorHAnsi"/>
          <w:sz w:val="22"/>
          <w:szCs w:val="22"/>
        </w:rPr>
        <w:t>.</w:t>
      </w:r>
      <w:r w:rsidR="006663F3">
        <w:rPr>
          <w:rFonts w:asciiTheme="minorHAnsi" w:hAnsiTheme="minorHAnsi" w:cstheme="minorHAnsi"/>
          <w:sz w:val="22"/>
          <w:szCs w:val="22"/>
        </w:rPr>
        <w:t xml:space="preserve"> </w:t>
      </w:r>
      <w:r w:rsidR="00047C0A">
        <w:rPr>
          <w:rFonts w:asciiTheme="minorHAnsi" w:hAnsiTheme="minorHAnsi" w:cstheme="minorHAnsi"/>
          <w:sz w:val="22"/>
          <w:szCs w:val="22"/>
        </w:rPr>
        <w:t xml:space="preserve">A similar </w:t>
      </w:r>
      <w:r w:rsidR="00441461">
        <w:rPr>
          <w:rFonts w:asciiTheme="minorHAnsi" w:hAnsiTheme="minorHAnsi" w:cstheme="minorHAnsi"/>
          <w:sz w:val="22"/>
          <w:szCs w:val="22"/>
        </w:rPr>
        <w:t xml:space="preserve">channel shift </w:t>
      </w:r>
      <w:r w:rsidR="00047C0A">
        <w:rPr>
          <w:rFonts w:asciiTheme="minorHAnsi" w:hAnsiTheme="minorHAnsi" w:cstheme="minorHAnsi"/>
          <w:sz w:val="22"/>
          <w:szCs w:val="22"/>
        </w:rPr>
        <w:t xml:space="preserve">is evident </w:t>
      </w:r>
      <w:r w:rsidR="001419BB">
        <w:rPr>
          <w:rFonts w:asciiTheme="minorHAnsi" w:hAnsiTheme="minorHAnsi" w:cstheme="minorHAnsi"/>
          <w:sz w:val="22"/>
          <w:szCs w:val="22"/>
        </w:rPr>
        <w:t xml:space="preserve">in Australia, where retail </w:t>
      </w:r>
      <w:r w:rsidR="005E5F35">
        <w:rPr>
          <w:rFonts w:asciiTheme="minorHAnsi" w:hAnsiTheme="minorHAnsi" w:cstheme="minorHAnsi"/>
          <w:sz w:val="22"/>
          <w:szCs w:val="22"/>
        </w:rPr>
        <w:t xml:space="preserve">accounted for </w:t>
      </w:r>
      <w:r w:rsidR="000B10D3">
        <w:rPr>
          <w:rFonts w:asciiTheme="minorHAnsi" w:hAnsiTheme="minorHAnsi" w:cstheme="minorHAnsi"/>
          <w:sz w:val="22"/>
          <w:szCs w:val="22"/>
        </w:rPr>
        <w:t>31</w:t>
      </w:r>
      <w:r w:rsidR="005E5F35">
        <w:rPr>
          <w:rFonts w:asciiTheme="minorHAnsi" w:hAnsiTheme="minorHAnsi" w:cstheme="minorHAnsi"/>
          <w:sz w:val="22"/>
          <w:szCs w:val="22"/>
        </w:rPr>
        <w:t>% of</w:t>
      </w:r>
      <w:r w:rsidR="001419BB">
        <w:rPr>
          <w:rFonts w:asciiTheme="minorHAnsi" w:hAnsiTheme="minorHAnsi" w:cstheme="minorHAnsi"/>
          <w:sz w:val="22"/>
          <w:szCs w:val="22"/>
        </w:rPr>
        <w:t xml:space="preserve"> sportsbook </w:t>
      </w:r>
      <w:r w:rsidR="000B10D3">
        <w:rPr>
          <w:rFonts w:asciiTheme="minorHAnsi" w:hAnsiTheme="minorHAnsi" w:cstheme="minorHAnsi"/>
          <w:sz w:val="22"/>
          <w:szCs w:val="22"/>
        </w:rPr>
        <w:t>gross revenue</w:t>
      </w:r>
      <w:r w:rsidR="001419BB">
        <w:rPr>
          <w:rFonts w:asciiTheme="minorHAnsi" w:hAnsiTheme="minorHAnsi" w:cstheme="minorHAnsi"/>
          <w:sz w:val="22"/>
          <w:szCs w:val="22"/>
        </w:rPr>
        <w:t xml:space="preserve"> in 2019</w:t>
      </w:r>
      <w:r w:rsidR="005E5F35">
        <w:rPr>
          <w:rFonts w:asciiTheme="minorHAnsi" w:hAnsiTheme="minorHAnsi" w:cstheme="minorHAnsi"/>
          <w:sz w:val="22"/>
          <w:szCs w:val="22"/>
        </w:rPr>
        <w:t>, down from</w:t>
      </w:r>
      <w:r w:rsidR="001419BB">
        <w:rPr>
          <w:rFonts w:asciiTheme="minorHAnsi" w:hAnsiTheme="minorHAnsi" w:cstheme="minorHAnsi"/>
          <w:sz w:val="22"/>
          <w:szCs w:val="22"/>
        </w:rPr>
        <w:t xml:space="preserve"> </w:t>
      </w:r>
      <w:r w:rsidR="000B10D3">
        <w:rPr>
          <w:rFonts w:asciiTheme="minorHAnsi" w:hAnsiTheme="minorHAnsi" w:cstheme="minorHAnsi"/>
          <w:sz w:val="22"/>
          <w:szCs w:val="22"/>
        </w:rPr>
        <w:t>44</w:t>
      </w:r>
      <w:r w:rsidR="001419BB">
        <w:rPr>
          <w:rFonts w:asciiTheme="minorHAnsi" w:hAnsiTheme="minorHAnsi" w:cstheme="minorHAnsi"/>
          <w:sz w:val="22"/>
          <w:szCs w:val="22"/>
        </w:rPr>
        <w:t>% in 201</w:t>
      </w:r>
      <w:r w:rsidR="000B10D3">
        <w:rPr>
          <w:rFonts w:asciiTheme="minorHAnsi" w:hAnsiTheme="minorHAnsi" w:cstheme="minorHAnsi"/>
          <w:sz w:val="22"/>
          <w:szCs w:val="22"/>
        </w:rPr>
        <w:t>6</w:t>
      </w:r>
      <w:r w:rsidR="001419BB">
        <w:rPr>
          <w:rFonts w:asciiTheme="minorHAnsi" w:hAnsiTheme="minorHAnsi" w:cstheme="minorHAnsi"/>
          <w:sz w:val="22"/>
          <w:szCs w:val="22"/>
        </w:rPr>
        <w:t>.</w:t>
      </w:r>
      <w:r w:rsidR="00596D54">
        <w:rPr>
          <w:rFonts w:asciiTheme="minorHAnsi" w:hAnsiTheme="minorHAnsi" w:cstheme="minorHAnsi"/>
          <w:sz w:val="22"/>
          <w:szCs w:val="22"/>
        </w:rPr>
        <w:t xml:space="preserve"> </w:t>
      </w:r>
      <w:r w:rsidR="00EC3C34">
        <w:rPr>
          <w:rFonts w:asciiTheme="minorHAnsi" w:hAnsiTheme="minorHAnsi" w:cstheme="minorHAnsi"/>
          <w:sz w:val="22"/>
          <w:szCs w:val="22"/>
        </w:rPr>
        <w:t>We believe that the current Covid</w:t>
      </w:r>
      <w:r w:rsidR="005A05F6">
        <w:rPr>
          <w:rFonts w:asciiTheme="minorHAnsi" w:hAnsiTheme="minorHAnsi" w:cstheme="minorHAnsi"/>
          <w:sz w:val="22"/>
          <w:szCs w:val="22"/>
        </w:rPr>
        <w:t>-19</w:t>
      </w:r>
      <w:r w:rsidR="00EC3C34">
        <w:rPr>
          <w:rFonts w:asciiTheme="minorHAnsi" w:hAnsiTheme="minorHAnsi" w:cstheme="minorHAnsi"/>
          <w:sz w:val="22"/>
          <w:szCs w:val="22"/>
        </w:rPr>
        <w:t xml:space="preserve"> pandemic </w:t>
      </w:r>
      <w:r w:rsidR="00047C0A">
        <w:rPr>
          <w:rFonts w:asciiTheme="minorHAnsi" w:hAnsiTheme="minorHAnsi" w:cstheme="minorHAnsi"/>
          <w:sz w:val="22"/>
          <w:szCs w:val="22"/>
        </w:rPr>
        <w:t xml:space="preserve">is </w:t>
      </w:r>
      <w:r w:rsidR="00EC3C34">
        <w:rPr>
          <w:rFonts w:asciiTheme="minorHAnsi" w:hAnsiTheme="minorHAnsi" w:cstheme="minorHAnsi"/>
          <w:sz w:val="22"/>
          <w:szCs w:val="22"/>
        </w:rPr>
        <w:t>accelerat</w:t>
      </w:r>
      <w:r w:rsidR="00047C0A">
        <w:rPr>
          <w:rFonts w:asciiTheme="minorHAnsi" w:hAnsiTheme="minorHAnsi" w:cstheme="minorHAnsi"/>
          <w:sz w:val="22"/>
          <w:szCs w:val="22"/>
        </w:rPr>
        <w:t>ing</w:t>
      </w:r>
      <w:r w:rsidR="00EC3C34">
        <w:rPr>
          <w:rFonts w:asciiTheme="minorHAnsi" w:hAnsiTheme="minorHAnsi" w:cstheme="minorHAnsi"/>
          <w:sz w:val="22"/>
          <w:szCs w:val="22"/>
        </w:rPr>
        <w:t xml:space="preserve"> th</w:t>
      </w:r>
      <w:r w:rsidR="002549A6">
        <w:rPr>
          <w:rFonts w:asciiTheme="minorHAnsi" w:hAnsiTheme="minorHAnsi" w:cstheme="minorHAnsi"/>
          <w:sz w:val="22"/>
          <w:szCs w:val="22"/>
        </w:rPr>
        <w:t>ese</w:t>
      </w:r>
      <w:r w:rsidR="00EC3C34">
        <w:rPr>
          <w:rFonts w:asciiTheme="minorHAnsi" w:hAnsiTheme="minorHAnsi" w:cstheme="minorHAnsi"/>
          <w:sz w:val="22"/>
          <w:szCs w:val="22"/>
        </w:rPr>
        <w:t xml:space="preserve"> trend</w:t>
      </w:r>
      <w:r w:rsidR="002549A6">
        <w:rPr>
          <w:rFonts w:asciiTheme="minorHAnsi" w:hAnsiTheme="minorHAnsi" w:cstheme="minorHAnsi"/>
          <w:sz w:val="22"/>
          <w:szCs w:val="22"/>
        </w:rPr>
        <w:t>s</w:t>
      </w:r>
      <w:r w:rsidR="00EC3C34">
        <w:rPr>
          <w:rFonts w:asciiTheme="minorHAnsi" w:hAnsiTheme="minorHAnsi" w:cstheme="minorHAnsi"/>
          <w:sz w:val="22"/>
          <w:szCs w:val="22"/>
        </w:rPr>
        <w:t xml:space="preserve"> and therefore o</w:t>
      </w:r>
      <w:r w:rsidR="00B35BB5" w:rsidRPr="001E2810">
        <w:rPr>
          <w:rFonts w:asciiTheme="minorHAnsi" w:hAnsiTheme="minorHAnsi" w:cstheme="minorHAnsi"/>
          <w:sz w:val="22"/>
          <w:szCs w:val="22"/>
        </w:rPr>
        <w:t xml:space="preserve">ur </w:t>
      </w:r>
      <w:r w:rsidR="00B35BB5">
        <w:rPr>
          <w:rFonts w:asciiTheme="minorHAnsi" w:hAnsiTheme="minorHAnsi" w:cstheme="minorHAnsi"/>
          <w:sz w:val="22"/>
          <w:szCs w:val="22"/>
        </w:rPr>
        <w:t xml:space="preserve">goal remains </w:t>
      </w:r>
      <w:r w:rsidR="00B35BB5" w:rsidRPr="001E2810">
        <w:rPr>
          <w:rFonts w:asciiTheme="minorHAnsi" w:hAnsiTheme="minorHAnsi" w:cstheme="minorHAnsi"/>
          <w:sz w:val="22"/>
          <w:szCs w:val="22"/>
        </w:rPr>
        <w:t xml:space="preserve">to acquire as many </w:t>
      </w:r>
      <w:r w:rsidR="00B35BB5">
        <w:rPr>
          <w:rFonts w:asciiTheme="minorHAnsi" w:hAnsiTheme="minorHAnsi" w:cstheme="minorHAnsi"/>
          <w:sz w:val="22"/>
          <w:szCs w:val="22"/>
        </w:rPr>
        <w:t xml:space="preserve">migrating </w:t>
      </w:r>
      <w:r w:rsidR="00B35BB5" w:rsidRPr="001E2810">
        <w:rPr>
          <w:rFonts w:asciiTheme="minorHAnsi" w:hAnsiTheme="minorHAnsi" w:cstheme="minorHAnsi"/>
          <w:sz w:val="22"/>
          <w:szCs w:val="22"/>
        </w:rPr>
        <w:t>customers as we can</w:t>
      </w:r>
      <w:r w:rsidR="00B35BB5">
        <w:rPr>
          <w:rFonts w:asciiTheme="minorHAnsi" w:hAnsiTheme="minorHAnsi" w:cstheme="minorHAnsi"/>
          <w:sz w:val="22"/>
          <w:szCs w:val="22"/>
        </w:rPr>
        <w:t>,</w:t>
      </w:r>
      <w:r w:rsidR="00B35BB5" w:rsidRPr="001E2810">
        <w:rPr>
          <w:rFonts w:asciiTheme="minorHAnsi" w:hAnsiTheme="minorHAnsi" w:cstheme="minorHAnsi"/>
          <w:sz w:val="22"/>
          <w:szCs w:val="22"/>
        </w:rPr>
        <w:t xml:space="preserve"> through ongoing investment in </w:t>
      </w:r>
      <w:r w:rsidR="00B35BB5">
        <w:rPr>
          <w:rFonts w:asciiTheme="minorHAnsi" w:hAnsiTheme="minorHAnsi" w:cstheme="minorHAnsi"/>
          <w:sz w:val="22"/>
          <w:szCs w:val="22"/>
        </w:rPr>
        <w:t xml:space="preserve">product and </w:t>
      </w:r>
      <w:r w:rsidR="00B35BB5" w:rsidRPr="001E2810">
        <w:rPr>
          <w:rFonts w:asciiTheme="minorHAnsi" w:hAnsiTheme="minorHAnsi" w:cstheme="minorHAnsi"/>
          <w:sz w:val="22"/>
          <w:szCs w:val="22"/>
        </w:rPr>
        <w:t xml:space="preserve">value. </w:t>
      </w:r>
      <w:r w:rsidR="00B35BB5">
        <w:rPr>
          <w:rFonts w:asciiTheme="minorHAnsi" w:hAnsiTheme="minorHAnsi" w:cstheme="minorHAnsi"/>
          <w:sz w:val="22"/>
          <w:szCs w:val="22"/>
        </w:rPr>
        <w:t>W</w:t>
      </w:r>
      <w:r w:rsidR="00B35BB5" w:rsidRPr="001E2810">
        <w:rPr>
          <w:rFonts w:asciiTheme="minorHAnsi" w:hAnsiTheme="minorHAnsi" w:cstheme="minorHAnsi"/>
          <w:sz w:val="22"/>
          <w:szCs w:val="22"/>
        </w:rPr>
        <w:t>ith approximately 88% of the global gambling market still estimated to be offline</w:t>
      </w:r>
      <w:r w:rsidR="00824BDD">
        <w:rPr>
          <w:rFonts w:asciiTheme="minorHAnsi" w:hAnsiTheme="minorHAnsi" w:cstheme="minorHAnsi"/>
          <w:sz w:val="22"/>
          <w:szCs w:val="22"/>
          <w:vertAlign w:val="superscript"/>
        </w:rPr>
        <w:t>7</w:t>
      </w:r>
      <w:r w:rsidR="00B35BB5" w:rsidRPr="001E2810">
        <w:rPr>
          <w:rFonts w:asciiTheme="minorHAnsi" w:hAnsiTheme="minorHAnsi" w:cstheme="minorHAnsi"/>
          <w:sz w:val="22"/>
          <w:szCs w:val="22"/>
        </w:rPr>
        <w:t xml:space="preserve">, the future potential growth from </w:t>
      </w:r>
      <w:r w:rsidR="00B35BB5">
        <w:rPr>
          <w:rFonts w:asciiTheme="minorHAnsi" w:hAnsiTheme="minorHAnsi" w:cstheme="minorHAnsi"/>
          <w:sz w:val="22"/>
          <w:szCs w:val="22"/>
        </w:rPr>
        <w:t xml:space="preserve">this customer migration </w:t>
      </w:r>
      <w:r w:rsidR="00B35BB5" w:rsidRPr="001E2810">
        <w:rPr>
          <w:rFonts w:asciiTheme="minorHAnsi" w:hAnsiTheme="minorHAnsi" w:cstheme="minorHAnsi"/>
          <w:sz w:val="22"/>
          <w:szCs w:val="22"/>
        </w:rPr>
        <w:t>remains significant.</w:t>
      </w:r>
    </w:p>
    <w:p w14:paraId="09FE0AC3" w14:textId="77777777" w:rsidR="00A35DDD" w:rsidRPr="001E2810" w:rsidRDefault="00A35DDD" w:rsidP="00A35DDD">
      <w:pPr>
        <w:spacing w:after="120"/>
        <w:jc w:val="both"/>
        <w:rPr>
          <w:rFonts w:asciiTheme="minorHAnsi" w:hAnsiTheme="minorHAnsi" w:cstheme="minorHAnsi"/>
          <w:sz w:val="22"/>
          <w:szCs w:val="22"/>
        </w:rPr>
      </w:pPr>
      <w:r w:rsidRPr="004667D0">
        <w:rPr>
          <w:rFonts w:asciiTheme="minorHAnsi" w:hAnsiTheme="minorHAnsi" w:cstheme="minorHAnsi"/>
          <w:b/>
          <w:sz w:val="22"/>
          <w:szCs w:val="22"/>
        </w:rPr>
        <w:t xml:space="preserve">PokerStars: </w:t>
      </w:r>
      <w:r w:rsidRPr="001E2810">
        <w:rPr>
          <w:rFonts w:asciiTheme="minorHAnsi" w:hAnsiTheme="minorHAnsi" w:cstheme="minorHAnsi"/>
          <w:sz w:val="22"/>
          <w:szCs w:val="22"/>
        </w:rPr>
        <w:t xml:space="preserve">Prior to the combination </w:t>
      </w:r>
      <w:r w:rsidR="0015092C" w:rsidRPr="001E2810">
        <w:rPr>
          <w:rFonts w:asciiTheme="minorHAnsi" w:hAnsiTheme="minorHAnsi" w:cstheme="minorHAnsi"/>
          <w:sz w:val="22"/>
          <w:szCs w:val="22"/>
        </w:rPr>
        <w:t xml:space="preserve">with TSG, </w:t>
      </w:r>
      <w:r w:rsidRPr="001E2810">
        <w:rPr>
          <w:rFonts w:asciiTheme="minorHAnsi" w:hAnsiTheme="minorHAnsi" w:cstheme="minorHAnsi"/>
          <w:sz w:val="22"/>
          <w:szCs w:val="22"/>
        </w:rPr>
        <w:t xml:space="preserve">our hypothesis </w:t>
      </w:r>
      <w:r w:rsidR="00840964">
        <w:rPr>
          <w:rFonts w:asciiTheme="minorHAnsi" w:hAnsiTheme="minorHAnsi" w:cstheme="minorHAnsi"/>
          <w:sz w:val="22"/>
          <w:szCs w:val="22"/>
        </w:rPr>
        <w:t xml:space="preserve">had been </w:t>
      </w:r>
      <w:r w:rsidRPr="001E2810">
        <w:rPr>
          <w:rFonts w:asciiTheme="minorHAnsi" w:hAnsiTheme="minorHAnsi" w:cstheme="minorHAnsi"/>
          <w:sz w:val="22"/>
          <w:szCs w:val="22"/>
        </w:rPr>
        <w:t>that PokerStars’ historically high profit margins were driven</w:t>
      </w:r>
      <w:r w:rsidR="001A03E8">
        <w:rPr>
          <w:rFonts w:asciiTheme="minorHAnsi" w:hAnsiTheme="minorHAnsi" w:cstheme="minorHAnsi"/>
          <w:sz w:val="22"/>
          <w:szCs w:val="22"/>
        </w:rPr>
        <w:t>,</w:t>
      </w:r>
      <w:r w:rsidRPr="001E2810">
        <w:rPr>
          <w:rFonts w:asciiTheme="minorHAnsi" w:hAnsiTheme="minorHAnsi" w:cstheme="minorHAnsi"/>
          <w:sz w:val="22"/>
          <w:szCs w:val="22"/>
        </w:rPr>
        <w:t xml:space="preserve"> in part </w:t>
      </w:r>
      <w:r w:rsidR="0015092C" w:rsidRPr="001E2810">
        <w:rPr>
          <w:rFonts w:asciiTheme="minorHAnsi" w:hAnsiTheme="minorHAnsi" w:cstheme="minorHAnsi"/>
          <w:sz w:val="22"/>
          <w:szCs w:val="22"/>
        </w:rPr>
        <w:t>at least</w:t>
      </w:r>
      <w:r w:rsidR="001A03E8">
        <w:rPr>
          <w:rFonts w:asciiTheme="minorHAnsi" w:hAnsiTheme="minorHAnsi" w:cstheme="minorHAnsi"/>
          <w:sz w:val="22"/>
          <w:szCs w:val="22"/>
        </w:rPr>
        <w:t>,</w:t>
      </w:r>
      <w:r w:rsidR="0015092C" w:rsidRPr="001E2810">
        <w:rPr>
          <w:rFonts w:asciiTheme="minorHAnsi" w:hAnsiTheme="minorHAnsi" w:cstheme="minorHAnsi"/>
          <w:sz w:val="22"/>
          <w:szCs w:val="22"/>
        </w:rPr>
        <w:t xml:space="preserve"> </w:t>
      </w:r>
      <w:r w:rsidRPr="001E2810">
        <w:rPr>
          <w:rFonts w:asciiTheme="minorHAnsi" w:hAnsiTheme="minorHAnsi" w:cstheme="minorHAnsi"/>
          <w:sz w:val="22"/>
          <w:szCs w:val="22"/>
        </w:rPr>
        <w:t xml:space="preserve">by underinvestment. </w:t>
      </w:r>
      <w:r w:rsidR="001A03E8">
        <w:rPr>
          <w:rFonts w:asciiTheme="minorHAnsi" w:hAnsiTheme="minorHAnsi" w:cstheme="minorHAnsi"/>
          <w:sz w:val="22"/>
          <w:szCs w:val="22"/>
        </w:rPr>
        <w:t xml:space="preserve">As we have sought to better understand </w:t>
      </w:r>
      <w:r w:rsidRPr="001E2810">
        <w:rPr>
          <w:rFonts w:asciiTheme="minorHAnsi" w:hAnsiTheme="minorHAnsi" w:cstheme="minorHAnsi"/>
          <w:sz w:val="22"/>
          <w:szCs w:val="22"/>
        </w:rPr>
        <w:t>the business</w:t>
      </w:r>
      <w:r w:rsidR="001A03E8">
        <w:rPr>
          <w:rFonts w:asciiTheme="minorHAnsi" w:hAnsiTheme="minorHAnsi" w:cstheme="minorHAnsi"/>
          <w:sz w:val="22"/>
          <w:szCs w:val="22"/>
        </w:rPr>
        <w:t xml:space="preserve"> post completion</w:t>
      </w:r>
      <w:r w:rsidRPr="001E2810">
        <w:rPr>
          <w:rFonts w:asciiTheme="minorHAnsi" w:hAnsiTheme="minorHAnsi" w:cstheme="minorHAnsi"/>
          <w:sz w:val="22"/>
          <w:szCs w:val="22"/>
        </w:rPr>
        <w:t xml:space="preserve">, we have </w:t>
      </w:r>
      <w:r w:rsidR="001A03E8">
        <w:rPr>
          <w:rFonts w:asciiTheme="minorHAnsi" w:hAnsiTheme="minorHAnsi" w:cstheme="minorHAnsi"/>
          <w:sz w:val="22"/>
          <w:szCs w:val="22"/>
        </w:rPr>
        <w:t xml:space="preserve">identified </w:t>
      </w:r>
      <w:r w:rsidRPr="001E2810">
        <w:rPr>
          <w:rFonts w:asciiTheme="minorHAnsi" w:hAnsiTheme="minorHAnsi" w:cstheme="minorHAnsi"/>
          <w:sz w:val="22"/>
          <w:szCs w:val="22"/>
        </w:rPr>
        <w:t xml:space="preserve">3 areas </w:t>
      </w:r>
      <w:r w:rsidR="0015092C" w:rsidRPr="001E2810">
        <w:rPr>
          <w:rFonts w:asciiTheme="minorHAnsi" w:hAnsiTheme="minorHAnsi" w:cstheme="minorHAnsi"/>
          <w:sz w:val="22"/>
          <w:szCs w:val="22"/>
        </w:rPr>
        <w:t>whe</w:t>
      </w:r>
      <w:r w:rsidR="00596D54">
        <w:rPr>
          <w:rFonts w:asciiTheme="minorHAnsi" w:hAnsiTheme="minorHAnsi" w:cstheme="minorHAnsi"/>
          <w:sz w:val="22"/>
          <w:szCs w:val="22"/>
        </w:rPr>
        <w:t>re</w:t>
      </w:r>
      <w:r w:rsidR="0015092C" w:rsidRPr="001E2810">
        <w:rPr>
          <w:rFonts w:asciiTheme="minorHAnsi" w:hAnsiTheme="minorHAnsi" w:cstheme="minorHAnsi"/>
          <w:sz w:val="22"/>
          <w:szCs w:val="22"/>
        </w:rPr>
        <w:t xml:space="preserve"> </w:t>
      </w:r>
      <w:r w:rsidR="001A03E8">
        <w:rPr>
          <w:rFonts w:asciiTheme="minorHAnsi" w:hAnsiTheme="minorHAnsi" w:cstheme="minorHAnsi"/>
          <w:sz w:val="22"/>
          <w:szCs w:val="22"/>
        </w:rPr>
        <w:t xml:space="preserve">we feel </w:t>
      </w:r>
      <w:r w:rsidR="00F06E5E">
        <w:rPr>
          <w:rFonts w:asciiTheme="minorHAnsi" w:hAnsiTheme="minorHAnsi" w:cstheme="minorHAnsi"/>
          <w:sz w:val="22"/>
          <w:szCs w:val="22"/>
        </w:rPr>
        <w:t xml:space="preserve">there </w:t>
      </w:r>
      <w:r w:rsidR="001A03E8">
        <w:rPr>
          <w:rFonts w:asciiTheme="minorHAnsi" w:hAnsiTheme="minorHAnsi" w:cstheme="minorHAnsi"/>
          <w:sz w:val="22"/>
          <w:szCs w:val="22"/>
        </w:rPr>
        <w:t xml:space="preserve">may be </w:t>
      </w:r>
      <w:r w:rsidR="00F06E5E">
        <w:rPr>
          <w:rFonts w:asciiTheme="minorHAnsi" w:hAnsiTheme="minorHAnsi" w:cstheme="minorHAnsi"/>
          <w:sz w:val="22"/>
          <w:szCs w:val="22"/>
        </w:rPr>
        <w:t xml:space="preserve">opportunities to </w:t>
      </w:r>
      <w:r w:rsidR="00596D54">
        <w:rPr>
          <w:rFonts w:asciiTheme="minorHAnsi" w:hAnsiTheme="minorHAnsi" w:cstheme="minorHAnsi"/>
          <w:sz w:val="22"/>
          <w:szCs w:val="22"/>
        </w:rPr>
        <w:t xml:space="preserve">make additional </w:t>
      </w:r>
      <w:r w:rsidR="00F06E5E">
        <w:rPr>
          <w:rFonts w:asciiTheme="minorHAnsi" w:hAnsiTheme="minorHAnsi" w:cstheme="minorHAnsi"/>
          <w:sz w:val="22"/>
          <w:szCs w:val="22"/>
        </w:rPr>
        <w:t>investm</w:t>
      </w:r>
      <w:r w:rsidR="00596D54">
        <w:rPr>
          <w:rFonts w:asciiTheme="minorHAnsi" w:hAnsiTheme="minorHAnsi" w:cstheme="minorHAnsi"/>
          <w:sz w:val="22"/>
          <w:szCs w:val="22"/>
        </w:rPr>
        <w:t>ents</w:t>
      </w:r>
      <w:r w:rsidRPr="001E2810">
        <w:rPr>
          <w:rFonts w:asciiTheme="minorHAnsi" w:hAnsiTheme="minorHAnsi" w:cstheme="minorHAnsi"/>
          <w:sz w:val="22"/>
          <w:szCs w:val="22"/>
        </w:rPr>
        <w:t>:</w:t>
      </w:r>
    </w:p>
    <w:p w14:paraId="71EF9D4C" w14:textId="77777777" w:rsidR="00A35DDD" w:rsidRPr="001E2810" w:rsidRDefault="00A35DDD" w:rsidP="009B6BB8">
      <w:pPr>
        <w:pStyle w:val="ListParagraph"/>
        <w:numPr>
          <w:ilvl w:val="0"/>
          <w:numId w:val="16"/>
        </w:numPr>
        <w:spacing w:after="120"/>
        <w:jc w:val="both"/>
        <w:rPr>
          <w:rFonts w:asciiTheme="minorHAnsi" w:hAnsiTheme="minorHAnsi" w:cstheme="minorHAnsi"/>
          <w:sz w:val="22"/>
          <w:szCs w:val="22"/>
        </w:rPr>
      </w:pPr>
      <w:r w:rsidRPr="001E2810">
        <w:rPr>
          <w:rFonts w:asciiTheme="minorHAnsi" w:hAnsiTheme="minorHAnsi" w:cstheme="minorHAnsi"/>
          <w:b/>
          <w:sz w:val="22"/>
          <w:szCs w:val="22"/>
        </w:rPr>
        <w:lastRenderedPageBreak/>
        <w:t>Marketing:</w:t>
      </w:r>
      <w:r w:rsidRPr="001E2810">
        <w:rPr>
          <w:rFonts w:asciiTheme="minorHAnsi" w:hAnsiTheme="minorHAnsi" w:cstheme="minorHAnsi"/>
          <w:sz w:val="22"/>
          <w:szCs w:val="22"/>
        </w:rPr>
        <w:t xml:space="preserve"> Sales and marketing </w:t>
      </w:r>
      <w:r w:rsidR="0015092C" w:rsidRPr="001E2810">
        <w:rPr>
          <w:rFonts w:asciiTheme="minorHAnsi" w:hAnsiTheme="minorHAnsi" w:cstheme="minorHAnsi"/>
          <w:sz w:val="22"/>
          <w:szCs w:val="22"/>
        </w:rPr>
        <w:t xml:space="preserve">investment </w:t>
      </w:r>
      <w:r w:rsidRPr="001E2810">
        <w:rPr>
          <w:rFonts w:asciiTheme="minorHAnsi" w:hAnsiTheme="minorHAnsi" w:cstheme="minorHAnsi"/>
          <w:sz w:val="22"/>
          <w:szCs w:val="22"/>
        </w:rPr>
        <w:t>as a percentage of revenue was just 1</w:t>
      </w:r>
      <w:r w:rsidR="00A53773">
        <w:rPr>
          <w:rFonts w:asciiTheme="minorHAnsi" w:hAnsiTheme="minorHAnsi" w:cstheme="minorHAnsi"/>
          <w:sz w:val="22"/>
          <w:szCs w:val="22"/>
        </w:rPr>
        <w:t>4</w:t>
      </w:r>
      <w:r w:rsidRPr="001E2810">
        <w:rPr>
          <w:rFonts w:asciiTheme="minorHAnsi" w:hAnsiTheme="minorHAnsi" w:cstheme="minorHAnsi"/>
          <w:sz w:val="22"/>
          <w:szCs w:val="22"/>
        </w:rPr>
        <w:t xml:space="preserve">% in 2019 compared with an industry average of </w:t>
      </w:r>
      <w:r w:rsidR="00513E65">
        <w:rPr>
          <w:rFonts w:asciiTheme="minorHAnsi" w:hAnsiTheme="minorHAnsi" w:cstheme="minorHAnsi"/>
          <w:sz w:val="22"/>
          <w:szCs w:val="22"/>
        </w:rPr>
        <w:t xml:space="preserve">around </w:t>
      </w:r>
      <w:r w:rsidRPr="003A374F">
        <w:rPr>
          <w:rFonts w:asciiTheme="minorHAnsi" w:hAnsiTheme="minorHAnsi" w:cstheme="minorHAnsi"/>
          <w:sz w:val="22"/>
          <w:szCs w:val="22"/>
        </w:rPr>
        <w:t>2</w:t>
      </w:r>
      <w:r w:rsidR="00BD0901" w:rsidRPr="003A374F">
        <w:rPr>
          <w:rFonts w:asciiTheme="minorHAnsi" w:hAnsiTheme="minorHAnsi" w:cstheme="minorHAnsi"/>
          <w:sz w:val="22"/>
          <w:szCs w:val="22"/>
        </w:rPr>
        <w:t>5</w:t>
      </w:r>
      <w:r w:rsidRPr="001B1137">
        <w:rPr>
          <w:rFonts w:asciiTheme="minorHAnsi" w:hAnsiTheme="minorHAnsi" w:cstheme="minorHAnsi"/>
          <w:sz w:val="22"/>
          <w:szCs w:val="22"/>
        </w:rPr>
        <w:t>%</w:t>
      </w:r>
      <w:r w:rsidR="001E2810" w:rsidRPr="001E2810">
        <w:rPr>
          <w:rFonts w:asciiTheme="minorHAnsi" w:hAnsiTheme="minorHAnsi" w:cstheme="minorHAnsi"/>
          <w:sz w:val="22"/>
          <w:szCs w:val="22"/>
        </w:rPr>
        <w:t xml:space="preserve"> while c</w:t>
      </w:r>
      <w:r w:rsidR="0015092C" w:rsidRPr="001E2810">
        <w:rPr>
          <w:rFonts w:asciiTheme="minorHAnsi" w:hAnsiTheme="minorHAnsi" w:cstheme="minorHAnsi"/>
          <w:sz w:val="22"/>
          <w:szCs w:val="22"/>
        </w:rPr>
        <w:t xml:space="preserve">asino revenue growth in recent years has been a function </w:t>
      </w:r>
      <w:r w:rsidR="00461DE5" w:rsidRPr="001E2810">
        <w:rPr>
          <w:rFonts w:asciiTheme="minorHAnsi" w:hAnsiTheme="minorHAnsi" w:cstheme="minorHAnsi"/>
          <w:sz w:val="22"/>
          <w:szCs w:val="22"/>
        </w:rPr>
        <w:t xml:space="preserve">entirely </w:t>
      </w:r>
      <w:r w:rsidR="0015092C" w:rsidRPr="001E2810">
        <w:rPr>
          <w:rFonts w:asciiTheme="minorHAnsi" w:hAnsiTheme="minorHAnsi" w:cstheme="minorHAnsi"/>
          <w:sz w:val="22"/>
          <w:szCs w:val="22"/>
        </w:rPr>
        <w:t>of cross-sell from poker, with negligible investment in direct casino acquisition</w:t>
      </w:r>
      <w:r w:rsidR="00461DE5" w:rsidRPr="001E2810">
        <w:rPr>
          <w:rFonts w:asciiTheme="minorHAnsi" w:hAnsiTheme="minorHAnsi" w:cstheme="minorHAnsi"/>
          <w:sz w:val="22"/>
          <w:szCs w:val="22"/>
        </w:rPr>
        <w:t>.</w:t>
      </w:r>
      <w:r w:rsidR="0015092C" w:rsidRPr="001E2810">
        <w:rPr>
          <w:rFonts w:asciiTheme="minorHAnsi" w:hAnsiTheme="minorHAnsi" w:cstheme="minorHAnsi"/>
          <w:sz w:val="22"/>
          <w:szCs w:val="22"/>
        </w:rPr>
        <w:t xml:space="preserve"> </w:t>
      </w:r>
    </w:p>
    <w:p w14:paraId="1072713C" w14:textId="77777777" w:rsidR="00A35DDD" w:rsidRPr="001E2810" w:rsidRDefault="00A35DDD" w:rsidP="009B6BB8">
      <w:pPr>
        <w:pStyle w:val="ListParagraph"/>
        <w:numPr>
          <w:ilvl w:val="0"/>
          <w:numId w:val="16"/>
        </w:numPr>
        <w:spacing w:after="120"/>
        <w:jc w:val="both"/>
        <w:rPr>
          <w:rFonts w:asciiTheme="minorHAnsi" w:hAnsiTheme="minorHAnsi" w:cstheme="minorHAnsi"/>
          <w:sz w:val="22"/>
          <w:szCs w:val="22"/>
        </w:rPr>
      </w:pPr>
      <w:r w:rsidRPr="001E2810">
        <w:rPr>
          <w:rFonts w:asciiTheme="minorHAnsi" w:hAnsiTheme="minorHAnsi" w:cstheme="minorHAnsi"/>
          <w:b/>
          <w:sz w:val="22"/>
          <w:szCs w:val="22"/>
        </w:rPr>
        <w:t>Promotion</w:t>
      </w:r>
      <w:r w:rsidR="0015092C" w:rsidRPr="001E2810">
        <w:rPr>
          <w:rFonts w:asciiTheme="minorHAnsi" w:hAnsiTheme="minorHAnsi" w:cstheme="minorHAnsi"/>
          <w:b/>
          <w:sz w:val="22"/>
          <w:szCs w:val="22"/>
        </w:rPr>
        <w:t>al generosity</w:t>
      </w:r>
      <w:r w:rsidRPr="001E2810">
        <w:rPr>
          <w:rFonts w:asciiTheme="minorHAnsi" w:hAnsiTheme="minorHAnsi" w:cstheme="minorHAnsi"/>
          <w:b/>
          <w:sz w:val="22"/>
          <w:szCs w:val="22"/>
        </w:rPr>
        <w:t>:</w:t>
      </w:r>
      <w:r w:rsidRPr="001E2810">
        <w:rPr>
          <w:rFonts w:asciiTheme="minorHAnsi" w:hAnsiTheme="minorHAnsi" w:cstheme="minorHAnsi"/>
          <w:sz w:val="22"/>
          <w:szCs w:val="22"/>
        </w:rPr>
        <w:t xml:space="preserve"> Customer generosity (free bets etc.) as a percentage of gross revenue has </w:t>
      </w:r>
      <w:r w:rsidR="0015092C" w:rsidRPr="001E2810">
        <w:rPr>
          <w:rFonts w:asciiTheme="minorHAnsi" w:hAnsiTheme="minorHAnsi" w:cstheme="minorHAnsi"/>
          <w:sz w:val="22"/>
          <w:szCs w:val="22"/>
        </w:rPr>
        <w:t xml:space="preserve">been </w:t>
      </w:r>
      <w:r w:rsidRPr="001E2810">
        <w:rPr>
          <w:rFonts w:asciiTheme="minorHAnsi" w:hAnsiTheme="minorHAnsi" w:cstheme="minorHAnsi"/>
          <w:sz w:val="22"/>
          <w:szCs w:val="22"/>
        </w:rPr>
        <w:t>reduced significantly at PokerStars over the last 5 years</w:t>
      </w:r>
      <w:r w:rsidR="0015092C" w:rsidRPr="001E2810">
        <w:rPr>
          <w:rFonts w:asciiTheme="minorHAnsi" w:hAnsiTheme="minorHAnsi" w:cstheme="minorHAnsi"/>
          <w:sz w:val="22"/>
          <w:szCs w:val="22"/>
        </w:rPr>
        <w:t>.</w:t>
      </w:r>
      <w:r w:rsidRPr="001E2810">
        <w:rPr>
          <w:rFonts w:asciiTheme="minorHAnsi" w:hAnsiTheme="minorHAnsi" w:cstheme="minorHAnsi"/>
          <w:sz w:val="22"/>
          <w:szCs w:val="22"/>
        </w:rPr>
        <w:t xml:space="preserve"> This reduction </w:t>
      </w:r>
      <w:r w:rsidR="0015092C" w:rsidRPr="001E2810">
        <w:rPr>
          <w:rFonts w:asciiTheme="minorHAnsi" w:hAnsiTheme="minorHAnsi" w:cstheme="minorHAnsi"/>
          <w:sz w:val="22"/>
          <w:szCs w:val="22"/>
        </w:rPr>
        <w:t xml:space="preserve">has been deliberate, with </w:t>
      </w:r>
      <w:r w:rsidRPr="001E2810">
        <w:rPr>
          <w:rFonts w:asciiTheme="minorHAnsi" w:hAnsiTheme="minorHAnsi" w:cstheme="minorHAnsi"/>
          <w:sz w:val="22"/>
          <w:szCs w:val="22"/>
        </w:rPr>
        <w:t xml:space="preserve">specific initiatives undertaken to </w:t>
      </w:r>
      <w:r w:rsidR="0015092C" w:rsidRPr="001E2810">
        <w:rPr>
          <w:rFonts w:asciiTheme="minorHAnsi" w:hAnsiTheme="minorHAnsi" w:cstheme="minorHAnsi"/>
          <w:sz w:val="22"/>
          <w:szCs w:val="22"/>
        </w:rPr>
        <w:t xml:space="preserve">make sure that generosity was </w:t>
      </w:r>
      <w:r w:rsidR="00461DE5" w:rsidRPr="001E2810">
        <w:rPr>
          <w:rFonts w:asciiTheme="minorHAnsi" w:hAnsiTheme="minorHAnsi" w:cstheme="minorHAnsi"/>
          <w:sz w:val="22"/>
          <w:szCs w:val="22"/>
        </w:rPr>
        <w:t xml:space="preserve">being </w:t>
      </w:r>
      <w:r w:rsidR="0015092C" w:rsidRPr="001E2810">
        <w:rPr>
          <w:rFonts w:asciiTheme="minorHAnsi" w:hAnsiTheme="minorHAnsi" w:cstheme="minorHAnsi"/>
          <w:sz w:val="22"/>
          <w:szCs w:val="22"/>
        </w:rPr>
        <w:t xml:space="preserve">directed towards customers </w:t>
      </w:r>
      <w:r w:rsidR="00612479">
        <w:rPr>
          <w:rFonts w:asciiTheme="minorHAnsi" w:hAnsiTheme="minorHAnsi" w:cstheme="minorHAnsi"/>
          <w:sz w:val="22"/>
          <w:szCs w:val="22"/>
        </w:rPr>
        <w:t>who</w:t>
      </w:r>
      <w:r w:rsidR="00612479" w:rsidRPr="001E2810">
        <w:rPr>
          <w:rFonts w:asciiTheme="minorHAnsi" w:hAnsiTheme="minorHAnsi" w:cstheme="minorHAnsi"/>
          <w:sz w:val="22"/>
          <w:szCs w:val="22"/>
        </w:rPr>
        <w:t xml:space="preserve"> </w:t>
      </w:r>
      <w:r w:rsidR="0015092C" w:rsidRPr="001E2810">
        <w:rPr>
          <w:rFonts w:asciiTheme="minorHAnsi" w:hAnsiTheme="minorHAnsi" w:cstheme="minorHAnsi"/>
          <w:sz w:val="22"/>
          <w:szCs w:val="22"/>
        </w:rPr>
        <w:t xml:space="preserve">would enhance the </w:t>
      </w:r>
      <w:r w:rsidR="00461DE5" w:rsidRPr="001E2810">
        <w:rPr>
          <w:rFonts w:asciiTheme="minorHAnsi" w:hAnsiTheme="minorHAnsi" w:cstheme="minorHAnsi"/>
          <w:sz w:val="22"/>
          <w:szCs w:val="22"/>
        </w:rPr>
        <w:t xml:space="preserve">overall </w:t>
      </w:r>
      <w:r w:rsidR="0015092C" w:rsidRPr="001E2810">
        <w:rPr>
          <w:rFonts w:asciiTheme="minorHAnsi" w:hAnsiTheme="minorHAnsi" w:cstheme="minorHAnsi"/>
          <w:sz w:val="22"/>
          <w:szCs w:val="22"/>
        </w:rPr>
        <w:t>health</w:t>
      </w:r>
      <w:r w:rsidR="00461DE5" w:rsidRPr="001E2810">
        <w:rPr>
          <w:rFonts w:asciiTheme="minorHAnsi" w:hAnsiTheme="minorHAnsi" w:cstheme="minorHAnsi"/>
          <w:sz w:val="22"/>
          <w:szCs w:val="22"/>
        </w:rPr>
        <w:t>/liquidity</w:t>
      </w:r>
      <w:r w:rsidR="0015092C" w:rsidRPr="001E2810">
        <w:rPr>
          <w:rFonts w:asciiTheme="minorHAnsi" w:hAnsiTheme="minorHAnsi" w:cstheme="minorHAnsi"/>
          <w:sz w:val="22"/>
          <w:szCs w:val="22"/>
        </w:rPr>
        <w:t xml:space="preserve"> of the poker ecosystem. While </w:t>
      </w:r>
      <w:r w:rsidR="00461DE5" w:rsidRPr="001E2810">
        <w:rPr>
          <w:rFonts w:asciiTheme="minorHAnsi" w:hAnsiTheme="minorHAnsi" w:cstheme="minorHAnsi"/>
          <w:sz w:val="22"/>
          <w:szCs w:val="22"/>
        </w:rPr>
        <w:t xml:space="preserve">these measures have been </w:t>
      </w:r>
      <w:r w:rsidR="0015092C" w:rsidRPr="001E2810">
        <w:rPr>
          <w:rFonts w:asciiTheme="minorHAnsi" w:hAnsiTheme="minorHAnsi" w:cstheme="minorHAnsi"/>
          <w:sz w:val="22"/>
          <w:szCs w:val="22"/>
        </w:rPr>
        <w:t xml:space="preserve">effective, </w:t>
      </w:r>
      <w:r w:rsidR="00461DE5" w:rsidRPr="001E2810">
        <w:rPr>
          <w:rFonts w:asciiTheme="minorHAnsi" w:hAnsiTheme="minorHAnsi" w:cstheme="minorHAnsi"/>
          <w:sz w:val="22"/>
          <w:szCs w:val="22"/>
        </w:rPr>
        <w:t xml:space="preserve">we </w:t>
      </w:r>
      <w:r w:rsidR="001E2810" w:rsidRPr="001E2810">
        <w:rPr>
          <w:rFonts w:asciiTheme="minorHAnsi" w:hAnsiTheme="minorHAnsi" w:cstheme="minorHAnsi"/>
          <w:sz w:val="22"/>
          <w:szCs w:val="22"/>
        </w:rPr>
        <w:t xml:space="preserve">know that </w:t>
      </w:r>
      <w:r w:rsidR="00EC3C34">
        <w:rPr>
          <w:rFonts w:asciiTheme="minorHAnsi" w:hAnsiTheme="minorHAnsi" w:cstheme="minorHAnsi"/>
          <w:sz w:val="22"/>
          <w:szCs w:val="22"/>
        </w:rPr>
        <w:t xml:space="preserve">we must get </w:t>
      </w:r>
      <w:r w:rsidR="00461DE5" w:rsidRPr="001E2810">
        <w:rPr>
          <w:rFonts w:asciiTheme="minorHAnsi" w:hAnsiTheme="minorHAnsi" w:cstheme="minorHAnsi"/>
          <w:sz w:val="22"/>
          <w:szCs w:val="22"/>
        </w:rPr>
        <w:t xml:space="preserve">the balance </w:t>
      </w:r>
      <w:r w:rsidR="00EC3C34">
        <w:rPr>
          <w:rFonts w:asciiTheme="minorHAnsi" w:hAnsiTheme="minorHAnsi" w:cstheme="minorHAnsi"/>
          <w:sz w:val="22"/>
          <w:szCs w:val="22"/>
        </w:rPr>
        <w:t xml:space="preserve">right as we </w:t>
      </w:r>
      <w:r w:rsidR="00020D22">
        <w:rPr>
          <w:rFonts w:asciiTheme="minorHAnsi" w:hAnsiTheme="minorHAnsi" w:cstheme="minorHAnsi"/>
          <w:sz w:val="22"/>
          <w:szCs w:val="22"/>
        </w:rPr>
        <w:t xml:space="preserve">protect and </w:t>
      </w:r>
      <w:r w:rsidR="00EC3C34">
        <w:rPr>
          <w:rFonts w:asciiTheme="minorHAnsi" w:hAnsiTheme="minorHAnsi" w:cstheme="minorHAnsi"/>
          <w:sz w:val="22"/>
          <w:szCs w:val="22"/>
        </w:rPr>
        <w:t xml:space="preserve">develop our business </w:t>
      </w:r>
      <w:r w:rsidR="00D83CE6">
        <w:rPr>
          <w:rFonts w:asciiTheme="minorHAnsi" w:hAnsiTheme="minorHAnsi" w:cstheme="minorHAnsi"/>
          <w:sz w:val="22"/>
          <w:szCs w:val="22"/>
        </w:rPr>
        <w:t>for</w:t>
      </w:r>
      <w:r w:rsidR="00020D22">
        <w:rPr>
          <w:rFonts w:asciiTheme="minorHAnsi" w:hAnsiTheme="minorHAnsi" w:cstheme="minorHAnsi"/>
          <w:sz w:val="22"/>
          <w:szCs w:val="22"/>
        </w:rPr>
        <w:t xml:space="preserve"> </w:t>
      </w:r>
      <w:r w:rsidR="00EC3C34">
        <w:rPr>
          <w:rFonts w:asciiTheme="minorHAnsi" w:hAnsiTheme="minorHAnsi" w:cstheme="minorHAnsi"/>
          <w:sz w:val="22"/>
          <w:szCs w:val="22"/>
        </w:rPr>
        <w:t>the long-run</w:t>
      </w:r>
      <w:r w:rsidR="0015092C" w:rsidRPr="001E2810">
        <w:rPr>
          <w:rFonts w:asciiTheme="minorHAnsi" w:hAnsiTheme="minorHAnsi" w:cstheme="minorHAnsi"/>
          <w:sz w:val="22"/>
          <w:szCs w:val="22"/>
        </w:rPr>
        <w:t xml:space="preserve">. </w:t>
      </w:r>
    </w:p>
    <w:p w14:paraId="116ED1C2" w14:textId="77777777" w:rsidR="00D05D09" w:rsidRPr="00D05D09" w:rsidRDefault="00A35DDD" w:rsidP="009B6BB8">
      <w:pPr>
        <w:pStyle w:val="ListParagraph"/>
        <w:numPr>
          <w:ilvl w:val="0"/>
          <w:numId w:val="16"/>
        </w:numPr>
        <w:spacing w:after="120"/>
        <w:jc w:val="both"/>
        <w:rPr>
          <w:rFonts w:asciiTheme="minorHAnsi" w:hAnsiTheme="minorHAnsi" w:cstheme="minorHAnsi"/>
          <w:sz w:val="22"/>
          <w:szCs w:val="22"/>
        </w:rPr>
      </w:pPr>
      <w:r w:rsidRPr="00D05D09">
        <w:rPr>
          <w:rFonts w:asciiTheme="minorHAnsi" w:hAnsiTheme="minorHAnsi" w:cstheme="minorHAnsi"/>
          <w:b/>
          <w:sz w:val="22"/>
          <w:szCs w:val="22"/>
        </w:rPr>
        <w:t>Product</w:t>
      </w:r>
      <w:r w:rsidR="00827E52" w:rsidRPr="00D05D09">
        <w:rPr>
          <w:rFonts w:asciiTheme="minorHAnsi" w:hAnsiTheme="minorHAnsi" w:cstheme="minorHAnsi"/>
          <w:b/>
          <w:sz w:val="22"/>
          <w:szCs w:val="22"/>
        </w:rPr>
        <w:t>,</w:t>
      </w:r>
      <w:r w:rsidRPr="00D05D09">
        <w:rPr>
          <w:rFonts w:asciiTheme="minorHAnsi" w:hAnsiTheme="minorHAnsi" w:cstheme="minorHAnsi"/>
          <w:b/>
          <w:sz w:val="22"/>
          <w:szCs w:val="22"/>
        </w:rPr>
        <w:t xml:space="preserve"> technology</w:t>
      </w:r>
      <w:r w:rsidR="00827E52" w:rsidRPr="00D05D09">
        <w:rPr>
          <w:rFonts w:asciiTheme="minorHAnsi" w:hAnsiTheme="minorHAnsi" w:cstheme="minorHAnsi"/>
          <w:b/>
          <w:sz w:val="22"/>
          <w:szCs w:val="22"/>
        </w:rPr>
        <w:t xml:space="preserve"> and customer experience</w:t>
      </w:r>
      <w:r w:rsidRPr="00D05D09">
        <w:rPr>
          <w:rFonts w:asciiTheme="minorHAnsi" w:hAnsiTheme="minorHAnsi" w:cstheme="minorHAnsi"/>
          <w:b/>
          <w:sz w:val="22"/>
          <w:szCs w:val="22"/>
        </w:rPr>
        <w:t>:</w:t>
      </w:r>
      <w:r w:rsidRPr="00D05D09">
        <w:rPr>
          <w:rFonts w:asciiTheme="minorHAnsi" w:hAnsiTheme="minorHAnsi" w:cstheme="minorHAnsi"/>
          <w:sz w:val="22"/>
          <w:szCs w:val="22"/>
        </w:rPr>
        <w:t xml:space="preserve"> </w:t>
      </w:r>
      <w:r w:rsidR="00D05D09" w:rsidRPr="00D05D09">
        <w:rPr>
          <w:rFonts w:asciiTheme="minorHAnsi" w:hAnsiTheme="minorHAnsi" w:cstheme="minorHAnsi"/>
          <w:sz w:val="22"/>
          <w:szCs w:val="22"/>
        </w:rPr>
        <w:t>It</w:t>
      </w:r>
      <w:r w:rsidR="00D05D09">
        <w:rPr>
          <w:rFonts w:asciiTheme="minorHAnsi" w:hAnsiTheme="minorHAnsi" w:cstheme="minorHAnsi"/>
          <w:sz w:val="22"/>
          <w:szCs w:val="22"/>
        </w:rPr>
        <w:t xml:space="preserve"> i</w:t>
      </w:r>
      <w:r w:rsidR="00D05D09" w:rsidRPr="00D05D09">
        <w:rPr>
          <w:rFonts w:asciiTheme="minorHAnsi" w:hAnsiTheme="minorHAnsi" w:cstheme="minorHAnsi"/>
          <w:sz w:val="22"/>
          <w:szCs w:val="22"/>
        </w:rPr>
        <w:t xml:space="preserve">s clear that </w:t>
      </w:r>
      <w:r w:rsidR="00D05D09">
        <w:rPr>
          <w:rFonts w:asciiTheme="minorHAnsi" w:hAnsiTheme="minorHAnsi" w:cstheme="minorHAnsi"/>
          <w:sz w:val="22"/>
          <w:szCs w:val="22"/>
        </w:rPr>
        <w:t xml:space="preserve">the </w:t>
      </w:r>
      <w:r w:rsidR="00D05D09" w:rsidRPr="00D05D09">
        <w:rPr>
          <w:rFonts w:asciiTheme="minorHAnsi" w:hAnsiTheme="minorHAnsi" w:cstheme="minorHAnsi"/>
          <w:sz w:val="22"/>
          <w:szCs w:val="22"/>
        </w:rPr>
        <w:t xml:space="preserve">customer perception </w:t>
      </w:r>
      <w:r w:rsidR="00D05D09">
        <w:rPr>
          <w:rFonts w:asciiTheme="minorHAnsi" w:hAnsiTheme="minorHAnsi" w:cstheme="minorHAnsi"/>
          <w:sz w:val="22"/>
          <w:szCs w:val="22"/>
        </w:rPr>
        <w:t xml:space="preserve">of the </w:t>
      </w:r>
      <w:r w:rsidR="00D05D09" w:rsidRPr="00D05D09">
        <w:rPr>
          <w:rFonts w:asciiTheme="minorHAnsi" w:hAnsiTheme="minorHAnsi" w:cstheme="minorHAnsi"/>
          <w:sz w:val="22"/>
          <w:szCs w:val="22"/>
        </w:rPr>
        <w:t>Poker</w:t>
      </w:r>
      <w:r w:rsidR="00D05D09">
        <w:rPr>
          <w:rFonts w:asciiTheme="minorHAnsi" w:hAnsiTheme="minorHAnsi" w:cstheme="minorHAnsi"/>
          <w:sz w:val="22"/>
          <w:szCs w:val="22"/>
        </w:rPr>
        <w:t>S</w:t>
      </w:r>
      <w:r w:rsidR="00D05D09" w:rsidRPr="00D05D09">
        <w:rPr>
          <w:rFonts w:asciiTheme="minorHAnsi" w:hAnsiTheme="minorHAnsi" w:cstheme="minorHAnsi"/>
          <w:sz w:val="22"/>
          <w:szCs w:val="22"/>
        </w:rPr>
        <w:t xml:space="preserve">tars product lags </w:t>
      </w:r>
      <w:r w:rsidR="00D05D09">
        <w:rPr>
          <w:rFonts w:asciiTheme="minorHAnsi" w:hAnsiTheme="minorHAnsi" w:cstheme="minorHAnsi"/>
          <w:sz w:val="22"/>
          <w:szCs w:val="22"/>
        </w:rPr>
        <w:t xml:space="preserve">behind </w:t>
      </w:r>
      <w:r w:rsidR="00145F98">
        <w:rPr>
          <w:rFonts w:asciiTheme="minorHAnsi" w:hAnsiTheme="minorHAnsi" w:cstheme="minorHAnsi"/>
          <w:sz w:val="22"/>
          <w:szCs w:val="22"/>
        </w:rPr>
        <w:t xml:space="preserve">competitors </w:t>
      </w:r>
      <w:r w:rsidR="00145F98" w:rsidRPr="00D05D09">
        <w:rPr>
          <w:rFonts w:asciiTheme="minorHAnsi" w:hAnsiTheme="minorHAnsi" w:cstheme="minorHAnsi"/>
          <w:sz w:val="22"/>
          <w:szCs w:val="22"/>
        </w:rPr>
        <w:t xml:space="preserve">in a number of jurisdictions </w:t>
      </w:r>
      <w:r w:rsidR="00D05D09" w:rsidRPr="00D05D09">
        <w:rPr>
          <w:rFonts w:asciiTheme="minorHAnsi" w:hAnsiTheme="minorHAnsi" w:cstheme="minorHAnsi"/>
          <w:sz w:val="22"/>
          <w:szCs w:val="22"/>
        </w:rPr>
        <w:t>and we have work to do</w:t>
      </w:r>
      <w:r w:rsidR="00D05D09">
        <w:rPr>
          <w:rFonts w:asciiTheme="minorHAnsi" w:hAnsiTheme="minorHAnsi" w:cstheme="minorHAnsi"/>
          <w:sz w:val="22"/>
          <w:szCs w:val="22"/>
        </w:rPr>
        <w:t xml:space="preserve"> to </w:t>
      </w:r>
      <w:r w:rsidR="00457EF5">
        <w:rPr>
          <w:rFonts w:asciiTheme="minorHAnsi" w:hAnsiTheme="minorHAnsi" w:cstheme="minorHAnsi"/>
          <w:sz w:val="22"/>
          <w:szCs w:val="22"/>
        </w:rPr>
        <w:t>address this</w:t>
      </w:r>
      <w:r w:rsidR="00D05D09" w:rsidRPr="00D05D09">
        <w:rPr>
          <w:rFonts w:asciiTheme="minorHAnsi" w:hAnsiTheme="minorHAnsi" w:cstheme="minorHAnsi"/>
          <w:sz w:val="22"/>
          <w:szCs w:val="22"/>
        </w:rPr>
        <w:t xml:space="preserve">. We are looking at ways in which we may be able to accelerate development work on product and operational improvements to address these gaps and </w:t>
      </w:r>
      <w:r w:rsidR="00627877">
        <w:rPr>
          <w:rFonts w:asciiTheme="minorHAnsi" w:hAnsiTheme="minorHAnsi" w:cstheme="minorHAnsi"/>
          <w:sz w:val="22"/>
          <w:szCs w:val="22"/>
        </w:rPr>
        <w:t xml:space="preserve">to </w:t>
      </w:r>
      <w:r w:rsidR="00D05D09" w:rsidRPr="00D05D09">
        <w:rPr>
          <w:rFonts w:asciiTheme="minorHAnsi" w:hAnsiTheme="minorHAnsi" w:cstheme="minorHAnsi"/>
          <w:sz w:val="22"/>
          <w:szCs w:val="22"/>
        </w:rPr>
        <w:t>build increase</w:t>
      </w:r>
      <w:r w:rsidR="00627877">
        <w:rPr>
          <w:rFonts w:asciiTheme="minorHAnsi" w:hAnsiTheme="minorHAnsi" w:cstheme="minorHAnsi"/>
          <w:sz w:val="22"/>
          <w:szCs w:val="22"/>
        </w:rPr>
        <w:t>d</w:t>
      </w:r>
      <w:r w:rsidR="00D05D09" w:rsidRPr="00D05D09">
        <w:rPr>
          <w:rFonts w:asciiTheme="minorHAnsi" w:hAnsiTheme="minorHAnsi" w:cstheme="minorHAnsi"/>
          <w:sz w:val="22"/>
          <w:szCs w:val="22"/>
        </w:rPr>
        <w:t xml:space="preserve"> flexibility into the technology stack. In addition</w:t>
      </w:r>
      <w:r w:rsidR="00BC3B04">
        <w:rPr>
          <w:rFonts w:asciiTheme="minorHAnsi" w:hAnsiTheme="minorHAnsi" w:cstheme="minorHAnsi"/>
          <w:sz w:val="22"/>
          <w:szCs w:val="22"/>
        </w:rPr>
        <w:t>,</w:t>
      </w:r>
      <w:r w:rsidR="00D05D09" w:rsidRPr="00D05D09">
        <w:rPr>
          <w:rFonts w:asciiTheme="minorHAnsi" w:hAnsiTheme="minorHAnsi" w:cstheme="minorHAnsi"/>
          <w:sz w:val="22"/>
          <w:szCs w:val="22"/>
        </w:rPr>
        <w:t xml:space="preserve"> much can be done to improve the sports betting offering within our newly formed International division and we will leverage </w:t>
      </w:r>
      <w:r w:rsidR="00BC3B04">
        <w:rPr>
          <w:rFonts w:asciiTheme="minorHAnsi" w:hAnsiTheme="minorHAnsi" w:cstheme="minorHAnsi"/>
          <w:sz w:val="22"/>
          <w:szCs w:val="22"/>
        </w:rPr>
        <w:t xml:space="preserve">the </w:t>
      </w:r>
      <w:r w:rsidR="00D05D09" w:rsidRPr="00D05D09">
        <w:rPr>
          <w:rFonts w:asciiTheme="minorHAnsi" w:hAnsiTheme="minorHAnsi" w:cstheme="minorHAnsi"/>
          <w:sz w:val="22"/>
          <w:szCs w:val="22"/>
        </w:rPr>
        <w:t xml:space="preserve">assets </w:t>
      </w:r>
      <w:r w:rsidR="00BC3B04">
        <w:rPr>
          <w:rFonts w:asciiTheme="minorHAnsi" w:hAnsiTheme="minorHAnsi" w:cstheme="minorHAnsi"/>
          <w:sz w:val="22"/>
          <w:szCs w:val="22"/>
        </w:rPr>
        <w:t xml:space="preserve">of </w:t>
      </w:r>
      <w:r w:rsidR="00D05D09" w:rsidRPr="00D05D09">
        <w:rPr>
          <w:rFonts w:asciiTheme="minorHAnsi" w:hAnsiTheme="minorHAnsi" w:cstheme="minorHAnsi"/>
          <w:sz w:val="22"/>
          <w:szCs w:val="22"/>
        </w:rPr>
        <w:t xml:space="preserve">the rest of the </w:t>
      </w:r>
      <w:r w:rsidR="00BC3B04">
        <w:rPr>
          <w:rFonts w:asciiTheme="minorHAnsi" w:hAnsiTheme="minorHAnsi" w:cstheme="minorHAnsi"/>
          <w:sz w:val="22"/>
          <w:szCs w:val="22"/>
        </w:rPr>
        <w:t>G</w:t>
      </w:r>
      <w:r w:rsidR="00D05D09" w:rsidRPr="00D05D09">
        <w:rPr>
          <w:rFonts w:asciiTheme="minorHAnsi" w:hAnsiTheme="minorHAnsi" w:cstheme="minorHAnsi"/>
          <w:sz w:val="22"/>
          <w:szCs w:val="22"/>
        </w:rPr>
        <w:t xml:space="preserve">roup to accelerate this. </w:t>
      </w:r>
    </w:p>
    <w:p w14:paraId="6371B37A" w14:textId="77777777" w:rsidR="00C17B4F" w:rsidRPr="004667D0" w:rsidRDefault="00C17B4F" w:rsidP="00461DE5">
      <w:pPr>
        <w:spacing w:after="120"/>
        <w:jc w:val="both"/>
        <w:rPr>
          <w:rFonts w:asciiTheme="minorHAnsi" w:hAnsiTheme="minorHAnsi" w:cstheme="minorHAnsi"/>
          <w:sz w:val="22"/>
          <w:szCs w:val="22"/>
        </w:rPr>
      </w:pPr>
      <w:r w:rsidRPr="004667D0">
        <w:rPr>
          <w:rFonts w:asciiTheme="minorHAnsi" w:hAnsiTheme="minorHAnsi" w:cstheme="minorHAnsi"/>
          <w:sz w:val="22"/>
          <w:szCs w:val="22"/>
        </w:rPr>
        <w:t xml:space="preserve">Finally, </w:t>
      </w:r>
      <w:r w:rsidR="00020D22">
        <w:rPr>
          <w:rFonts w:asciiTheme="minorHAnsi" w:hAnsiTheme="minorHAnsi" w:cstheme="minorHAnsi"/>
          <w:sz w:val="22"/>
          <w:szCs w:val="22"/>
        </w:rPr>
        <w:t xml:space="preserve">we </w:t>
      </w:r>
      <w:r w:rsidRPr="004667D0">
        <w:rPr>
          <w:rFonts w:asciiTheme="minorHAnsi" w:hAnsiTheme="minorHAnsi" w:cstheme="minorHAnsi"/>
          <w:sz w:val="22"/>
          <w:szCs w:val="22"/>
        </w:rPr>
        <w:t xml:space="preserve">continue to assess acquisition opportunities where we feel they will </w:t>
      </w:r>
      <w:r w:rsidR="00D83CE6">
        <w:rPr>
          <w:rFonts w:asciiTheme="minorHAnsi" w:hAnsiTheme="minorHAnsi" w:cstheme="minorHAnsi"/>
          <w:sz w:val="22"/>
          <w:szCs w:val="22"/>
        </w:rPr>
        <w:t xml:space="preserve">further </w:t>
      </w:r>
      <w:r w:rsidRPr="004667D0">
        <w:rPr>
          <w:rFonts w:asciiTheme="minorHAnsi" w:hAnsiTheme="minorHAnsi" w:cstheme="minorHAnsi"/>
          <w:sz w:val="22"/>
          <w:szCs w:val="22"/>
        </w:rPr>
        <w:t xml:space="preserve">enhance the growth profile and diversification of </w:t>
      </w:r>
      <w:r w:rsidR="006A7C03">
        <w:rPr>
          <w:rFonts w:asciiTheme="minorHAnsi" w:hAnsiTheme="minorHAnsi" w:cstheme="minorHAnsi"/>
          <w:sz w:val="22"/>
          <w:szCs w:val="22"/>
        </w:rPr>
        <w:t xml:space="preserve">the </w:t>
      </w:r>
      <w:r w:rsidRPr="004667D0">
        <w:rPr>
          <w:rFonts w:asciiTheme="minorHAnsi" w:hAnsiTheme="minorHAnsi" w:cstheme="minorHAnsi"/>
          <w:sz w:val="22"/>
          <w:szCs w:val="22"/>
        </w:rPr>
        <w:t xml:space="preserve">Group. Given the strength of our presence in </w:t>
      </w:r>
      <w:r w:rsidR="00020D22">
        <w:rPr>
          <w:rFonts w:asciiTheme="minorHAnsi" w:hAnsiTheme="minorHAnsi" w:cstheme="minorHAnsi"/>
          <w:sz w:val="22"/>
          <w:szCs w:val="22"/>
        </w:rPr>
        <w:t xml:space="preserve">our </w:t>
      </w:r>
      <w:r w:rsidRPr="004667D0">
        <w:rPr>
          <w:rFonts w:asciiTheme="minorHAnsi" w:hAnsiTheme="minorHAnsi" w:cstheme="minorHAnsi"/>
          <w:sz w:val="22"/>
          <w:szCs w:val="22"/>
        </w:rPr>
        <w:t xml:space="preserve">core markets (e.g. UK, Ireland and Australia), it is </w:t>
      </w:r>
      <w:r w:rsidR="001E2810" w:rsidRPr="001E2810">
        <w:rPr>
          <w:rFonts w:asciiTheme="minorHAnsi" w:hAnsiTheme="minorHAnsi" w:cstheme="minorHAnsi"/>
          <w:sz w:val="22"/>
          <w:szCs w:val="22"/>
        </w:rPr>
        <w:t xml:space="preserve">more </w:t>
      </w:r>
      <w:r w:rsidRPr="004667D0">
        <w:rPr>
          <w:rFonts w:asciiTheme="minorHAnsi" w:hAnsiTheme="minorHAnsi" w:cstheme="minorHAnsi"/>
          <w:sz w:val="22"/>
          <w:szCs w:val="22"/>
        </w:rPr>
        <w:t xml:space="preserve">likely that such transactions will be pursued by </w:t>
      </w:r>
      <w:r w:rsidR="00827E52">
        <w:rPr>
          <w:rFonts w:asciiTheme="minorHAnsi" w:hAnsiTheme="minorHAnsi" w:cstheme="minorHAnsi"/>
          <w:sz w:val="22"/>
          <w:szCs w:val="22"/>
        </w:rPr>
        <w:t xml:space="preserve">our </w:t>
      </w:r>
      <w:r w:rsidRPr="004667D0">
        <w:rPr>
          <w:rFonts w:asciiTheme="minorHAnsi" w:hAnsiTheme="minorHAnsi" w:cstheme="minorHAnsi"/>
          <w:sz w:val="22"/>
          <w:szCs w:val="22"/>
        </w:rPr>
        <w:t xml:space="preserve">International division. </w:t>
      </w:r>
    </w:p>
    <w:p w14:paraId="1BFF2B69" w14:textId="77777777" w:rsidR="00C17B4F" w:rsidRPr="001E2810" w:rsidRDefault="00C17B4F" w:rsidP="00461DE5">
      <w:pPr>
        <w:spacing w:after="80" w:line="259" w:lineRule="auto"/>
        <w:jc w:val="both"/>
        <w:rPr>
          <w:rFonts w:asciiTheme="minorHAnsi" w:hAnsiTheme="minorHAnsi" w:cstheme="minorHAnsi"/>
          <w:b/>
          <w:sz w:val="22"/>
          <w:szCs w:val="22"/>
        </w:rPr>
      </w:pPr>
      <w:r w:rsidRPr="001E2810">
        <w:rPr>
          <w:rFonts w:asciiTheme="minorHAnsi" w:hAnsiTheme="minorHAnsi" w:cstheme="minorHAnsi"/>
          <w:b/>
          <w:sz w:val="22"/>
          <w:szCs w:val="22"/>
        </w:rPr>
        <w:t>Capital structure and balance sheet</w:t>
      </w:r>
    </w:p>
    <w:p w14:paraId="273117B0" w14:textId="77777777" w:rsidR="00C17B4F" w:rsidRPr="001E2810" w:rsidRDefault="00C17B4F" w:rsidP="00461DE5">
      <w:pPr>
        <w:spacing w:after="120"/>
        <w:jc w:val="both"/>
        <w:rPr>
          <w:rFonts w:asciiTheme="minorHAnsi" w:hAnsiTheme="minorHAnsi" w:cstheme="minorHAnsi"/>
          <w:sz w:val="22"/>
          <w:szCs w:val="22"/>
        </w:rPr>
      </w:pPr>
      <w:r w:rsidRPr="001E2810">
        <w:rPr>
          <w:rFonts w:asciiTheme="minorHAnsi" w:hAnsiTheme="minorHAnsi" w:cstheme="minorHAnsi"/>
          <w:sz w:val="22"/>
          <w:szCs w:val="22"/>
        </w:rPr>
        <w:t xml:space="preserve">To better position the Group to take advantage of these investment opportunities, we took a number of </w:t>
      </w:r>
      <w:r w:rsidR="00020D22">
        <w:rPr>
          <w:rFonts w:asciiTheme="minorHAnsi" w:hAnsiTheme="minorHAnsi" w:cstheme="minorHAnsi"/>
          <w:sz w:val="22"/>
          <w:szCs w:val="22"/>
        </w:rPr>
        <w:t xml:space="preserve">steps </w:t>
      </w:r>
      <w:r w:rsidRPr="001E2810">
        <w:rPr>
          <w:rFonts w:asciiTheme="minorHAnsi" w:hAnsiTheme="minorHAnsi" w:cstheme="minorHAnsi"/>
          <w:sz w:val="22"/>
          <w:szCs w:val="22"/>
        </w:rPr>
        <w:t>during the first half to strengthen our balance sheet. In March, we were pleased to refinance Flutter’s existing debt with well-priced facilities totalling £1.4bn. In response to the global pandemic, we paid our final 2019 dividend payment in the form of shares. Finally on May 28, we successfully raised £81</w:t>
      </w:r>
      <w:r w:rsidR="008467CB">
        <w:rPr>
          <w:rFonts w:asciiTheme="minorHAnsi" w:hAnsiTheme="minorHAnsi" w:cstheme="minorHAnsi"/>
          <w:sz w:val="22"/>
          <w:szCs w:val="22"/>
        </w:rPr>
        <w:t>3</w:t>
      </w:r>
      <w:r w:rsidRPr="001E2810">
        <w:rPr>
          <w:rFonts w:asciiTheme="minorHAnsi" w:hAnsiTheme="minorHAnsi" w:cstheme="minorHAnsi"/>
          <w:sz w:val="22"/>
          <w:szCs w:val="22"/>
        </w:rPr>
        <w:t xml:space="preserve">m via an equity placing, with the funds used to repay existing debt. </w:t>
      </w:r>
    </w:p>
    <w:p w14:paraId="21668BCA" w14:textId="77777777" w:rsidR="00A96702" w:rsidRPr="007B5DA6" w:rsidRDefault="00C17B4F" w:rsidP="00461DE5">
      <w:pPr>
        <w:spacing w:after="120"/>
        <w:jc w:val="both"/>
        <w:rPr>
          <w:rFonts w:asciiTheme="minorHAnsi" w:hAnsiTheme="minorHAnsi"/>
          <w:b/>
          <w:color w:val="FF0000"/>
          <w:highlight w:val="yellow"/>
          <w:u w:val="single"/>
        </w:rPr>
      </w:pPr>
      <w:r w:rsidRPr="006A7C03">
        <w:rPr>
          <w:rFonts w:asciiTheme="minorHAnsi" w:hAnsiTheme="minorHAnsi" w:cstheme="minorHAnsi"/>
          <w:sz w:val="22"/>
          <w:szCs w:val="22"/>
        </w:rPr>
        <w:t xml:space="preserve">Flutter </w:t>
      </w:r>
      <w:r w:rsidR="00D82F27" w:rsidRPr="006A7C03">
        <w:rPr>
          <w:rFonts w:asciiTheme="minorHAnsi" w:hAnsiTheme="minorHAnsi" w:cstheme="minorHAnsi"/>
          <w:sz w:val="22"/>
          <w:szCs w:val="22"/>
        </w:rPr>
        <w:t xml:space="preserve">debt </w:t>
      </w:r>
      <w:r w:rsidRPr="006A7C03">
        <w:rPr>
          <w:rFonts w:asciiTheme="minorHAnsi" w:hAnsiTheme="minorHAnsi" w:cstheme="minorHAnsi"/>
          <w:sz w:val="22"/>
          <w:szCs w:val="22"/>
        </w:rPr>
        <w:t xml:space="preserve">is </w:t>
      </w:r>
      <w:r w:rsidR="001E2810" w:rsidRPr="006A7C03">
        <w:rPr>
          <w:rFonts w:asciiTheme="minorHAnsi" w:hAnsiTheme="minorHAnsi" w:cstheme="minorHAnsi"/>
          <w:sz w:val="22"/>
          <w:szCs w:val="22"/>
        </w:rPr>
        <w:t xml:space="preserve">currently </w:t>
      </w:r>
      <w:r w:rsidRPr="006A7C03">
        <w:rPr>
          <w:rFonts w:asciiTheme="minorHAnsi" w:hAnsiTheme="minorHAnsi" w:cstheme="minorHAnsi"/>
          <w:sz w:val="22"/>
          <w:szCs w:val="22"/>
        </w:rPr>
        <w:t xml:space="preserve">rated as investment grade by one rating agency. As we continue to execute </w:t>
      </w:r>
      <w:r w:rsidR="00020D22">
        <w:rPr>
          <w:rFonts w:asciiTheme="minorHAnsi" w:hAnsiTheme="minorHAnsi" w:cstheme="minorHAnsi"/>
          <w:sz w:val="22"/>
          <w:szCs w:val="22"/>
        </w:rPr>
        <w:t xml:space="preserve">on </w:t>
      </w:r>
      <w:r w:rsidRPr="006A7C03">
        <w:rPr>
          <w:rFonts w:asciiTheme="minorHAnsi" w:hAnsiTheme="minorHAnsi" w:cstheme="minorHAnsi"/>
          <w:sz w:val="22"/>
          <w:szCs w:val="22"/>
        </w:rPr>
        <w:t xml:space="preserve">our financial </w:t>
      </w:r>
      <w:r w:rsidR="00020D22">
        <w:rPr>
          <w:rFonts w:asciiTheme="minorHAnsi" w:hAnsiTheme="minorHAnsi" w:cstheme="minorHAnsi"/>
          <w:sz w:val="22"/>
          <w:szCs w:val="22"/>
        </w:rPr>
        <w:t xml:space="preserve">goal </w:t>
      </w:r>
      <w:r w:rsidRPr="006A7C03">
        <w:rPr>
          <w:rFonts w:asciiTheme="minorHAnsi" w:hAnsiTheme="minorHAnsi" w:cstheme="minorHAnsi"/>
          <w:sz w:val="22"/>
          <w:szCs w:val="22"/>
        </w:rPr>
        <w:t>to de</w:t>
      </w:r>
      <w:r w:rsidR="00461DE5" w:rsidRPr="006A7C03">
        <w:rPr>
          <w:rFonts w:asciiTheme="minorHAnsi" w:hAnsiTheme="minorHAnsi" w:cstheme="minorHAnsi"/>
          <w:sz w:val="22"/>
          <w:szCs w:val="22"/>
        </w:rPr>
        <w:t>-</w:t>
      </w:r>
      <w:r w:rsidRPr="006A7C03">
        <w:rPr>
          <w:rFonts w:asciiTheme="minorHAnsi" w:hAnsiTheme="minorHAnsi" w:cstheme="minorHAnsi"/>
          <w:sz w:val="22"/>
          <w:szCs w:val="22"/>
        </w:rPr>
        <w:t xml:space="preserve">lever, we believe a clear path </w:t>
      </w:r>
      <w:r w:rsidR="00020D22">
        <w:rPr>
          <w:rFonts w:asciiTheme="minorHAnsi" w:hAnsiTheme="minorHAnsi" w:cstheme="minorHAnsi"/>
          <w:sz w:val="22"/>
          <w:szCs w:val="22"/>
        </w:rPr>
        <w:t xml:space="preserve">will emerge </w:t>
      </w:r>
      <w:r w:rsidR="006D55B4">
        <w:rPr>
          <w:rFonts w:asciiTheme="minorHAnsi" w:hAnsiTheme="minorHAnsi" w:cstheme="minorHAnsi"/>
          <w:sz w:val="22"/>
          <w:szCs w:val="22"/>
        </w:rPr>
        <w:t>to</w:t>
      </w:r>
      <w:r w:rsidR="00D83CE6">
        <w:rPr>
          <w:rFonts w:asciiTheme="minorHAnsi" w:hAnsiTheme="minorHAnsi" w:cstheme="minorHAnsi"/>
          <w:sz w:val="22"/>
          <w:szCs w:val="22"/>
        </w:rPr>
        <w:t xml:space="preserve"> further</w:t>
      </w:r>
      <w:r w:rsidR="006D55B4">
        <w:rPr>
          <w:rFonts w:asciiTheme="minorHAnsi" w:hAnsiTheme="minorHAnsi" w:cstheme="minorHAnsi"/>
          <w:sz w:val="22"/>
          <w:szCs w:val="22"/>
        </w:rPr>
        <w:t xml:space="preserve"> improve our rating</w:t>
      </w:r>
      <w:r w:rsidR="00020D22">
        <w:rPr>
          <w:rFonts w:asciiTheme="minorHAnsi" w:hAnsiTheme="minorHAnsi" w:cstheme="minorHAnsi"/>
          <w:sz w:val="22"/>
          <w:szCs w:val="22"/>
        </w:rPr>
        <w:t xml:space="preserve">. </w:t>
      </w:r>
      <w:r w:rsidR="00840964">
        <w:rPr>
          <w:rFonts w:asciiTheme="minorHAnsi" w:hAnsiTheme="minorHAnsi" w:cstheme="minorHAnsi"/>
          <w:sz w:val="22"/>
          <w:szCs w:val="22"/>
        </w:rPr>
        <w:t xml:space="preserve">This </w:t>
      </w:r>
      <w:r w:rsidRPr="006A7C03">
        <w:rPr>
          <w:rFonts w:asciiTheme="minorHAnsi" w:hAnsiTheme="minorHAnsi" w:cstheme="minorHAnsi"/>
          <w:sz w:val="22"/>
          <w:szCs w:val="22"/>
        </w:rPr>
        <w:t xml:space="preserve">should in turn </w:t>
      </w:r>
      <w:r w:rsidR="005E0BBF">
        <w:rPr>
          <w:rFonts w:asciiTheme="minorHAnsi" w:hAnsiTheme="minorHAnsi" w:cstheme="minorHAnsi"/>
          <w:sz w:val="22"/>
          <w:szCs w:val="22"/>
        </w:rPr>
        <w:t xml:space="preserve">provide us with the opportunity </w:t>
      </w:r>
      <w:r w:rsidRPr="006A7C03">
        <w:rPr>
          <w:rFonts w:asciiTheme="minorHAnsi" w:hAnsiTheme="minorHAnsi" w:cstheme="minorHAnsi"/>
          <w:sz w:val="22"/>
          <w:szCs w:val="22"/>
        </w:rPr>
        <w:t xml:space="preserve">to </w:t>
      </w:r>
      <w:r w:rsidR="001E2810" w:rsidRPr="006A7C03">
        <w:rPr>
          <w:rFonts w:asciiTheme="minorHAnsi" w:hAnsiTheme="minorHAnsi" w:cstheme="minorHAnsi"/>
          <w:sz w:val="22"/>
          <w:szCs w:val="22"/>
        </w:rPr>
        <w:t>refinance our remaining debt</w:t>
      </w:r>
      <w:r w:rsidR="00461DE5" w:rsidRPr="006A7C03">
        <w:rPr>
          <w:rFonts w:asciiTheme="minorHAnsi" w:hAnsiTheme="minorHAnsi" w:cstheme="minorHAnsi"/>
          <w:sz w:val="22"/>
          <w:szCs w:val="22"/>
        </w:rPr>
        <w:t>,</w:t>
      </w:r>
      <w:r w:rsidRPr="006A7C03">
        <w:rPr>
          <w:rFonts w:asciiTheme="minorHAnsi" w:hAnsiTheme="minorHAnsi" w:cstheme="minorHAnsi"/>
          <w:sz w:val="22"/>
          <w:szCs w:val="22"/>
        </w:rPr>
        <w:t xml:space="preserve"> thus </w:t>
      </w:r>
      <w:r w:rsidR="001E2810" w:rsidRPr="006A7C03">
        <w:rPr>
          <w:rFonts w:asciiTheme="minorHAnsi" w:hAnsiTheme="minorHAnsi" w:cstheme="minorHAnsi"/>
          <w:sz w:val="22"/>
          <w:szCs w:val="22"/>
        </w:rPr>
        <w:t xml:space="preserve">further </w:t>
      </w:r>
      <w:r w:rsidRPr="007B3336">
        <w:rPr>
          <w:rFonts w:asciiTheme="minorHAnsi" w:hAnsiTheme="minorHAnsi" w:cstheme="minorHAnsi"/>
          <w:sz w:val="22"/>
          <w:szCs w:val="22"/>
        </w:rPr>
        <w:t>reducing finance cost</w:t>
      </w:r>
      <w:r w:rsidR="001E2810" w:rsidRPr="007B3336">
        <w:rPr>
          <w:rFonts w:asciiTheme="minorHAnsi" w:hAnsiTheme="minorHAnsi" w:cstheme="minorHAnsi"/>
          <w:sz w:val="22"/>
          <w:szCs w:val="22"/>
        </w:rPr>
        <w:t>s</w:t>
      </w:r>
      <w:r w:rsidRPr="007B3336">
        <w:rPr>
          <w:rFonts w:asciiTheme="minorHAnsi" w:hAnsiTheme="minorHAnsi" w:cstheme="minorHAnsi"/>
          <w:sz w:val="22"/>
          <w:szCs w:val="22"/>
        </w:rPr>
        <w:t xml:space="preserve"> for the Group. At 30 June 2020 the pro</w:t>
      </w:r>
      <w:r w:rsidR="00907090">
        <w:rPr>
          <w:rFonts w:asciiTheme="minorHAnsi" w:hAnsiTheme="minorHAnsi" w:cstheme="minorHAnsi"/>
          <w:sz w:val="22"/>
          <w:szCs w:val="22"/>
        </w:rPr>
        <w:t xml:space="preserve"> </w:t>
      </w:r>
      <w:r w:rsidRPr="007B3336">
        <w:rPr>
          <w:rFonts w:asciiTheme="minorHAnsi" w:hAnsiTheme="minorHAnsi" w:cstheme="minorHAnsi"/>
          <w:sz w:val="22"/>
          <w:szCs w:val="22"/>
        </w:rPr>
        <w:t>forma leverage</w:t>
      </w:r>
      <w:r w:rsidR="00506B22" w:rsidRPr="009B20F0">
        <w:rPr>
          <w:rFonts w:asciiTheme="minorHAnsi" w:hAnsiTheme="minorHAnsi" w:cstheme="minorHAnsi"/>
          <w:sz w:val="22"/>
          <w:szCs w:val="22"/>
          <w:vertAlign w:val="superscript"/>
        </w:rPr>
        <w:t>8</w:t>
      </w:r>
      <w:r w:rsidRPr="007B3336">
        <w:rPr>
          <w:rFonts w:asciiTheme="minorHAnsi" w:hAnsiTheme="minorHAnsi" w:cstheme="minorHAnsi"/>
          <w:sz w:val="22"/>
          <w:szCs w:val="22"/>
        </w:rPr>
        <w:t xml:space="preserve"> of the Group was </w:t>
      </w:r>
      <w:r w:rsidR="00B71F48">
        <w:rPr>
          <w:rFonts w:asciiTheme="minorHAnsi" w:hAnsiTheme="minorHAnsi" w:cstheme="minorHAnsi"/>
          <w:sz w:val="22"/>
          <w:szCs w:val="22"/>
        </w:rPr>
        <w:t xml:space="preserve">below our </w:t>
      </w:r>
      <w:r w:rsidRPr="007B3336">
        <w:rPr>
          <w:rFonts w:asciiTheme="minorHAnsi" w:hAnsiTheme="minorHAnsi" w:cstheme="minorHAnsi"/>
          <w:sz w:val="22"/>
          <w:szCs w:val="22"/>
        </w:rPr>
        <w:t>expectations at 2.3</w:t>
      </w:r>
      <w:r w:rsidR="00F3171F">
        <w:rPr>
          <w:rFonts w:asciiTheme="minorHAnsi" w:hAnsiTheme="minorHAnsi" w:cstheme="minorHAnsi"/>
          <w:sz w:val="22"/>
          <w:szCs w:val="22"/>
        </w:rPr>
        <w:t xml:space="preserve"> times</w:t>
      </w:r>
      <w:r w:rsidR="00D82F27" w:rsidRPr="007B3336">
        <w:rPr>
          <w:rFonts w:asciiTheme="minorHAnsi" w:hAnsiTheme="minorHAnsi" w:cstheme="minorHAnsi"/>
          <w:sz w:val="22"/>
          <w:szCs w:val="22"/>
        </w:rPr>
        <w:t xml:space="preserve">. </w:t>
      </w:r>
      <w:r w:rsidR="00DC407A">
        <w:rPr>
          <w:rFonts w:asciiTheme="minorHAnsi" w:hAnsiTheme="minorHAnsi" w:cstheme="minorHAnsi"/>
          <w:sz w:val="22"/>
          <w:szCs w:val="22"/>
        </w:rPr>
        <w:t>L</w:t>
      </w:r>
      <w:r w:rsidR="00DC407A" w:rsidRPr="007B3336">
        <w:rPr>
          <w:rFonts w:asciiTheme="minorHAnsi" w:hAnsiTheme="minorHAnsi" w:cstheme="minorHAnsi"/>
          <w:sz w:val="22"/>
          <w:szCs w:val="22"/>
        </w:rPr>
        <w:t xml:space="preserve">everage at year-end </w:t>
      </w:r>
      <w:r w:rsidR="00DC407A">
        <w:rPr>
          <w:rFonts w:asciiTheme="minorHAnsi" w:hAnsiTheme="minorHAnsi" w:cstheme="minorHAnsi"/>
          <w:sz w:val="22"/>
          <w:szCs w:val="22"/>
        </w:rPr>
        <w:t xml:space="preserve">is </w:t>
      </w:r>
      <w:r w:rsidR="00DC407A" w:rsidRPr="007B3336">
        <w:rPr>
          <w:rFonts w:asciiTheme="minorHAnsi" w:hAnsiTheme="minorHAnsi" w:cstheme="minorHAnsi"/>
          <w:sz w:val="22"/>
          <w:szCs w:val="22"/>
        </w:rPr>
        <w:t>expected to be higher</w:t>
      </w:r>
      <w:r w:rsidR="005E0BBF">
        <w:rPr>
          <w:rFonts w:asciiTheme="minorHAnsi" w:hAnsiTheme="minorHAnsi" w:cstheme="minorHAnsi"/>
          <w:sz w:val="22"/>
          <w:szCs w:val="22"/>
        </w:rPr>
        <w:t xml:space="preserve"> (at circa 2.5-2.8</w:t>
      </w:r>
      <w:r w:rsidR="00F3171F">
        <w:rPr>
          <w:rFonts w:asciiTheme="minorHAnsi" w:hAnsiTheme="minorHAnsi" w:cstheme="minorHAnsi"/>
          <w:sz w:val="22"/>
          <w:szCs w:val="22"/>
        </w:rPr>
        <w:t xml:space="preserve"> times</w:t>
      </w:r>
      <w:r w:rsidR="005E0BBF">
        <w:rPr>
          <w:rFonts w:asciiTheme="minorHAnsi" w:hAnsiTheme="minorHAnsi" w:cstheme="minorHAnsi"/>
          <w:sz w:val="22"/>
          <w:szCs w:val="22"/>
        </w:rPr>
        <w:t>)</w:t>
      </w:r>
      <w:r w:rsidR="00DC407A" w:rsidRPr="007B3336">
        <w:rPr>
          <w:rFonts w:asciiTheme="minorHAnsi" w:hAnsiTheme="minorHAnsi" w:cstheme="minorHAnsi"/>
          <w:sz w:val="22"/>
          <w:szCs w:val="22"/>
        </w:rPr>
        <w:t xml:space="preserve">, reflecting </w:t>
      </w:r>
      <w:r w:rsidR="00612479">
        <w:rPr>
          <w:rFonts w:asciiTheme="minorHAnsi" w:hAnsiTheme="minorHAnsi" w:cstheme="minorHAnsi"/>
          <w:sz w:val="22"/>
          <w:szCs w:val="22"/>
        </w:rPr>
        <w:t>additional</w:t>
      </w:r>
      <w:r w:rsidR="00DC407A" w:rsidRPr="00D03057">
        <w:rPr>
          <w:rFonts w:asciiTheme="minorHAnsi" w:hAnsiTheme="minorHAnsi" w:cstheme="minorHAnsi"/>
          <w:sz w:val="22"/>
          <w:szCs w:val="22"/>
        </w:rPr>
        <w:t xml:space="preserve"> US </w:t>
      </w:r>
      <w:r w:rsidR="00612479">
        <w:rPr>
          <w:rFonts w:asciiTheme="minorHAnsi" w:hAnsiTheme="minorHAnsi" w:cstheme="minorHAnsi"/>
          <w:sz w:val="22"/>
          <w:szCs w:val="22"/>
        </w:rPr>
        <w:t>investment year on year, working capital movements</w:t>
      </w:r>
      <w:r w:rsidR="00DC407A" w:rsidRPr="00D03057">
        <w:rPr>
          <w:rFonts w:asciiTheme="minorHAnsi" w:hAnsiTheme="minorHAnsi" w:cstheme="minorHAnsi"/>
          <w:sz w:val="22"/>
          <w:szCs w:val="22"/>
        </w:rPr>
        <w:t xml:space="preserve"> and the </w:t>
      </w:r>
      <w:r w:rsidR="00A51468">
        <w:rPr>
          <w:rFonts w:asciiTheme="minorHAnsi" w:hAnsiTheme="minorHAnsi" w:cstheme="minorHAnsi"/>
          <w:sz w:val="22"/>
          <w:szCs w:val="22"/>
        </w:rPr>
        <w:t xml:space="preserve">other </w:t>
      </w:r>
      <w:r w:rsidR="00DC407A" w:rsidRPr="00D03057">
        <w:rPr>
          <w:rFonts w:asciiTheme="minorHAnsi" w:hAnsiTheme="minorHAnsi" w:cstheme="minorHAnsi"/>
          <w:sz w:val="22"/>
          <w:szCs w:val="22"/>
        </w:rPr>
        <w:t>investment opportunities we have noted above</w:t>
      </w:r>
      <w:r w:rsidR="00D82F27" w:rsidRPr="00D03057">
        <w:rPr>
          <w:rFonts w:asciiTheme="minorHAnsi" w:hAnsiTheme="minorHAnsi" w:cstheme="minorHAnsi"/>
          <w:sz w:val="22"/>
          <w:szCs w:val="22"/>
        </w:rPr>
        <w:t xml:space="preserve">. </w:t>
      </w:r>
      <w:r w:rsidR="0032358D">
        <w:rPr>
          <w:rFonts w:asciiTheme="minorHAnsi" w:hAnsiTheme="minorHAnsi" w:cstheme="minorHAnsi"/>
          <w:sz w:val="22"/>
          <w:szCs w:val="22"/>
        </w:rPr>
        <w:t>W</w:t>
      </w:r>
      <w:r w:rsidRPr="007B3336">
        <w:rPr>
          <w:rFonts w:asciiTheme="minorHAnsi" w:hAnsiTheme="minorHAnsi" w:cstheme="minorHAnsi"/>
          <w:sz w:val="22"/>
          <w:szCs w:val="22"/>
        </w:rPr>
        <w:t>e are confident that the highly cash generative nature of the Group</w:t>
      </w:r>
      <w:r w:rsidR="00D82F27" w:rsidRPr="007B3336">
        <w:rPr>
          <w:rFonts w:asciiTheme="minorHAnsi" w:hAnsiTheme="minorHAnsi" w:cstheme="minorHAnsi"/>
          <w:sz w:val="22"/>
          <w:szCs w:val="22"/>
        </w:rPr>
        <w:t xml:space="preserve"> will</w:t>
      </w:r>
      <w:r w:rsidRPr="007B3336">
        <w:rPr>
          <w:rFonts w:asciiTheme="minorHAnsi" w:hAnsiTheme="minorHAnsi" w:cstheme="minorHAnsi"/>
          <w:sz w:val="22"/>
          <w:szCs w:val="22"/>
        </w:rPr>
        <w:t xml:space="preserve"> </w:t>
      </w:r>
      <w:r w:rsidR="00020D22">
        <w:rPr>
          <w:rFonts w:asciiTheme="minorHAnsi" w:hAnsiTheme="minorHAnsi" w:cstheme="minorHAnsi"/>
          <w:sz w:val="22"/>
          <w:szCs w:val="22"/>
        </w:rPr>
        <w:t xml:space="preserve">bring us to </w:t>
      </w:r>
      <w:r w:rsidRPr="007B3336">
        <w:rPr>
          <w:rFonts w:asciiTheme="minorHAnsi" w:hAnsiTheme="minorHAnsi" w:cstheme="minorHAnsi"/>
          <w:sz w:val="22"/>
          <w:szCs w:val="22"/>
        </w:rPr>
        <w:t xml:space="preserve">our </w:t>
      </w:r>
      <w:r w:rsidR="00020D22">
        <w:rPr>
          <w:rFonts w:asciiTheme="minorHAnsi" w:hAnsiTheme="minorHAnsi" w:cstheme="minorHAnsi"/>
          <w:sz w:val="22"/>
          <w:szCs w:val="22"/>
        </w:rPr>
        <w:t xml:space="preserve">leverage </w:t>
      </w:r>
      <w:r w:rsidRPr="007B3336">
        <w:rPr>
          <w:rFonts w:asciiTheme="minorHAnsi" w:hAnsiTheme="minorHAnsi" w:cstheme="minorHAnsi"/>
          <w:sz w:val="22"/>
          <w:szCs w:val="22"/>
        </w:rPr>
        <w:t>target of 1-2</w:t>
      </w:r>
      <w:r w:rsidR="00F3171F">
        <w:rPr>
          <w:rFonts w:asciiTheme="minorHAnsi" w:hAnsiTheme="minorHAnsi" w:cstheme="minorHAnsi"/>
          <w:sz w:val="22"/>
          <w:szCs w:val="22"/>
        </w:rPr>
        <w:t xml:space="preserve"> times</w:t>
      </w:r>
      <w:r w:rsidR="00627877">
        <w:rPr>
          <w:rFonts w:asciiTheme="minorHAnsi" w:hAnsiTheme="minorHAnsi" w:cstheme="minorHAnsi"/>
          <w:sz w:val="22"/>
          <w:szCs w:val="22"/>
        </w:rPr>
        <w:t xml:space="preserve"> over the medium-term</w:t>
      </w:r>
      <w:r w:rsidRPr="007B3336">
        <w:rPr>
          <w:rFonts w:asciiTheme="minorHAnsi" w:hAnsiTheme="minorHAnsi" w:cstheme="minorHAnsi"/>
          <w:sz w:val="22"/>
          <w:szCs w:val="22"/>
        </w:rPr>
        <w:t xml:space="preserve">. Once we have returned to </w:t>
      </w:r>
      <w:r w:rsidR="00EF5892">
        <w:rPr>
          <w:rFonts w:asciiTheme="minorHAnsi" w:hAnsiTheme="minorHAnsi" w:cstheme="minorHAnsi"/>
          <w:sz w:val="22"/>
          <w:szCs w:val="22"/>
        </w:rPr>
        <w:t>within this range</w:t>
      </w:r>
      <w:r w:rsidRPr="007B3336">
        <w:rPr>
          <w:rFonts w:asciiTheme="minorHAnsi" w:hAnsiTheme="minorHAnsi" w:cstheme="minorHAnsi"/>
          <w:sz w:val="22"/>
          <w:szCs w:val="22"/>
        </w:rPr>
        <w:t xml:space="preserve">, we </w:t>
      </w:r>
      <w:r w:rsidR="00270B23">
        <w:rPr>
          <w:rFonts w:asciiTheme="minorHAnsi" w:hAnsiTheme="minorHAnsi" w:cstheme="minorHAnsi"/>
          <w:sz w:val="22"/>
          <w:szCs w:val="22"/>
        </w:rPr>
        <w:t xml:space="preserve">will re-examine the Group’s </w:t>
      </w:r>
      <w:r w:rsidRPr="007B3336">
        <w:rPr>
          <w:rFonts w:asciiTheme="minorHAnsi" w:hAnsiTheme="minorHAnsi" w:cstheme="minorHAnsi"/>
          <w:sz w:val="22"/>
          <w:szCs w:val="22"/>
        </w:rPr>
        <w:t>dividend</w:t>
      </w:r>
      <w:r w:rsidR="00270B23">
        <w:rPr>
          <w:rFonts w:asciiTheme="minorHAnsi" w:hAnsiTheme="minorHAnsi" w:cstheme="minorHAnsi"/>
          <w:sz w:val="22"/>
          <w:szCs w:val="22"/>
        </w:rPr>
        <w:t xml:space="preserve"> policy</w:t>
      </w:r>
      <w:r w:rsidRPr="007B3336">
        <w:rPr>
          <w:rFonts w:asciiTheme="minorHAnsi" w:hAnsiTheme="minorHAnsi" w:cstheme="minorHAnsi"/>
          <w:sz w:val="22"/>
          <w:szCs w:val="22"/>
        </w:rPr>
        <w:t>.</w:t>
      </w:r>
      <w:bookmarkEnd w:id="3"/>
      <w:r w:rsidR="00A96702" w:rsidRPr="007B5DA6">
        <w:rPr>
          <w:rFonts w:asciiTheme="minorHAnsi" w:hAnsiTheme="minorHAnsi"/>
          <w:b/>
          <w:color w:val="FF0000"/>
          <w:highlight w:val="yellow"/>
          <w:u w:val="single"/>
        </w:rPr>
        <w:br w:type="page"/>
      </w:r>
    </w:p>
    <w:p w14:paraId="760D777B" w14:textId="77777777" w:rsidR="00942D68" w:rsidRPr="005F7932" w:rsidRDefault="00942D68" w:rsidP="00942D68">
      <w:pPr>
        <w:spacing w:after="120"/>
        <w:jc w:val="both"/>
        <w:rPr>
          <w:rFonts w:asciiTheme="minorHAnsi" w:hAnsiTheme="minorHAnsi"/>
          <w:b/>
          <w:u w:val="single"/>
        </w:rPr>
      </w:pPr>
      <w:r w:rsidRPr="005F7932">
        <w:rPr>
          <w:rFonts w:asciiTheme="minorHAnsi" w:hAnsiTheme="minorHAnsi"/>
          <w:b/>
          <w:u w:val="single"/>
        </w:rPr>
        <w:lastRenderedPageBreak/>
        <w:t>Operating and Financial Review</w:t>
      </w:r>
      <w:r w:rsidRPr="0001653A">
        <w:rPr>
          <w:rFonts w:asciiTheme="minorHAnsi" w:hAnsiTheme="minorHAnsi"/>
          <w:i/>
          <w:sz w:val="22"/>
          <w:szCs w:val="22"/>
          <w:vertAlign w:val="superscript"/>
        </w:rPr>
        <w:t>1,2,</w:t>
      </w:r>
      <w:r w:rsidR="00824BDD">
        <w:rPr>
          <w:rFonts w:asciiTheme="minorHAnsi" w:hAnsiTheme="minorHAnsi"/>
          <w:i/>
          <w:sz w:val="22"/>
          <w:szCs w:val="22"/>
          <w:vertAlign w:val="superscript"/>
        </w:rPr>
        <w:t>3</w:t>
      </w:r>
    </w:p>
    <w:p w14:paraId="7DADA53D" w14:textId="77777777" w:rsidR="00942D68" w:rsidRDefault="00942D68" w:rsidP="00942D68">
      <w:pPr>
        <w:spacing w:after="120"/>
        <w:jc w:val="both"/>
        <w:rPr>
          <w:rFonts w:asciiTheme="minorHAnsi" w:hAnsiTheme="minorHAnsi"/>
          <w:i/>
          <w:sz w:val="22"/>
          <w:szCs w:val="22"/>
          <w:vertAlign w:val="superscript"/>
        </w:rPr>
      </w:pPr>
      <w:r w:rsidRPr="005F7932">
        <w:rPr>
          <w:rFonts w:asciiTheme="minorHAnsi" w:hAnsiTheme="minorHAnsi"/>
          <w:b/>
          <w:sz w:val="22"/>
          <w:szCs w:val="22"/>
        </w:rPr>
        <w:t>Group</w:t>
      </w:r>
      <w:r w:rsidR="00824BDD">
        <w:rPr>
          <w:rFonts w:asciiTheme="minorHAnsi" w:hAnsiTheme="minorHAnsi"/>
          <w:i/>
          <w:sz w:val="22"/>
          <w:szCs w:val="22"/>
          <w:vertAlign w:val="superscript"/>
        </w:rPr>
        <w:t>4,9,10,11</w:t>
      </w:r>
    </w:p>
    <w:tbl>
      <w:tblPr>
        <w:tblW w:w="9346" w:type="dxa"/>
        <w:tblLayout w:type="fixed"/>
        <w:tblCellMar>
          <w:left w:w="57" w:type="dxa"/>
          <w:right w:w="57" w:type="dxa"/>
        </w:tblCellMar>
        <w:tblLook w:val="04A0" w:firstRow="1" w:lastRow="0" w:firstColumn="1" w:lastColumn="0" w:noHBand="0" w:noVBand="1"/>
      </w:tblPr>
      <w:tblGrid>
        <w:gridCol w:w="2824"/>
        <w:gridCol w:w="931"/>
        <w:gridCol w:w="932"/>
        <w:gridCol w:w="931"/>
        <w:gridCol w:w="932"/>
        <w:gridCol w:w="931"/>
        <w:gridCol w:w="932"/>
        <w:gridCol w:w="933"/>
      </w:tblGrid>
      <w:tr w:rsidR="007171B9" w:rsidRPr="00292E2D" w14:paraId="66F4E73C" w14:textId="77777777" w:rsidTr="00F17EFE">
        <w:trPr>
          <w:trHeight w:val="263"/>
        </w:trPr>
        <w:tc>
          <w:tcPr>
            <w:tcW w:w="2824" w:type="dxa"/>
            <w:tcBorders>
              <w:top w:val="single" w:sz="8" w:space="0" w:color="auto"/>
              <w:left w:val="single" w:sz="8" w:space="0" w:color="auto"/>
              <w:bottom w:val="nil"/>
              <w:right w:val="nil"/>
            </w:tcBorders>
            <w:shd w:val="clear" w:color="auto" w:fill="auto"/>
            <w:noWrap/>
            <w:vAlign w:val="center"/>
            <w:hideMark/>
          </w:tcPr>
          <w:p w14:paraId="09A9033C" w14:textId="77777777" w:rsidR="007171B9" w:rsidRPr="00292E2D" w:rsidRDefault="007171B9" w:rsidP="00292E2D">
            <w:pPr>
              <w:jc w:val="both"/>
              <w:rPr>
                <w:rFonts w:ascii="Calibri" w:hAnsi="Calibri" w:cs="Calibri"/>
                <w:b/>
                <w:bCs/>
                <w:sz w:val="20"/>
                <w:lang w:eastAsia="en-GB"/>
              </w:rPr>
            </w:pPr>
            <w:r w:rsidRPr="00292E2D">
              <w:rPr>
                <w:rFonts w:ascii="Calibri" w:hAnsi="Calibri" w:cs="Calibri"/>
                <w:b/>
                <w:bCs/>
                <w:sz w:val="20"/>
                <w:lang w:eastAsia="en-GB"/>
              </w:rPr>
              <w:t> </w:t>
            </w:r>
          </w:p>
        </w:tc>
        <w:tc>
          <w:tcPr>
            <w:tcW w:w="2794" w:type="dxa"/>
            <w:gridSpan w:val="3"/>
            <w:tcBorders>
              <w:top w:val="single" w:sz="8" w:space="0" w:color="auto"/>
              <w:left w:val="nil"/>
              <w:bottom w:val="nil"/>
              <w:right w:val="single" w:sz="8" w:space="0" w:color="000000"/>
            </w:tcBorders>
            <w:shd w:val="clear" w:color="auto" w:fill="auto"/>
            <w:noWrap/>
            <w:vAlign w:val="center"/>
            <w:hideMark/>
          </w:tcPr>
          <w:p w14:paraId="33EDC1D4" w14:textId="77777777" w:rsidR="007171B9" w:rsidRPr="00292E2D" w:rsidRDefault="007171B9" w:rsidP="00292E2D">
            <w:pPr>
              <w:jc w:val="center"/>
              <w:rPr>
                <w:rFonts w:ascii="Calibri" w:hAnsi="Calibri" w:cs="Calibri"/>
                <w:b/>
                <w:bCs/>
                <w:color w:val="000000"/>
                <w:sz w:val="20"/>
                <w:lang w:eastAsia="en-GB"/>
              </w:rPr>
            </w:pPr>
            <w:r w:rsidRPr="00292E2D">
              <w:rPr>
                <w:rFonts w:ascii="Calibri" w:hAnsi="Calibri" w:cs="Calibri"/>
                <w:b/>
                <w:bCs/>
                <w:color w:val="000000"/>
                <w:sz w:val="20"/>
                <w:lang w:eastAsia="en-GB"/>
              </w:rPr>
              <w:t>Reported</w:t>
            </w:r>
          </w:p>
        </w:tc>
        <w:tc>
          <w:tcPr>
            <w:tcW w:w="3728" w:type="dxa"/>
            <w:gridSpan w:val="4"/>
            <w:tcBorders>
              <w:top w:val="single" w:sz="8" w:space="0" w:color="auto"/>
              <w:left w:val="nil"/>
              <w:bottom w:val="nil"/>
              <w:right w:val="single" w:sz="4" w:space="0" w:color="auto"/>
            </w:tcBorders>
          </w:tcPr>
          <w:p w14:paraId="4331C239" w14:textId="77777777" w:rsidR="007171B9" w:rsidRPr="00292E2D" w:rsidRDefault="007171B9" w:rsidP="00292E2D">
            <w:pPr>
              <w:jc w:val="center"/>
              <w:rPr>
                <w:rFonts w:ascii="Calibri" w:hAnsi="Calibri" w:cs="Calibri"/>
                <w:b/>
                <w:bCs/>
                <w:color w:val="000000"/>
                <w:sz w:val="20"/>
                <w:lang w:eastAsia="en-GB"/>
              </w:rPr>
            </w:pPr>
            <w:r w:rsidRPr="00292E2D">
              <w:rPr>
                <w:rFonts w:ascii="Calibri" w:hAnsi="Calibri" w:cs="Calibri"/>
                <w:b/>
                <w:bCs/>
                <w:color w:val="000000"/>
                <w:sz w:val="20"/>
                <w:lang w:eastAsia="en-GB"/>
              </w:rPr>
              <w:t>Pro forma</w:t>
            </w:r>
          </w:p>
        </w:tc>
      </w:tr>
      <w:tr w:rsidR="007171B9" w:rsidRPr="00292E2D" w14:paraId="43076697"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5C57E387" w14:textId="77777777" w:rsidR="007171B9" w:rsidRPr="00292E2D" w:rsidRDefault="007171B9" w:rsidP="007171B9">
            <w:pPr>
              <w:jc w:val="both"/>
              <w:rPr>
                <w:rFonts w:ascii="Calibri" w:hAnsi="Calibri" w:cs="Calibri"/>
                <w:b/>
                <w:bCs/>
                <w:sz w:val="20"/>
                <w:lang w:eastAsia="en-GB"/>
              </w:rPr>
            </w:pPr>
            <w:r w:rsidRPr="00292E2D">
              <w:rPr>
                <w:rFonts w:ascii="Calibri" w:hAnsi="Calibri" w:cs="Calibri"/>
                <w:b/>
                <w:bCs/>
                <w:sz w:val="20"/>
                <w:lang w:eastAsia="en-GB"/>
              </w:rPr>
              <w:t> </w:t>
            </w:r>
          </w:p>
        </w:tc>
        <w:tc>
          <w:tcPr>
            <w:tcW w:w="931" w:type="dxa"/>
            <w:tcBorders>
              <w:top w:val="nil"/>
              <w:left w:val="nil"/>
              <w:bottom w:val="nil"/>
              <w:right w:val="nil"/>
            </w:tcBorders>
            <w:shd w:val="clear" w:color="auto" w:fill="auto"/>
            <w:noWrap/>
            <w:vAlign w:val="center"/>
            <w:hideMark/>
          </w:tcPr>
          <w:p w14:paraId="32C0A01D"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H1</w:t>
            </w:r>
          </w:p>
        </w:tc>
        <w:tc>
          <w:tcPr>
            <w:tcW w:w="932" w:type="dxa"/>
            <w:tcBorders>
              <w:top w:val="nil"/>
              <w:left w:val="nil"/>
              <w:bottom w:val="nil"/>
              <w:right w:val="nil"/>
            </w:tcBorders>
            <w:shd w:val="clear" w:color="auto" w:fill="auto"/>
            <w:noWrap/>
            <w:vAlign w:val="center"/>
            <w:hideMark/>
          </w:tcPr>
          <w:p w14:paraId="22CB4BDC"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H1</w:t>
            </w:r>
          </w:p>
        </w:tc>
        <w:tc>
          <w:tcPr>
            <w:tcW w:w="931" w:type="dxa"/>
            <w:tcBorders>
              <w:top w:val="nil"/>
              <w:left w:val="nil"/>
              <w:bottom w:val="nil"/>
              <w:right w:val="single" w:sz="8" w:space="0" w:color="auto"/>
            </w:tcBorders>
            <w:shd w:val="clear" w:color="auto" w:fill="auto"/>
            <w:noWrap/>
            <w:vAlign w:val="center"/>
            <w:hideMark/>
          </w:tcPr>
          <w:p w14:paraId="6C29E9CC" w14:textId="77777777" w:rsidR="007171B9" w:rsidRPr="00292E2D" w:rsidRDefault="007171B9" w:rsidP="007171B9">
            <w:pPr>
              <w:rPr>
                <w:rFonts w:ascii="Calibri" w:hAnsi="Calibri" w:cs="Calibri"/>
                <w:b/>
                <w:bCs/>
                <w:color w:val="000000"/>
                <w:sz w:val="20"/>
                <w:lang w:eastAsia="en-GB"/>
              </w:rPr>
            </w:pPr>
            <w:r w:rsidRPr="00292E2D">
              <w:rPr>
                <w:rFonts w:ascii="Calibri" w:hAnsi="Calibri" w:cs="Calibri"/>
                <w:b/>
                <w:bCs/>
                <w:color w:val="000000"/>
                <w:sz w:val="20"/>
                <w:lang w:eastAsia="en-GB"/>
              </w:rPr>
              <w:t> </w:t>
            </w:r>
          </w:p>
        </w:tc>
        <w:tc>
          <w:tcPr>
            <w:tcW w:w="932" w:type="dxa"/>
            <w:tcBorders>
              <w:top w:val="nil"/>
              <w:left w:val="nil"/>
              <w:bottom w:val="nil"/>
              <w:right w:val="nil"/>
            </w:tcBorders>
            <w:shd w:val="clear" w:color="auto" w:fill="auto"/>
            <w:noWrap/>
            <w:vAlign w:val="center"/>
            <w:hideMark/>
          </w:tcPr>
          <w:p w14:paraId="1EFB1DC3"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H1</w:t>
            </w:r>
          </w:p>
        </w:tc>
        <w:tc>
          <w:tcPr>
            <w:tcW w:w="931" w:type="dxa"/>
            <w:tcBorders>
              <w:top w:val="nil"/>
              <w:left w:val="nil"/>
              <w:bottom w:val="nil"/>
              <w:right w:val="nil"/>
            </w:tcBorders>
            <w:shd w:val="clear" w:color="auto" w:fill="auto"/>
            <w:noWrap/>
            <w:vAlign w:val="center"/>
            <w:hideMark/>
          </w:tcPr>
          <w:p w14:paraId="22B195FD"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H1</w:t>
            </w:r>
          </w:p>
        </w:tc>
        <w:tc>
          <w:tcPr>
            <w:tcW w:w="932" w:type="dxa"/>
            <w:tcBorders>
              <w:top w:val="nil"/>
              <w:left w:val="nil"/>
              <w:bottom w:val="nil"/>
              <w:right w:val="nil"/>
            </w:tcBorders>
            <w:vAlign w:val="center"/>
          </w:tcPr>
          <w:p w14:paraId="11D3BDB7" w14:textId="77777777" w:rsidR="007171B9" w:rsidRPr="00292E2D" w:rsidRDefault="007171B9" w:rsidP="007171B9">
            <w:pPr>
              <w:jc w:val="right"/>
              <w:rPr>
                <w:rFonts w:ascii="Calibri" w:hAnsi="Calibri" w:cs="Calibri"/>
                <w:b/>
                <w:bCs/>
                <w:color w:val="000000"/>
                <w:sz w:val="20"/>
                <w:lang w:eastAsia="en-GB"/>
              </w:rPr>
            </w:pPr>
          </w:p>
        </w:tc>
        <w:tc>
          <w:tcPr>
            <w:tcW w:w="933" w:type="dxa"/>
            <w:tcBorders>
              <w:top w:val="nil"/>
              <w:left w:val="nil"/>
              <w:bottom w:val="nil"/>
              <w:right w:val="single" w:sz="8" w:space="0" w:color="auto"/>
            </w:tcBorders>
            <w:shd w:val="clear" w:color="auto" w:fill="auto"/>
            <w:noWrap/>
            <w:vAlign w:val="center"/>
            <w:hideMark/>
          </w:tcPr>
          <w:p w14:paraId="0321CECE"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CC</w:t>
            </w:r>
            <w:r w:rsidR="00824BDD" w:rsidRPr="00C9669A">
              <w:rPr>
                <w:rFonts w:ascii="Calibri" w:hAnsi="Calibri" w:cs="Calibri"/>
                <w:b/>
                <w:bCs/>
                <w:color w:val="000000"/>
                <w:sz w:val="20"/>
                <w:vertAlign w:val="superscript"/>
                <w:lang w:eastAsia="en-GB"/>
              </w:rPr>
              <w:t>12</w:t>
            </w:r>
          </w:p>
        </w:tc>
      </w:tr>
      <w:tr w:rsidR="007171B9" w:rsidRPr="00292E2D" w14:paraId="2128C433"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0DF779B7" w14:textId="77777777" w:rsidR="007171B9" w:rsidRPr="00292E2D" w:rsidRDefault="007171B9" w:rsidP="007171B9">
            <w:pPr>
              <w:jc w:val="both"/>
              <w:rPr>
                <w:rFonts w:ascii="Calibri" w:hAnsi="Calibri" w:cs="Calibri"/>
                <w:b/>
                <w:bCs/>
                <w:sz w:val="20"/>
                <w:lang w:eastAsia="en-GB"/>
              </w:rPr>
            </w:pPr>
            <w:r w:rsidRPr="00292E2D">
              <w:rPr>
                <w:rFonts w:ascii="Calibri" w:hAnsi="Calibri" w:cs="Calibri"/>
                <w:b/>
                <w:bCs/>
                <w:sz w:val="20"/>
                <w:lang w:eastAsia="en-GB"/>
              </w:rPr>
              <w:t> </w:t>
            </w:r>
          </w:p>
        </w:tc>
        <w:tc>
          <w:tcPr>
            <w:tcW w:w="931" w:type="dxa"/>
            <w:tcBorders>
              <w:top w:val="nil"/>
              <w:left w:val="nil"/>
              <w:bottom w:val="nil"/>
              <w:right w:val="nil"/>
            </w:tcBorders>
            <w:shd w:val="clear" w:color="auto" w:fill="auto"/>
            <w:noWrap/>
            <w:vAlign w:val="center"/>
            <w:hideMark/>
          </w:tcPr>
          <w:p w14:paraId="6A051734"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2020</w:t>
            </w:r>
          </w:p>
        </w:tc>
        <w:tc>
          <w:tcPr>
            <w:tcW w:w="932" w:type="dxa"/>
            <w:tcBorders>
              <w:top w:val="nil"/>
              <w:left w:val="nil"/>
              <w:bottom w:val="nil"/>
              <w:right w:val="nil"/>
            </w:tcBorders>
            <w:shd w:val="clear" w:color="auto" w:fill="auto"/>
            <w:noWrap/>
            <w:vAlign w:val="center"/>
            <w:hideMark/>
          </w:tcPr>
          <w:p w14:paraId="605808CB"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2019</w:t>
            </w:r>
          </w:p>
        </w:tc>
        <w:tc>
          <w:tcPr>
            <w:tcW w:w="931" w:type="dxa"/>
            <w:tcBorders>
              <w:top w:val="nil"/>
              <w:left w:val="nil"/>
              <w:bottom w:val="nil"/>
              <w:right w:val="single" w:sz="8" w:space="0" w:color="auto"/>
            </w:tcBorders>
            <w:shd w:val="clear" w:color="auto" w:fill="auto"/>
            <w:noWrap/>
            <w:vAlign w:val="center"/>
            <w:hideMark/>
          </w:tcPr>
          <w:p w14:paraId="2C564AF5"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Change</w:t>
            </w:r>
          </w:p>
        </w:tc>
        <w:tc>
          <w:tcPr>
            <w:tcW w:w="932" w:type="dxa"/>
            <w:tcBorders>
              <w:top w:val="nil"/>
              <w:left w:val="nil"/>
              <w:bottom w:val="nil"/>
              <w:right w:val="nil"/>
            </w:tcBorders>
            <w:shd w:val="clear" w:color="auto" w:fill="auto"/>
            <w:noWrap/>
            <w:vAlign w:val="center"/>
            <w:hideMark/>
          </w:tcPr>
          <w:p w14:paraId="05867279"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2020</w:t>
            </w:r>
          </w:p>
        </w:tc>
        <w:tc>
          <w:tcPr>
            <w:tcW w:w="931" w:type="dxa"/>
            <w:tcBorders>
              <w:top w:val="nil"/>
              <w:left w:val="nil"/>
              <w:bottom w:val="nil"/>
              <w:right w:val="nil"/>
            </w:tcBorders>
            <w:shd w:val="clear" w:color="auto" w:fill="auto"/>
            <w:noWrap/>
            <w:vAlign w:val="center"/>
            <w:hideMark/>
          </w:tcPr>
          <w:p w14:paraId="11E23ACA"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2019</w:t>
            </w:r>
          </w:p>
        </w:tc>
        <w:tc>
          <w:tcPr>
            <w:tcW w:w="932" w:type="dxa"/>
            <w:tcBorders>
              <w:top w:val="nil"/>
              <w:left w:val="nil"/>
              <w:bottom w:val="nil"/>
              <w:right w:val="nil"/>
            </w:tcBorders>
            <w:vAlign w:val="center"/>
          </w:tcPr>
          <w:p w14:paraId="2EF61F04"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color w:val="000000"/>
                <w:sz w:val="20"/>
              </w:rPr>
              <w:t>Change</w:t>
            </w:r>
          </w:p>
        </w:tc>
        <w:tc>
          <w:tcPr>
            <w:tcW w:w="933" w:type="dxa"/>
            <w:tcBorders>
              <w:top w:val="nil"/>
              <w:left w:val="nil"/>
              <w:bottom w:val="nil"/>
              <w:right w:val="single" w:sz="8" w:space="0" w:color="auto"/>
            </w:tcBorders>
            <w:shd w:val="clear" w:color="auto" w:fill="auto"/>
            <w:noWrap/>
            <w:vAlign w:val="center"/>
            <w:hideMark/>
          </w:tcPr>
          <w:p w14:paraId="3310A8CE"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Change</w:t>
            </w:r>
          </w:p>
        </w:tc>
      </w:tr>
      <w:tr w:rsidR="007171B9" w:rsidRPr="00292E2D" w14:paraId="7840FBC4" w14:textId="77777777" w:rsidTr="00F17EFE">
        <w:trPr>
          <w:trHeight w:val="263"/>
        </w:trPr>
        <w:tc>
          <w:tcPr>
            <w:tcW w:w="2824" w:type="dxa"/>
            <w:tcBorders>
              <w:top w:val="nil"/>
              <w:left w:val="single" w:sz="8" w:space="0" w:color="auto"/>
              <w:bottom w:val="single" w:sz="8" w:space="0" w:color="auto"/>
              <w:right w:val="nil"/>
            </w:tcBorders>
            <w:shd w:val="clear" w:color="auto" w:fill="auto"/>
            <w:hideMark/>
          </w:tcPr>
          <w:p w14:paraId="33FB9871" w14:textId="77777777" w:rsidR="007171B9" w:rsidRPr="00292E2D" w:rsidRDefault="007171B9" w:rsidP="007171B9">
            <w:pPr>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 </w:t>
            </w:r>
          </w:p>
        </w:tc>
        <w:tc>
          <w:tcPr>
            <w:tcW w:w="931" w:type="dxa"/>
            <w:tcBorders>
              <w:top w:val="nil"/>
              <w:left w:val="nil"/>
              <w:bottom w:val="single" w:sz="8" w:space="0" w:color="auto"/>
              <w:right w:val="nil"/>
            </w:tcBorders>
            <w:shd w:val="clear" w:color="auto" w:fill="auto"/>
            <w:noWrap/>
            <w:vAlign w:val="center"/>
            <w:hideMark/>
          </w:tcPr>
          <w:p w14:paraId="5613FE91"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£m</w:t>
            </w:r>
          </w:p>
        </w:tc>
        <w:tc>
          <w:tcPr>
            <w:tcW w:w="932" w:type="dxa"/>
            <w:tcBorders>
              <w:top w:val="nil"/>
              <w:left w:val="nil"/>
              <w:bottom w:val="single" w:sz="8" w:space="0" w:color="auto"/>
              <w:right w:val="nil"/>
            </w:tcBorders>
            <w:shd w:val="clear" w:color="auto" w:fill="auto"/>
            <w:noWrap/>
            <w:vAlign w:val="center"/>
            <w:hideMark/>
          </w:tcPr>
          <w:p w14:paraId="5819E082"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£m</w:t>
            </w:r>
          </w:p>
        </w:tc>
        <w:tc>
          <w:tcPr>
            <w:tcW w:w="931" w:type="dxa"/>
            <w:tcBorders>
              <w:top w:val="nil"/>
              <w:left w:val="nil"/>
              <w:bottom w:val="single" w:sz="8" w:space="0" w:color="auto"/>
              <w:right w:val="single" w:sz="8" w:space="0" w:color="auto"/>
            </w:tcBorders>
            <w:shd w:val="clear" w:color="auto" w:fill="auto"/>
            <w:noWrap/>
            <w:vAlign w:val="center"/>
            <w:hideMark/>
          </w:tcPr>
          <w:p w14:paraId="73C6C147"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w:t>
            </w:r>
          </w:p>
        </w:tc>
        <w:tc>
          <w:tcPr>
            <w:tcW w:w="932" w:type="dxa"/>
            <w:tcBorders>
              <w:top w:val="nil"/>
              <w:left w:val="nil"/>
              <w:bottom w:val="single" w:sz="8" w:space="0" w:color="auto"/>
              <w:right w:val="nil"/>
            </w:tcBorders>
            <w:shd w:val="clear" w:color="auto" w:fill="auto"/>
            <w:noWrap/>
            <w:vAlign w:val="center"/>
            <w:hideMark/>
          </w:tcPr>
          <w:p w14:paraId="2AF1A9C5"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£m</w:t>
            </w:r>
          </w:p>
        </w:tc>
        <w:tc>
          <w:tcPr>
            <w:tcW w:w="931" w:type="dxa"/>
            <w:tcBorders>
              <w:top w:val="nil"/>
              <w:left w:val="nil"/>
              <w:bottom w:val="single" w:sz="8" w:space="0" w:color="auto"/>
              <w:right w:val="nil"/>
            </w:tcBorders>
            <w:shd w:val="clear" w:color="auto" w:fill="auto"/>
            <w:noWrap/>
            <w:vAlign w:val="center"/>
            <w:hideMark/>
          </w:tcPr>
          <w:p w14:paraId="140AB07A"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£m</w:t>
            </w:r>
          </w:p>
        </w:tc>
        <w:tc>
          <w:tcPr>
            <w:tcW w:w="932" w:type="dxa"/>
            <w:tcBorders>
              <w:top w:val="nil"/>
              <w:left w:val="nil"/>
              <w:bottom w:val="single" w:sz="8" w:space="0" w:color="auto"/>
              <w:right w:val="nil"/>
            </w:tcBorders>
            <w:vAlign w:val="center"/>
          </w:tcPr>
          <w:p w14:paraId="7920FDDA"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color w:val="000000"/>
                <w:sz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01B7839E"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w:t>
            </w:r>
          </w:p>
        </w:tc>
      </w:tr>
      <w:tr w:rsidR="007171B9" w:rsidRPr="00292E2D" w14:paraId="4941CC85"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70079752" w14:textId="77777777" w:rsidR="007171B9" w:rsidRPr="00292E2D" w:rsidRDefault="007171B9" w:rsidP="007171B9">
            <w:pPr>
              <w:jc w:val="both"/>
              <w:rPr>
                <w:rFonts w:ascii="Calibri" w:hAnsi="Calibri" w:cs="Calibri"/>
                <w:b/>
                <w:bCs/>
                <w:color w:val="FF0000"/>
                <w:sz w:val="2"/>
                <w:szCs w:val="2"/>
                <w:lang w:eastAsia="en-GB"/>
              </w:rPr>
            </w:pPr>
            <w:r w:rsidRPr="00292E2D">
              <w:rPr>
                <w:rFonts w:ascii="Calibri" w:hAnsi="Calibri" w:cs="Calibri"/>
                <w:b/>
                <w:bCs/>
                <w:color w:val="FF0000"/>
                <w:sz w:val="2"/>
                <w:szCs w:val="2"/>
                <w:lang w:eastAsia="en-GB"/>
              </w:rPr>
              <w:t> </w:t>
            </w:r>
          </w:p>
        </w:tc>
        <w:tc>
          <w:tcPr>
            <w:tcW w:w="931" w:type="dxa"/>
            <w:tcBorders>
              <w:top w:val="nil"/>
              <w:left w:val="nil"/>
              <w:bottom w:val="nil"/>
              <w:right w:val="nil"/>
            </w:tcBorders>
            <w:shd w:val="clear" w:color="auto" w:fill="auto"/>
            <w:noWrap/>
            <w:vAlign w:val="center"/>
            <w:hideMark/>
          </w:tcPr>
          <w:p w14:paraId="6E452524" w14:textId="77777777" w:rsidR="007171B9" w:rsidRPr="00292E2D" w:rsidRDefault="007171B9" w:rsidP="007171B9">
            <w:pPr>
              <w:jc w:val="both"/>
              <w:rPr>
                <w:rFonts w:ascii="Calibri" w:hAnsi="Calibri" w:cs="Calibri"/>
                <w:b/>
                <w:bCs/>
                <w:color w:val="FF0000"/>
                <w:sz w:val="2"/>
                <w:szCs w:val="2"/>
                <w:lang w:eastAsia="en-GB"/>
              </w:rPr>
            </w:pPr>
          </w:p>
        </w:tc>
        <w:tc>
          <w:tcPr>
            <w:tcW w:w="932" w:type="dxa"/>
            <w:tcBorders>
              <w:top w:val="nil"/>
              <w:left w:val="nil"/>
              <w:bottom w:val="nil"/>
              <w:right w:val="nil"/>
            </w:tcBorders>
            <w:shd w:val="clear" w:color="auto" w:fill="auto"/>
            <w:noWrap/>
            <w:vAlign w:val="center"/>
            <w:hideMark/>
          </w:tcPr>
          <w:p w14:paraId="6DAEB5C2"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627FD207" w14:textId="77777777" w:rsidR="007171B9" w:rsidRPr="00292E2D" w:rsidRDefault="007171B9" w:rsidP="007171B9">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5CA94ECD" w14:textId="77777777" w:rsidR="007171B9" w:rsidRPr="00292E2D" w:rsidRDefault="007171B9" w:rsidP="007171B9">
            <w:pPr>
              <w:jc w:val="right"/>
              <w:rPr>
                <w:rFonts w:ascii="Calibri" w:hAnsi="Calibri" w:cs="Calibri"/>
                <w:b/>
                <w:bCs/>
                <w:color w:val="000000"/>
                <w:sz w:val="2"/>
                <w:szCs w:val="2"/>
                <w:lang w:eastAsia="en-GB"/>
              </w:rPr>
            </w:pPr>
          </w:p>
        </w:tc>
        <w:tc>
          <w:tcPr>
            <w:tcW w:w="931" w:type="dxa"/>
            <w:tcBorders>
              <w:top w:val="nil"/>
              <w:left w:val="nil"/>
              <w:bottom w:val="nil"/>
              <w:right w:val="nil"/>
            </w:tcBorders>
            <w:shd w:val="clear" w:color="auto" w:fill="auto"/>
            <w:noWrap/>
            <w:vAlign w:val="center"/>
            <w:hideMark/>
          </w:tcPr>
          <w:p w14:paraId="6640FCC4"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662DD36D" w14:textId="77777777" w:rsidR="007171B9" w:rsidRPr="00292E2D" w:rsidRDefault="007171B9" w:rsidP="007171B9">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0714EFD7" w14:textId="77777777" w:rsidR="007171B9" w:rsidRPr="00292E2D" w:rsidRDefault="007171B9" w:rsidP="007171B9">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7171B9" w:rsidRPr="00292E2D" w14:paraId="52520BE1"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7C4FD3BE"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Sports revenue</w:t>
            </w:r>
          </w:p>
        </w:tc>
        <w:tc>
          <w:tcPr>
            <w:tcW w:w="931" w:type="dxa"/>
            <w:tcBorders>
              <w:top w:val="nil"/>
              <w:left w:val="nil"/>
              <w:bottom w:val="nil"/>
              <w:right w:val="nil"/>
            </w:tcBorders>
            <w:shd w:val="clear" w:color="auto" w:fill="auto"/>
            <w:noWrap/>
            <w:vAlign w:val="center"/>
            <w:hideMark/>
          </w:tcPr>
          <w:p w14:paraId="1D7B2087"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924</w:t>
            </w:r>
          </w:p>
        </w:tc>
        <w:tc>
          <w:tcPr>
            <w:tcW w:w="932" w:type="dxa"/>
            <w:tcBorders>
              <w:top w:val="nil"/>
              <w:left w:val="nil"/>
              <w:bottom w:val="nil"/>
              <w:right w:val="nil"/>
            </w:tcBorders>
            <w:shd w:val="clear" w:color="auto" w:fill="auto"/>
            <w:noWrap/>
            <w:vAlign w:val="center"/>
            <w:hideMark/>
          </w:tcPr>
          <w:p w14:paraId="179BA24D"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794</w:t>
            </w:r>
          </w:p>
        </w:tc>
        <w:tc>
          <w:tcPr>
            <w:tcW w:w="931" w:type="dxa"/>
            <w:tcBorders>
              <w:top w:val="nil"/>
              <w:left w:val="nil"/>
              <w:bottom w:val="nil"/>
              <w:right w:val="single" w:sz="8" w:space="0" w:color="auto"/>
            </w:tcBorders>
            <w:shd w:val="clear" w:color="auto" w:fill="auto"/>
            <w:noWrap/>
            <w:vAlign w:val="center"/>
            <w:hideMark/>
          </w:tcPr>
          <w:p w14:paraId="48AE33D9"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+16%</w:t>
            </w:r>
          </w:p>
        </w:tc>
        <w:tc>
          <w:tcPr>
            <w:tcW w:w="932" w:type="dxa"/>
            <w:tcBorders>
              <w:top w:val="nil"/>
              <w:left w:val="nil"/>
              <w:bottom w:val="nil"/>
              <w:right w:val="nil"/>
            </w:tcBorders>
            <w:shd w:val="clear" w:color="auto" w:fill="auto"/>
            <w:noWrap/>
            <w:vAlign w:val="center"/>
            <w:hideMark/>
          </w:tcPr>
          <w:p w14:paraId="5E07D76F"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1,199</w:t>
            </w:r>
          </w:p>
        </w:tc>
        <w:tc>
          <w:tcPr>
            <w:tcW w:w="931" w:type="dxa"/>
            <w:tcBorders>
              <w:top w:val="nil"/>
              <w:left w:val="nil"/>
              <w:bottom w:val="nil"/>
              <w:right w:val="nil"/>
            </w:tcBorders>
            <w:shd w:val="clear" w:color="auto" w:fill="auto"/>
            <w:noWrap/>
            <w:vAlign w:val="center"/>
            <w:hideMark/>
          </w:tcPr>
          <w:p w14:paraId="6DE0A1BA"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1,117</w:t>
            </w:r>
          </w:p>
        </w:tc>
        <w:tc>
          <w:tcPr>
            <w:tcW w:w="932" w:type="dxa"/>
            <w:tcBorders>
              <w:top w:val="nil"/>
              <w:left w:val="nil"/>
              <w:bottom w:val="nil"/>
              <w:right w:val="nil"/>
            </w:tcBorders>
            <w:vAlign w:val="center"/>
          </w:tcPr>
          <w:p w14:paraId="5DA945B1"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+7%</w:t>
            </w:r>
          </w:p>
        </w:tc>
        <w:tc>
          <w:tcPr>
            <w:tcW w:w="933" w:type="dxa"/>
            <w:tcBorders>
              <w:top w:val="nil"/>
              <w:left w:val="nil"/>
              <w:bottom w:val="nil"/>
              <w:right w:val="single" w:sz="8" w:space="0" w:color="auto"/>
            </w:tcBorders>
            <w:shd w:val="clear" w:color="auto" w:fill="auto"/>
            <w:noWrap/>
            <w:vAlign w:val="center"/>
            <w:hideMark/>
          </w:tcPr>
          <w:p w14:paraId="41E39182"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+8%</w:t>
            </w:r>
          </w:p>
        </w:tc>
      </w:tr>
      <w:tr w:rsidR="007171B9" w:rsidRPr="00292E2D" w14:paraId="575AF120"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309EA6E8"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Gaming revenue</w:t>
            </w:r>
          </w:p>
        </w:tc>
        <w:tc>
          <w:tcPr>
            <w:tcW w:w="931" w:type="dxa"/>
            <w:tcBorders>
              <w:top w:val="nil"/>
              <w:left w:val="nil"/>
              <w:bottom w:val="single" w:sz="8" w:space="0" w:color="auto"/>
              <w:right w:val="nil"/>
            </w:tcBorders>
            <w:shd w:val="clear" w:color="auto" w:fill="auto"/>
            <w:noWrap/>
            <w:vAlign w:val="center"/>
            <w:hideMark/>
          </w:tcPr>
          <w:p w14:paraId="5175E8E6"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598</w:t>
            </w:r>
          </w:p>
        </w:tc>
        <w:tc>
          <w:tcPr>
            <w:tcW w:w="932" w:type="dxa"/>
            <w:tcBorders>
              <w:top w:val="nil"/>
              <w:left w:val="nil"/>
              <w:bottom w:val="single" w:sz="8" w:space="0" w:color="auto"/>
              <w:right w:val="nil"/>
            </w:tcBorders>
            <w:shd w:val="clear" w:color="auto" w:fill="auto"/>
            <w:noWrap/>
            <w:vAlign w:val="center"/>
            <w:hideMark/>
          </w:tcPr>
          <w:p w14:paraId="3374987F"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225</w:t>
            </w:r>
          </w:p>
        </w:tc>
        <w:tc>
          <w:tcPr>
            <w:tcW w:w="931" w:type="dxa"/>
            <w:tcBorders>
              <w:top w:val="nil"/>
              <w:left w:val="nil"/>
              <w:bottom w:val="single" w:sz="8" w:space="0" w:color="auto"/>
              <w:right w:val="single" w:sz="8" w:space="0" w:color="auto"/>
            </w:tcBorders>
            <w:shd w:val="clear" w:color="auto" w:fill="auto"/>
            <w:noWrap/>
            <w:vAlign w:val="center"/>
            <w:hideMark/>
          </w:tcPr>
          <w:p w14:paraId="1B0B0AEB"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+16</w:t>
            </w:r>
            <w:r w:rsidR="00CA2EED">
              <w:rPr>
                <w:rFonts w:ascii="Calibri" w:hAnsi="Calibri" w:cs="Calibri"/>
                <w:color w:val="000000"/>
                <w:sz w:val="20"/>
                <w:lang w:eastAsia="en-GB"/>
              </w:rPr>
              <w:t>5</w:t>
            </w:r>
            <w:r w:rsidRPr="00292E2D">
              <w:rPr>
                <w:rFonts w:ascii="Calibri" w:hAnsi="Calibri" w:cs="Calibri"/>
                <w:color w:val="000000"/>
                <w:sz w:val="20"/>
                <w:lang w:eastAsia="en-GB"/>
              </w:rPr>
              <w:t>%</w:t>
            </w:r>
          </w:p>
        </w:tc>
        <w:tc>
          <w:tcPr>
            <w:tcW w:w="932" w:type="dxa"/>
            <w:tcBorders>
              <w:top w:val="nil"/>
              <w:left w:val="nil"/>
              <w:bottom w:val="single" w:sz="8" w:space="0" w:color="auto"/>
              <w:right w:val="nil"/>
            </w:tcBorders>
            <w:shd w:val="clear" w:color="auto" w:fill="auto"/>
            <w:noWrap/>
            <w:vAlign w:val="center"/>
            <w:hideMark/>
          </w:tcPr>
          <w:p w14:paraId="11AE977D"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1,190</w:t>
            </w:r>
          </w:p>
        </w:tc>
        <w:tc>
          <w:tcPr>
            <w:tcW w:w="931" w:type="dxa"/>
            <w:tcBorders>
              <w:top w:val="nil"/>
              <w:left w:val="nil"/>
              <w:bottom w:val="single" w:sz="8" w:space="0" w:color="auto"/>
              <w:right w:val="nil"/>
            </w:tcBorders>
            <w:shd w:val="clear" w:color="auto" w:fill="auto"/>
            <w:noWrap/>
            <w:vAlign w:val="center"/>
            <w:hideMark/>
          </w:tcPr>
          <w:p w14:paraId="71F66023"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858</w:t>
            </w:r>
          </w:p>
        </w:tc>
        <w:tc>
          <w:tcPr>
            <w:tcW w:w="932" w:type="dxa"/>
            <w:tcBorders>
              <w:top w:val="nil"/>
              <w:left w:val="nil"/>
              <w:bottom w:val="single" w:sz="8" w:space="0" w:color="auto"/>
              <w:right w:val="nil"/>
            </w:tcBorders>
            <w:vAlign w:val="center"/>
          </w:tcPr>
          <w:p w14:paraId="13D314BB"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+39%</w:t>
            </w:r>
          </w:p>
        </w:tc>
        <w:tc>
          <w:tcPr>
            <w:tcW w:w="933" w:type="dxa"/>
            <w:tcBorders>
              <w:top w:val="nil"/>
              <w:left w:val="nil"/>
              <w:bottom w:val="single" w:sz="8" w:space="0" w:color="auto"/>
              <w:right w:val="single" w:sz="8" w:space="0" w:color="auto"/>
            </w:tcBorders>
            <w:shd w:val="clear" w:color="auto" w:fill="auto"/>
            <w:noWrap/>
            <w:vAlign w:val="center"/>
            <w:hideMark/>
          </w:tcPr>
          <w:p w14:paraId="23CF00B5"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+40%</w:t>
            </w:r>
          </w:p>
        </w:tc>
      </w:tr>
      <w:tr w:rsidR="007171B9" w:rsidRPr="00292E2D" w14:paraId="41DB2132"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56E13C81" w14:textId="77777777" w:rsidR="007171B9" w:rsidRPr="00292E2D" w:rsidRDefault="007171B9" w:rsidP="007171B9">
            <w:pPr>
              <w:jc w:val="both"/>
              <w:rPr>
                <w:rFonts w:ascii="Calibri" w:hAnsi="Calibri" w:cs="Calibri"/>
                <w:b/>
                <w:bCs/>
                <w:color w:val="000000"/>
                <w:sz w:val="20"/>
                <w:lang w:eastAsia="en-GB"/>
              </w:rPr>
            </w:pPr>
            <w:r w:rsidRPr="00292E2D">
              <w:rPr>
                <w:rFonts w:ascii="Calibri" w:hAnsi="Calibri" w:cs="Calibri"/>
                <w:b/>
                <w:bCs/>
                <w:color w:val="000000"/>
                <w:sz w:val="20"/>
                <w:lang w:eastAsia="en-GB"/>
              </w:rPr>
              <w:t>Total revenue</w:t>
            </w:r>
          </w:p>
        </w:tc>
        <w:tc>
          <w:tcPr>
            <w:tcW w:w="931" w:type="dxa"/>
            <w:tcBorders>
              <w:top w:val="nil"/>
              <w:left w:val="nil"/>
              <w:bottom w:val="nil"/>
              <w:right w:val="nil"/>
            </w:tcBorders>
            <w:shd w:val="clear" w:color="auto" w:fill="auto"/>
            <w:noWrap/>
            <w:vAlign w:val="center"/>
            <w:hideMark/>
          </w:tcPr>
          <w:p w14:paraId="19DAFF93"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1,522</w:t>
            </w:r>
          </w:p>
        </w:tc>
        <w:tc>
          <w:tcPr>
            <w:tcW w:w="932" w:type="dxa"/>
            <w:tcBorders>
              <w:top w:val="nil"/>
              <w:left w:val="nil"/>
              <w:bottom w:val="nil"/>
              <w:right w:val="nil"/>
            </w:tcBorders>
            <w:shd w:val="clear" w:color="auto" w:fill="auto"/>
            <w:noWrap/>
            <w:vAlign w:val="center"/>
            <w:hideMark/>
          </w:tcPr>
          <w:p w14:paraId="018B74A9"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1,020</w:t>
            </w:r>
          </w:p>
        </w:tc>
        <w:tc>
          <w:tcPr>
            <w:tcW w:w="931" w:type="dxa"/>
            <w:tcBorders>
              <w:top w:val="nil"/>
              <w:left w:val="nil"/>
              <w:bottom w:val="nil"/>
              <w:right w:val="single" w:sz="8" w:space="0" w:color="auto"/>
            </w:tcBorders>
            <w:shd w:val="clear" w:color="auto" w:fill="auto"/>
            <w:noWrap/>
            <w:vAlign w:val="center"/>
            <w:hideMark/>
          </w:tcPr>
          <w:p w14:paraId="5E072B18"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+49%</w:t>
            </w:r>
          </w:p>
        </w:tc>
        <w:tc>
          <w:tcPr>
            <w:tcW w:w="932" w:type="dxa"/>
            <w:tcBorders>
              <w:top w:val="nil"/>
              <w:left w:val="nil"/>
              <w:bottom w:val="nil"/>
              <w:right w:val="nil"/>
            </w:tcBorders>
            <w:shd w:val="clear" w:color="auto" w:fill="auto"/>
            <w:noWrap/>
            <w:vAlign w:val="center"/>
            <w:hideMark/>
          </w:tcPr>
          <w:p w14:paraId="540D1E4C"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2,389</w:t>
            </w:r>
          </w:p>
        </w:tc>
        <w:tc>
          <w:tcPr>
            <w:tcW w:w="931" w:type="dxa"/>
            <w:tcBorders>
              <w:top w:val="nil"/>
              <w:left w:val="nil"/>
              <w:bottom w:val="nil"/>
              <w:right w:val="nil"/>
            </w:tcBorders>
            <w:shd w:val="clear" w:color="auto" w:fill="auto"/>
            <w:noWrap/>
            <w:vAlign w:val="center"/>
            <w:hideMark/>
          </w:tcPr>
          <w:p w14:paraId="1650221A"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1,975</w:t>
            </w:r>
          </w:p>
        </w:tc>
        <w:tc>
          <w:tcPr>
            <w:tcW w:w="932" w:type="dxa"/>
            <w:tcBorders>
              <w:top w:val="nil"/>
              <w:left w:val="nil"/>
              <w:bottom w:val="nil"/>
              <w:right w:val="nil"/>
            </w:tcBorders>
            <w:vAlign w:val="center"/>
          </w:tcPr>
          <w:p w14:paraId="1B3906C8"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sz w:val="20"/>
              </w:rPr>
              <w:t>+21%</w:t>
            </w:r>
          </w:p>
        </w:tc>
        <w:tc>
          <w:tcPr>
            <w:tcW w:w="933" w:type="dxa"/>
            <w:tcBorders>
              <w:top w:val="nil"/>
              <w:left w:val="nil"/>
              <w:bottom w:val="nil"/>
              <w:right w:val="single" w:sz="8" w:space="0" w:color="auto"/>
            </w:tcBorders>
            <w:shd w:val="clear" w:color="auto" w:fill="auto"/>
            <w:noWrap/>
            <w:vAlign w:val="center"/>
            <w:hideMark/>
          </w:tcPr>
          <w:p w14:paraId="75C5D722"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+22%</w:t>
            </w:r>
          </w:p>
        </w:tc>
      </w:tr>
      <w:tr w:rsidR="007171B9" w:rsidRPr="00292E2D" w14:paraId="5BBECC00"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0E956019"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139445E6" w14:textId="77777777" w:rsidR="007171B9" w:rsidRPr="00292E2D" w:rsidRDefault="007171B9" w:rsidP="007171B9">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3A4A3F7A" w14:textId="77777777" w:rsidR="007171B9" w:rsidRPr="00292E2D" w:rsidRDefault="007171B9" w:rsidP="007171B9">
            <w:pPr>
              <w:jc w:val="both"/>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4D720AA1"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2B0E9E21" w14:textId="77777777" w:rsidR="007171B9" w:rsidRPr="00292E2D" w:rsidRDefault="007171B9" w:rsidP="007171B9">
            <w:pPr>
              <w:jc w:val="both"/>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6AD51115" w14:textId="77777777" w:rsidR="007171B9" w:rsidRPr="00292E2D" w:rsidRDefault="007171B9" w:rsidP="007171B9">
            <w:pPr>
              <w:jc w:val="both"/>
              <w:rPr>
                <w:rFonts w:ascii="Times New Roman" w:hAnsi="Times New Roman"/>
                <w:sz w:val="20"/>
                <w:lang w:eastAsia="en-GB"/>
              </w:rPr>
            </w:pPr>
          </w:p>
        </w:tc>
        <w:tc>
          <w:tcPr>
            <w:tcW w:w="932" w:type="dxa"/>
            <w:tcBorders>
              <w:top w:val="nil"/>
              <w:left w:val="nil"/>
              <w:bottom w:val="nil"/>
              <w:right w:val="nil"/>
            </w:tcBorders>
            <w:vAlign w:val="center"/>
          </w:tcPr>
          <w:p w14:paraId="0AFD3C35" w14:textId="77777777" w:rsidR="007171B9" w:rsidRPr="00292E2D" w:rsidRDefault="007171B9" w:rsidP="007171B9">
            <w:pPr>
              <w:jc w:val="both"/>
              <w:rPr>
                <w:rFonts w:ascii="Calibri" w:hAnsi="Calibri" w:cs="Calibri"/>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2FFB6E2F"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r>
      <w:tr w:rsidR="007171B9" w:rsidRPr="00292E2D" w14:paraId="6662793B"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41A50E6A"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Cost of sales</w:t>
            </w:r>
          </w:p>
        </w:tc>
        <w:tc>
          <w:tcPr>
            <w:tcW w:w="931" w:type="dxa"/>
            <w:tcBorders>
              <w:top w:val="nil"/>
              <w:left w:val="nil"/>
              <w:bottom w:val="nil"/>
              <w:right w:val="nil"/>
            </w:tcBorders>
            <w:shd w:val="clear" w:color="auto" w:fill="auto"/>
            <w:noWrap/>
            <w:vAlign w:val="center"/>
            <w:hideMark/>
          </w:tcPr>
          <w:p w14:paraId="7426E05B"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(496)</w:t>
            </w:r>
          </w:p>
        </w:tc>
        <w:tc>
          <w:tcPr>
            <w:tcW w:w="932" w:type="dxa"/>
            <w:tcBorders>
              <w:top w:val="nil"/>
              <w:left w:val="nil"/>
              <w:bottom w:val="nil"/>
              <w:right w:val="nil"/>
            </w:tcBorders>
            <w:shd w:val="clear" w:color="auto" w:fill="auto"/>
            <w:noWrap/>
            <w:vAlign w:val="center"/>
            <w:hideMark/>
          </w:tcPr>
          <w:p w14:paraId="1279F9D3"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(301)</w:t>
            </w:r>
          </w:p>
        </w:tc>
        <w:tc>
          <w:tcPr>
            <w:tcW w:w="931" w:type="dxa"/>
            <w:tcBorders>
              <w:top w:val="nil"/>
              <w:left w:val="nil"/>
              <w:bottom w:val="nil"/>
              <w:right w:val="single" w:sz="8" w:space="0" w:color="auto"/>
            </w:tcBorders>
            <w:shd w:val="clear" w:color="auto" w:fill="auto"/>
            <w:noWrap/>
            <w:vAlign w:val="center"/>
            <w:hideMark/>
          </w:tcPr>
          <w:p w14:paraId="6C71C361"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+65%</w:t>
            </w:r>
          </w:p>
        </w:tc>
        <w:tc>
          <w:tcPr>
            <w:tcW w:w="932" w:type="dxa"/>
            <w:tcBorders>
              <w:top w:val="nil"/>
              <w:left w:val="nil"/>
              <w:bottom w:val="nil"/>
              <w:right w:val="nil"/>
            </w:tcBorders>
            <w:shd w:val="clear" w:color="auto" w:fill="auto"/>
            <w:noWrap/>
            <w:vAlign w:val="center"/>
            <w:hideMark/>
          </w:tcPr>
          <w:p w14:paraId="63615520"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(738)</w:t>
            </w:r>
          </w:p>
        </w:tc>
        <w:tc>
          <w:tcPr>
            <w:tcW w:w="931" w:type="dxa"/>
            <w:tcBorders>
              <w:top w:val="nil"/>
              <w:left w:val="nil"/>
              <w:bottom w:val="nil"/>
              <w:right w:val="nil"/>
            </w:tcBorders>
            <w:shd w:val="clear" w:color="auto" w:fill="auto"/>
            <w:noWrap/>
            <w:vAlign w:val="center"/>
            <w:hideMark/>
          </w:tcPr>
          <w:p w14:paraId="280B9441"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(566)</w:t>
            </w:r>
          </w:p>
        </w:tc>
        <w:tc>
          <w:tcPr>
            <w:tcW w:w="932" w:type="dxa"/>
            <w:tcBorders>
              <w:top w:val="nil"/>
              <w:left w:val="nil"/>
              <w:bottom w:val="nil"/>
              <w:right w:val="nil"/>
            </w:tcBorders>
            <w:vAlign w:val="center"/>
          </w:tcPr>
          <w:p w14:paraId="5F433D1B"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+30%</w:t>
            </w:r>
          </w:p>
        </w:tc>
        <w:tc>
          <w:tcPr>
            <w:tcW w:w="933" w:type="dxa"/>
            <w:tcBorders>
              <w:top w:val="nil"/>
              <w:left w:val="nil"/>
              <w:bottom w:val="nil"/>
              <w:right w:val="single" w:sz="8" w:space="0" w:color="auto"/>
            </w:tcBorders>
            <w:shd w:val="clear" w:color="auto" w:fill="auto"/>
            <w:noWrap/>
            <w:vAlign w:val="center"/>
            <w:hideMark/>
          </w:tcPr>
          <w:p w14:paraId="318C1731"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+32%</w:t>
            </w:r>
          </w:p>
        </w:tc>
      </w:tr>
      <w:tr w:rsidR="007171B9" w:rsidRPr="00292E2D" w14:paraId="6BE05222"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6AD1C2BE" w14:textId="77777777" w:rsidR="007171B9" w:rsidRPr="00292E2D" w:rsidRDefault="007171B9" w:rsidP="007171B9">
            <w:pPr>
              <w:jc w:val="both"/>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Cost of sales as a % of net revenue</w:t>
            </w:r>
          </w:p>
        </w:tc>
        <w:tc>
          <w:tcPr>
            <w:tcW w:w="931" w:type="dxa"/>
            <w:tcBorders>
              <w:top w:val="nil"/>
              <w:left w:val="nil"/>
              <w:bottom w:val="nil"/>
              <w:right w:val="nil"/>
            </w:tcBorders>
            <w:shd w:val="clear" w:color="auto" w:fill="auto"/>
            <w:noWrap/>
            <w:vAlign w:val="center"/>
            <w:hideMark/>
          </w:tcPr>
          <w:p w14:paraId="0C28EBF6"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32.6%</w:t>
            </w:r>
          </w:p>
        </w:tc>
        <w:tc>
          <w:tcPr>
            <w:tcW w:w="932" w:type="dxa"/>
            <w:tcBorders>
              <w:top w:val="nil"/>
              <w:left w:val="nil"/>
              <w:bottom w:val="nil"/>
              <w:right w:val="nil"/>
            </w:tcBorders>
            <w:shd w:val="clear" w:color="auto" w:fill="auto"/>
            <w:noWrap/>
            <w:vAlign w:val="center"/>
            <w:hideMark/>
          </w:tcPr>
          <w:p w14:paraId="18F0F670"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29.5%</w:t>
            </w:r>
          </w:p>
        </w:tc>
        <w:tc>
          <w:tcPr>
            <w:tcW w:w="931" w:type="dxa"/>
            <w:tcBorders>
              <w:top w:val="nil"/>
              <w:left w:val="nil"/>
              <w:bottom w:val="nil"/>
              <w:right w:val="single" w:sz="8" w:space="0" w:color="auto"/>
            </w:tcBorders>
            <w:shd w:val="clear" w:color="auto" w:fill="auto"/>
            <w:noWrap/>
            <w:vAlign w:val="center"/>
            <w:hideMark/>
          </w:tcPr>
          <w:p w14:paraId="6F2AF7C2"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+310bps</w:t>
            </w:r>
          </w:p>
        </w:tc>
        <w:tc>
          <w:tcPr>
            <w:tcW w:w="932" w:type="dxa"/>
            <w:tcBorders>
              <w:top w:val="nil"/>
              <w:left w:val="nil"/>
              <w:bottom w:val="nil"/>
              <w:right w:val="nil"/>
            </w:tcBorders>
            <w:shd w:val="clear" w:color="auto" w:fill="auto"/>
            <w:noWrap/>
            <w:vAlign w:val="center"/>
            <w:hideMark/>
          </w:tcPr>
          <w:p w14:paraId="5E6FBBD8"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30.9%</w:t>
            </w:r>
          </w:p>
        </w:tc>
        <w:tc>
          <w:tcPr>
            <w:tcW w:w="931" w:type="dxa"/>
            <w:tcBorders>
              <w:top w:val="nil"/>
              <w:left w:val="nil"/>
              <w:bottom w:val="nil"/>
              <w:right w:val="nil"/>
            </w:tcBorders>
            <w:shd w:val="clear" w:color="auto" w:fill="auto"/>
            <w:noWrap/>
            <w:vAlign w:val="center"/>
            <w:hideMark/>
          </w:tcPr>
          <w:p w14:paraId="7F863CBC"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28.7%</w:t>
            </w:r>
          </w:p>
        </w:tc>
        <w:tc>
          <w:tcPr>
            <w:tcW w:w="932" w:type="dxa"/>
            <w:tcBorders>
              <w:top w:val="nil"/>
              <w:left w:val="nil"/>
              <w:bottom w:val="nil"/>
              <w:right w:val="nil"/>
            </w:tcBorders>
            <w:vAlign w:val="center"/>
          </w:tcPr>
          <w:p w14:paraId="5BD4EE62" w14:textId="77777777" w:rsidR="007171B9" w:rsidRPr="00292E2D" w:rsidRDefault="007171B9" w:rsidP="007171B9">
            <w:pPr>
              <w:jc w:val="right"/>
              <w:rPr>
                <w:rFonts w:ascii="Calibri" w:hAnsi="Calibri" w:cs="Calibri"/>
                <w:i/>
                <w:iCs/>
                <w:color w:val="000000"/>
                <w:sz w:val="18"/>
                <w:szCs w:val="18"/>
                <w:lang w:eastAsia="en-GB"/>
              </w:rPr>
            </w:pPr>
            <w:r>
              <w:rPr>
                <w:rFonts w:ascii="Calibri" w:hAnsi="Calibri" w:cs="Calibri"/>
                <w:i/>
                <w:iCs/>
                <w:color w:val="000000"/>
                <w:sz w:val="18"/>
                <w:szCs w:val="18"/>
              </w:rPr>
              <w:t>+230bps</w:t>
            </w:r>
          </w:p>
        </w:tc>
        <w:tc>
          <w:tcPr>
            <w:tcW w:w="933" w:type="dxa"/>
            <w:tcBorders>
              <w:top w:val="nil"/>
              <w:left w:val="nil"/>
              <w:bottom w:val="nil"/>
              <w:right w:val="single" w:sz="8" w:space="0" w:color="auto"/>
            </w:tcBorders>
            <w:shd w:val="clear" w:color="auto" w:fill="auto"/>
            <w:noWrap/>
            <w:vAlign w:val="center"/>
            <w:hideMark/>
          </w:tcPr>
          <w:p w14:paraId="12CA09A2"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+220bps</w:t>
            </w:r>
          </w:p>
        </w:tc>
      </w:tr>
      <w:tr w:rsidR="007171B9" w:rsidRPr="00292E2D" w14:paraId="580317D6"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17BBCABB"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1A5D1C76" w14:textId="77777777" w:rsidR="007171B9" w:rsidRPr="00292E2D" w:rsidRDefault="007171B9" w:rsidP="007171B9">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01199B03"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4E5C61C9"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49202F7E" w14:textId="77777777" w:rsidR="007171B9" w:rsidRPr="00292E2D" w:rsidRDefault="007171B9" w:rsidP="007171B9">
            <w:pPr>
              <w:jc w:val="right"/>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72CAC10C"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675CE61D" w14:textId="77777777" w:rsidR="007171B9" w:rsidRPr="00292E2D" w:rsidRDefault="007171B9" w:rsidP="007171B9">
            <w:pPr>
              <w:jc w:val="right"/>
              <w:rPr>
                <w:rFonts w:ascii="Calibri" w:hAnsi="Calibri" w:cs="Calibri"/>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71F4D101"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r>
      <w:tr w:rsidR="007171B9" w:rsidRPr="00292E2D" w14:paraId="44288193"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09B64BFB" w14:textId="77777777" w:rsidR="007171B9" w:rsidRPr="00292E2D" w:rsidRDefault="007171B9" w:rsidP="007171B9">
            <w:pPr>
              <w:jc w:val="both"/>
              <w:rPr>
                <w:rFonts w:ascii="Calibri" w:hAnsi="Calibri" w:cs="Calibri"/>
                <w:b/>
                <w:bCs/>
                <w:color w:val="000000"/>
                <w:sz w:val="20"/>
                <w:lang w:eastAsia="en-GB"/>
              </w:rPr>
            </w:pPr>
            <w:r w:rsidRPr="00292E2D">
              <w:rPr>
                <w:rFonts w:ascii="Calibri" w:hAnsi="Calibri" w:cs="Calibri"/>
                <w:b/>
                <w:bCs/>
                <w:color w:val="000000"/>
                <w:sz w:val="20"/>
                <w:lang w:eastAsia="en-GB"/>
              </w:rPr>
              <w:t>Gross profit</w:t>
            </w:r>
          </w:p>
        </w:tc>
        <w:tc>
          <w:tcPr>
            <w:tcW w:w="931" w:type="dxa"/>
            <w:tcBorders>
              <w:top w:val="nil"/>
              <w:left w:val="nil"/>
              <w:bottom w:val="nil"/>
              <w:right w:val="nil"/>
            </w:tcBorders>
            <w:shd w:val="clear" w:color="auto" w:fill="auto"/>
            <w:noWrap/>
            <w:vAlign w:val="center"/>
            <w:hideMark/>
          </w:tcPr>
          <w:p w14:paraId="318D8A7E"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1,026</w:t>
            </w:r>
          </w:p>
        </w:tc>
        <w:tc>
          <w:tcPr>
            <w:tcW w:w="932" w:type="dxa"/>
            <w:tcBorders>
              <w:top w:val="nil"/>
              <w:left w:val="nil"/>
              <w:bottom w:val="nil"/>
              <w:right w:val="nil"/>
            </w:tcBorders>
            <w:shd w:val="clear" w:color="auto" w:fill="auto"/>
            <w:noWrap/>
            <w:vAlign w:val="center"/>
            <w:hideMark/>
          </w:tcPr>
          <w:p w14:paraId="1E06C0FE"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719</w:t>
            </w:r>
          </w:p>
        </w:tc>
        <w:tc>
          <w:tcPr>
            <w:tcW w:w="931" w:type="dxa"/>
            <w:tcBorders>
              <w:top w:val="nil"/>
              <w:left w:val="nil"/>
              <w:bottom w:val="nil"/>
              <w:right w:val="single" w:sz="8" w:space="0" w:color="auto"/>
            </w:tcBorders>
            <w:shd w:val="clear" w:color="auto" w:fill="auto"/>
            <w:noWrap/>
            <w:vAlign w:val="center"/>
            <w:hideMark/>
          </w:tcPr>
          <w:p w14:paraId="0426931D"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+43%</w:t>
            </w:r>
          </w:p>
        </w:tc>
        <w:tc>
          <w:tcPr>
            <w:tcW w:w="932" w:type="dxa"/>
            <w:tcBorders>
              <w:top w:val="nil"/>
              <w:left w:val="nil"/>
              <w:bottom w:val="nil"/>
              <w:right w:val="nil"/>
            </w:tcBorders>
            <w:shd w:val="clear" w:color="auto" w:fill="auto"/>
            <w:noWrap/>
            <w:vAlign w:val="center"/>
            <w:hideMark/>
          </w:tcPr>
          <w:p w14:paraId="56E673E9"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1,650</w:t>
            </w:r>
          </w:p>
        </w:tc>
        <w:tc>
          <w:tcPr>
            <w:tcW w:w="931" w:type="dxa"/>
            <w:tcBorders>
              <w:top w:val="nil"/>
              <w:left w:val="nil"/>
              <w:bottom w:val="nil"/>
              <w:right w:val="nil"/>
            </w:tcBorders>
            <w:shd w:val="clear" w:color="auto" w:fill="auto"/>
            <w:noWrap/>
            <w:vAlign w:val="center"/>
            <w:hideMark/>
          </w:tcPr>
          <w:p w14:paraId="61F98A35"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1,409</w:t>
            </w:r>
          </w:p>
        </w:tc>
        <w:tc>
          <w:tcPr>
            <w:tcW w:w="932" w:type="dxa"/>
            <w:tcBorders>
              <w:top w:val="nil"/>
              <w:left w:val="nil"/>
              <w:bottom w:val="nil"/>
              <w:right w:val="nil"/>
            </w:tcBorders>
            <w:vAlign w:val="center"/>
          </w:tcPr>
          <w:p w14:paraId="3D3807EB"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sz w:val="20"/>
              </w:rPr>
              <w:t>+17%</w:t>
            </w:r>
          </w:p>
        </w:tc>
        <w:tc>
          <w:tcPr>
            <w:tcW w:w="933" w:type="dxa"/>
            <w:tcBorders>
              <w:top w:val="nil"/>
              <w:left w:val="nil"/>
              <w:bottom w:val="nil"/>
              <w:right w:val="single" w:sz="8" w:space="0" w:color="auto"/>
            </w:tcBorders>
            <w:shd w:val="clear" w:color="auto" w:fill="auto"/>
            <w:noWrap/>
            <w:vAlign w:val="center"/>
            <w:hideMark/>
          </w:tcPr>
          <w:p w14:paraId="29949518"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+18%</w:t>
            </w:r>
          </w:p>
        </w:tc>
      </w:tr>
      <w:tr w:rsidR="007171B9" w:rsidRPr="00292E2D" w14:paraId="3727014B"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60FFC5A8"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4F4EB564" w14:textId="77777777" w:rsidR="007171B9" w:rsidRPr="00292E2D" w:rsidRDefault="007171B9" w:rsidP="007171B9">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1991A4BB"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036966E4"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7D9CDAD8" w14:textId="77777777" w:rsidR="007171B9" w:rsidRPr="00292E2D" w:rsidRDefault="007171B9" w:rsidP="007171B9">
            <w:pPr>
              <w:jc w:val="right"/>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05847C25"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469B4BAB" w14:textId="77777777" w:rsidR="007171B9" w:rsidRPr="00292E2D" w:rsidRDefault="007171B9" w:rsidP="007171B9">
            <w:pPr>
              <w:jc w:val="right"/>
              <w:rPr>
                <w:rFonts w:ascii="Calibri" w:hAnsi="Calibri" w:cs="Calibri"/>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4EB2A9C0"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r>
      <w:tr w:rsidR="007171B9" w:rsidRPr="00292E2D" w14:paraId="5AEFD5A4"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6E696C37"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Sales and marketing</w:t>
            </w:r>
          </w:p>
        </w:tc>
        <w:tc>
          <w:tcPr>
            <w:tcW w:w="931" w:type="dxa"/>
            <w:tcBorders>
              <w:top w:val="nil"/>
              <w:left w:val="nil"/>
              <w:bottom w:val="nil"/>
              <w:right w:val="nil"/>
            </w:tcBorders>
            <w:shd w:val="clear" w:color="auto" w:fill="auto"/>
            <w:noWrap/>
            <w:vAlign w:val="center"/>
            <w:hideMark/>
          </w:tcPr>
          <w:p w14:paraId="5D696F3E"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(287)</w:t>
            </w:r>
          </w:p>
        </w:tc>
        <w:tc>
          <w:tcPr>
            <w:tcW w:w="932" w:type="dxa"/>
            <w:tcBorders>
              <w:top w:val="nil"/>
              <w:left w:val="nil"/>
              <w:bottom w:val="nil"/>
              <w:right w:val="nil"/>
            </w:tcBorders>
            <w:shd w:val="clear" w:color="auto" w:fill="auto"/>
            <w:noWrap/>
            <w:vAlign w:val="center"/>
            <w:hideMark/>
          </w:tcPr>
          <w:p w14:paraId="30DD81B4"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(214)</w:t>
            </w:r>
          </w:p>
        </w:tc>
        <w:tc>
          <w:tcPr>
            <w:tcW w:w="931" w:type="dxa"/>
            <w:tcBorders>
              <w:top w:val="nil"/>
              <w:left w:val="nil"/>
              <w:bottom w:val="nil"/>
              <w:right w:val="single" w:sz="8" w:space="0" w:color="auto"/>
            </w:tcBorders>
            <w:shd w:val="clear" w:color="auto" w:fill="auto"/>
            <w:noWrap/>
            <w:vAlign w:val="center"/>
            <w:hideMark/>
          </w:tcPr>
          <w:p w14:paraId="3CC5AA9C"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+34%</w:t>
            </w:r>
          </w:p>
        </w:tc>
        <w:tc>
          <w:tcPr>
            <w:tcW w:w="932" w:type="dxa"/>
            <w:tcBorders>
              <w:top w:val="nil"/>
              <w:left w:val="nil"/>
              <w:bottom w:val="nil"/>
              <w:right w:val="nil"/>
            </w:tcBorders>
            <w:shd w:val="clear" w:color="auto" w:fill="auto"/>
            <w:noWrap/>
            <w:vAlign w:val="center"/>
            <w:hideMark/>
          </w:tcPr>
          <w:p w14:paraId="062F02CF"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(42</w:t>
            </w:r>
            <w:r w:rsidR="007951EC">
              <w:rPr>
                <w:rFonts w:ascii="Calibri" w:hAnsi="Calibri" w:cs="Calibri"/>
                <w:sz w:val="20"/>
                <w:lang w:eastAsia="en-GB"/>
              </w:rPr>
              <w:t>6</w:t>
            </w:r>
            <w:r w:rsidRPr="00292E2D">
              <w:rPr>
                <w:rFonts w:ascii="Calibri" w:hAnsi="Calibri" w:cs="Calibri"/>
                <w:sz w:val="20"/>
                <w:lang w:eastAsia="en-GB"/>
              </w:rPr>
              <w:t>)</w:t>
            </w:r>
          </w:p>
        </w:tc>
        <w:tc>
          <w:tcPr>
            <w:tcW w:w="931" w:type="dxa"/>
            <w:tcBorders>
              <w:top w:val="nil"/>
              <w:left w:val="nil"/>
              <w:bottom w:val="nil"/>
              <w:right w:val="nil"/>
            </w:tcBorders>
            <w:shd w:val="clear" w:color="auto" w:fill="auto"/>
            <w:noWrap/>
            <w:vAlign w:val="center"/>
            <w:hideMark/>
          </w:tcPr>
          <w:p w14:paraId="548B7466"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(389)</w:t>
            </w:r>
          </w:p>
        </w:tc>
        <w:tc>
          <w:tcPr>
            <w:tcW w:w="932" w:type="dxa"/>
            <w:tcBorders>
              <w:top w:val="nil"/>
              <w:left w:val="nil"/>
              <w:bottom w:val="nil"/>
              <w:right w:val="nil"/>
            </w:tcBorders>
            <w:vAlign w:val="center"/>
          </w:tcPr>
          <w:p w14:paraId="04FD458D"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+9%</w:t>
            </w:r>
          </w:p>
        </w:tc>
        <w:tc>
          <w:tcPr>
            <w:tcW w:w="933" w:type="dxa"/>
            <w:tcBorders>
              <w:top w:val="nil"/>
              <w:left w:val="nil"/>
              <w:bottom w:val="nil"/>
              <w:right w:val="single" w:sz="8" w:space="0" w:color="auto"/>
            </w:tcBorders>
            <w:shd w:val="clear" w:color="auto" w:fill="auto"/>
            <w:noWrap/>
            <w:vAlign w:val="center"/>
            <w:hideMark/>
          </w:tcPr>
          <w:p w14:paraId="0361D332"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+10%</w:t>
            </w:r>
          </w:p>
        </w:tc>
      </w:tr>
      <w:tr w:rsidR="007171B9" w:rsidRPr="00292E2D" w14:paraId="319089BD"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3DE3E26C" w14:textId="77777777" w:rsidR="007171B9" w:rsidRPr="00292E2D" w:rsidRDefault="007171B9" w:rsidP="007171B9">
            <w:pPr>
              <w:jc w:val="both"/>
              <w:rPr>
                <w:rFonts w:ascii="Calibri" w:hAnsi="Calibri" w:cs="Calibri"/>
                <w:b/>
                <w:bCs/>
                <w:color w:val="000000"/>
                <w:sz w:val="20"/>
                <w:lang w:eastAsia="en-GB"/>
              </w:rPr>
            </w:pPr>
            <w:r w:rsidRPr="00292E2D">
              <w:rPr>
                <w:rFonts w:ascii="Calibri" w:hAnsi="Calibri" w:cs="Calibri"/>
                <w:b/>
                <w:bCs/>
                <w:color w:val="000000"/>
                <w:sz w:val="20"/>
                <w:lang w:eastAsia="en-GB"/>
              </w:rPr>
              <w:t>Contribution</w:t>
            </w:r>
          </w:p>
        </w:tc>
        <w:tc>
          <w:tcPr>
            <w:tcW w:w="931" w:type="dxa"/>
            <w:tcBorders>
              <w:top w:val="nil"/>
              <w:left w:val="nil"/>
              <w:bottom w:val="nil"/>
              <w:right w:val="nil"/>
            </w:tcBorders>
            <w:shd w:val="clear" w:color="auto" w:fill="auto"/>
            <w:noWrap/>
            <w:vAlign w:val="center"/>
            <w:hideMark/>
          </w:tcPr>
          <w:p w14:paraId="6A722E03"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740</w:t>
            </w:r>
          </w:p>
        </w:tc>
        <w:tc>
          <w:tcPr>
            <w:tcW w:w="932" w:type="dxa"/>
            <w:tcBorders>
              <w:top w:val="nil"/>
              <w:left w:val="nil"/>
              <w:bottom w:val="nil"/>
              <w:right w:val="nil"/>
            </w:tcBorders>
            <w:shd w:val="clear" w:color="auto" w:fill="auto"/>
            <w:noWrap/>
            <w:vAlign w:val="center"/>
            <w:hideMark/>
          </w:tcPr>
          <w:p w14:paraId="395C0EB1"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505</w:t>
            </w:r>
          </w:p>
        </w:tc>
        <w:tc>
          <w:tcPr>
            <w:tcW w:w="931" w:type="dxa"/>
            <w:tcBorders>
              <w:top w:val="nil"/>
              <w:left w:val="nil"/>
              <w:bottom w:val="nil"/>
              <w:right w:val="single" w:sz="8" w:space="0" w:color="auto"/>
            </w:tcBorders>
            <w:shd w:val="clear" w:color="auto" w:fill="auto"/>
            <w:noWrap/>
            <w:vAlign w:val="center"/>
            <w:hideMark/>
          </w:tcPr>
          <w:p w14:paraId="1BAC81D5"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+47%</w:t>
            </w:r>
          </w:p>
        </w:tc>
        <w:tc>
          <w:tcPr>
            <w:tcW w:w="932" w:type="dxa"/>
            <w:tcBorders>
              <w:top w:val="nil"/>
              <w:left w:val="nil"/>
              <w:bottom w:val="nil"/>
              <w:right w:val="nil"/>
            </w:tcBorders>
            <w:shd w:val="clear" w:color="auto" w:fill="auto"/>
            <w:noWrap/>
            <w:vAlign w:val="center"/>
            <w:hideMark/>
          </w:tcPr>
          <w:p w14:paraId="43FD8093"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1,22</w:t>
            </w:r>
            <w:r w:rsidR="007951EC">
              <w:rPr>
                <w:rFonts w:ascii="Calibri" w:hAnsi="Calibri" w:cs="Calibri"/>
                <w:b/>
                <w:bCs/>
                <w:sz w:val="20"/>
                <w:lang w:eastAsia="en-GB"/>
              </w:rPr>
              <w:t>4</w:t>
            </w:r>
          </w:p>
        </w:tc>
        <w:tc>
          <w:tcPr>
            <w:tcW w:w="931" w:type="dxa"/>
            <w:tcBorders>
              <w:top w:val="nil"/>
              <w:left w:val="nil"/>
              <w:bottom w:val="nil"/>
              <w:right w:val="nil"/>
            </w:tcBorders>
            <w:shd w:val="clear" w:color="auto" w:fill="auto"/>
            <w:noWrap/>
            <w:vAlign w:val="center"/>
            <w:hideMark/>
          </w:tcPr>
          <w:p w14:paraId="6F3A6A15"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1,020</w:t>
            </w:r>
          </w:p>
        </w:tc>
        <w:tc>
          <w:tcPr>
            <w:tcW w:w="932" w:type="dxa"/>
            <w:tcBorders>
              <w:top w:val="nil"/>
              <w:left w:val="nil"/>
              <w:bottom w:val="nil"/>
              <w:right w:val="nil"/>
            </w:tcBorders>
            <w:vAlign w:val="center"/>
          </w:tcPr>
          <w:p w14:paraId="2F0489F0"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sz w:val="20"/>
              </w:rPr>
              <w:t>+20%</w:t>
            </w:r>
          </w:p>
        </w:tc>
        <w:tc>
          <w:tcPr>
            <w:tcW w:w="933" w:type="dxa"/>
            <w:tcBorders>
              <w:top w:val="nil"/>
              <w:left w:val="nil"/>
              <w:bottom w:val="nil"/>
              <w:right w:val="single" w:sz="8" w:space="0" w:color="auto"/>
            </w:tcBorders>
            <w:shd w:val="clear" w:color="auto" w:fill="auto"/>
            <w:noWrap/>
            <w:vAlign w:val="center"/>
            <w:hideMark/>
          </w:tcPr>
          <w:p w14:paraId="5C2C7BA6"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+22%</w:t>
            </w:r>
          </w:p>
        </w:tc>
      </w:tr>
      <w:tr w:rsidR="007171B9" w:rsidRPr="00292E2D" w14:paraId="74495973"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1100E9DC"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6B185A5C" w14:textId="77777777" w:rsidR="007171B9" w:rsidRPr="00292E2D" w:rsidRDefault="007171B9" w:rsidP="007171B9">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204F7987"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23F5FE7F"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2F31086F" w14:textId="77777777" w:rsidR="007171B9" w:rsidRPr="00292E2D" w:rsidRDefault="007171B9" w:rsidP="007171B9">
            <w:pPr>
              <w:jc w:val="right"/>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071D49F1"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09AA5E33" w14:textId="77777777" w:rsidR="007171B9" w:rsidRPr="00292E2D" w:rsidRDefault="007171B9" w:rsidP="007171B9">
            <w:pPr>
              <w:jc w:val="right"/>
              <w:rPr>
                <w:rFonts w:ascii="Calibri" w:hAnsi="Calibri" w:cs="Calibri"/>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67EC6E1E"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r>
      <w:tr w:rsidR="007171B9" w:rsidRPr="00292E2D" w14:paraId="5B00BB3C"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3CF987D7"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Other operating costs</w:t>
            </w:r>
          </w:p>
        </w:tc>
        <w:tc>
          <w:tcPr>
            <w:tcW w:w="931" w:type="dxa"/>
            <w:tcBorders>
              <w:top w:val="nil"/>
              <w:left w:val="nil"/>
              <w:bottom w:val="nil"/>
              <w:right w:val="nil"/>
            </w:tcBorders>
            <w:shd w:val="clear" w:color="auto" w:fill="auto"/>
            <w:noWrap/>
            <w:vAlign w:val="center"/>
            <w:hideMark/>
          </w:tcPr>
          <w:p w14:paraId="4BDD0EB5"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(360)</w:t>
            </w:r>
          </w:p>
        </w:tc>
        <w:tc>
          <w:tcPr>
            <w:tcW w:w="932" w:type="dxa"/>
            <w:tcBorders>
              <w:top w:val="nil"/>
              <w:left w:val="nil"/>
              <w:bottom w:val="nil"/>
              <w:right w:val="nil"/>
            </w:tcBorders>
            <w:shd w:val="clear" w:color="auto" w:fill="auto"/>
            <w:noWrap/>
            <w:vAlign w:val="center"/>
            <w:hideMark/>
          </w:tcPr>
          <w:p w14:paraId="7A8A1A28" w14:textId="77777777" w:rsidR="007171B9" w:rsidRPr="00292E2D" w:rsidRDefault="007171B9" w:rsidP="00CA2EED">
            <w:pPr>
              <w:jc w:val="right"/>
              <w:rPr>
                <w:rFonts w:ascii="Calibri" w:hAnsi="Calibri" w:cs="Calibri"/>
                <w:sz w:val="20"/>
                <w:lang w:eastAsia="en-GB"/>
              </w:rPr>
            </w:pPr>
            <w:r w:rsidRPr="00292E2D">
              <w:rPr>
                <w:rFonts w:ascii="Calibri" w:hAnsi="Calibri" w:cs="Calibri"/>
                <w:sz w:val="20"/>
                <w:lang w:eastAsia="en-GB"/>
              </w:rPr>
              <w:t>(26</w:t>
            </w:r>
            <w:r w:rsidR="00CA2EED">
              <w:rPr>
                <w:rFonts w:ascii="Calibri" w:hAnsi="Calibri" w:cs="Calibri"/>
                <w:sz w:val="20"/>
                <w:lang w:eastAsia="en-GB"/>
              </w:rPr>
              <w:t>3</w:t>
            </w:r>
            <w:r w:rsidRPr="00292E2D">
              <w:rPr>
                <w:rFonts w:ascii="Calibri" w:hAnsi="Calibri" w:cs="Calibri"/>
                <w:sz w:val="20"/>
                <w:lang w:eastAsia="en-GB"/>
              </w:rPr>
              <w:t>)</w:t>
            </w:r>
          </w:p>
        </w:tc>
        <w:tc>
          <w:tcPr>
            <w:tcW w:w="931" w:type="dxa"/>
            <w:tcBorders>
              <w:top w:val="nil"/>
              <w:left w:val="nil"/>
              <w:bottom w:val="nil"/>
              <w:right w:val="single" w:sz="8" w:space="0" w:color="auto"/>
            </w:tcBorders>
            <w:shd w:val="clear" w:color="auto" w:fill="auto"/>
            <w:noWrap/>
            <w:vAlign w:val="center"/>
            <w:hideMark/>
          </w:tcPr>
          <w:p w14:paraId="1F1A59A8" w14:textId="77777777" w:rsidR="007171B9" w:rsidRPr="00292E2D" w:rsidRDefault="007171B9" w:rsidP="00CA2EED">
            <w:pPr>
              <w:jc w:val="right"/>
              <w:rPr>
                <w:rFonts w:ascii="Calibri" w:hAnsi="Calibri" w:cs="Calibri"/>
                <w:color w:val="000000"/>
                <w:sz w:val="20"/>
                <w:lang w:eastAsia="en-GB"/>
              </w:rPr>
            </w:pPr>
            <w:r w:rsidRPr="00292E2D">
              <w:rPr>
                <w:rFonts w:ascii="Calibri" w:hAnsi="Calibri" w:cs="Calibri"/>
                <w:color w:val="000000"/>
                <w:sz w:val="20"/>
                <w:lang w:eastAsia="en-GB"/>
              </w:rPr>
              <w:t>+3</w:t>
            </w:r>
            <w:r w:rsidR="00CA2EED">
              <w:rPr>
                <w:rFonts w:ascii="Calibri" w:hAnsi="Calibri" w:cs="Calibri"/>
                <w:color w:val="000000"/>
                <w:sz w:val="20"/>
                <w:lang w:eastAsia="en-GB"/>
              </w:rPr>
              <w:t>7</w:t>
            </w:r>
            <w:r w:rsidRPr="00292E2D">
              <w:rPr>
                <w:rFonts w:ascii="Calibri" w:hAnsi="Calibri" w:cs="Calibri"/>
                <w:color w:val="000000"/>
                <w:sz w:val="20"/>
                <w:lang w:eastAsia="en-GB"/>
              </w:rPr>
              <w:t>%</w:t>
            </w:r>
          </w:p>
        </w:tc>
        <w:tc>
          <w:tcPr>
            <w:tcW w:w="932" w:type="dxa"/>
            <w:tcBorders>
              <w:top w:val="nil"/>
              <w:left w:val="nil"/>
              <w:bottom w:val="nil"/>
              <w:right w:val="nil"/>
            </w:tcBorders>
            <w:shd w:val="clear" w:color="auto" w:fill="auto"/>
            <w:noWrap/>
            <w:vAlign w:val="center"/>
            <w:hideMark/>
          </w:tcPr>
          <w:p w14:paraId="50EE55E0" w14:textId="77777777" w:rsidR="007171B9" w:rsidRPr="00292E2D" w:rsidRDefault="007171B9">
            <w:pPr>
              <w:jc w:val="right"/>
              <w:rPr>
                <w:rFonts w:ascii="Calibri" w:hAnsi="Calibri" w:cs="Calibri"/>
                <w:sz w:val="20"/>
                <w:lang w:eastAsia="en-GB"/>
              </w:rPr>
            </w:pPr>
            <w:r w:rsidRPr="00292E2D">
              <w:rPr>
                <w:rFonts w:ascii="Calibri" w:hAnsi="Calibri" w:cs="Calibri"/>
                <w:sz w:val="20"/>
                <w:lang w:eastAsia="en-GB"/>
              </w:rPr>
              <w:t>(47</w:t>
            </w:r>
            <w:r w:rsidR="007951EC">
              <w:rPr>
                <w:rFonts w:ascii="Calibri" w:hAnsi="Calibri" w:cs="Calibri"/>
                <w:sz w:val="20"/>
                <w:lang w:eastAsia="en-GB"/>
              </w:rPr>
              <w:t>3</w:t>
            </w:r>
            <w:r w:rsidRPr="00292E2D">
              <w:rPr>
                <w:rFonts w:ascii="Calibri" w:hAnsi="Calibri" w:cs="Calibri"/>
                <w:sz w:val="20"/>
                <w:lang w:eastAsia="en-GB"/>
              </w:rPr>
              <w:t>)</w:t>
            </w:r>
          </w:p>
        </w:tc>
        <w:tc>
          <w:tcPr>
            <w:tcW w:w="931" w:type="dxa"/>
            <w:tcBorders>
              <w:top w:val="nil"/>
              <w:left w:val="nil"/>
              <w:bottom w:val="nil"/>
              <w:right w:val="nil"/>
            </w:tcBorders>
            <w:shd w:val="clear" w:color="auto" w:fill="auto"/>
            <w:noWrap/>
            <w:vAlign w:val="center"/>
            <w:hideMark/>
          </w:tcPr>
          <w:p w14:paraId="62615607"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(435)</w:t>
            </w:r>
          </w:p>
        </w:tc>
        <w:tc>
          <w:tcPr>
            <w:tcW w:w="932" w:type="dxa"/>
            <w:tcBorders>
              <w:top w:val="nil"/>
              <w:left w:val="nil"/>
              <w:bottom w:val="nil"/>
              <w:right w:val="nil"/>
            </w:tcBorders>
            <w:vAlign w:val="center"/>
          </w:tcPr>
          <w:p w14:paraId="4B2E3AB6"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+9%</w:t>
            </w:r>
          </w:p>
        </w:tc>
        <w:tc>
          <w:tcPr>
            <w:tcW w:w="933" w:type="dxa"/>
            <w:tcBorders>
              <w:top w:val="nil"/>
              <w:left w:val="nil"/>
              <w:bottom w:val="nil"/>
              <w:right w:val="single" w:sz="8" w:space="0" w:color="auto"/>
            </w:tcBorders>
            <w:shd w:val="clear" w:color="auto" w:fill="auto"/>
            <w:noWrap/>
            <w:vAlign w:val="center"/>
            <w:hideMark/>
          </w:tcPr>
          <w:p w14:paraId="478F2EBC"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+9%</w:t>
            </w:r>
          </w:p>
        </w:tc>
      </w:tr>
      <w:tr w:rsidR="007171B9" w:rsidRPr="00292E2D" w14:paraId="59A2640F"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461BDDF0"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C</w:t>
            </w:r>
            <w:r>
              <w:rPr>
                <w:rFonts w:ascii="Calibri" w:hAnsi="Calibri" w:cs="Calibri"/>
                <w:color w:val="000000"/>
                <w:sz w:val="20"/>
                <w:lang w:eastAsia="en-GB"/>
              </w:rPr>
              <w:t>orporate</w:t>
            </w:r>
            <w:r w:rsidRPr="00292E2D">
              <w:rPr>
                <w:rFonts w:ascii="Calibri" w:hAnsi="Calibri" w:cs="Calibri"/>
                <w:color w:val="000000"/>
                <w:sz w:val="20"/>
                <w:lang w:eastAsia="en-GB"/>
              </w:rPr>
              <w:t xml:space="preserve"> costs</w:t>
            </w:r>
          </w:p>
        </w:tc>
        <w:tc>
          <w:tcPr>
            <w:tcW w:w="931" w:type="dxa"/>
            <w:tcBorders>
              <w:top w:val="nil"/>
              <w:left w:val="nil"/>
              <w:bottom w:val="single" w:sz="8" w:space="0" w:color="auto"/>
              <w:right w:val="nil"/>
            </w:tcBorders>
            <w:shd w:val="clear" w:color="auto" w:fill="auto"/>
            <w:noWrap/>
            <w:vAlign w:val="center"/>
            <w:hideMark/>
          </w:tcPr>
          <w:p w14:paraId="361E24AB"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(38)</w:t>
            </w:r>
          </w:p>
        </w:tc>
        <w:tc>
          <w:tcPr>
            <w:tcW w:w="932" w:type="dxa"/>
            <w:tcBorders>
              <w:top w:val="nil"/>
              <w:left w:val="nil"/>
              <w:bottom w:val="single" w:sz="8" w:space="0" w:color="auto"/>
              <w:right w:val="nil"/>
            </w:tcBorders>
            <w:shd w:val="clear" w:color="auto" w:fill="auto"/>
            <w:noWrap/>
            <w:vAlign w:val="center"/>
            <w:hideMark/>
          </w:tcPr>
          <w:p w14:paraId="3D717DDA"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(26)</w:t>
            </w:r>
          </w:p>
        </w:tc>
        <w:tc>
          <w:tcPr>
            <w:tcW w:w="931" w:type="dxa"/>
            <w:tcBorders>
              <w:top w:val="nil"/>
              <w:left w:val="nil"/>
              <w:bottom w:val="single" w:sz="8" w:space="0" w:color="auto"/>
              <w:right w:val="single" w:sz="8" w:space="0" w:color="auto"/>
            </w:tcBorders>
            <w:shd w:val="clear" w:color="auto" w:fill="auto"/>
            <w:noWrap/>
            <w:vAlign w:val="center"/>
            <w:hideMark/>
          </w:tcPr>
          <w:p w14:paraId="45F5E3D8"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+45%</w:t>
            </w:r>
          </w:p>
        </w:tc>
        <w:tc>
          <w:tcPr>
            <w:tcW w:w="932" w:type="dxa"/>
            <w:tcBorders>
              <w:top w:val="nil"/>
              <w:left w:val="nil"/>
              <w:bottom w:val="single" w:sz="8" w:space="0" w:color="auto"/>
              <w:right w:val="nil"/>
            </w:tcBorders>
            <w:shd w:val="clear" w:color="auto" w:fill="auto"/>
            <w:noWrap/>
            <w:vAlign w:val="center"/>
            <w:hideMark/>
          </w:tcPr>
          <w:p w14:paraId="0532B289"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(67)</w:t>
            </w:r>
          </w:p>
        </w:tc>
        <w:tc>
          <w:tcPr>
            <w:tcW w:w="931" w:type="dxa"/>
            <w:tcBorders>
              <w:top w:val="nil"/>
              <w:left w:val="nil"/>
              <w:bottom w:val="single" w:sz="8" w:space="0" w:color="auto"/>
              <w:right w:val="nil"/>
            </w:tcBorders>
            <w:shd w:val="clear" w:color="auto" w:fill="auto"/>
            <w:noWrap/>
            <w:vAlign w:val="center"/>
            <w:hideMark/>
          </w:tcPr>
          <w:p w14:paraId="04F7D5D0"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(62)</w:t>
            </w:r>
          </w:p>
        </w:tc>
        <w:tc>
          <w:tcPr>
            <w:tcW w:w="932" w:type="dxa"/>
            <w:tcBorders>
              <w:top w:val="nil"/>
              <w:left w:val="nil"/>
              <w:bottom w:val="single" w:sz="8" w:space="0" w:color="auto"/>
              <w:right w:val="nil"/>
            </w:tcBorders>
            <w:vAlign w:val="center"/>
          </w:tcPr>
          <w:p w14:paraId="32D24E33"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+9%</w:t>
            </w:r>
          </w:p>
        </w:tc>
        <w:tc>
          <w:tcPr>
            <w:tcW w:w="933" w:type="dxa"/>
            <w:tcBorders>
              <w:top w:val="nil"/>
              <w:left w:val="nil"/>
              <w:bottom w:val="single" w:sz="8" w:space="0" w:color="auto"/>
              <w:right w:val="single" w:sz="8" w:space="0" w:color="auto"/>
            </w:tcBorders>
            <w:shd w:val="clear" w:color="auto" w:fill="auto"/>
            <w:noWrap/>
            <w:vAlign w:val="center"/>
            <w:hideMark/>
          </w:tcPr>
          <w:p w14:paraId="490ED8DD"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+7%</w:t>
            </w:r>
          </w:p>
        </w:tc>
      </w:tr>
      <w:tr w:rsidR="007171B9" w:rsidRPr="00292E2D" w14:paraId="61267BC2"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45E5821E" w14:textId="77777777" w:rsidR="007171B9" w:rsidRPr="00292E2D" w:rsidRDefault="007171B9" w:rsidP="007171B9">
            <w:pPr>
              <w:jc w:val="both"/>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10BD9D9B" w14:textId="77777777" w:rsidR="007171B9" w:rsidRPr="00292E2D" w:rsidRDefault="007171B9" w:rsidP="007171B9">
            <w:pPr>
              <w:jc w:val="both"/>
              <w:rPr>
                <w:rFonts w:ascii="Calibri" w:hAnsi="Calibri" w:cs="Calibri"/>
                <w:b/>
                <w:bCs/>
                <w:color w:val="000000"/>
                <w:sz w:val="2"/>
                <w:szCs w:val="2"/>
                <w:lang w:eastAsia="en-GB"/>
              </w:rPr>
            </w:pPr>
          </w:p>
        </w:tc>
        <w:tc>
          <w:tcPr>
            <w:tcW w:w="932" w:type="dxa"/>
            <w:tcBorders>
              <w:top w:val="nil"/>
              <w:left w:val="nil"/>
              <w:bottom w:val="nil"/>
              <w:right w:val="nil"/>
            </w:tcBorders>
            <w:shd w:val="clear" w:color="auto" w:fill="auto"/>
            <w:noWrap/>
            <w:vAlign w:val="center"/>
            <w:hideMark/>
          </w:tcPr>
          <w:p w14:paraId="5553FB94"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11E7466B" w14:textId="77777777" w:rsidR="007171B9" w:rsidRPr="00292E2D" w:rsidRDefault="007171B9" w:rsidP="007171B9">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70852EB1" w14:textId="77777777" w:rsidR="007171B9" w:rsidRPr="00292E2D" w:rsidRDefault="007171B9" w:rsidP="007171B9">
            <w:pPr>
              <w:jc w:val="right"/>
              <w:rPr>
                <w:rFonts w:ascii="Calibri" w:hAnsi="Calibri" w:cs="Calibri"/>
                <w:b/>
                <w:bCs/>
                <w:color w:val="000000"/>
                <w:sz w:val="2"/>
                <w:szCs w:val="2"/>
                <w:lang w:eastAsia="en-GB"/>
              </w:rPr>
            </w:pPr>
          </w:p>
        </w:tc>
        <w:tc>
          <w:tcPr>
            <w:tcW w:w="931" w:type="dxa"/>
            <w:tcBorders>
              <w:top w:val="nil"/>
              <w:left w:val="nil"/>
              <w:bottom w:val="nil"/>
              <w:right w:val="nil"/>
            </w:tcBorders>
            <w:shd w:val="clear" w:color="auto" w:fill="auto"/>
            <w:noWrap/>
            <w:vAlign w:val="center"/>
            <w:hideMark/>
          </w:tcPr>
          <w:p w14:paraId="405D2281"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50017F69" w14:textId="77777777" w:rsidR="007171B9" w:rsidRPr="00292E2D" w:rsidRDefault="007171B9" w:rsidP="007171B9">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6481C319" w14:textId="77777777" w:rsidR="007171B9" w:rsidRPr="00292E2D" w:rsidRDefault="007171B9" w:rsidP="007171B9">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7171B9" w:rsidRPr="00292E2D" w14:paraId="5E234E06"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1C66ADFA" w14:textId="77777777" w:rsidR="007171B9" w:rsidRPr="00292E2D" w:rsidRDefault="007171B9" w:rsidP="007171B9">
            <w:pPr>
              <w:jc w:val="both"/>
              <w:rPr>
                <w:rFonts w:ascii="Calibri" w:hAnsi="Calibri" w:cs="Calibri"/>
                <w:b/>
                <w:bCs/>
                <w:color w:val="000000"/>
                <w:sz w:val="20"/>
                <w:lang w:eastAsia="en-GB"/>
              </w:rPr>
            </w:pPr>
            <w:r w:rsidRPr="00292E2D">
              <w:rPr>
                <w:rFonts w:ascii="Calibri" w:hAnsi="Calibri" w:cs="Calibri"/>
                <w:b/>
                <w:bCs/>
                <w:color w:val="000000"/>
                <w:sz w:val="20"/>
                <w:lang w:eastAsia="en-GB"/>
              </w:rPr>
              <w:t>Adjusted EBITDA</w:t>
            </w:r>
            <w:r w:rsidRPr="00292E2D">
              <w:rPr>
                <w:rFonts w:ascii="Calibri" w:hAnsi="Calibri" w:cs="Calibri"/>
                <w:b/>
                <w:bCs/>
                <w:color w:val="000000"/>
                <w:sz w:val="20"/>
                <w:vertAlign w:val="superscript"/>
                <w:lang w:eastAsia="en-GB"/>
              </w:rPr>
              <w:t>1,2</w:t>
            </w:r>
          </w:p>
        </w:tc>
        <w:tc>
          <w:tcPr>
            <w:tcW w:w="931" w:type="dxa"/>
            <w:tcBorders>
              <w:top w:val="nil"/>
              <w:left w:val="nil"/>
              <w:bottom w:val="nil"/>
              <w:right w:val="nil"/>
            </w:tcBorders>
            <w:shd w:val="clear" w:color="auto" w:fill="auto"/>
            <w:noWrap/>
            <w:vAlign w:val="center"/>
            <w:hideMark/>
          </w:tcPr>
          <w:p w14:paraId="2A2D03E6"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342</w:t>
            </w:r>
          </w:p>
        </w:tc>
        <w:tc>
          <w:tcPr>
            <w:tcW w:w="932" w:type="dxa"/>
            <w:tcBorders>
              <w:top w:val="nil"/>
              <w:left w:val="nil"/>
              <w:bottom w:val="nil"/>
              <w:right w:val="nil"/>
            </w:tcBorders>
            <w:shd w:val="clear" w:color="auto" w:fill="auto"/>
            <w:noWrap/>
            <w:vAlign w:val="center"/>
            <w:hideMark/>
          </w:tcPr>
          <w:p w14:paraId="1BFB4B40"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216</w:t>
            </w:r>
          </w:p>
        </w:tc>
        <w:tc>
          <w:tcPr>
            <w:tcW w:w="931" w:type="dxa"/>
            <w:tcBorders>
              <w:top w:val="nil"/>
              <w:left w:val="nil"/>
              <w:bottom w:val="nil"/>
              <w:right w:val="single" w:sz="8" w:space="0" w:color="auto"/>
            </w:tcBorders>
            <w:shd w:val="clear" w:color="auto" w:fill="auto"/>
            <w:noWrap/>
            <w:vAlign w:val="center"/>
            <w:hideMark/>
          </w:tcPr>
          <w:p w14:paraId="12828EAD" w14:textId="77777777" w:rsidR="007171B9" w:rsidRPr="00292E2D" w:rsidRDefault="007171B9" w:rsidP="00CA2EED">
            <w:pPr>
              <w:jc w:val="right"/>
              <w:rPr>
                <w:rFonts w:ascii="Calibri" w:hAnsi="Calibri" w:cs="Calibri"/>
                <w:b/>
                <w:bCs/>
                <w:color w:val="000000"/>
                <w:sz w:val="20"/>
                <w:lang w:eastAsia="en-GB"/>
              </w:rPr>
            </w:pPr>
            <w:r w:rsidRPr="00292E2D">
              <w:rPr>
                <w:rFonts w:ascii="Calibri" w:hAnsi="Calibri" w:cs="Calibri"/>
                <w:b/>
                <w:bCs/>
                <w:color w:val="000000"/>
                <w:sz w:val="20"/>
                <w:lang w:eastAsia="en-GB"/>
              </w:rPr>
              <w:t>+5</w:t>
            </w:r>
            <w:r w:rsidR="00CA2EED">
              <w:rPr>
                <w:rFonts w:ascii="Calibri" w:hAnsi="Calibri" w:cs="Calibri"/>
                <w:b/>
                <w:bCs/>
                <w:color w:val="000000"/>
                <w:sz w:val="20"/>
                <w:lang w:eastAsia="en-GB"/>
              </w:rPr>
              <w:t>9</w:t>
            </w:r>
            <w:r w:rsidRPr="00292E2D">
              <w:rPr>
                <w:rFonts w:ascii="Calibri" w:hAnsi="Calibri" w:cs="Calibri"/>
                <w:b/>
                <w:bCs/>
                <w:color w:val="000000"/>
                <w:sz w:val="20"/>
                <w:lang w:eastAsia="en-GB"/>
              </w:rPr>
              <w:t>%</w:t>
            </w:r>
          </w:p>
        </w:tc>
        <w:tc>
          <w:tcPr>
            <w:tcW w:w="932" w:type="dxa"/>
            <w:tcBorders>
              <w:top w:val="nil"/>
              <w:left w:val="nil"/>
              <w:bottom w:val="nil"/>
              <w:right w:val="nil"/>
            </w:tcBorders>
            <w:shd w:val="clear" w:color="auto" w:fill="auto"/>
            <w:noWrap/>
            <w:vAlign w:val="center"/>
            <w:hideMark/>
          </w:tcPr>
          <w:p w14:paraId="35A82DB5"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684</w:t>
            </w:r>
          </w:p>
        </w:tc>
        <w:tc>
          <w:tcPr>
            <w:tcW w:w="931" w:type="dxa"/>
            <w:tcBorders>
              <w:top w:val="nil"/>
              <w:left w:val="nil"/>
              <w:bottom w:val="nil"/>
              <w:right w:val="nil"/>
            </w:tcBorders>
            <w:shd w:val="clear" w:color="auto" w:fill="auto"/>
            <w:noWrap/>
            <w:vAlign w:val="center"/>
            <w:hideMark/>
          </w:tcPr>
          <w:p w14:paraId="0FEE4EB3"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523</w:t>
            </w:r>
          </w:p>
        </w:tc>
        <w:tc>
          <w:tcPr>
            <w:tcW w:w="932" w:type="dxa"/>
            <w:tcBorders>
              <w:top w:val="nil"/>
              <w:left w:val="nil"/>
              <w:bottom w:val="nil"/>
              <w:right w:val="nil"/>
            </w:tcBorders>
            <w:vAlign w:val="center"/>
          </w:tcPr>
          <w:p w14:paraId="444DE99E"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sz w:val="20"/>
              </w:rPr>
              <w:t>+31%</w:t>
            </w:r>
          </w:p>
        </w:tc>
        <w:tc>
          <w:tcPr>
            <w:tcW w:w="933" w:type="dxa"/>
            <w:tcBorders>
              <w:top w:val="nil"/>
              <w:left w:val="nil"/>
              <w:bottom w:val="nil"/>
              <w:right w:val="single" w:sz="8" w:space="0" w:color="auto"/>
            </w:tcBorders>
            <w:shd w:val="clear" w:color="auto" w:fill="auto"/>
            <w:noWrap/>
            <w:vAlign w:val="center"/>
            <w:hideMark/>
          </w:tcPr>
          <w:p w14:paraId="7C081BE6"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+35%</w:t>
            </w:r>
          </w:p>
        </w:tc>
      </w:tr>
      <w:tr w:rsidR="007171B9" w:rsidRPr="00292E2D" w14:paraId="7B798B84"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0B75259B" w14:textId="77777777" w:rsidR="007171B9" w:rsidRPr="00292E2D" w:rsidRDefault="007171B9" w:rsidP="007171B9">
            <w:pPr>
              <w:jc w:val="both"/>
              <w:rPr>
                <w:rFonts w:ascii="Calibri" w:hAnsi="Calibri" w:cs="Calibri"/>
                <w:i/>
                <w:iCs/>
                <w:color w:val="000000"/>
                <w:sz w:val="18"/>
                <w:szCs w:val="18"/>
                <w:lang w:eastAsia="en-GB"/>
              </w:rPr>
            </w:pPr>
            <w:r>
              <w:rPr>
                <w:rFonts w:ascii="Calibri" w:hAnsi="Calibri" w:cs="Calibri"/>
                <w:i/>
                <w:iCs/>
                <w:color w:val="000000"/>
                <w:sz w:val="18"/>
                <w:szCs w:val="18"/>
                <w:lang w:eastAsia="en-GB"/>
              </w:rPr>
              <w:t>Adjusted EBITDA margin</w:t>
            </w:r>
          </w:p>
        </w:tc>
        <w:tc>
          <w:tcPr>
            <w:tcW w:w="931" w:type="dxa"/>
            <w:tcBorders>
              <w:top w:val="nil"/>
              <w:left w:val="nil"/>
              <w:bottom w:val="nil"/>
              <w:right w:val="nil"/>
            </w:tcBorders>
            <w:shd w:val="clear" w:color="auto" w:fill="auto"/>
            <w:noWrap/>
            <w:vAlign w:val="center"/>
            <w:hideMark/>
          </w:tcPr>
          <w:p w14:paraId="28307497" w14:textId="77777777" w:rsidR="007171B9" w:rsidRPr="00292E2D" w:rsidRDefault="007171B9" w:rsidP="007171B9">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22.4%</w:t>
            </w:r>
          </w:p>
        </w:tc>
        <w:tc>
          <w:tcPr>
            <w:tcW w:w="932" w:type="dxa"/>
            <w:tcBorders>
              <w:top w:val="nil"/>
              <w:left w:val="nil"/>
              <w:bottom w:val="nil"/>
              <w:right w:val="nil"/>
            </w:tcBorders>
            <w:shd w:val="clear" w:color="auto" w:fill="auto"/>
            <w:noWrap/>
            <w:vAlign w:val="center"/>
            <w:hideMark/>
          </w:tcPr>
          <w:p w14:paraId="65F5910E" w14:textId="77777777" w:rsidR="007171B9" w:rsidRPr="00292E2D" w:rsidRDefault="007171B9" w:rsidP="00CA2EED">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21.</w:t>
            </w:r>
            <w:r w:rsidR="00CA2EED">
              <w:rPr>
                <w:rFonts w:ascii="Calibri" w:hAnsi="Calibri" w:cs="Calibri"/>
                <w:i/>
                <w:iCs/>
                <w:color w:val="000000"/>
                <w:sz w:val="18"/>
                <w:szCs w:val="18"/>
                <w:lang w:eastAsia="en-GB"/>
              </w:rPr>
              <w:t>1</w:t>
            </w:r>
            <w:r w:rsidRPr="00292E2D">
              <w:rPr>
                <w:rFonts w:ascii="Calibri" w:hAnsi="Calibri" w:cs="Calibri"/>
                <w:i/>
                <w:iCs/>
                <w:color w:val="000000"/>
                <w:sz w:val="18"/>
                <w:szCs w:val="18"/>
                <w:lang w:eastAsia="en-GB"/>
              </w:rPr>
              <w:t>%</w:t>
            </w:r>
          </w:p>
        </w:tc>
        <w:tc>
          <w:tcPr>
            <w:tcW w:w="931" w:type="dxa"/>
            <w:tcBorders>
              <w:top w:val="nil"/>
              <w:left w:val="nil"/>
              <w:bottom w:val="nil"/>
              <w:right w:val="single" w:sz="8" w:space="0" w:color="auto"/>
            </w:tcBorders>
            <w:shd w:val="clear" w:color="auto" w:fill="auto"/>
            <w:noWrap/>
            <w:vAlign w:val="center"/>
            <w:hideMark/>
          </w:tcPr>
          <w:p w14:paraId="18CABBE0" w14:textId="77777777" w:rsidR="007171B9" w:rsidRPr="00292E2D" w:rsidRDefault="007171B9" w:rsidP="00CA2EED">
            <w:pPr>
              <w:jc w:val="right"/>
              <w:rPr>
                <w:rFonts w:ascii="Calibri" w:hAnsi="Calibri" w:cs="Calibri"/>
                <w:i/>
                <w:iCs/>
                <w:color w:val="000000"/>
                <w:sz w:val="18"/>
                <w:szCs w:val="18"/>
                <w:lang w:eastAsia="en-GB"/>
              </w:rPr>
            </w:pPr>
            <w:r w:rsidRPr="00292E2D">
              <w:rPr>
                <w:rFonts w:ascii="Calibri" w:hAnsi="Calibri" w:cs="Calibri"/>
                <w:i/>
                <w:iCs/>
                <w:color w:val="000000"/>
                <w:sz w:val="18"/>
                <w:szCs w:val="18"/>
                <w:lang w:eastAsia="en-GB"/>
              </w:rPr>
              <w:t>+1</w:t>
            </w:r>
            <w:r w:rsidR="00CA2EED">
              <w:rPr>
                <w:rFonts w:ascii="Calibri" w:hAnsi="Calibri" w:cs="Calibri"/>
                <w:i/>
                <w:iCs/>
                <w:color w:val="000000"/>
                <w:sz w:val="18"/>
                <w:szCs w:val="18"/>
                <w:lang w:eastAsia="en-GB"/>
              </w:rPr>
              <w:t>3</w:t>
            </w:r>
            <w:r w:rsidRPr="00292E2D">
              <w:rPr>
                <w:rFonts w:ascii="Calibri" w:hAnsi="Calibri" w:cs="Calibri"/>
                <w:i/>
                <w:iCs/>
                <w:color w:val="000000"/>
                <w:sz w:val="18"/>
                <w:szCs w:val="18"/>
                <w:lang w:eastAsia="en-GB"/>
              </w:rPr>
              <w:t>0bps</w:t>
            </w:r>
          </w:p>
        </w:tc>
        <w:tc>
          <w:tcPr>
            <w:tcW w:w="932" w:type="dxa"/>
            <w:tcBorders>
              <w:top w:val="nil"/>
              <w:left w:val="nil"/>
              <w:bottom w:val="nil"/>
              <w:right w:val="nil"/>
            </w:tcBorders>
            <w:shd w:val="clear" w:color="auto" w:fill="auto"/>
            <w:noWrap/>
            <w:vAlign w:val="center"/>
            <w:hideMark/>
          </w:tcPr>
          <w:p w14:paraId="34964888" w14:textId="77777777" w:rsidR="007171B9" w:rsidRPr="00F80D8F" w:rsidRDefault="007171B9" w:rsidP="007171B9">
            <w:pPr>
              <w:jc w:val="right"/>
              <w:rPr>
                <w:rFonts w:ascii="Calibri" w:hAnsi="Calibri" w:cs="Calibri"/>
                <w:i/>
                <w:iCs/>
                <w:color w:val="000000"/>
                <w:sz w:val="18"/>
                <w:szCs w:val="18"/>
                <w:lang w:eastAsia="en-GB"/>
              </w:rPr>
            </w:pPr>
            <w:r w:rsidRPr="00F80D8F">
              <w:rPr>
                <w:rFonts w:ascii="Calibri" w:hAnsi="Calibri" w:cs="Calibri"/>
                <w:i/>
                <w:iCs/>
                <w:color w:val="000000"/>
                <w:sz w:val="18"/>
                <w:szCs w:val="18"/>
                <w:lang w:eastAsia="en-GB"/>
              </w:rPr>
              <w:t>28.6%</w:t>
            </w:r>
          </w:p>
        </w:tc>
        <w:tc>
          <w:tcPr>
            <w:tcW w:w="931" w:type="dxa"/>
            <w:tcBorders>
              <w:top w:val="nil"/>
              <w:left w:val="nil"/>
              <w:bottom w:val="nil"/>
              <w:right w:val="nil"/>
            </w:tcBorders>
            <w:shd w:val="clear" w:color="auto" w:fill="auto"/>
            <w:noWrap/>
            <w:vAlign w:val="center"/>
            <w:hideMark/>
          </w:tcPr>
          <w:p w14:paraId="0469602D" w14:textId="77777777" w:rsidR="007171B9" w:rsidRPr="00434F16" w:rsidRDefault="007171B9" w:rsidP="007171B9">
            <w:pPr>
              <w:jc w:val="right"/>
              <w:rPr>
                <w:rFonts w:ascii="Calibri" w:hAnsi="Calibri" w:cs="Calibri"/>
                <w:i/>
                <w:iCs/>
                <w:color w:val="000000"/>
                <w:sz w:val="18"/>
                <w:szCs w:val="18"/>
                <w:lang w:eastAsia="en-GB"/>
              </w:rPr>
            </w:pPr>
            <w:r w:rsidRPr="00434F16">
              <w:rPr>
                <w:rFonts w:ascii="Calibri" w:hAnsi="Calibri" w:cs="Calibri"/>
                <w:i/>
                <w:iCs/>
                <w:color w:val="000000"/>
                <w:sz w:val="18"/>
                <w:szCs w:val="18"/>
                <w:lang w:eastAsia="en-GB"/>
              </w:rPr>
              <w:t>26.5%</w:t>
            </w:r>
          </w:p>
        </w:tc>
        <w:tc>
          <w:tcPr>
            <w:tcW w:w="932" w:type="dxa"/>
            <w:tcBorders>
              <w:top w:val="nil"/>
              <w:left w:val="nil"/>
              <w:bottom w:val="nil"/>
              <w:right w:val="nil"/>
            </w:tcBorders>
            <w:vAlign w:val="center"/>
          </w:tcPr>
          <w:p w14:paraId="599B5EDC" w14:textId="77777777" w:rsidR="007171B9" w:rsidRPr="00047C0A" w:rsidRDefault="007171B9" w:rsidP="007171B9">
            <w:pPr>
              <w:jc w:val="right"/>
              <w:rPr>
                <w:rFonts w:ascii="Calibri" w:hAnsi="Calibri" w:cs="Calibri"/>
                <w:i/>
                <w:iCs/>
                <w:color w:val="000000"/>
                <w:sz w:val="18"/>
                <w:szCs w:val="18"/>
                <w:lang w:eastAsia="en-GB"/>
              </w:rPr>
            </w:pPr>
            <w:r w:rsidRPr="00434F16">
              <w:rPr>
                <w:rFonts w:ascii="Calibri" w:hAnsi="Calibri" w:cs="Calibri"/>
                <w:i/>
                <w:iCs/>
                <w:color w:val="000000"/>
                <w:sz w:val="18"/>
                <w:szCs w:val="18"/>
              </w:rPr>
              <w:t>+210bps</w:t>
            </w:r>
          </w:p>
        </w:tc>
        <w:tc>
          <w:tcPr>
            <w:tcW w:w="933" w:type="dxa"/>
            <w:tcBorders>
              <w:top w:val="nil"/>
              <w:left w:val="nil"/>
              <w:bottom w:val="nil"/>
              <w:right w:val="single" w:sz="8" w:space="0" w:color="auto"/>
            </w:tcBorders>
            <w:shd w:val="clear" w:color="auto" w:fill="auto"/>
            <w:noWrap/>
            <w:vAlign w:val="center"/>
            <w:hideMark/>
          </w:tcPr>
          <w:p w14:paraId="389306D2" w14:textId="77777777" w:rsidR="007171B9" w:rsidRPr="00F80D8F" w:rsidRDefault="007171B9" w:rsidP="007171B9">
            <w:pPr>
              <w:jc w:val="right"/>
              <w:rPr>
                <w:rFonts w:ascii="Calibri" w:hAnsi="Calibri" w:cs="Calibri"/>
                <w:i/>
                <w:iCs/>
                <w:color w:val="000000"/>
                <w:sz w:val="18"/>
                <w:szCs w:val="18"/>
                <w:lang w:eastAsia="en-GB"/>
              </w:rPr>
            </w:pPr>
            <w:r w:rsidRPr="00F80D8F">
              <w:rPr>
                <w:rFonts w:ascii="Calibri" w:hAnsi="Calibri" w:cs="Calibri"/>
                <w:i/>
                <w:iCs/>
                <w:color w:val="000000"/>
                <w:sz w:val="18"/>
                <w:szCs w:val="18"/>
                <w:lang w:eastAsia="en-GB"/>
              </w:rPr>
              <w:t>+260bps</w:t>
            </w:r>
          </w:p>
        </w:tc>
      </w:tr>
      <w:tr w:rsidR="007171B9" w:rsidRPr="00292E2D" w14:paraId="5CF2C8B8"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00EA3002"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33406351" w14:textId="77777777" w:rsidR="007171B9" w:rsidRPr="00292E2D" w:rsidRDefault="007171B9" w:rsidP="007171B9">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482EE2CF"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49BFF002"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636765ED" w14:textId="77777777" w:rsidR="007171B9" w:rsidRPr="00292E2D" w:rsidRDefault="007171B9" w:rsidP="007171B9">
            <w:pPr>
              <w:jc w:val="right"/>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10BE0FD7"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66725D4E" w14:textId="77777777" w:rsidR="007171B9" w:rsidRPr="00292E2D" w:rsidRDefault="007171B9" w:rsidP="007171B9">
            <w:pPr>
              <w:jc w:val="right"/>
              <w:rPr>
                <w:rFonts w:ascii="Calibri" w:hAnsi="Calibri" w:cs="Calibri"/>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4C726E00"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r>
      <w:tr w:rsidR="007171B9" w:rsidRPr="00292E2D" w14:paraId="58EC08A6"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690B2910" w14:textId="77777777" w:rsidR="007171B9" w:rsidRPr="00292E2D" w:rsidRDefault="007171B9" w:rsidP="007171B9">
            <w:pPr>
              <w:jc w:val="both"/>
              <w:rPr>
                <w:rFonts w:ascii="Calibri" w:hAnsi="Calibri" w:cs="Calibri"/>
                <w:color w:val="000000"/>
                <w:sz w:val="20"/>
                <w:lang w:eastAsia="en-GB"/>
              </w:rPr>
            </w:pPr>
            <w:r w:rsidRPr="00292E2D">
              <w:rPr>
                <w:rFonts w:ascii="Calibri" w:hAnsi="Calibri" w:cs="Calibri"/>
                <w:color w:val="000000"/>
                <w:sz w:val="20"/>
                <w:lang w:eastAsia="en-GB"/>
              </w:rPr>
              <w:t>Depreciation and amortisation</w:t>
            </w:r>
          </w:p>
        </w:tc>
        <w:tc>
          <w:tcPr>
            <w:tcW w:w="931" w:type="dxa"/>
            <w:tcBorders>
              <w:top w:val="nil"/>
              <w:left w:val="nil"/>
              <w:bottom w:val="single" w:sz="8" w:space="0" w:color="auto"/>
              <w:right w:val="nil"/>
            </w:tcBorders>
            <w:shd w:val="clear" w:color="auto" w:fill="auto"/>
            <w:noWrap/>
            <w:vAlign w:val="center"/>
            <w:hideMark/>
          </w:tcPr>
          <w:p w14:paraId="6C332C11"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(89)</w:t>
            </w:r>
          </w:p>
        </w:tc>
        <w:tc>
          <w:tcPr>
            <w:tcW w:w="932" w:type="dxa"/>
            <w:tcBorders>
              <w:top w:val="nil"/>
              <w:left w:val="nil"/>
              <w:bottom w:val="single" w:sz="8" w:space="0" w:color="auto"/>
              <w:right w:val="nil"/>
            </w:tcBorders>
            <w:shd w:val="clear" w:color="auto" w:fill="auto"/>
            <w:noWrap/>
            <w:vAlign w:val="center"/>
            <w:hideMark/>
          </w:tcPr>
          <w:p w14:paraId="022E7F8A"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(69)</w:t>
            </w:r>
          </w:p>
        </w:tc>
        <w:tc>
          <w:tcPr>
            <w:tcW w:w="931" w:type="dxa"/>
            <w:tcBorders>
              <w:top w:val="nil"/>
              <w:left w:val="nil"/>
              <w:bottom w:val="single" w:sz="8" w:space="0" w:color="auto"/>
              <w:right w:val="single" w:sz="8" w:space="0" w:color="auto"/>
            </w:tcBorders>
            <w:shd w:val="clear" w:color="auto" w:fill="auto"/>
            <w:noWrap/>
            <w:vAlign w:val="center"/>
            <w:hideMark/>
          </w:tcPr>
          <w:p w14:paraId="4CDF923F"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+29%</w:t>
            </w:r>
          </w:p>
        </w:tc>
        <w:tc>
          <w:tcPr>
            <w:tcW w:w="932" w:type="dxa"/>
            <w:tcBorders>
              <w:top w:val="nil"/>
              <w:left w:val="nil"/>
              <w:bottom w:val="single" w:sz="8" w:space="0" w:color="auto"/>
              <w:right w:val="nil"/>
            </w:tcBorders>
            <w:shd w:val="clear" w:color="auto" w:fill="auto"/>
            <w:noWrap/>
            <w:vAlign w:val="center"/>
            <w:hideMark/>
          </w:tcPr>
          <w:p w14:paraId="37FA4ECF"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(117)</w:t>
            </w:r>
          </w:p>
        </w:tc>
        <w:tc>
          <w:tcPr>
            <w:tcW w:w="931" w:type="dxa"/>
            <w:tcBorders>
              <w:top w:val="nil"/>
              <w:left w:val="nil"/>
              <w:bottom w:val="single" w:sz="8" w:space="0" w:color="auto"/>
              <w:right w:val="nil"/>
            </w:tcBorders>
            <w:shd w:val="clear" w:color="auto" w:fill="auto"/>
            <w:noWrap/>
            <w:vAlign w:val="center"/>
            <w:hideMark/>
          </w:tcPr>
          <w:p w14:paraId="18AE3677" w14:textId="77777777" w:rsidR="007171B9" w:rsidRPr="00292E2D" w:rsidRDefault="007171B9" w:rsidP="007171B9">
            <w:pPr>
              <w:jc w:val="right"/>
              <w:rPr>
                <w:rFonts w:ascii="Calibri" w:hAnsi="Calibri" w:cs="Calibri"/>
                <w:sz w:val="20"/>
                <w:lang w:eastAsia="en-GB"/>
              </w:rPr>
            </w:pPr>
            <w:r w:rsidRPr="00292E2D">
              <w:rPr>
                <w:rFonts w:ascii="Calibri" w:hAnsi="Calibri" w:cs="Calibri"/>
                <w:sz w:val="20"/>
                <w:lang w:eastAsia="en-GB"/>
              </w:rPr>
              <w:t>(103)</w:t>
            </w:r>
          </w:p>
        </w:tc>
        <w:tc>
          <w:tcPr>
            <w:tcW w:w="932" w:type="dxa"/>
            <w:tcBorders>
              <w:top w:val="nil"/>
              <w:left w:val="nil"/>
              <w:bottom w:val="single" w:sz="8" w:space="0" w:color="auto"/>
              <w:right w:val="nil"/>
            </w:tcBorders>
            <w:vAlign w:val="center"/>
          </w:tcPr>
          <w:p w14:paraId="6E6C2FD8" w14:textId="77777777" w:rsidR="007171B9" w:rsidRPr="00292E2D" w:rsidRDefault="007171B9" w:rsidP="007171B9">
            <w:pPr>
              <w:jc w:val="right"/>
              <w:rPr>
                <w:rFonts w:ascii="Calibri" w:hAnsi="Calibri" w:cs="Calibri"/>
                <w:color w:val="000000"/>
                <w:sz w:val="20"/>
                <w:lang w:eastAsia="en-GB"/>
              </w:rPr>
            </w:pPr>
            <w:r>
              <w:rPr>
                <w:rFonts w:ascii="Calibri" w:hAnsi="Calibri" w:cs="Calibri"/>
                <w:sz w:val="20"/>
              </w:rPr>
              <w:t>+14%</w:t>
            </w:r>
          </w:p>
        </w:tc>
        <w:tc>
          <w:tcPr>
            <w:tcW w:w="933" w:type="dxa"/>
            <w:tcBorders>
              <w:top w:val="nil"/>
              <w:left w:val="nil"/>
              <w:bottom w:val="single" w:sz="8" w:space="0" w:color="auto"/>
              <w:right w:val="single" w:sz="8" w:space="0" w:color="auto"/>
            </w:tcBorders>
            <w:shd w:val="clear" w:color="auto" w:fill="auto"/>
            <w:noWrap/>
            <w:vAlign w:val="center"/>
            <w:hideMark/>
          </w:tcPr>
          <w:p w14:paraId="47746FA6" w14:textId="77777777" w:rsidR="007171B9" w:rsidRPr="00292E2D" w:rsidRDefault="007171B9" w:rsidP="007171B9">
            <w:pPr>
              <w:jc w:val="right"/>
              <w:rPr>
                <w:rFonts w:ascii="Calibri" w:hAnsi="Calibri" w:cs="Calibri"/>
                <w:color w:val="000000"/>
                <w:sz w:val="20"/>
                <w:lang w:eastAsia="en-GB"/>
              </w:rPr>
            </w:pPr>
            <w:r w:rsidRPr="00292E2D">
              <w:rPr>
                <w:rFonts w:ascii="Calibri" w:hAnsi="Calibri" w:cs="Calibri"/>
                <w:color w:val="000000"/>
                <w:sz w:val="20"/>
                <w:lang w:eastAsia="en-GB"/>
              </w:rPr>
              <w:t>+14%</w:t>
            </w:r>
          </w:p>
        </w:tc>
      </w:tr>
      <w:tr w:rsidR="007171B9" w:rsidRPr="00292E2D" w14:paraId="7E168B5E"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72149DDF" w14:textId="77777777" w:rsidR="007171B9" w:rsidRPr="00292E2D" w:rsidRDefault="007171B9" w:rsidP="007171B9">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1BF95E7D" w14:textId="77777777" w:rsidR="007171B9" w:rsidRPr="00292E2D" w:rsidRDefault="007171B9" w:rsidP="007171B9">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48AA993B" w14:textId="77777777" w:rsidR="007171B9" w:rsidRPr="00292E2D" w:rsidRDefault="007171B9" w:rsidP="007171B9">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53C552A3"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540007C3" w14:textId="77777777" w:rsidR="007171B9" w:rsidRPr="00292E2D" w:rsidRDefault="007171B9" w:rsidP="007171B9">
            <w:pPr>
              <w:jc w:val="right"/>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2036A7CC" w14:textId="77777777" w:rsidR="007171B9" w:rsidRPr="00292E2D" w:rsidRDefault="007171B9" w:rsidP="007171B9">
            <w:pPr>
              <w:jc w:val="right"/>
              <w:rPr>
                <w:rFonts w:ascii="Times New Roman" w:hAnsi="Times New Roman"/>
                <w:sz w:val="20"/>
                <w:lang w:eastAsia="en-GB"/>
              </w:rPr>
            </w:pPr>
          </w:p>
        </w:tc>
        <w:tc>
          <w:tcPr>
            <w:tcW w:w="932" w:type="dxa"/>
            <w:tcBorders>
              <w:top w:val="nil"/>
              <w:left w:val="nil"/>
              <w:bottom w:val="nil"/>
              <w:right w:val="nil"/>
            </w:tcBorders>
            <w:vAlign w:val="center"/>
          </w:tcPr>
          <w:p w14:paraId="6BCFFC6C" w14:textId="77777777" w:rsidR="007171B9" w:rsidRPr="00292E2D" w:rsidRDefault="007171B9" w:rsidP="007171B9">
            <w:pPr>
              <w:jc w:val="right"/>
              <w:rPr>
                <w:rFonts w:ascii="Calibri" w:hAnsi="Calibri" w:cs="Calibri"/>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2513A7BC" w14:textId="77777777" w:rsidR="007171B9" w:rsidRPr="00292E2D" w:rsidRDefault="007171B9" w:rsidP="007171B9">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r>
      <w:tr w:rsidR="007171B9" w:rsidRPr="00292E2D" w14:paraId="77856500"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41ED9E91" w14:textId="77777777" w:rsidR="007171B9" w:rsidRPr="00292E2D" w:rsidRDefault="007171B9" w:rsidP="007171B9">
            <w:pPr>
              <w:jc w:val="both"/>
              <w:rPr>
                <w:rFonts w:ascii="Calibri" w:hAnsi="Calibri" w:cs="Calibri"/>
                <w:b/>
                <w:bCs/>
                <w:color w:val="000000"/>
                <w:sz w:val="20"/>
                <w:lang w:eastAsia="en-GB"/>
              </w:rPr>
            </w:pPr>
            <w:r w:rsidRPr="00292E2D">
              <w:rPr>
                <w:rFonts w:ascii="Calibri" w:hAnsi="Calibri" w:cs="Calibri"/>
                <w:b/>
                <w:bCs/>
                <w:color w:val="000000"/>
                <w:sz w:val="20"/>
                <w:lang w:eastAsia="en-GB"/>
              </w:rPr>
              <w:t>Adjusted</w:t>
            </w:r>
            <w:r w:rsidRPr="00292E2D">
              <w:rPr>
                <w:rFonts w:ascii="Calibri" w:hAnsi="Calibri" w:cs="Calibri"/>
                <w:i/>
                <w:iCs/>
                <w:color w:val="000000"/>
                <w:sz w:val="18"/>
                <w:szCs w:val="18"/>
                <w:vertAlign w:val="superscript"/>
                <w:lang w:eastAsia="en-GB"/>
              </w:rPr>
              <w:t xml:space="preserve">1 </w:t>
            </w:r>
            <w:r w:rsidRPr="00292E2D">
              <w:rPr>
                <w:rFonts w:ascii="Calibri" w:hAnsi="Calibri" w:cs="Calibri"/>
                <w:b/>
                <w:bCs/>
                <w:color w:val="000000"/>
                <w:sz w:val="20"/>
                <w:lang w:eastAsia="en-GB"/>
              </w:rPr>
              <w:t>operating profit</w:t>
            </w:r>
          </w:p>
        </w:tc>
        <w:tc>
          <w:tcPr>
            <w:tcW w:w="931" w:type="dxa"/>
            <w:tcBorders>
              <w:top w:val="nil"/>
              <w:left w:val="nil"/>
              <w:bottom w:val="nil"/>
              <w:right w:val="nil"/>
            </w:tcBorders>
            <w:shd w:val="clear" w:color="auto" w:fill="auto"/>
            <w:noWrap/>
            <w:vAlign w:val="center"/>
            <w:hideMark/>
          </w:tcPr>
          <w:p w14:paraId="53E8FF9C"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253</w:t>
            </w:r>
          </w:p>
        </w:tc>
        <w:tc>
          <w:tcPr>
            <w:tcW w:w="932" w:type="dxa"/>
            <w:tcBorders>
              <w:top w:val="nil"/>
              <w:left w:val="nil"/>
              <w:bottom w:val="nil"/>
              <w:right w:val="nil"/>
            </w:tcBorders>
            <w:shd w:val="clear" w:color="auto" w:fill="auto"/>
            <w:noWrap/>
            <w:vAlign w:val="center"/>
            <w:hideMark/>
          </w:tcPr>
          <w:p w14:paraId="2CA2E2D5"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147</w:t>
            </w:r>
          </w:p>
        </w:tc>
        <w:tc>
          <w:tcPr>
            <w:tcW w:w="931" w:type="dxa"/>
            <w:tcBorders>
              <w:top w:val="nil"/>
              <w:left w:val="nil"/>
              <w:bottom w:val="nil"/>
              <w:right w:val="single" w:sz="8" w:space="0" w:color="auto"/>
            </w:tcBorders>
            <w:shd w:val="clear" w:color="auto" w:fill="auto"/>
            <w:noWrap/>
            <w:vAlign w:val="center"/>
            <w:hideMark/>
          </w:tcPr>
          <w:p w14:paraId="7FE4D313" w14:textId="77777777" w:rsidR="007171B9" w:rsidRPr="00292E2D" w:rsidRDefault="007171B9" w:rsidP="00CA2EED">
            <w:pPr>
              <w:jc w:val="right"/>
              <w:rPr>
                <w:rFonts w:ascii="Calibri" w:hAnsi="Calibri" w:cs="Calibri"/>
                <w:b/>
                <w:bCs/>
                <w:color w:val="000000"/>
                <w:sz w:val="20"/>
                <w:lang w:eastAsia="en-GB"/>
              </w:rPr>
            </w:pPr>
            <w:r w:rsidRPr="00292E2D">
              <w:rPr>
                <w:rFonts w:ascii="Calibri" w:hAnsi="Calibri" w:cs="Calibri"/>
                <w:b/>
                <w:bCs/>
                <w:color w:val="000000"/>
                <w:sz w:val="20"/>
                <w:lang w:eastAsia="en-GB"/>
              </w:rPr>
              <w:t>+7</w:t>
            </w:r>
            <w:r w:rsidR="00CA2EED">
              <w:rPr>
                <w:rFonts w:ascii="Calibri" w:hAnsi="Calibri" w:cs="Calibri"/>
                <w:b/>
                <w:bCs/>
                <w:color w:val="000000"/>
                <w:sz w:val="20"/>
                <w:lang w:eastAsia="en-GB"/>
              </w:rPr>
              <w:t>3</w:t>
            </w:r>
            <w:r w:rsidRPr="00292E2D">
              <w:rPr>
                <w:rFonts w:ascii="Calibri" w:hAnsi="Calibri" w:cs="Calibri"/>
                <w:b/>
                <w:bCs/>
                <w:color w:val="000000"/>
                <w:sz w:val="20"/>
                <w:lang w:eastAsia="en-GB"/>
              </w:rPr>
              <w:t>%</w:t>
            </w:r>
          </w:p>
        </w:tc>
        <w:tc>
          <w:tcPr>
            <w:tcW w:w="932" w:type="dxa"/>
            <w:tcBorders>
              <w:top w:val="nil"/>
              <w:left w:val="nil"/>
              <w:bottom w:val="nil"/>
              <w:right w:val="nil"/>
            </w:tcBorders>
            <w:shd w:val="clear" w:color="auto" w:fill="auto"/>
            <w:noWrap/>
            <w:vAlign w:val="center"/>
            <w:hideMark/>
          </w:tcPr>
          <w:p w14:paraId="08828DF8"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567</w:t>
            </w:r>
          </w:p>
        </w:tc>
        <w:tc>
          <w:tcPr>
            <w:tcW w:w="931" w:type="dxa"/>
            <w:tcBorders>
              <w:top w:val="nil"/>
              <w:left w:val="nil"/>
              <w:bottom w:val="nil"/>
              <w:right w:val="nil"/>
            </w:tcBorders>
            <w:shd w:val="clear" w:color="auto" w:fill="auto"/>
            <w:noWrap/>
            <w:vAlign w:val="center"/>
            <w:hideMark/>
          </w:tcPr>
          <w:p w14:paraId="138D258F" w14:textId="77777777" w:rsidR="007171B9" w:rsidRPr="00292E2D" w:rsidRDefault="007171B9" w:rsidP="007171B9">
            <w:pPr>
              <w:jc w:val="right"/>
              <w:rPr>
                <w:rFonts w:ascii="Calibri" w:hAnsi="Calibri" w:cs="Calibri"/>
                <w:b/>
                <w:bCs/>
                <w:sz w:val="20"/>
                <w:lang w:eastAsia="en-GB"/>
              </w:rPr>
            </w:pPr>
            <w:r w:rsidRPr="00292E2D">
              <w:rPr>
                <w:rFonts w:ascii="Calibri" w:hAnsi="Calibri" w:cs="Calibri"/>
                <w:b/>
                <w:bCs/>
                <w:sz w:val="20"/>
                <w:lang w:eastAsia="en-GB"/>
              </w:rPr>
              <w:t>420</w:t>
            </w:r>
          </w:p>
        </w:tc>
        <w:tc>
          <w:tcPr>
            <w:tcW w:w="932" w:type="dxa"/>
            <w:tcBorders>
              <w:top w:val="nil"/>
              <w:left w:val="nil"/>
              <w:bottom w:val="nil"/>
              <w:right w:val="nil"/>
            </w:tcBorders>
            <w:vAlign w:val="center"/>
          </w:tcPr>
          <w:p w14:paraId="28E696D9" w14:textId="77777777" w:rsidR="007171B9" w:rsidRPr="00292E2D" w:rsidRDefault="007171B9" w:rsidP="007171B9">
            <w:pPr>
              <w:jc w:val="right"/>
              <w:rPr>
                <w:rFonts w:ascii="Calibri" w:hAnsi="Calibri" w:cs="Calibri"/>
                <w:b/>
                <w:bCs/>
                <w:color w:val="000000"/>
                <w:sz w:val="20"/>
                <w:lang w:eastAsia="en-GB"/>
              </w:rPr>
            </w:pPr>
            <w:r>
              <w:rPr>
                <w:rFonts w:ascii="Calibri" w:hAnsi="Calibri" w:cs="Calibri"/>
                <w:b/>
                <w:bCs/>
                <w:sz w:val="20"/>
              </w:rPr>
              <w:t>+35%</w:t>
            </w:r>
          </w:p>
        </w:tc>
        <w:tc>
          <w:tcPr>
            <w:tcW w:w="933" w:type="dxa"/>
            <w:tcBorders>
              <w:top w:val="nil"/>
              <w:left w:val="nil"/>
              <w:bottom w:val="nil"/>
              <w:right w:val="single" w:sz="8" w:space="0" w:color="auto"/>
            </w:tcBorders>
            <w:shd w:val="clear" w:color="auto" w:fill="auto"/>
            <w:noWrap/>
            <w:vAlign w:val="center"/>
            <w:hideMark/>
          </w:tcPr>
          <w:p w14:paraId="3135C9A4" w14:textId="77777777" w:rsidR="007171B9" w:rsidRPr="00292E2D" w:rsidRDefault="007171B9" w:rsidP="007171B9">
            <w:pPr>
              <w:jc w:val="right"/>
              <w:rPr>
                <w:rFonts w:ascii="Calibri" w:hAnsi="Calibri" w:cs="Calibri"/>
                <w:b/>
                <w:bCs/>
                <w:color w:val="000000"/>
                <w:sz w:val="20"/>
                <w:lang w:eastAsia="en-GB"/>
              </w:rPr>
            </w:pPr>
            <w:r w:rsidRPr="00292E2D">
              <w:rPr>
                <w:rFonts w:ascii="Calibri" w:hAnsi="Calibri" w:cs="Calibri"/>
                <w:b/>
                <w:bCs/>
                <w:color w:val="000000"/>
                <w:sz w:val="20"/>
                <w:lang w:eastAsia="en-GB"/>
              </w:rPr>
              <w:t>+40%</w:t>
            </w:r>
          </w:p>
        </w:tc>
      </w:tr>
      <w:tr w:rsidR="007171B9" w:rsidRPr="00292E2D" w14:paraId="131325FD"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5380BBB1" w14:textId="77777777" w:rsidR="007171B9" w:rsidRPr="00292E2D" w:rsidRDefault="007171B9" w:rsidP="00292E2D">
            <w:pPr>
              <w:jc w:val="both"/>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0CAD5789" w14:textId="77777777" w:rsidR="007171B9" w:rsidRPr="00292E2D" w:rsidRDefault="007171B9" w:rsidP="00292E2D">
            <w:pPr>
              <w:jc w:val="both"/>
              <w:rPr>
                <w:rFonts w:ascii="Calibri" w:hAnsi="Calibri" w:cs="Calibri"/>
                <w:b/>
                <w:bCs/>
                <w:color w:val="000000"/>
                <w:sz w:val="2"/>
                <w:szCs w:val="2"/>
                <w:lang w:eastAsia="en-GB"/>
              </w:rPr>
            </w:pPr>
          </w:p>
        </w:tc>
        <w:tc>
          <w:tcPr>
            <w:tcW w:w="932" w:type="dxa"/>
            <w:tcBorders>
              <w:top w:val="nil"/>
              <w:left w:val="nil"/>
              <w:bottom w:val="nil"/>
              <w:right w:val="nil"/>
            </w:tcBorders>
            <w:shd w:val="clear" w:color="auto" w:fill="auto"/>
            <w:noWrap/>
            <w:vAlign w:val="center"/>
            <w:hideMark/>
          </w:tcPr>
          <w:p w14:paraId="7103DB43" w14:textId="77777777" w:rsidR="007171B9" w:rsidRPr="00292E2D" w:rsidRDefault="007171B9" w:rsidP="00292E2D">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3BFF97E5"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5772FE16" w14:textId="77777777" w:rsidR="007171B9" w:rsidRPr="00292E2D" w:rsidRDefault="007171B9" w:rsidP="00292E2D">
            <w:pPr>
              <w:jc w:val="right"/>
              <w:rPr>
                <w:rFonts w:ascii="Calibri" w:hAnsi="Calibri" w:cs="Calibri"/>
                <w:b/>
                <w:bCs/>
                <w:color w:val="000000"/>
                <w:sz w:val="2"/>
                <w:szCs w:val="2"/>
                <w:lang w:eastAsia="en-GB"/>
              </w:rPr>
            </w:pPr>
          </w:p>
        </w:tc>
        <w:tc>
          <w:tcPr>
            <w:tcW w:w="931" w:type="dxa"/>
            <w:tcBorders>
              <w:top w:val="nil"/>
              <w:left w:val="nil"/>
              <w:bottom w:val="nil"/>
              <w:right w:val="nil"/>
            </w:tcBorders>
            <w:shd w:val="clear" w:color="auto" w:fill="auto"/>
            <w:noWrap/>
            <w:vAlign w:val="center"/>
            <w:hideMark/>
          </w:tcPr>
          <w:p w14:paraId="718A8049"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696858BE" w14:textId="77777777" w:rsidR="007171B9" w:rsidRPr="00292E2D" w:rsidRDefault="007171B9" w:rsidP="00292E2D">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63216456"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7171B9" w:rsidRPr="00292E2D" w14:paraId="1DC4FC93"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60A52038" w14:textId="77777777" w:rsidR="007171B9" w:rsidRPr="00292E2D" w:rsidRDefault="007171B9" w:rsidP="00292E2D">
            <w:pPr>
              <w:jc w:val="both"/>
              <w:rPr>
                <w:rFonts w:ascii="Calibri" w:hAnsi="Calibri" w:cs="Calibri"/>
                <w:color w:val="000000"/>
                <w:sz w:val="20"/>
                <w:lang w:eastAsia="en-GB"/>
              </w:rPr>
            </w:pPr>
            <w:r w:rsidRPr="00292E2D">
              <w:rPr>
                <w:rFonts w:ascii="Calibri" w:hAnsi="Calibri" w:cs="Calibri"/>
                <w:color w:val="000000"/>
                <w:sz w:val="20"/>
                <w:lang w:eastAsia="en-GB"/>
              </w:rPr>
              <w:t>Adjusted net interest expense</w:t>
            </w:r>
          </w:p>
        </w:tc>
        <w:tc>
          <w:tcPr>
            <w:tcW w:w="931" w:type="dxa"/>
            <w:tcBorders>
              <w:top w:val="nil"/>
              <w:left w:val="nil"/>
              <w:bottom w:val="nil"/>
              <w:right w:val="nil"/>
            </w:tcBorders>
            <w:shd w:val="clear" w:color="auto" w:fill="auto"/>
            <w:noWrap/>
            <w:vAlign w:val="center"/>
            <w:hideMark/>
          </w:tcPr>
          <w:p w14:paraId="39D1DEDC" w14:textId="77777777" w:rsidR="007171B9" w:rsidRPr="00292E2D" w:rsidRDefault="007171B9" w:rsidP="00292E2D">
            <w:pPr>
              <w:jc w:val="right"/>
              <w:rPr>
                <w:rFonts w:ascii="Calibri" w:hAnsi="Calibri" w:cs="Calibri"/>
                <w:color w:val="000000"/>
                <w:sz w:val="20"/>
                <w:lang w:eastAsia="en-GB"/>
              </w:rPr>
            </w:pPr>
            <w:r w:rsidRPr="00292E2D">
              <w:rPr>
                <w:rFonts w:ascii="Calibri" w:hAnsi="Calibri" w:cs="Calibri"/>
                <w:color w:val="000000"/>
                <w:sz w:val="20"/>
                <w:lang w:eastAsia="en-GB"/>
              </w:rPr>
              <w:t>(35)</w:t>
            </w:r>
          </w:p>
        </w:tc>
        <w:tc>
          <w:tcPr>
            <w:tcW w:w="932" w:type="dxa"/>
            <w:tcBorders>
              <w:top w:val="nil"/>
              <w:left w:val="nil"/>
              <w:bottom w:val="nil"/>
              <w:right w:val="nil"/>
            </w:tcBorders>
            <w:shd w:val="clear" w:color="auto" w:fill="auto"/>
            <w:noWrap/>
            <w:vAlign w:val="center"/>
            <w:hideMark/>
          </w:tcPr>
          <w:p w14:paraId="435F6195" w14:textId="77777777" w:rsidR="007171B9" w:rsidRPr="00292E2D" w:rsidRDefault="007171B9" w:rsidP="00292E2D">
            <w:pPr>
              <w:jc w:val="right"/>
              <w:rPr>
                <w:rFonts w:ascii="Calibri" w:hAnsi="Calibri" w:cs="Calibri"/>
                <w:color w:val="000000"/>
                <w:sz w:val="20"/>
                <w:lang w:eastAsia="en-GB"/>
              </w:rPr>
            </w:pPr>
            <w:r w:rsidRPr="00292E2D">
              <w:rPr>
                <w:rFonts w:ascii="Calibri" w:hAnsi="Calibri" w:cs="Calibri"/>
                <w:color w:val="000000"/>
                <w:sz w:val="20"/>
                <w:lang w:eastAsia="en-GB"/>
              </w:rPr>
              <w:t>(7)</w:t>
            </w:r>
          </w:p>
        </w:tc>
        <w:tc>
          <w:tcPr>
            <w:tcW w:w="931" w:type="dxa"/>
            <w:tcBorders>
              <w:top w:val="nil"/>
              <w:left w:val="nil"/>
              <w:bottom w:val="nil"/>
              <w:right w:val="single" w:sz="8" w:space="0" w:color="auto"/>
            </w:tcBorders>
            <w:shd w:val="clear" w:color="auto" w:fill="auto"/>
            <w:noWrap/>
            <w:vAlign w:val="center"/>
            <w:hideMark/>
          </w:tcPr>
          <w:p w14:paraId="3D2F6BCB" w14:textId="77777777" w:rsidR="007171B9" w:rsidRPr="00292E2D" w:rsidRDefault="007171B9" w:rsidP="00CA2EED">
            <w:pPr>
              <w:jc w:val="right"/>
              <w:rPr>
                <w:rFonts w:ascii="Calibri" w:hAnsi="Calibri" w:cs="Calibri"/>
                <w:color w:val="000000"/>
                <w:sz w:val="20"/>
                <w:lang w:eastAsia="en-GB"/>
              </w:rPr>
            </w:pPr>
            <w:r w:rsidRPr="00292E2D">
              <w:rPr>
                <w:rFonts w:ascii="Calibri" w:hAnsi="Calibri" w:cs="Calibri"/>
                <w:color w:val="000000"/>
                <w:sz w:val="20"/>
                <w:lang w:eastAsia="en-GB"/>
              </w:rPr>
              <w:t>+</w:t>
            </w:r>
            <w:r w:rsidR="00CA2EED">
              <w:rPr>
                <w:rFonts w:ascii="Calibri" w:hAnsi="Calibri" w:cs="Calibri"/>
                <w:color w:val="000000"/>
                <w:sz w:val="20"/>
                <w:lang w:eastAsia="en-GB"/>
              </w:rPr>
              <w:t>415</w:t>
            </w:r>
            <w:r w:rsidRPr="00292E2D">
              <w:rPr>
                <w:rFonts w:ascii="Calibri" w:hAnsi="Calibri" w:cs="Calibri"/>
                <w:color w:val="000000"/>
                <w:sz w:val="20"/>
                <w:lang w:eastAsia="en-GB"/>
              </w:rPr>
              <w:t>%</w:t>
            </w:r>
          </w:p>
        </w:tc>
        <w:tc>
          <w:tcPr>
            <w:tcW w:w="932" w:type="dxa"/>
            <w:tcBorders>
              <w:top w:val="nil"/>
              <w:left w:val="nil"/>
              <w:bottom w:val="nil"/>
              <w:right w:val="nil"/>
            </w:tcBorders>
            <w:shd w:val="clear" w:color="auto" w:fill="auto"/>
            <w:noWrap/>
            <w:vAlign w:val="center"/>
            <w:hideMark/>
          </w:tcPr>
          <w:p w14:paraId="5F471C57" w14:textId="77777777" w:rsidR="007171B9" w:rsidRPr="00292E2D" w:rsidRDefault="007171B9" w:rsidP="00292E2D">
            <w:pPr>
              <w:jc w:val="right"/>
              <w:rPr>
                <w:rFonts w:ascii="Calibri" w:hAnsi="Calibri" w:cs="Calibri"/>
                <w:color w:val="000000"/>
                <w:sz w:val="20"/>
                <w:lang w:eastAsia="en-GB"/>
              </w:rPr>
            </w:pPr>
          </w:p>
        </w:tc>
        <w:tc>
          <w:tcPr>
            <w:tcW w:w="931" w:type="dxa"/>
            <w:tcBorders>
              <w:top w:val="nil"/>
              <w:left w:val="nil"/>
              <w:bottom w:val="nil"/>
              <w:right w:val="nil"/>
            </w:tcBorders>
            <w:shd w:val="clear" w:color="auto" w:fill="auto"/>
            <w:noWrap/>
            <w:vAlign w:val="center"/>
            <w:hideMark/>
          </w:tcPr>
          <w:p w14:paraId="46172E64"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025B84AE" w14:textId="77777777" w:rsidR="007171B9" w:rsidRPr="00292E2D" w:rsidRDefault="007171B9" w:rsidP="00292E2D">
            <w:pPr>
              <w:jc w:val="right"/>
              <w:rPr>
                <w:rFonts w:ascii="Calibri" w:hAnsi="Calibri" w:cs="Calibri"/>
                <w:b/>
                <w:bCs/>
                <w:color w:val="000000"/>
                <w:sz w:val="20"/>
                <w:lang w:eastAsia="en-GB"/>
              </w:rPr>
            </w:pPr>
          </w:p>
        </w:tc>
        <w:tc>
          <w:tcPr>
            <w:tcW w:w="933" w:type="dxa"/>
            <w:tcBorders>
              <w:top w:val="nil"/>
              <w:left w:val="nil"/>
              <w:bottom w:val="nil"/>
              <w:right w:val="single" w:sz="8" w:space="0" w:color="auto"/>
            </w:tcBorders>
            <w:shd w:val="clear" w:color="auto" w:fill="auto"/>
            <w:noWrap/>
            <w:vAlign w:val="center"/>
            <w:hideMark/>
          </w:tcPr>
          <w:p w14:paraId="0BFDAC3B"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 </w:t>
            </w:r>
          </w:p>
        </w:tc>
      </w:tr>
      <w:tr w:rsidR="007171B9" w:rsidRPr="00292E2D" w14:paraId="6CA4E11D"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291A5329" w14:textId="77777777" w:rsidR="007171B9" w:rsidRPr="00292E2D" w:rsidRDefault="007171B9" w:rsidP="00292E2D">
            <w:pPr>
              <w:jc w:val="both"/>
              <w:rPr>
                <w:rFonts w:ascii="Calibri" w:hAnsi="Calibri" w:cs="Calibri"/>
                <w:color w:val="000000"/>
                <w:sz w:val="20"/>
                <w:lang w:eastAsia="en-GB"/>
              </w:rPr>
            </w:pPr>
            <w:r w:rsidRPr="00292E2D">
              <w:rPr>
                <w:rFonts w:ascii="Calibri" w:hAnsi="Calibri" w:cs="Calibri"/>
                <w:color w:val="000000"/>
                <w:sz w:val="20"/>
                <w:lang w:eastAsia="en-GB"/>
              </w:rPr>
              <w:t>Separately disclosed items</w:t>
            </w:r>
          </w:p>
        </w:tc>
        <w:tc>
          <w:tcPr>
            <w:tcW w:w="931" w:type="dxa"/>
            <w:tcBorders>
              <w:top w:val="nil"/>
              <w:left w:val="nil"/>
              <w:bottom w:val="nil"/>
              <w:right w:val="nil"/>
            </w:tcBorders>
            <w:shd w:val="clear" w:color="auto" w:fill="auto"/>
            <w:noWrap/>
            <w:vAlign w:val="center"/>
            <w:hideMark/>
          </w:tcPr>
          <w:p w14:paraId="71F50639" w14:textId="77777777" w:rsidR="007171B9" w:rsidRPr="00292E2D" w:rsidRDefault="007171B9" w:rsidP="00292E2D">
            <w:pPr>
              <w:jc w:val="right"/>
              <w:rPr>
                <w:rFonts w:ascii="Calibri" w:hAnsi="Calibri" w:cs="Calibri"/>
                <w:color w:val="000000"/>
                <w:sz w:val="20"/>
                <w:lang w:eastAsia="en-GB"/>
              </w:rPr>
            </w:pPr>
            <w:r w:rsidRPr="00292E2D">
              <w:rPr>
                <w:rFonts w:ascii="Calibri" w:hAnsi="Calibri" w:cs="Calibri"/>
                <w:color w:val="000000"/>
                <w:sz w:val="20"/>
                <w:lang w:eastAsia="en-GB"/>
              </w:rPr>
              <w:t>(194)</w:t>
            </w:r>
          </w:p>
        </w:tc>
        <w:tc>
          <w:tcPr>
            <w:tcW w:w="932" w:type="dxa"/>
            <w:tcBorders>
              <w:top w:val="nil"/>
              <w:left w:val="nil"/>
              <w:bottom w:val="nil"/>
              <w:right w:val="nil"/>
            </w:tcBorders>
            <w:shd w:val="clear" w:color="auto" w:fill="auto"/>
            <w:noWrap/>
            <w:vAlign w:val="center"/>
            <w:hideMark/>
          </w:tcPr>
          <w:p w14:paraId="5FFCB559" w14:textId="77777777" w:rsidR="007171B9" w:rsidRPr="00292E2D" w:rsidRDefault="007171B9" w:rsidP="00292E2D">
            <w:pPr>
              <w:jc w:val="right"/>
              <w:rPr>
                <w:rFonts w:ascii="Calibri" w:hAnsi="Calibri" w:cs="Calibri"/>
                <w:color w:val="000000"/>
                <w:sz w:val="20"/>
                <w:lang w:eastAsia="en-GB"/>
              </w:rPr>
            </w:pPr>
            <w:r w:rsidRPr="00292E2D">
              <w:rPr>
                <w:rFonts w:ascii="Calibri" w:hAnsi="Calibri" w:cs="Calibri"/>
                <w:color w:val="000000"/>
                <w:sz w:val="20"/>
                <w:lang w:eastAsia="en-GB"/>
              </w:rPr>
              <w:t>(59)</w:t>
            </w:r>
          </w:p>
        </w:tc>
        <w:tc>
          <w:tcPr>
            <w:tcW w:w="931" w:type="dxa"/>
            <w:tcBorders>
              <w:top w:val="nil"/>
              <w:left w:val="nil"/>
              <w:bottom w:val="nil"/>
              <w:right w:val="single" w:sz="8" w:space="0" w:color="auto"/>
            </w:tcBorders>
            <w:shd w:val="clear" w:color="auto" w:fill="auto"/>
            <w:noWrap/>
            <w:vAlign w:val="center"/>
            <w:hideMark/>
          </w:tcPr>
          <w:p w14:paraId="7CC60A7E" w14:textId="77777777" w:rsidR="007171B9" w:rsidRPr="00292E2D" w:rsidRDefault="007171B9" w:rsidP="00292E2D">
            <w:pPr>
              <w:jc w:val="right"/>
              <w:rPr>
                <w:rFonts w:ascii="Calibri" w:hAnsi="Calibri" w:cs="Calibri"/>
                <w:color w:val="000000"/>
                <w:sz w:val="20"/>
                <w:lang w:eastAsia="en-GB"/>
              </w:rPr>
            </w:pPr>
            <w:r w:rsidRPr="00292E2D">
              <w:rPr>
                <w:rFonts w:ascii="Calibri" w:hAnsi="Calibri" w:cs="Calibri"/>
                <w:color w:val="000000"/>
                <w:sz w:val="20"/>
                <w:lang w:eastAsia="en-GB"/>
              </w:rPr>
              <w:t>+</w:t>
            </w:r>
            <w:r w:rsidR="00CA2EED">
              <w:rPr>
                <w:rFonts w:ascii="Calibri" w:hAnsi="Calibri" w:cs="Calibri"/>
                <w:color w:val="000000"/>
                <w:sz w:val="20"/>
                <w:lang w:eastAsia="en-GB"/>
              </w:rPr>
              <w:t>230</w:t>
            </w:r>
            <w:r w:rsidRPr="00292E2D">
              <w:rPr>
                <w:rFonts w:ascii="Calibri" w:hAnsi="Calibri" w:cs="Calibri"/>
                <w:color w:val="000000"/>
                <w:sz w:val="20"/>
                <w:lang w:eastAsia="en-GB"/>
              </w:rPr>
              <w:t>%</w:t>
            </w:r>
          </w:p>
        </w:tc>
        <w:tc>
          <w:tcPr>
            <w:tcW w:w="932" w:type="dxa"/>
            <w:tcBorders>
              <w:top w:val="nil"/>
              <w:left w:val="nil"/>
              <w:bottom w:val="nil"/>
              <w:right w:val="nil"/>
            </w:tcBorders>
            <w:shd w:val="clear" w:color="auto" w:fill="auto"/>
            <w:noWrap/>
            <w:vAlign w:val="center"/>
            <w:hideMark/>
          </w:tcPr>
          <w:p w14:paraId="548D8AF1" w14:textId="77777777" w:rsidR="007171B9" w:rsidRPr="00292E2D" w:rsidRDefault="007171B9" w:rsidP="00292E2D">
            <w:pPr>
              <w:jc w:val="right"/>
              <w:rPr>
                <w:rFonts w:ascii="Calibri" w:hAnsi="Calibri" w:cs="Calibri"/>
                <w:color w:val="000000"/>
                <w:sz w:val="20"/>
                <w:lang w:eastAsia="en-GB"/>
              </w:rPr>
            </w:pPr>
          </w:p>
        </w:tc>
        <w:tc>
          <w:tcPr>
            <w:tcW w:w="931" w:type="dxa"/>
            <w:tcBorders>
              <w:top w:val="nil"/>
              <w:left w:val="nil"/>
              <w:bottom w:val="nil"/>
              <w:right w:val="nil"/>
            </w:tcBorders>
            <w:shd w:val="clear" w:color="auto" w:fill="auto"/>
            <w:noWrap/>
            <w:vAlign w:val="center"/>
            <w:hideMark/>
          </w:tcPr>
          <w:p w14:paraId="55183377"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1C7B35FF" w14:textId="77777777" w:rsidR="007171B9" w:rsidRPr="00292E2D" w:rsidRDefault="007171B9" w:rsidP="00292E2D">
            <w:pPr>
              <w:jc w:val="right"/>
              <w:rPr>
                <w:rFonts w:ascii="Calibri" w:hAnsi="Calibri" w:cs="Calibri"/>
                <w:b/>
                <w:bCs/>
                <w:color w:val="000000"/>
                <w:sz w:val="20"/>
                <w:lang w:eastAsia="en-GB"/>
              </w:rPr>
            </w:pPr>
          </w:p>
        </w:tc>
        <w:tc>
          <w:tcPr>
            <w:tcW w:w="933" w:type="dxa"/>
            <w:tcBorders>
              <w:top w:val="nil"/>
              <w:left w:val="nil"/>
              <w:bottom w:val="nil"/>
              <w:right w:val="single" w:sz="8" w:space="0" w:color="auto"/>
            </w:tcBorders>
            <w:shd w:val="clear" w:color="auto" w:fill="auto"/>
            <w:noWrap/>
            <w:vAlign w:val="center"/>
            <w:hideMark/>
          </w:tcPr>
          <w:p w14:paraId="3DD34257"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 </w:t>
            </w:r>
          </w:p>
        </w:tc>
      </w:tr>
      <w:tr w:rsidR="007171B9" w:rsidRPr="00292E2D" w14:paraId="41A1F58F"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0C5D09C1" w14:textId="77777777" w:rsidR="007171B9" w:rsidRPr="00292E2D" w:rsidRDefault="007171B9" w:rsidP="00292E2D">
            <w:pPr>
              <w:jc w:val="both"/>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684BDA19" w14:textId="77777777" w:rsidR="007171B9" w:rsidRPr="00292E2D" w:rsidRDefault="007171B9" w:rsidP="00292E2D">
            <w:pPr>
              <w:jc w:val="both"/>
              <w:rPr>
                <w:rFonts w:ascii="Calibri" w:hAnsi="Calibri" w:cs="Calibri"/>
                <w:b/>
                <w:bCs/>
                <w:color w:val="000000"/>
                <w:sz w:val="2"/>
                <w:szCs w:val="2"/>
                <w:lang w:eastAsia="en-GB"/>
              </w:rPr>
            </w:pPr>
          </w:p>
        </w:tc>
        <w:tc>
          <w:tcPr>
            <w:tcW w:w="932" w:type="dxa"/>
            <w:tcBorders>
              <w:top w:val="nil"/>
              <w:left w:val="nil"/>
              <w:bottom w:val="nil"/>
              <w:right w:val="nil"/>
            </w:tcBorders>
            <w:shd w:val="clear" w:color="auto" w:fill="auto"/>
            <w:noWrap/>
            <w:vAlign w:val="center"/>
            <w:hideMark/>
          </w:tcPr>
          <w:p w14:paraId="40FAD8A2" w14:textId="77777777" w:rsidR="007171B9" w:rsidRPr="00292E2D" w:rsidRDefault="007171B9" w:rsidP="00292E2D">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725599BD"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58F7CE29" w14:textId="77777777" w:rsidR="007171B9" w:rsidRPr="00292E2D" w:rsidRDefault="007171B9" w:rsidP="00292E2D">
            <w:pPr>
              <w:jc w:val="right"/>
              <w:rPr>
                <w:rFonts w:ascii="Calibri" w:hAnsi="Calibri" w:cs="Calibri"/>
                <w:b/>
                <w:bCs/>
                <w:color w:val="000000"/>
                <w:sz w:val="2"/>
                <w:szCs w:val="2"/>
                <w:lang w:eastAsia="en-GB"/>
              </w:rPr>
            </w:pPr>
          </w:p>
        </w:tc>
        <w:tc>
          <w:tcPr>
            <w:tcW w:w="931" w:type="dxa"/>
            <w:tcBorders>
              <w:top w:val="nil"/>
              <w:left w:val="nil"/>
              <w:bottom w:val="nil"/>
              <w:right w:val="nil"/>
            </w:tcBorders>
            <w:shd w:val="clear" w:color="auto" w:fill="auto"/>
            <w:noWrap/>
            <w:vAlign w:val="center"/>
            <w:hideMark/>
          </w:tcPr>
          <w:p w14:paraId="35ACE751"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4532E1E5" w14:textId="77777777" w:rsidR="007171B9" w:rsidRPr="00292E2D" w:rsidRDefault="007171B9" w:rsidP="00292E2D">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4C10F55E"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7171B9" w:rsidRPr="00292E2D" w14:paraId="18D5B46E"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7D5643B1" w14:textId="77777777" w:rsidR="007171B9" w:rsidRPr="00292E2D" w:rsidRDefault="007171B9" w:rsidP="00292E2D">
            <w:pPr>
              <w:jc w:val="both"/>
              <w:rPr>
                <w:rFonts w:ascii="Calibri" w:hAnsi="Calibri" w:cs="Calibri"/>
                <w:b/>
                <w:bCs/>
                <w:color w:val="000000"/>
                <w:sz w:val="20"/>
                <w:lang w:eastAsia="en-GB"/>
              </w:rPr>
            </w:pPr>
            <w:r w:rsidRPr="00292E2D">
              <w:rPr>
                <w:rFonts w:ascii="Calibri" w:hAnsi="Calibri" w:cs="Calibri"/>
                <w:b/>
                <w:bCs/>
                <w:color w:val="000000"/>
                <w:sz w:val="20"/>
                <w:lang w:eastAsia="en-GB"/>
              </w:rPr>
              <w:t>Profit before tax</w:t>
            </w:r>
          </w:p>
        </w:tc>
        <w:tc>
          <w:tcPr>
            <w:tcW w:w="931" w:type="dxa"/>
            <w:tcBorders>
              <w:top w:val="single" w:sz="8" w:space="0" w:color="auto"/>
              <w:left w:val="nil"/>
              <w:bottom w:val="single" w:sz="8" w:space="0" w:color="auto"/>
              <w:right w:val="nil"/>
            </w:tcBorders>
            <w:shd w:val="clear" w:color="auto" w:fill="auto"/>
            <w:noWrap/>
            <w:vAlign w:val="center"/>
            <w:hideMark/>
          </w:tcPr>
          <w:p w14:paraId="716FC7D9"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24</w:t>
            </w:r>
          </w:p>
        </w:tc>
        <w:tc>
          <w:tcPr>
            <w:tcW w:w="932" w:type="dxa"/>
            <w:tcBorders>
              <w:top w:val="single" w:sz="8" w:space="0" w:color="auto"/>
              <w:left w:val="nil"/>
              <w:bottom w:val="single" w:sz="8" w:space="0" w:color="auto"/>
              <w:right w:val="nil"/>
            </w:tcBorders>
            <w:shd w:val="clear" w:color="auto" w:fill="auto"/>
            <w:noWrap/>
            <w:vAlign w:val="center"/>
            <w:hideMark/>
          </w:tcPr>
          <w:p w14:paraId="6852B50F"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81</w:t>
            </w:r>
          </w:p>
        </w:tc>
        <w:tc>
          <w:tcPr>
            <w:tcW w:w="931" w:type="dxa"/>
            <w:tcBorders>
              <w:top w:val="single" w:sz="8" w:space="0" w:color="auto"/>
              <w:left w:val="nil"/>
              <w:bottom w:val="single" w:sz="8" w:space="0" w:color="auto"/>
              <w:right w:val="single" w:sz="8" w:space="0" w:color="auto"/>
            </w:tcBorders>
            <w:shd w:val="clear" w:color="auto" w:fill="auto"/>
            <w:noWrap/>
            <w:vAlign w:val="center"/>
            <w:hideMark/>
          </w:tcPr>
          <w:p w14:paraId="47F8E993"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-70%</w:t>
            </w:r>
          </w:p>
        </w:tc>
        <w:tc>
          <w:tcPr>
            <w:tcW w:w="932" w:type="dxa"/>
            <w:tcBorders>
              <w:top w:val="nil"/>
              <w:left w:val="nil"/>
              <w:bottom w:val="nil"/>
              <w:right w:val="nil"/>
            </w:tcBorders>
            <w:shd w:val="clear" w:color="auto" w:fill="auto"/>
            <w:noWrap/>
            <w:vAlign w:val="center"/>
            <w:hideMark/>
          </w:tcPr>
          <w:p w14:paraId="3325802C" w14:textId="77777777" w:rsidR="007171B9" w:rsidRPr="00292E2D" w:rsidRDefault="007171B9" w:rsidP="00292E2D">
            <w:pPr>
              <w:jc w:val="right"/>
              <w:rPr>
                <w:rFonts w:ascii="Calibri" w:hAnsi="Calibri" w:cs="Calibri"/>
                <w:b/>
                <w:bCs/>
                <w:color w:val="000000"/>
                <w:sz w:val="20"/>
                <w:lang w:eastAsia="en-GB"/>
              </w:rPr>
            </w:pPr>
          </w:p>
        </w:tc>
        <w:tc>
          <w:tcPr>
            <w:tcW w:w="931" w:type="dxa"/>
            <w:tcBorders>
              <w:top w:val="nil"/>
              <w:left w:val="nil"/>
              <w:bottom w:val="nil"/>
              <w:right w:val="nil"/>
            </w:tcBorders>
            <w:shd w:val="clear" w:color="auto" w:fill="auto"/>
            <w:noWrap/>
            <w:vAlign w:val="center"/>
            <w:hideMark/>
          </w:tcPr>
          <w:p w14:paraId="40B2F4AC"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2C613869" w14:textId="77777777" w:rsidR="007171B9" w:rsidRPr="00292E2D" w:rsidRDefault="007171B9" w:rsidP="00292E2D">
            <w:pPr>
              <w:jc w:val="right"/>
              <w:rPr>
                <w:rFonts w:ascii="Calibri" w:hAnsi="Calibri" w:cs="Calibri"/>
                <w:b/>
                <w:bCs/>
                <w:color w:val="000000"/>
                <w:sz w:val="20"/>
                <w:lang w:eastAsia="en-GB"/>
              </w:rPr>
            </w:pPr>
          </w:p>
        </w:tc>
        <w:tc>
          <w:tcPr>
            <w:tcW w:w="933" w:type="dxa"/>
            <w:tcBorders>
              <w:top w:val="nil"/>
              <w:left w:val="nil"/>
              <w:bottom w:val="nil"/>
              <w:right w:val="single" w:sz="8" w:space="0" w:color="auto"/>
            </w:tcBorders>
            <w:shd w:val="clear" w:color="auto" w:fill="auto"/>
            <w:noWrap/>
            <w:vAlign w:val="center"/>
            <w:hideMark/>
          </w:tcPr>
          <w:p w14:paraId="28BDEA64"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 </w:t>
            </w:r>
          </w:p>
        </w:tc>
      </w:tr>
      <w:tr w:rsidR="007171B9" w:rsidRPr="00292E2D" w14:paraId="00B119A5"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597798FB" w14:textId="77777777" w:rsidR="007171B9" w:rsidRPr="00292E2D" w:rsidRDefault="007171B9" w:rsidP="00292E2D">
            <w:pPr>
              <w:jc w:val="both"/>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5C34B7CA" w14:textId="77777777" w:rsidR="007171B9" w:rsidRPr="00292E2D" w:rsidRDefault="007171B9" w:rsidP="00292E2D">
            <w:pPr>
              <w:jc w:val="both"/>
              <w:rPr>
                <w:rFonts w:ascii="Calibri" w:hAnsi="Calibri" w:cs="Calibri"/>
                <w:color w:val="000000"/>
                <w:sz w:val="2"/>
                <w:szCs w:val="2"/>
                <w:lang w:eastAsia="en-GB"/>
              </w:rPr>
            </w:pPr>
          </w:p>
        </w:tc>
        <w:tc>
          <w:tcPr>
            <w:tcW w:w="932" w:type="dxa"/>
            <w:tcBorders>
              <w:top w:val="nil"/>
              <w:left w:val="nil"/>
              <w:bottom w:val="nil"/>
              <w:right w:val="nil"/>
            </w:tcBorders>
            <w:shd w:val="clear" w:color="auto" w:fill="auto"/>
            <w:noWrap/>
            <w:vAlign w:val="center"/>
            <w:hideMark/>
          </w:tcPr>
          <w:p w14:paraId="6D7B9BB8" w14:textId="77777777" w:rsidR="007171B9" w:rsidRPr="00292E2D" w:rsidRDefault="007171B9" w:rsidP="00292E2D">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3A11CBCB" w14:textId="77777777" w:rsidR="007171B9" w:rsidRPr="00292E2D" w:rsidRDefault="007171B9" w:rsidP="00292E2D">
            <w:pPr>
              <w:jc w:val="right"/>
              <w:rPr>
                <w:rFonts w:ascii="Calibri" w:hAnsi="Calibri" w:cs="Calibri"/>
                <w:color w:val="000000"/>
                <w:sz w:val="2"/>
                <w:szCs w:val="2"/>
                <w:lang w:eastAsia="en-GB"/>
              </w:rPr>
            </w:pPr>
            <w:r w:rsidRPr="00292E2D">
              <w:rPr>
                <w:rFonts w:ascii="Calibri" w:hAnsi="Calibri" w:cs="Calibri"/>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57C3FE97" w14:textId="77777777" w:rsidR="007171B9" w:rsidRPr="00292E2D" w:rsidRDefault="007171B9" w:rsidP="00292E2D">
            <w:pPr>
              <w:jc w:val="right"/>
              <w:rPr>
                <w:rFonts w:ascii="Calibri" w:hAnsi="Calibri" w:cs="Calibri"/>
                <w:color w:val="000000"/>
                <w:sz w:val="2"/>
                <w:szCs w:val="2"/>
                <w:lang w:eastAsia="en-GB"/>
              </w:rPr>
            </w:pPr>
          </w:p>
        </w:tc>
        <w:tc>
          <w:tcPr>
            <w:tcW w:w="931" w:type="dxa"/>
            <w:tcBorders>
              <w:top w:val="nil"/>
              <w:left w:val="nil"/>
              <w:bottom w:val="nil"/>
              <w:right w:val="nil"/>
            </w:tcBorders>
            <w:shd w:val="clear" w:color="auto" w:fill="auto"/>
            <w:noWrap/>
            <w:vAlign w:val="center"/>
            <w:hideMark/>
          </w:tcPr>
          <w:p w14:paraId="150ACA83"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5A07CD65" w14:textId="77777777" w:rsidR="007171B9" w:rsidRPr="00292E2D" w:rsidRDefault="007171B9" w:rsidP="00292E2D">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785F724E"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F17EFE" w:rsidRPr="00292E2D" w14:paraId="15622639" w14:textId="77777777" w:rsidTr="005E0BBF">
        <w:trPr>
          <w:trHeight w:val="263"/>
        </w:trPr>
        <w:tc>
          <w:tcPr>
            <w:tcW w:w="2824" w:type="dxa"/>
            <w:tcBorders>
              <w:top w:val="nil"/>
              <w:left w:val="single" w:sz="8" w:space="0" w:color="auto"/>
              <w:bottom w:val="nil"/>
              <w:right w:val="nil"/>
            </w:tcBorders>
            <w:shd w:val="clear" w:color="auto" w:fill="auto"/>
            <w:noWrap/>
            <w:vAlign w:val="center"/>
            <w:hideMark/>
          </w:tcPr>
          <w:p w14:paraId="2531736F" w14:textId="77777777" w:rsidR="00F17EFE" w:rsidRPr="00292E2D" w:rsidRDefault="00F17EFE" w:rsidP="001E6AB6">
            <w:pPr>
              <w:jc w:val="both"/>
              <w:rPr>
                <w:rFonts w:ascii="Calibri" w:hAnsi="Calibri" w:cs="Calibri"/>
                <w:b/>
                <w:bCs/>
                <w:color w:val="000000"/>
                <w:sz w:val="20"/>
                <w:lang w:eastAsia="en-GB"/>
              </w:rPr>
            </w:pPr>
            <w:r w:rsidRPr="00292E2D">
              <w:rPr>
                <w:rFonts w:ascii="Calibri" w:hAnsi="Calibri" w:cs="Calibri"/>
                <w:b/>
                <w:bCs/>
                <w:color w:val="000000"/>
                <w:sz w:val="20"/>
                <w:lang w:eastAsia="en-GB"/>
              </w:rPr>
              <w:t>Adjusted</w:t>
            </w:r>
            <w:r w:rsidRPr="00292E2D">
              <w:rPr>
                <w:rFonts w:ascii="Calibri" w:hAnsi="Calibri" w:cs="Calibri"/>
                <w:i/>
                <w:iCs/>
                <w:color w:val="000000"/>
                <w:sz w:val="18"/>
                <w:szCs w:val="18"/>
                <w:vertAlign w:val="superscript"/>
                <w:lang w:eastAsia="en-GB"/>
              </w:rPr>
              <w:t>1</w:t>
            </w:r>
            <w:r w:rsidRPr="00292E2D">
              <w:rPr>
                <w:rFonts w:ascii="Calibri" w:hAnsi="Calibri" w:cs="Calibri"/>
                <w:b/>
                <w:bCs/>
                <w:color w:val="000000"/>
                <w:sz w:val="20"/>
                <w:lang w:eastAsia="en-GB"/>
              </w:rPr>
              <w:t xml:space="preserve"> earnings per share</w:t>
            </w:r>
            <w:r w:rsidRPr="00886A51">
              <w:rPr>
                <w:rFonts w:ascii="Calibri" w:hAnsi="Calibri" w:cs="Calibri"/>
                <w:b/>
                <w:bCs/>
                <w:color w:val="000000"/>
                <w:sz w:val="20"/>
                <w:vertAlign w:val="superscript"/>
                <w:lang w:eastAsia="en-GB"/>
              </w:rPr>
              <w:t>1</w:t>
            </w:r>
            <w:r w:rsidR="00824BDD">
              <w:rPr>
                <w:rFonts w:ascii="Calibri" w:hAnsi="Calibri" w:cs="Calibri"/>
                <w:b/>
                <w:bCs/>
                <w:color w:val="000000"/>
                <w:sz w:val="20"/>
                <w:vertAlign w:val="superscript"/>
                <w:lang w:eastAsia="en-GB"/>
              </w:rPr>
              <w:t>3</w:t>
            </w:r>
          </w:p>
        </w:tc>
        <w:tc>
          <w:tcPr>
            <w:tcW w:w="931" w:type="dxa"/>
            <w:tcBorders>
              <w:top w:val="nil"/>
              <w:left w:val="nil"/>
              <w:bottom w:val="nil"/>
              <w:right w:val="nil"/>
            </w:tcBorders>
            <w:shd w:val="clear" w:color="auto" w:fill="auto"/>
            <w:noWrap/>
            <w:vAlign w:val="center"/>
            <w:hideMark/>
          </w:tcPr>
          <w:p w14:paraId="75262E68" w14:textId="77777777" w:rsidR="00F17EFE" w:rsidRPr="00292E2D" w:rsidRDefault="00F17EFE" w:rsidP="00212722">
            <w:pPr>
              <w:jc w:val="right"/>
              <w:rPr>
                <w:rFonts w:ascii="Calibri" w:hAnsi="Calibri" w:cs="Calibri"/>
                <w:b/>
                <w:bCs/>
                <w:color w:val="000000"/>
                <w:sz w:val="20"/>
                <w:lang w:eastAsia="en-GB"/>
              </w:rPr>
            </w:pPr>
            <w:r w:rsidRPr="00292E2D">
              <w:rPr>
                <w:rFonts w:ascii="Calibri" w:hAnsi="Calibri" w:cs="Calibri"/>
                <w:b/>
                <w:bCs/>
                <w:color w:val="000000"/>
                <w:sz w:val="20"/>
                <w:lang w:eastAsia="en-GB"/>
              </w:rPr>
              <w:t>18</w:t>
            </w:r>
            <w:r>
              <w:rPr>
                <w:rFonts w:ascii="Calibri" w:hAnsi="Calibri" w:cs="Calibri"/>
                <w:b/>
                <w:bCs/>
                <w:color w:val="000000"/>
                <w:sz w:val="20"/>
                <w:lang w:eastAsia="en-GB"/>
              </w:rPr>
              <w:t>7.5</w:t>
            </w:r>
            <w:r w:rsidRPr="00292E2D">
              <w:rPr>
                <w:rFonts w:ascii="Calibri" w:hAnsi="Calibri" w:cs="Calibri"/>
                <w:b/>
                <w:bCs/>
                <w:color w:val="000000"/>
                <w:sz w:val="20"/>
                <w:lang w:eastAsia="en-GB"/>
              </w:rPr>
              <w:t>p</w:t>
            </w:r>
          </w:p>
        </w:tc>
        <w:tc>
          <w:tcPr>
            <w:tcW w:w="932" w:type="dxa"/>
            <w:tcBorders>
              <w:top w:val="nil"/>
              <w:left w:val="nil"/>
              <w:bottom w:val="nil"/>
              <w:right w:val="nil"/>
            </w:tcBorders>
            <w:shd w:val="clear" w:color="auto" w:fill="auto"/>
            <w:noWrap/>
            <w:vAlign w:val="center"/>
            <w:hideMark/>
          </w:tcPr>
          <w:p w14:paraId="54CF4341" w14:textId="77777777" w:rsidR="00F17EFE" w:rsidRPr="00292E2D" w:rsidRDefault="00F17EFE" w:rsidP="00212722">
            <w:pPr>
              <w:jc w:val="right"/>
              <w:rPr>
                <w:rFonts w:ascii="Calibri" w:hAnsi="Calibri" w:cs="Calibri"/>
                <w:b/>
                <w:bCs/>
                <w:color w:val="000000"/>
                <w:sz w:val="20"/>
                <w:lang w:eastAsia="en-GB"/>
              </w:rPr>
            </w:pPr>
            <w:r w:rsidRPr="00292E2D">
              <w:rPr>
                <w:rFonts w:ascii="Calibri" w:hAnsi="Calibri" w:cs="Calibri"/>
                <w:b/>
                <w:bCs/>
                <w:color w:val="000000"/>
                <w:sz w:val="20"/>
                <w:lang w:eastAsia="en-GB"/>
              </w:rPr>
              <w:t>14</w:t>
            </w:r>
            <w:r>
              <w:rPr>
                <w:rFonts w:ascii="Calibri" w:hAnsi="Calibri" w:cs="Calibri"/>
                <w:b/>
                <w:bCs/>
                <w:color w:val="000000"/>
                <w:sz w:val="20"/>
                <w:lang w:eastAsia="en-GB"/>
              </w:rPr>
              <w:t>5.5</w:t>
            </w:r>
            <w:r w:rsidRPr="00292E2D">
              <w:rPr>
                <w:rFonts w:ascii="Calibri" w:hAnsi="Calibri" w:cs="Calibri"/>
                <w:b/>
                <w:bCs/>
                <w:color w:val="000000"/>
                <w:sz w:val="20"/>
                <w:lang w:eastAsia="en-GB"/>
              </w:rPr>
              <w:t>p</w:t>
            </w:r>
          </w:p>
        </w:tc>
        <w:tc>
          <w:tcPr>
            <w:tcW w:w="931" w:type="dxa"/>
            <w:tcBorders>
              <w:top w:val="nil"/>
              <w:left w:val="nil"/>
              <w:bottom w:val="nil"/>
              <w:right w:val="single" w:sz="8" w:space="0" w:color="auto"/>
            </w:tcBorders>
            <w:shd w:val="clear" w:color="auto" w:fill="auto"/>
            <w:noWrap/>
            <w:vAlign w:val="center"/>
            <w:hideMark/>
          </w:tcPr>
          <w:p w14:paraId="2E53F366" w14:textId="77777777" w:rsidR="00F17EFE" w:rsidRPr="00292E2D" w:rsidRDefault="00F17EFE" w:rsidP="00212722">
            <w:pPr>
              <w:jc w:val="right"/>
              <w:rPr>
                <w:rFonts w:ascii="Calibri" w:hAnsi="Calibri" w:cs="Calibri"/>
                <w:b/>
                <w:bCs/>
                <w:color w:val="000000"/>
                <w:sz w:val="20"/>
                <w:lang w:eastAsia="en-GB"/>
              </w:rPr>
            </w:pPr>
            <w:r w:rsidRPr="00292E2D">
              <w:rPr>
                <w:rFonts w:ascii="Calibri" w:hAnsi="Calibri" w:cs="Calibri"/>
                <w:b/>
                <w:bCs/>
                <w:color w:val="000000"/>
                <w:sz w:val="20"/>
                <w:lang w:eastAsia="en-GB"/>
              </w:rPr>
              <w:t>+2</w:t>
            </w:r>
            <w:r>
              <w:rPr>
                <w:rFonts w:ascii="Calibri" w:hAnsi="Calibri" w:cs="Calibri"/>
                <w:b/>
                <w:bCs/>
                <w:color w:val="000000"/>
                <w:sz w:val="20"/>
                <w:lang w:eastAsia="en-GB"/>
              </w:rPr>
              <w:t>9</w:t>
            </w:r>
            <w:r w:rsidRPr="00292E2D">
              <w:rPr>
                <w:rFonts w:ascii="Calibri" w:hAnsi="Calibri" w:cs="Calibri"/>
                <w:b/>
                <w:bCs/>
                <w:color w:val="000000"/>
                <w:sz w:val="20"/>
                <w:lang w:eastAsia="en-GB"/>
              </w:rPr>
              <w:t>%</w:t>
            </w:r>
          </w:p>
        </w:tc>
        <w:tc>
          <w:tcPr>
            <w:tcW w:w="932" w:type="dxa"/>
            <w:tcBorders>
              <w:top w:val="nil"/>
              <w:left w:val="nil"/>
              <w:bottom w:val="nil"/>
              <w:right w:val="nil"/>
            </w:tcBorders>
            <w:shd w:val="clear" w:color="auto" w:fill="auto"/>
            <w:noWrap/>
            <w:hideMark/>
          </w:tcPr>
          <w:p w14:paraId="65AD6146" w14:textId="77777777" w:rsidR="00F17EFE" w:rsidRPr="00A7446F" w:rsidRDefault="00F17EFE" w:rsidP="00212722">
            <w:pPr>
              <w:jc w:val="right"/>
              <w:rPr>
                <w:rFonts w:ascii="Calibri" w:hAnsi="Calibri" w:cs="Calibri"/>
                <w:b/>
                <w:bCs/>
                <w:color w:val="000000"/>
                <w:sz w:val="20"/>
                <w:lang w:eastAsia="en-GB"/>
              </w:rPr>
            </w:pPr>
            <w:r>
              <w:rPr>
                <w:rFonts w:asciiTheme="minorHAnsi" w:hAnsiTheme="minorHAnsi"/>
                <w:sz w:val="22"/>
                <w:szCs w:val="22"/>
                <w:lang w:eastAsia="en-IE"/>
              </w:rPr>
              <w:t>286.3</w:t>
            </w:r>
          </w:p>
        </w:tc>
        <w:tc>
          <w:tcPr>
            <w:tcW w:w="931" w:type="dxa"/>
            <w:tcBorders>
              <w:top w:val="nil"/>
              <w:left w:val="nil"/>
              <w:bottom w:val="nil"/>
              <w:right w:val="nil"/>
            </w:tcBorders>
            <w:shd w:val="clear" w:color="auto" w:fill="auto"/>
            <w:noWrap/>
            <w:hideMark/>
          </w:tcPr>
          <w:p w14:paraId="4779B6BC" w14:textId="77777777" w:rsidR="00F17EFE" w:rsidRPr="00A7446F" w:rsidRDefault="00F17EFE" w:rsidP="00ED771D">
            <w:pPr>
              <w:jc w:val="right"/>
              <w:rPr>
                <w:rFonts w:ascii="Calibri" w:hAnsi="Calibri" w:cs="Calibri"/>
                <w:b/>
                <w:bCs/>
                <w:color w:val="000000"/>
                <w:sz w:val="20"/>
                <w:lang w:eastAsia="en-GB"/>
              </w:rPr>
            </w:pPr>
            <w:r>
              <w:rPr>
                <w:rFonts w:asciiTheme="minorHAnsi" w:hAnsiTheme="minorHAnsi"/>
                <w:sz w:val="22"/>
                <w:szCs w:val="22"/>
                <w:lang w:eastAsia="en-IE"/>
              </w:rPr>
              <w:t>18</w:t>
            </w:r>
            <w:r w:rsidR="00ED771D">
              <w:rPr>
                <w:rFonts w:asciiTheme="minorHAnsi" w:hAnsiTheme="minorHAnsi"/>
                <w:sz w:val="22"/>
                <w:szCs w:val="22"/>
                <w:lang w:eastAsia="en-IE"/>
              </w:rPr>
              <w:t>3.3</w:t>
            </w:r>
            <w:r>
              <w:rPr>
                <w:rFonts w:asciiTheme="minorHAnsi" w:hAnsiTheme="minorHAnsi"/>
                <w:sz w:val="22"/>
                <w:szCs w:val="22"/>
                <w:lang w:eastAsia="en-IE"/>
              </w:rPr>
              <w:t>p</w:t>
            </w:r>
          </w:p>
        </w:tc>
        <w:tc>
          <w:tcPr>
            <w:tcW w:w="932" w:type="dxa"/>
            <w:tcBorders>
              <w:top w:val="nil"/>
              <w:left w:val="nil"/>
              <w:bottom w:val="nil"/>
              <w:right w:val="nil"/>
            </w:tcBorders>
          </w:tcPr>
          <w:p w14:paraId="23643140" w14:textId="77777777" w:rsidR="00F17EFE" w:rsidRPr="00A7446F" w:rsidRDefault="00420F59" w:rsidP="00ED771D">
            <w:pPr>
              <w:jc w:val="right"/>
              <w:rPr>
                <w:rFonts w:ascii="Calibri" w:hAnsi="Calibri" w:cs="Calibri"/>
                <w:b/>
                <w:bCs/>
                <w:color w:val="000000"/>
                <w:sz w:val="20"/>
                <w:lang w:eastAsia="en-GB"/>
              </w:rPr>
            </w:pPr>
            <w:r>
              <w:rPr>
                <w:rFonts w:asciiTheme="minorHAnsi" w:hAnsiTheme="minorHAnsi"/>
                <w:sz w:val="22"/>
                <w:szCs w:val="22"/>
                <w:lang w:eastAsia="en-IE"/>
              </w:rPr>
              <w:t>+</w:t>
            </w:r>
            <w:r w:rsidR="00212722">
              <w:rPr>
                <w:rFonts w:asciiTheme="minorHAnsi" w:hAnsiTheme="minorHAnsi"/>
                <w:sz w:val="22"/>
                <w:szCs w:val="22"/>
                <w:lang w:eastAsia="en-IE"/>
              </w:rPr>
              <w:t>5</w:t>
            </w:r>
            <w:r w:rsidR="00ED771D">
              <w:rPr>
                <w:rFonts w:asciiTheme="minorHAnsi" w:hAnsiTheme="minorHAnsi"/>
                <w:sz w:val="22"/>
                <w:szCs w:val="22"/>
                <w:lang w:eastAsia="en-IE"/>
              </w:rPr>
              <w:t>6</w:t>
            </w:r>
            <w:r w:rsidR="00212722">
              <w:rPr>
                <w:rFonts w:asciiTheme="minorHAnsi" w:hAnsiTheme="minorHAnsi"/>
                <w:sz w:val="22"/>
                <w:szCs w:val="22"/>
                <w:lang w:eastAsia="en-IE"/>
              </w:rPr>
              <w:t>%</w:t>
            </w:r>
          </w:p>
        </w:tc>
        <w:tc>
          <w:tcPr>
            <w:tcW w:w="933" w:type="dxa"/>
            <w:tcBorders>
              <w:top w:val="nil"/>
              <w:left w:val="nil"/>
              <w:bottom w:val="nil"/>
              <w:right w:val="single" w:sz="8" w:space="0" w:color="auto"/>
            </w:tcBorders>
            <w:shd w:val="clear" w:color="auto" w:fill="auto"/>
            <w:noWrap/>
            <w:hideMark/>
          </w:tcPr>
          <w:p w14:paraId="55C22DC1" w14:textId="77777777" w:rsidR="00F17EFE" w:rsidRPr="00A7446F" w:rsidRDefault="00F17EFE" w:rsidP="00F17EFE">
            <w:pPr>
              <w:jc w:val="right"/>
              <w:rPr>
                <w:rFonts w:ascii="Calibri" w:hAnsi="Calibri" w:cs="Calibri"/>
                <w:b/>
                <w:bCs/>
                <w:color w:val="000000"/>
                <w:sz w:val="20"/>
                <w:lang w:eastAsia="en-GB"/>
              </w:rPr>
            </w:pPr>
          </w:p>
        </w:tc>
      </w:tr>
      <w:tr w:rsidR="007171B9" w:rsidRPr="00292E2D" w14:paraId="4F0F886D"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71611BC4" w14:textId="77777777" w:rsidR="007171B9" w:rsidRPr="00292E2D" w:rsidRDefault="007171B9" w:rsidP="00292E2D">
            <w:pPr>
              <w:jc w:val="both"/>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35731DD9" w14:textId="77777777" w:rsidR="007171B9" w:rsidRPr="00292E2D" w:rsidRDefault="007171B9" w:rsidP="00292E2D">
            <w:pPr>
              <w:jc w:val="both"/>
              <w:rPr>
                <w:rFonts w:ascii="Calibri" w:hAnsi="Calibri" w:cs="Calibri"/>
                <w:b/>
                <w:bCs/>
                <w:color w:val="000000"/>
                <w:sz w:val="2"/>
                <w:szCs w:val="2"/>
                <w:lang w:eastAsia="en-GB"/>
              </w:rPr>
            </w:pPr>
          </w:p>
        </w:tc>
        <w:tc>
          <w:tcPr>
            <w:tcW w:w="932" w:type="dxa"/>
            <w:tcBorders>
              <w:top w:val="nil"/>
              <w:left w:val="nil"/>
              <w:bottom w:val="nil"/>
              <w:right w:val="nil"/>
            </w:tcBorders>
            <w:shd w:val="clear" w:color="auto" w:fill="auto"/>
            <w:noWrap/>
            <w:vAlign w:val="center"/>
            <w:hideMark/>
          </w:tcPr>
          <w:p w14:paraId="1C4CDA30" w14:textId="77777777" w:rsidR="007171B9" w:rsidRPr="00292E2D" w:rsidRDefault="007171B9" w:rsidP="00292E2D">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4B5B1A6F"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0111FA9B" w14:textId="77777777" w:rsidR="007171B9" w:rsidRPr="00A7446F" w:rsidRDefault="007171B9" w:rsidP="00292E2D">
            <w:pPr>
              <w:jc w:val="right"/>
              <w:rPr>
                <w:rFonts w:ascii="Calibri" w:hAnsi="Calibri" w:cs="Calibri"/>
                <w:b/>
                <w:bCs/>
                <w:color w:val="000000"/>
                <w:sz w:val="2"/>
                <w:szCs w:val="2"/>
                <w:lang w:eastAsia="en-GB"/>
              </w:rPr>
            </w:pPr>
          </w:p>
        </w:tc>
        <w:tc>
          <w:tcPr>
            <w:tcW w:w="931" w:type="dxa"/>
            <w:tcBorders>
              <w:top w:val="nil"/>
              <w:left w:val="nil"/>
              <w:bottom w:val="nil"/>
              <w:right w:val="nil"/>
            </w:tcBorders>
            <w:shd w:val="clear" w:color="auto" w:fill="auto"/>
            <w:noWrap/>
            <w:vAlign w:val="center"/>
            <w:hideMark/>
          </w:tcPr>
          <w:p w14:paraId="29C7BD77" w14:textId="77777777" w:rsidR="007171B9" w:rsidRPr="00A7446F"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6EBC37B3" w14:textId="77777777" w:rsidR="007171B9" w:rsidRPr="00A7446F" w:rsidRDefault="007171B9" w:rsidP="00292E2D">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45B1BF95" w14:textId="77777777" w:rsidR="007171B9" w:rsidRPr="00A7446F" w:rsidRDefault="007171B9" w:rsidP="00292E2D">
            <w:pPr>
              <w:jc w:val="right"/>
              <w:rPr>
                <w:rFonts w:ascii="Calibri" w:hAnsi="Calibri" w:cs="Calibri"/>
                <w:b/>
                <w:bCs/>
                <w:color w:val="000000"/>
                <w:sz w:val="2"/>
                <w:szCs w:val="2"/>
                <w:lang w:eastAsia="en-GB"/>
              </w:rPr>
            </w:pPr>
            <w:r w:rsidRPr="00A7446F">
              <w:rPr>
                <w:rFonts w:ascii="Calibri" w:hAnsi="Calibri" w:cs="Calibri"/>
                <w:b/>
                <w:bCs/>
                <w:color w:val="000000"/>
                <w:sz w:val="2"/>
                <w:szCs w:val="2"/>
                <w:lang w:eastAsia="en-GB"/>
              </w:rPr>
              <w:t> </w:t>
            </w:r>
          </w:p>
        </w:tc>
      </w:tr>
      <w:tr w:rsidR="007171B9" w:rsidRPr="00292E2D" w14:paraId="3B924FA6" w14:textId="77777777" w:rsidTr="00F17EFE">
        <w:trPr>
          <w:trHeight w:val="255"/>
        </w:trPr>
        <w:tc>
          <w:tcPr>
            <w:tcW w:w="2824" w:type="dxa"/>
            <w:tcBorders>
              <w:top w:val="nil"/>
              <w:left w:val="single" w:sz="8" w:space="0" w:color="auto"/>
              <w:bottom w:val="nil"/>
              <w:right w:val="nil"/>
            </w:tcBorders>
            <w:shd w:val="clear" w:color="auto" w:fill="auto"/>
            <w:noWrap/>
            <w:vAlign w:val="center"/>
            <w:hideMark/>
          </w:tcPr>
          <w:p w14:paraId="21F19A83" w14:textId="77777777" w:rsidR="007171B9" w:rsidRPr="00292E2D" w:rsidRDefault="007171B9" w:rsidP="001E6AB6">
            <w:pPr>
              <w:jc w:val="both"/>
              <w:rPr>
                <w:rFonts w:ascii="Calibri" w:hAnsi="Calibri" w:cs="Calibri"/>
                <w:b/>
                <w:bCs/>
                <w:color w:val="000000"/>
                <w:sz w:val="20"/>
                <w:lang w:eastAsia="en-GB"/>
              </w:rPr>
            </w:pPr>
            <w:r w:rsidRPr="00292E2D">
              <w:rPr>
                <w:rFonts w:ascii="Calibri" w:hAnsi="Calibri" w:cs="Calibri"/>
                <w:b/>
                <w:bCs/>
                <w:color w:val="000000"/>
                <w:sz w:val="20"/>
                <w:lang w:eastAsia="en-GB"/>
              </w:rPr>
              <w:t>Basic earnings per share</w:t>
            </w:r>
            <w:r w:rsidR="00426002" w:rsidRPr="00886A51">
              <w:rPr>
                <w:rFonts w:ascii="Calibri" w:hAnsi="Calibri" w:cs="Calibri"/>
                <w:b/>
                <w:bCs/>
                <w:color w:val="000000"/>
                <w:sz w:val="20"/>
                <w:vertAlign w:val="superscript"/>
                <w:lang w:eastAsia="en-GB"/>
              </w:rPr>
              <w:t>1</w:t>
            </w:r>
            <w:r w:rsidR="00824BDD">
              <w:rPr>
                <w:rFonts w:ascii="Calibri" w:hAnsi="Calibri" w:cs="Calibri"/>
                <w:b/>
                <w:bCs/>
                <w:color w:val="000000"/>
                <w:sz w:val="20"/>
                <w:vertAlign w:val="superscript"/>
                <w:lang w:eastAsia="en-GB"/>
              </w:rPr>
              <w:t>3</w:t>
            </w:r>
          </w:p>
        </w:tc>
        <w:tc>
          <w:tcPr>
            <w:tcW w:w="931" w:type="dxa"/>
            <w:tcBorders>
              <w:top w:val="nil"/>
              <w:left w:val="nil"/>
              <w:bottom w:val="nil"/>
              <w:right w:val="nil"/>
            </w:tcBorders>
            <w:shd w:val="clear" w:color="auto" w:fill="auto"/>
            <w:noWrap/>
            <w:vAlign w:val="center"/>
            <w:hideMark/>
          </w:tcPr>
          <w:p w14:paraId="4CC1500E" w14:textId="77777777" w:rsidR="007171B9" w:rsidRPr="00A7446F" w:rsidRDefault="00A828B3" w:rsidP="00F17EFE">
            <w:pPr>
              <w:jc w:val="right"/>
              <w:rPr>
                <w:rFonts w:ascii="Calibri" w:hAnsi="Calibri" w:cs="Calibri"/>
                <w:b/>
                <w:bCs/>
                <w:color w:val="000000"/>
                <w:sz w:val="20"/>
                <w:lang w:eastAsia="en-GB"/>
              </w:rPr>
            </w:pPr>
            <w:r w:rsidRPr="00A7446F">
              <w:rPr>
                <w:rFonts w:ascii="Calibri" w:hAnsi="Calibri" w:cs="Calibri"/>
                <w:b/>
                <w:bCs/>
                <w:color w:val="000000"/>
                <w:sz w:val="20"/>
                <w:lang w:eastAsia="en-GB"/>
              </w:rPr>
              <w:t>1</w:t>
            </w:r>
            <w:r w:rsidR="00F17EFE">
              <w:rPr>
                <w:rFonts w:ascii="Calibri" w:hAnsi="Calibri" w:cs="Calibri"/>
                <w:b/>
                <w:bCs/>
                <w:color w:val="000000"/>
                <w:sz w:val="20"/>
                <w:lang w:eastAsia="en-GB"/>
              </w:rPr>
              <w:t>8.1</w:t>
            </w:r>
            <w:r w:rsidRPr="00A7446F">
              <w:rPr>
                <w:rFonts w:ascii="Calibri" w:hAnsi="Calibri" w:cs="Calibri"/>
                <w:b/>
                <w:bCs/>
                <w:color w:val="000000"/>
                <w:sz w:val="20"/>
                <w:lang w:eastAsia="en-GB"/>
              </w:rPr>
              <w:t>p</w:t>
            </w:r>
          </w:p>
        </w:tc>
        <w:tc>
          <w:tcPr>
            <w:tcW w:w="932" w:type="dxa"/>
            <w:tcBorders>
              <w:top w:val="nil"/>
              <w:left w:val="nil"/>
              <w:bottom w:val="nil"/>
              <w:right w:val="nil"/>
            </w:tcBorders>
            <w:shd w:val="clear" w:color="auto" w:fill="auto"/>
            <w:noWrap/>
            <w:vAlign w:val="center"/>
            <w:hideMark/>
          </w:tcPr>
          <w:p w14:paraId="2F291954" w14:textId="77777777" w:rsidR="007171B9" w:rsidRPr="00A7446F" w:rsidRDefault="007171B9" w:rsidP="00292E2D">
            <w:pPr>
              <w:jc w:val="right"/>
              <w:rPr>
                <w:rFonts w:ascii="Calibri" w:hAnsi="Calibri" w:cs="Calibri"/>
                <w:b/>
                <w:bCs/>
                <w:color w:val="000000"/>
                <w:sz w:val="20"/>
                <w:lang w:eastAsia="en-GB"/>
              </w:rPr>
            </w:pPr>
            <w:r w:rsidRPr="00A7446F">
              <w:rPr>
                <w:rFonts w:ascii="Calibri" w:hAnsi="Calibri" w:cs="Calibri"/>
                <w:b/>
                <w:bCs/>
                <w:color w:val="000000"/>
                <w:sz w:val="20"/>
                <w:lang w:eastAsia="en-GB"/>
              </w:rPr>
              <w:t>9</w:t>
            </w:r>
            <w:r w:rsidR="00A828B3" w:rsidRPr="00A7446F">
              <w:rPr>
                <w:rFonts w:ascii="Calibri" w:hAnsi="Calibri" w:cs="Calibri"/>
                <w:b/>
                <w:bCs/>
                <w:color w:val="000000"/>
                <w:sz w:val="20"/>
                <w:lang w:eastAsia="en-GB"/>
              </w:rPr>
              <w:t>6.2</w:t>
            </w:r>
            <w:r w:rsidRPr="00A7446F">
              <w:rPr>
                <w:rFonts w:ascii="Calibri" w:hAnsi="Calibri" w:cs="Calibri"/>
                <w:b/>
                <w:bCs/>
                <w:color w:val="000000"/>
                <w:sz w:val="20"/>
                <w:lang w:eastAsia="en-GB"/>
              </w:rPr>
              <w:t>p</w:t>
            </w:r>
          </w:p>
        </w:tc>
        <w:tc>
          <w:tcPr>
            <w:tcW w:w="931" w:type="dxa"/>
            <w:tcBorders>
              <w:top w:val="nil"/>
              <w:left w:val="nil"/>
              <w:bottom w:val="nil"/>
              <w:right w:val="single" w:sz="8" w:space="0" w:color="auto"/>
            </w:tcBorders>
            <w:shd w:val="clear" w:color="auto" w:fill="auto"/>
            <w:noWrap/>
            <w:vAlign w:val="center"/>
            <w:hideMark/>
          </w:tcPr>
          <w:p w14:paraId="56BD891A" w14:textId="77777777" w:rsidR="007171B9" w:rsidRPr="00A7446F" w:rsidRDefault="007171B9" w:rsidP="00F17EFE">
            <w:pPr>
              <w:jc w:val="right"/>
              <w:rPr>
                <w:rFonts w:ascii="Calibri" w:hAnsi="Calibri" w:cs="Calibri"/>
                <w:b/>
                <w:bCs/>
                <w:color w:val="000000"/>
                <w:sz w:val="20"/>
                <w:lang w:eastAsia="en-GB"/>
              </w:rPr>
            </w:pPr>
            <w:r w:rsidRPr="00A7446F">
              <w:rPr>
                <w:rFonts w:ascii="Calibri" w:hAnsi="Calibri" w:cs="Calibri"/>
                <w:b/>
                <w:bCs/>
                <w:color w:val="000000"/>
                <w:sz w:val="20"/>
                <w:lang w:eastAsia="en-GB"/>
              </w:rPr>
              <w:t>-</w:t>
            </w:r>
            <w:r w:rsidR="00A828B3" w:rsidRPr="00A7446F">
              <w:rPr>
                <w:rFonts w:ascii="Calibri" w:hAnsi="Calibri" w:cs="Calibri"/>
                <w:b/>
                <w:bCs/>
                <w:color w:val="000000"/>
                <w:sz w:val="20"/>
                <w:lang w:eastAsia="en-GB"/>
              </w:rPr>
              <w:t>8</w:t>
            </w:r>
            <w:r w:rsidR="00F17EFE">
              <w:rPr>
                <w:rFonts w:ascii="Calibri" w:hAnsi="Calibri" w:cs="Calibri"/>
                <w:b/>
                <w:bCs/>
                <w:color w:val="000000"/>
                <w:sz w:val="20"/>
                <w:lang w:eastAsia="en-GB"/>
              </w:rPr>
              <w:t>1</w:t>
            </w:r>
            <w:r w:rsidRPr="00A7446F">
              <w:rPr>
                <w:rFonts w:ascii="Calibri" w:hAnsi="Calibri" w:cs="Calibri"/>
                <w:b/>
                <w:bCs/>
                <w:color w:val="000000"/>
                <w:sz w:val="20"/>
                <w:lang w:eastAsia="en-GB"/>
              </w:rPr>
              <w:t>%</w:t>
            </w:r>
          </w:p>
        </w:tc>
        <w:tc>
          <w:tcPr>
            <w:tcW w:w="932" w:type="dxa"/>
            <w:tcBorders>
              <w:top w:val="nil"/>
              <w:left w:val="nil"/>
              <w:bottom w:val="nil"/>
              <w:right w:val="nil"/>
            </w:tcBorders>
            <w:shd w:val="clear" w:color="auto" w:fill="auto"/>
            <w:noWrap/>
            <w:vAlign w:val="center"/>
          </w:tcPr>
          <w:p w14:paraId="40417F44" w14:textId="77777777" w:rsidR="007171B9" w:rsidRPr="00A7446F" w:rsidRDefault="007171B9" w:rsidP="00292E2D">
            <w:pPr>
              <w:jc w:val="right"/>
              <w:rPr>
                <w:rFonts w:asciiTheme="minorHAnsi" w:hAnsiTheme="minorHAnsi" w:cstheme="minorHAnsi"/>
                <w:b/>
                <w:bCs/>
                <w:color w:val="000000"/>
                <w:sz w:val="20"/>
                <w:lang w:eastAsia="en-GB"/>
              </w:rPr>
            </w:pPr>
          </w:p>
        </w:tc>
        <w:tc>
          <w:tcPr>
            <w:tcW w:w="931" w:type="dxa"/>
            <w:tcBorders>
              <w:top w:val="nil"/>
              <w:left w:val="nil"/>
              <w:bottom w:val="nil"/>
              <w:right w:val="nil"/>
            </w:tcBorders>
            <w:shd w:val="clear" w:color="auto" w:fill="auto"/>
            <w:noWrap/>
            <w:vAlign w:val="center"/>
          </w:tcPr>
          <w:p w14:paraId="2BBC1EDC" w14:textId="77777777" w:rsidR="007171B9" w:rsidRPr="00A7446F" w:rsidRDefault="007171B9" w:rsidP="00292E2D">
            <w:pPr>
              <w:jc w:val="right"/>
              <w:rPr>
                <w:rFonts w:asciiTheme="minorHAnsi" w:hAnsiTheme="minorHAnsi" w:cstheme="minorHAnsi"/>
                <w:b/>
                <w:sz w:val="20"/>
                <w:lang w:eastAsia="en-GB"/>
              </w:rPr>
            </w:pPr>
          </w:p>
        </w:tc>
        <w:tc>
          <w:tcPr>
            <w:tcW w:w="932" w:type="dxa"/>
            <w:tcBorders>
              <w:top w:val="nil"/>
              <w:left w:val="nil"/>
              <w:bottom w:val="nil"/>
              <w:right w:val="nil"/>
            </w:tcBorders>
          </w:tcPr>
          <w:p w14:paraId="6AF89883" w14:textId="77777777" w:rsidR="007171B9" w:rsidRPr="00A7446F" w:rsidRDefault="007171B9" w:rsidP="00292E2D">
            <w:pPr>
              <w:jc w:val="right"/>
              <w:rPr>
                <w:rFonts w:asciiTheme="minorHAnsi" w:hAnsiTheme="minorHAnsi" w:cstheme="minorHAnsi"/>
                <w:b/>
                <w:bCs/>
                <w:color w:val="000000"/>
                <w:sz w:val="20"/>
                <w:lang w:eastAsia="en-GB"/>
              </w:rPr>
            </w:pPr>
          </w:p>
        </w:tc>
        <w:tc>
          <w:tcPr>
            <w:tcW w:w="933" w:type="dxa"/>
            <w:tcBorders>
              <w:top w:val="nil"/>
              <w:left w:val="nil"/>
              <w:bottom w:val="nil"/>
              <w:right w:val="single" w:sz="8" w:space="0" w:color="auto"/>
            </w:tcBorders>
            <w:shd w:val="clear" w:color="auto" w:fill="auto"/>
            <w:noWrap/>
            <w:vAlign w:val="center"/>
          </w:tcPr>
          <w:p w14:paraId="5DFFDB70" w14:textId="77777777" w:rsidR="007171B9" w:rsidRPr="00A7446F" w:rsidRDefault="007171B9" w:rsidP="00292E2D">
            <w:pPr>
              <w:jc w:val="right"/>
              <w:rPr>
                <w:rFonts w:asciiTheme="minorHAnsi" w:hAnsiTheme="minorHAnsi" w:cstheme="minorHAnsi"/>
                <w:b/>
                <w:bCs/>
                <w:color w:val="000000"/>
                <w:sz w:val="20"/>
                <w:lang w:eastAsia="en-GB"/>
              </w:rPr>
            </w:pPr>
          </w:p>
        </w:tc>
      </w:tr>
      <w:tr w:rsidR="007171B9" w:rsidRPr="00292E2D" w14:paraId="313182DD"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770665B9" w14:textId="77777777" w:rsidR="007171B9" w:rsidRPr="00292E2D" w:rsidRDefault="007171B9" w:rsidP="00292E2D">
            <w:pPr>
              <w:jc w:val="both"/>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4B7962EB" w14:textId="77777777" w:rsidR="007171B9" w:rsidRPr="00292E2D" w:rsidRDefault="007171B9" w:rsidP="00292E2D">
            <w:pPr>
              <w:jc w:val="both"/>
              <w:rPr>
                <w:rFonts w:ascii="Calibri" w:hAnsi="Calibri" w:cs="Calibri"/>
                <w:b/>
                <w:bCs/>
                <w:color w:val="000000"/>
                <w:sz w:val="2"/>
                <w:szCs w:val="2"/>
                <w:lang w:eastAsia="en-GB"/>
              </w:rPr>
            </w:pPr>
          </w:p>
        </w:tc>
        <w:tc>
          <w:tcPr>
            <w:tcW w:w="932" w:type="dxa"/>
            <w:tcBorders>
              <w:top w:val="nil"/>
              <w:left w:val="nil"/>
              <w:bottom w:val="nil"/>
              <w:right w:val="nil"/>
            </w:tcBorders>
            <w:shd w:val="clear" w:color="auto" w:fill="auto"/>
            <w:noWrap/>
            <w:vAlign w:val="center"/>
            <w:hideMark/>
          </w:tcPr>
          <w:p w14:paraId="0AD49CD4" w14:textId="77777777" w:rsidR="007171B9" w:rsidRPr="00292E2D" w:rsidRDefault="007171B9" w:rsidP="00292E2D">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1991211F"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2" w:type="dxa"/>
            <w:tcBorders>
              <w:top w:val="nil"/>
              <w:left w:val="nil"/>
              <w:bottom w:val="nil"/>
              <w:right w:val="nil"/>
            </w:tcBorders>
            <w:shd w:val="clear" w:color="auto" w:fill="auto"/>
            <w:noWrap/>
            <w:vAlign w:val="center"/>
            <w:hideMark/>
          </w:tcPr>
          <w:p w14:paraId="6FB06D43" w14:textId="77777777" w:rsidR="007171B9" w:rsidRPr="00292E2D" w:rsidRDefault="007171B9" w:rsidP="00292E2D">
            <w:pPr>
              <w:jc w:val="right"/>
              <w:rPr>
                <w:rFonts w:ascii="Calibri" w:hAnsi="Calibri" w:cs="Calibri"/>
                <w:b/>
                <w:bCs/>
                <w:color w:val="000000"/>
                <w:sz w:val="2"/>
                <w:szCs w:val="2"/>
                <w:lang w:eastAsia="en-GB"/>
              </w:rPr>
            </w:pPr>
          </w:p>
        </w:tc>
        <w:tc>
          <w:tcPr>
            <w:tcW w:w="931" w:type="dxa"/>
            <w:tcBorders>
              <w:top w:val="nil"/>
              <w:left w:val="nil"/>
              <w:bottom w:val="nil"/>
              <w:right w:val="nil"/>
            </w:tcBorders>
            <w:shd w:val="clear" w:color="auto" w:fill="auto"/>
            <w:noWrap/>
            <w:vAlign w:val="center"/>
            <w:hideMark/>
          </w:tcPr>
          <w:p w14:paraId="5E5C9CB9"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21F548F0" w14:textId="77777777" w:rsidR="007171B9" w:rsidRPr="00292E2D" w:rsidRDefault="007171B9" w:rsidP="00292E2D">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59FBEFF5"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7171B9" w:rsidRPr="00292E2D" w14:paraId="475408AC" w14:textId="77777777" w:rsidTr="00F17EFE">
        <w:trPr>
          <w:trHeight w:val="263"/>
        </w:trPr>
        <w:tc>
          <w:tcPr>
            <w:tcW w:w="2824" w:type="dxa"/>
            <w:tcBorders>
              <w:top w:val="nil"/>
              <w:left w:val="single" w:sz="8" w:space="0" w:color="auto"/>
              <w:bottom w:val="nil"/>
              <w:right w:val="nil"/>
            </w:tcBorders>
            <w:shd w:val="clear" w:color="auto" w:fill="auto"/>
            <w:noWrap/>
            <w:vAlign w:val="center"/>
            <w:hideMark/>
          </w:tcPr>
          <w:p w14:paraId="53763199" w14:textId="77777777" w:rsidR="007171B9" w:rsidRPr="00292E2D" w:rsidRDefault="007171B9" w:rsidP="00292E2D">
            <w:pPr>
              <w:jc w:val="both"/>
              <w:rPr>
                <w:rFonts w:ascii="Calibri" w:hAnsi="Calibri" w:cs="Calibri"/>
                <w:b/>
                <w:bCs/>
                <w:color w:val="000000"/>
                <w:sz w:val="20"/>
                <w:lang w:eastAsia="en-GB"/>
              </w:rPr>
            </w:pPr>
            <w:r w:rsidRPr="00292E2D">
              <w:rPr>
                <w:rFonts w:ascii="Calibri" w:hAnsi="Calibri" w:cs="Calibri"/>
                <w:b/>
                <w:bCs/>
                <w:color w:val="000000"/>
                <w:sz w:val="20"/>
                <w:lang w:eastAsia="en-GB"/>
              </w:rPr>
              <w:t>Dividends per share</w:t>
            </w:r>
          </w:p>
        </w:tc>
        <w:tc>
          <w:tcPr>
            <w:tcW w:w="931" w:type="dxa"/>
            <w:tcBorders>
              <w:top w:val="nil"/>
              <w:left w:val="nil"/>
              <w:bottom w:val="nil"/>
              <w:right w:val="nil"/>
            </w:tcBorders>
            <w:shd w:val="clear" w:color="auto" w:fill="auto"/>
            <w:noWrap/>
            <w:vAlign w:val="center"/>
            <w:hideMark/>
          </w:tcPr>
          <w:p w14:paraId="7859A833"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w:t>
            </w:r>
          </w:p>
        </w:tc>
        <w:tc>
          <w:tcPr>
            <w:tcW w:w="932" w:type="dxa"/>
            <w:tcBorders>
              <w:top w:val="nil"/>
              <w:left w:val="nil"/>
              <w:bottom w:val="nil"/>
              <w:right w:val="nil"/>
            </w:tcBorders>
            <w:shd w:val="clear" w:color="auto" w:fill="auto"/>
            <w:noWrap/>
            <w:vAlign w:val="center"/>
            <w:hideMark/>
          </w:tcPr>
          <w:p w14:paraId="2296A2C4"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67.0p</w:t>
            </w:r>
          </w:p>
        </w:tc>
        <w:tc>
          <w:tcPr>
            <w:tcW w:w="931" w:type="dxa"/>
            <w:tcBorders>
              <w:top w:val="nil"/>
              <w:left w:val="nil"/>
              <w:bottom w:val="nil"/>
              <w:right w:val="single" w:sz="8" w:space="0" w:color="auto"/>
            </w:tcBorders>
            <w:shd w:val="clear" w:color="auto" w:fill="auto"/>
            <w:noWrap/>
            <w:vAlign w:val="center"/>
            <w:hideMark/>
          </w:tcPr>
          <w:p w14:paraId="07EF04F6"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 </w:t>
            </w:r>
          </w:p>
        </w:tc>
        <w:tc>
          <w:tcPr>
            <w:tcW w:w="932" w:type="dxa"/>
            <w:tcBorders>
              <w:top w:val="nil"/>
              <w:left w:val="nil"/>
              <w:bottom w:val="nil"/>
              <w:right w:val="nil"/>
            </w:tcBorders>
            <w:shd w:val="clear" w:color="auto" w:fill="auto"/>
            <w:noWrap/>
            <w:vAlign w:val="center"/>
            <w:hideMark/>
          </w:tcPr>
          <w:p w14:paraId="779DF6FA" w14:textId="77777777" w:rsidR="007171B9" w:rsidRPr="00292E2D" w:rsidRDefault="007171B9" w:rsidP="00292E2D">
            <w:pPr>
              <w:jc w:val="right"/>
              <w:rPr>
                <w:rFonts w:ascii="Calibri" w:hAnsi="Calibri" w:cs="Calibri"/>
                <w:b/>
                <w:bCs/>
                <w:color w:val="000000"/>
                <w:sz w:val="20"/>
                <w:lang w:eastAsia="en-GB"/>
              </w:rPr>
            </w:pPr>
          </w:p>
        </w:tc>
        <w:tc>
          <w:tcPr>
            <w:tcW w:w="931" w:type="dxa"/>
            <w:tcBorders>
              <w:top w:val="nil"/>
              <w:left w:val="nil"/>
              <w:bottom w:val="nil"/>
              <w:right w:val="nil"/>
            </w:tcBorders>
            <w:shd w:val="clear" w:color="auto" w:fill="auto"/>
            <w:noWrap/>
            <w:vAlign w:val="center"/>
            <w:hideMark/>
          </w:tcPr>
          <w:p w14:paraId="0218DC12"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0EBF4CC6" w14:textId="77777777" w:rsidR="007171B9" w:rsidRPr="00292E2D" w:rsidRDefault="007171B9" w:rsidP="00292E2D">
            <w:pPr>
              <w:jc w:val="right"/>
              <w:rPr>
                <w:rFonts w:ascii="Calibri" w:hAnsi="Calibri" w:cs="Calibri"/>
                <w:b/>
                <w:bCs/>
                <w:color w:val="000000"/>
                <w:sz w:val="20"/>
                <w:lang w:eastAsia="en-GB"/>
              </w:rPr>
            </w:pPr>
          </w:p>
        </w:tc>
        <w:tc>
          <w:tcPr>
            <w:tcW w:w="933" w:type="dxa"/>
            <w:tcBorders>
              <w:top w:val="nil"/>
              <w:left w:val="nil"/>
              <w:bottom w:val="nil"/>
              <w:right w:val="single" w:sz="8" w:space="0" w:color="auto"/>
            </w:tcBorders>
            <w:shd w:val="clear" w:color="auto" w:fill="auto"/>
            <w:noWrap/>
            <w:vAlign w:val="center"/>
            <w:hideMark/>
          </w:tcPr>
          <w:p w14:paraId="5BF0FE2E"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 </w:t>
            </w:r>
          </w:p>
        </w:tc>
      </w:tr>
      <w:tr w:rsidR="007171B9" w:rsidRPr="00292E2D" w14:paraId="2721E269" w14:textId="77777777" w:rsidTr="00F17EFE">
        <w:trPr>
          <w:trHeight w:val="39"/>
        </w:trPr>
        <w:tc>
          <w:tcPr>
            <w:tcW w:w="2824" w:type="dxa"/>
            <w:tcBorders>
              <w:top w:val="nil"/>
              <w:left w:val="single" w:sz="8" w:space="0" w:color="auto"/>
              <w:bottom w:val="nil"/>
              <w:right w:val="nil"/>
            </w:tcBorders>
            <w:shd w:val="clear" w:color="auto" w:fill="auto"/>
            <w:noWrap/>
            <w:vAlign w:val="center"/>
            <w:hideMark/>
          </w:tcPr>
          <w:p w14:paraId="7DDD7FC7" w14:textId="77777777" w:rsidR="007171B9" w:rsidRPr="00292E2D" w:rsidRDefault="007171B9" w:rsidP="00292E2D">
            <w:pPr>
              <w:jc w:val="both"/>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c>
          <w:tcPr>
            <w:tcW w:w="931" w:type="dxa"/>
            <w:tcBorders>
              <w:top w:val="nil"/>
              <w:left w:val="nil"/>
              <w:bottom w:val="nil"/>
              <w:right w:val="nil"/>
            </w:tcBorders>
            <w:shd w:val="clear" w:color="auto" w:fill="auto"/>
            <w:noWrap/>
            <w:vAlign w:val="center"/>
            <w:hideMark/>
          </w:tcPr>
          <w:p w14:paraId="357BF891" w14:textId="77777777" w:rsidR="007171B9" w:rsidRPr="00292E2D" w:rsidRDefault="007171B9" w:rsidP="00292E2D">
            <w:pPr>
              <w:jc w:val="both"/>
              <w:rPr>
                <w:rFonts w:ascii="Calibri" w:hAnsi="Calibri" w:cs="Calibri"/>
                <w:b/>
                <w:bCs/>
                <w:color w:val="000000"/>
                <w:sz w:val="2"/>
                <w:szCs w:val="2"/>
                <w:lang w:eastAsia="en-GB"/>
              </w:rPr>
            </w:pPr>
          </w:p>
        </w:tc>
        <w:tc>
          <w:tcPr>
            <w:tcW w:w="932" w:type="dxa"/>
            <w:tcBorders>
              <w:top w:val="nil"/>
              <w:left w:val="nil"/>
              <w:bottom w:val="nil"/>
              <w:right w:val="nil"/>
            </w:tcBorders>
            <w:shd w:val="clear" w:color="auto" w:fill="auto"/>
            <w:noWrap/>
            <w:vAlign w:val="center"/>
            <w:hideMark/>
          </w:tcPr>
          <w:p w14:paraId="6FFBB581" w14:textId="77777777" w:rsidR="007171B9" w:rsidRPr="00292E2D" w:rsidRDefault="007171B9" w:rsidP="00292E2D">
            <w:pPr>
              <w:jc w:val="right"/>
              <w:rPr>
                <w:rFonts w:ascii="Times New Roman" w:hAnsi="Times New Roman"/>
                <w:sz w:val="20"/>
                <w:lang w:eastAsia="en-GB"/>
              </w:rPr>
            </w:pPr>
          </w:p>
        </w:tc>
        <w:tc>
          <w:tcPr>
            <w:tcW w:w="931" w:type="dxa"/>
            <w:tcBorders>
              <w:top w:val="nil"/>
              <w:left w:val="nil"/>
              <w:bottom w:val="nil"/>
              <w:right w:val="single" w:sz="8" w:space="0" w:color="auto"/>
            </w:tcBorders>
            <w:shd w:val="clear" w:color="auto" w:fill="auto"/>
            <w:noWrap/>
            <w:vAlign w:val="center"/>
            <w:hideMark/>
          </w:tcPr>
          <w:p w14:paraId="266F061C" w14:textId="77777777" w:rsidR="007171B9" w:rsidRPr="00292E2D" w:rsidRDefault="007171B9" w:rsidP="00292E2D">
            <w:pPr>
              <w:jc w:val="right"/>
              <w:rPr>
                <w:rFonts w:ascii="Calibri" w:hAnsi="Calibri" w:cs="Calibri"/>
                <w:b/>
                <w:bCs/>
                <w:color w:val="FF0000"/>
                <w:sz w:val="2"/>
                <w:szCs w:val="2"/>
                <w:lang w:eastAsia="en-GB"/>
              </w:rPr>
            </w:pPr>
            <w:r w:rsidRPr="00292E2D">
              <w:rPr>
                <w:rFonts w:ascii="Calibri" w:hAnsi="Calibri" w:cs="Calibri"/>
                <w:b/>
                <w:bCs/>
                <w:color w:val="FF0000"/>
                <w:sz w:val="2"/>
                <w:szCs w:val="2"/>
                <w:lang w:eastAsia="en-GB"/>
              </w:rPr>
              <w:t> </w:t>
            </w:r>
          </w:p>
        </w:tc>
        <w:tc>
          <w:tcPr>
            <w:tcW w:w="932" w:type="dxa"/>
            <w:tcBorders>
              <w:top w:val="nil"/>
              <w:left w:val="nil"/>
              <w:bottom w:val="nil"/>
              <w:right w:val="nil"/>
            </w:tcBorders>
            <w:shd w:val="clear" w:color="auto" w:fill="auto"/>
            <w:noWrap/>
            <w:vAlign w:val="center"/>
            <w:hideMark/>
          </w:tcPr>
          <w:p w14:paraId="0C4A178C" w14:textId="77777777" w:rsidR="007171B9" w:rsidRPr="00292E2D" w:rsidRDefault="007171B9" w:rsidP="00292E2D">
            <w:pPr>
              <w:jc w:val="right"/>
              <w:rPr>
                <w:rFonts w:ascii="Calibri" w:hAnsi="Calibri" w:cs="Calibri"/>
                <w:b/>
                <w:bCs/>
                <w:color w:val="FF0000"/>
                <w:sz w:val="2"/>
                <w:szCs w:val="2"/>
                <w:lang w:eastAsia="en-GB"/>
              </w:rPr>
            </w:pPr>
          </w:p>
        </w:tc>
        <w:tc>
          <w:tcPr>
            <w:tcW w:w="931" w:type="dxa"/>
            <w:tcBorders>
              <w:top w:val="nil"/>
              <w:left w:val="nil"/>
              <w:bottom w:val="nil"/>
              <w:right w:val="nil"/>
            </w:tcBorders>
            <w:shd w:val="clear" w:color="auto" w:fill="auto"/>
            <w:noWrap/>
            <w:vAlign w:val="center"/>
            <w:hideMark/>
          </w:tcPr>
          <w:p w14:paraId="11761241" w14:textId="77777777" w:rsidR="007171B9" w:rsidRPr="00292E2D" w:rsidRDefault="007171B9" w:rsidP="00292E2D">
            <w:pPr>
              <w:jc w:val="right"/>
              <w:rPr>
                <w:rFonts w:ascii="Times New Roman" w:hAnsi="Times New Roman"/>
                <w:sz w:val="20"/>
                <w:lang w:eastAsia="en-GB"/>
              </w:rPr>
            </w:pPr>
          </w:p>
        </w:tc>
        <w:tc>
          <w:tcPr>
            <w:tcW w:w="932" w:type="dxa"/>
            <w:tcBorders>
              <w:top w:val="nil"/>
              <w:left w:val="nil"/>
              <w:bottom w:val="nil"/>
              <w:right w:val="nil"/>
            </w:tcBorders>
          </w:tcPr>
          <w:p w14:paraId="79A70A85" w14:textId="77777777" w:rsidR="007171B9" w:rsidRPr="00292E2D" w:rsidRDefault="007171B9" w:rsidP="00292E2D">
            <w:pPr>
              <w:jc w:val="right"/>
              <w:rPr>
                <w:rFonts w:ascii="Calibri" w:hAnsi="Calibri" w:cs="Calibri"/>
                <w:b/>
                <w:bCs/>
                <w:color w:val="000000"/>
                <w:sz w:val="2"/>
                <w:szCs w:val="2"/>
                <w:lang w:eastAsia="en-GB"/>
              </w:rPr>
            </w:pPr>
          </w:p>
        </w:tc>
        <w:tc>
          <w:tcPr>
            <w:tcW w:w="933" w:type="dxa"/>
            <w:tcBorders>
              <w:top w:val="nil"/>
              <w:left w:val="nil"/>
              <w:bottom w:val="nil"/>
              <w:right w:val="single" w:sz="8" w:space="0" w:color="auto"/>
            </w:tcBorders>
            <w:shd w:val="clear" w:color="auto" w:fill="auto"/>
            <w:noWrap/>
            <w:vAlign w:val="center"/>
            <w:hideMark/>
          </w:tcPr>
          <w:p w14:paraId="184B9864" w14:textId="77777777" w:rsidR="007171B9" w:rsidRPr="00292E2D" w:rsidRDefault="007171B9" w:rsidP="00292E2D">
            <w:pPr>
              <w:jc w:val="right"/>
              <w:rPr>
                <w:rFonts w:ascii="Calibri" w:hAnsi="Calibri" w:cs="Calibri"/>
                <w:b/>
                <w:bCs/>
                <w:color w:val="000000"/>
                <w:sz w:val="2"/>
                <w:szCs w:val="2"/>
                <w:lang w:eastAsia="en-GB"/>
              </w:rPr>
            </w:pPr>
            <w:r w:rsidRPr="00292E2D">
              <w:rPr>
                <w:rFonts w:ascii="Calibri" w:hAnsi="Calibri" w:cs="Calibri"/>
                <w:b/>
                <w:bCs/>
                <w:color w:val="000000"/>
                <w:sz w:val="2"/>
                <w:szCs w:val="2"/>
                <w:lang w:eastAsia="en-GB"/>
              </w:rPr>
              <w:t> </w:t>
            </w:r>
          </w:p>
        </w:tc>
      </w:tr>
      <w:tr w:rsidR="007171B9" w:rsidRPr="00292E2D" w14:paraId="721DD2EC" w14:textId="77777777" w:rsidTr="00F17EFE">
        <w:trPr>
          <w:trHeight w:val="263"/>
        </w:trPr>
        <w:tc>
          <w:tcPr>
            <w:tcW w:w="2824" w:type="dxa"/>
            <w:tcBorders>
              <w:top w:val="nil"/>
              <w:left w:val="single" w:sz="8" w:space="0" w:color="auto"/>
              <w:bottom w:val="single" w:sz="8" w:space="0" w:color="auto"/>
              <w:right w:val="nil"/>
            </w:tcBorders>
            <w:shd w:val="clear" w:color="auto" w:fill="auto"/>
            <w:noWrap/>
            <w:vAlign w:val="center"/>
            <w:hideMark/>
          </w:tcPr>
          <w:p w14:paraId="59F7A4D1" w14:textId="77777777" w:rsidR="007171B9" w:rsidRPr="00292E2D" w:rsidRDefault="007171B9" w:rsidP="001E6AB6">
            <w:pPr>
              <w:jc w:val="both"/>
              <w:rPr>
                <w:rFonts w:ascii="Calibri" w:hAnsi="Calibri" w:cs="Calibri"/>
                <w:b/>
                <w:bCs/>
                <w:color w:val="000000"/>
                <w:sz w:val="20"/>
                <w:lang w:eastAsia="en-GB"/>
              </w:rPr>
            </w:pPr>
            <w:r w:rsidRPr="001E6AB6">
              <w:rPr>
                <w:rFonts w:ascii="Calibri" w:hAnsi="Calibri" w:cs="Calibri"/>
                <w:b/>
                <w:bCs/>
                <w:color w:val="000000"/>
                <w:sz w:val="20"/>
                <w:lang w:eastAsia="en-GB"/>
              </w:rPr>
              <w:t>Net debt at period end</w:t>
            </w:r>
            <w:r w:rsidR="00824BDD" w:rsidRPr="00C9669A">
              <w:rPr>
                <w:rFonts w:ascii="Calibri" w:hAnsi="Calibri" w:cs="Calibri"/>
                <w:bCs/>
                <w:color w:val="000000"/>
                <w:sz w:val="20"/>
                <w:vertAlign w:val="superscript"/>
                <w:lang w:eastAsia="en-GB"/>
              </w:rPr>
              <w:t>14</w:t>
            </w:r>
          </w:p>
        </w:tc>
        <w:tc>
          <w:tcPr>
            <w:tcW w:w="931" w:type="dxa"/>
            <w:tcBorders>
              <w:top w:val="nil"/>
              <w:left w:val="nil"/>
              <w:bottom w:val="single" w:sz="8" w:space="0" w:color="auto"/>
              <w:right w:val="nil"/>
            </w:tcBorders>
            <w:shd w:val="clear" w:color="auto" w:fill="auto"/>
            <w:noWrap/>
            <w:vAlign w:val="center"/>
            <w:hideMark/>
          </w:tcPr>
          <w:p w14:paraId="0C7ADB7E"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£2,899m</w:t>
            </w:r>
          </w:p>
        </w:tc>
        <w:tc>
          <w:tcPr>
            <w:tcW w:w="932" w:type="dxa"/>
            <w:tcBorders>
              <w:top w:val="nil"/>
              <w:left w:val="nil"/>
              <w:bottom w:val="single" w:sz="8" w:space="0" w:color="auto"/>
              <w:right w:val="nil"/>
            </w:tcBorders>
            <w:shd w:val="clear" w:color="auto" w:fill="auto"/>
            <w:noWrap/>
            <w:vAlign w:val="center"/>
            <w:hideMark/>
          </w:tcPr>
          <w:p w14:paraId="60432406" w14:textId="77777777" w:rsidR="007171B9" w:rsidRPr="00292E2D" w:rsidRDefault="007171B9" w:rsidP="00292E2D">
            <w:pPr>
              <w:jc w:val="right"/>
              <w:rPr>
                <w:rFonts w:ascii="Calibri" w:hAnsi="Calibri" w:cs="Calibri"/>
                <w:b/>
                <w:bCs/>
                <w:color w:val="000000"/>
                <w:sz w:val="20"/>
                <w:lang w:eastAsia="en-GB"/>
              </w:rPr>
            </w:pPr>
            <w:r w:rsidRPr="00292E2D">
              <w:rPr>
                <w:rFonts w:ascii="Calibri" w:hAnsi="Calibri" w:cs="Calibri"/>
                <w:b/>
                <w:bCs/>
                <w:color w:val="000000"/>
                <w:sz w:val="20"/>
                <w:lang w:eastAsia="en-GB"/>
              </w:rPr>
              <w:t>£356m</w:t>
            </w:r>
          </w:p>
        </w:tc>
        <w:tc>
          <w:tcPr>
            <w:tcW w:w="931" w:type="dxa"/>
            <w:tcBorders>
              <w:top w:val="nil"/>
              <w:left w:val="nil"/>
              <w:bottom w:val="single" w:sz="8" w:space="0" w:color="auto"/>
              <w:right w:val="single" w:sz="8" w:space="0" w:color="auto"/>
            </w:tcBorders>
            <w:shd w:val="clear" w:color="auto" w:fill="auto"/>
            <w:noWrap/>
            <w:vAlign w:val="center"/>
            <w:hideMark/>
          </w:tcPr>
          <w:p w14:paraId="0AC9DD50" w14:textId="77777777" w:rsidR="007171B9" w:rsidRPr="00292E2D" w:rsidRDefault="007171B9" w:rsidP="00292E2D">
            <w:pPr>
              <w:jc w:val="right"/>
              <w:rPr>
                <w:rFonts w:ascii="Calibri" w:hAnsi="Calibri" w:cs="Calibri"/>
                <w:b/>
                <w:bCs/>
                <w:sz w:val="20"/>
                <w:lang w:eastAsia="en-GB"/>
              </w:rPr>
            </w:pPr>
          </w:p>
        </w:tc>
        <w:tc>
          <w:tcPr>
            <w:tcW w:w="932" w:type="dxa"/>
            <w:tcBorders>
              <w:top w:val="nil"/>
              <w:left w:val="nil"/>
              <w:bottom w:val="single" w:sz="8" w:space="0" w:color="auto"/>
              <w:right w:val="nil"/>
            </w:tcBorders>
            <w:shd w:val="clear" w:color="auto" w:fill="auto"/>
            <w:noWrap/>
            <w:vAlign w:val="center"/>
            <w:hideMark/>
          </w:tcPr>
          <w:p w14:paraId="7D3C0573" w14:textId="77777777" w:rsidR="007171B9" w:rsidRPr="00292E2D" w:rsidRDefault="007171B9" w:rsidP="00292E2D">
            <w:pPr>
              <w:jc w:val="right"/>
              <w:rPr>
                <w:rFonts w:ascii="Calibri" w:hAnsi="Calibri" w:cs="Calibri"/>
                <w:b/>
                <w:bCs/>
                <w:color w:val="FF0000"/>
                <w:sz w:val="4"/>
                <w:szCs w:val="4"/>
                <w:lang w:eastAsia="en-GB"/>
              </w:rPr>
            </w:pPr>
            <w:r w:rsidRPr="00292E2D">
              <w:rPr>
                <w:rFonts w:ascii="Calibri" w:hAnsi="Calibri" w:cs="Calibri"/>
                <w:b/>
                <w:bCs/>
                <w:color w:val="FF0000"/>
                <w:sz w:val="4"/>
                <w:szCs w:val="4"/>
                <w:lang w:eastAsia="en-GB"/>
              </w:rPr>
              <w:t> </w:t>
            </w:r>
          </w:p>
        </w:tc>
        <w:tc>
          <w:tcPr>
            <w:tcW w:w="931" w:type="dxa"/>
            <w:tcBorders>
              <w:top w:val="nil"/>
              <w:left w:val="nil"/>
              <w:bottom w:val="single" w:sz="8" w:space="0" w:color="auto"/>
              <w:right w:val="nil"/>
            </w:tcBorders>
            <w:shd w:val="clear" w:color="auto" w:fill="auto"/>
            <w:noWrap/>
            <w:vAlign w:val="center"/>
            <w:hideMark/>
          </w:tcPr>
          <w:p w14:paraId="02AA003F" w14:textId="77777777" w:rsidR="007171B9" w:rsidRPr="00292E2D" w:rsidRDefault="007171B9" w:rsidP="00292E2D">
            <w:pPr>
              <w:jc w:val="right"/>
              <w:rPr>
                <w:rFonts w:ascii="Calibri" w:hAnsi="Calibri" w:cs="Calibri"/>
                <w:b/>
                <w:bCs/>
                <w:sz w:val="4"/>
                <w:szCs w:val="4"/>
                <w:lang w:eastAsia="en-GB"/>
              </w:rPr>
            </w:pPr>
            <w:r w:rsidRPr="00292E2D">
              <w:rPr>
                <w:rFonts w:ascii="Calibri" w:hAnsi="Calibri" w:cs="Calibri"/>
                <w:b/>
                <w:bCs/>
                <w:sz w:val="4"/>
                <w:szCs w:val="4"/>
                <w:lang w:eastAsia="en-GB"/>
              </w:rPr>
              <w:t> </w:t>
            </w:r>
          </w:p>
        </w:tc>
        <w:tc>
          <w:tcPr>
            <w:tcW w:w="932" w:type="dxa"/>
            <w:tcBorders>
              <w:top w:val="nil"/>
              <w:left w:val="nil"/>
              <w:bottom w:val="single" w:sz="8" w:space="0" w:color="auto"/>
              <w:right w:val="nil"/>
            </w:tcBorders>
          </w:tcPr>
          <w:p w14:paraId="4ED820EA" w14:textId="77777777" w:rsidR="007171B9" w:rsidRPr="00292E2D" w:rsidRDefault="007171B9" w:rsidP="00292E2D">
            <w:pPr>
              <w:jc w:val="right"/>
              <w:rPr>
                <w:rFonts w:ascii="Calibri" w:hAnsi="Calibri" w:cs="Calibri"/>
                <w:b/>
                <w:bCs/>
                <w:color w:val="FF0000"/>
                <w:sz w:val="4"/>
                <w:szCs w:val="4"/>
                <w:lang w:eastAsia="en-GB"/>
              </w:rPr>
            </w:pPr>
          </w:p>
        </w:tc>
        <w:tc>
          <w:tcPr>
            <w:tcW w:w="933" w:type="dxa"/>
            <w:tcBorders>
              <w:top w:val="nil"/>
              <w:left w:val="nil"/>
              <w:bottom w:val="single" w:sz="8" w:space="0" w:color="auto"/>
              <w:right w:val="single" w:sz="8" w:space="0" w:color="auto"/>
            </w:tcBorders>
            <w:shd w:val="clear" w:color="auto" w:fill="auto"/>
            <w:noWrap/>
            <w:vAlign w:val="center"/>
            <w:hideMark/>
          </w:tcPr>
          <w:p w14:paraId="54739B68" w14:textId="77777777" w:rsidR="007171B9" w:rsidRPr="00292E2D" w:rsidRDefault="007171B9" w:rsidP="00292E2D">
            <w:pPr>
              <w:jc w:val="right"/>
              <w:rPr>
                <w:rFonts w:ascii="Calibri" w:hAnsi="Calibri" w:cs="Calibri"/>
                <w:b/>
                <w:bCs/>
                <w:color w:val="FF0000"/>
                <w:sz w:val="4"/>
                <w:szCs w:val="4"/>
                <w:lang w:eastAsia="en-GB"/>
              </w:rPr>
            </w:pPr>
            <w:r w:rsidRPr="00292E2D">
              <w:rPr>
                <w:rFonts w:ascii="Calibri" w:hAnsi="Calibri" w:cs="Calibri"/>
                <w:b/>
                <w:bCs/>
                <w:color w:val="FF0000"/>
                <w:sz w:val="4"/>
                <w:szCs w:val="4"/>
                <w:lang w:eastAsia="en-GB"/>
              </w:rPr>
              <w:t> </w:t>
            </w:r>
          </w:p>
        </w:tc>
      </w:tr>
    </w:tbl>
    <w:p w14:paraId="7D31A862" w14:textId="77777777" w:rsidR="00942D68" w:rsidRPr="004667D0" w:rsidRDefault="00942D68" w:rsidP="00942D68">
      <w:pPr>
        <w:spacing w:before="120" w:after="120"/>
        <w:jc w:val="both"/>
        <w:rPr>
          <w:rFonts w:asciiTheme="minorHAnsi" w:hAnsiTheme="minorHAnsi"/>
          <w:i/>
          <w:sz w:val="16"/>
          <w:szCs w:val="16"/>
        </w:rPr>
      </w:pPr>
      <w:r w:rsidRPr="004667D0">
        <w:rPr>
          <w:rFonts w:asciiTheme="minorHAnsi" w:hAnsiTheme="minorHAnsi"/>
          <w:i/>
          <w:sz w:val="16"/>
          <w:szCs w:val="16"/>
        </w:rPr>
        <w:t xml:space="preserve">Note: Flutter’s combination with TSG completed on May 5 2020. Reported 2020 numbers reflect a full 6-month contribution from Flutter and a 56-day contribution from TSG. The pro forma numbers presented show </w:t>
      </w:r>
      <w:r>
        <w:rPr>
          <w:rFonts w:asciiTheme="minorHAnsi" w:hAnsiTheme="minorHAnsi"/>
          <w:i/>
          <w:sz w:val="16"/>
          <w:szCs w:val="16"/>
        </w:rPr>
        <w:t xml:space="preserve">the </w:t>
      </w:r>
      <w:r w:rsidRPr="004667D0">
        <w:rPr>
          <w:rFonts w:asciiTheme="minorHAnsi" w:hAnsiTheme="minorHAnsi"/>
          <w:i/>
          <w:sz w:val="16"/>
          <w:szCs w:val="16"/>
        </w:rPr>
        <w:t>Group’s financial</w:t>
      </w:r>
      <w:r>
        <w:rPr>
          <w:rFonts w:asciiTheme="minorHAnsi" w:hAnsiTheme="minorHAnsi"/>
          <w:i/>
          <w:sz w:val="16"/>
          <w:szCs w:val="16"/>
        </w:rPr>
        <w:t>s with</w:t>
      </w:r>
      <w:r w:rsidRPr="004667D0">
        <w:rPr>
          <w:rFonts w:asciiTheme="minorHAnsi" w:hAnsiTheme="minorHAnsi"/>
          <w:i/>
          <w:sz w:val="16"/>
          <w:szCs w:val="16"/>
        </w:rPr>
        <w:t xml:space="preserve"> TSG</w:t>
      </w:r>
      <w:r>
        <w:rPr>
          <w:rFonts w:asciiTheme="minorHAnsi" w:hAnsiTheme="minorHAnsi"/>
          <w:i/>
          <w:sz w:val="16"/>
          <w:szCs w:val="16"/>
        </w:rPr>
        <w:t xml:space="preserve"> included</w:t>
      </w:r>
      <w:r w:rsidRPr="004667D0">
        <w:rPr>
          <w:rFonts w:asciiTheme="minorHAnsi" w:hAnsiTheme="minorHAnsi"/>
          <w:i/>
          <w:sz w:val="16"/>
          <w:szCs w:val="16"/>
        </w:rPr>
        <w:t xml:space="preserve"> for a full 6-month period in both 2019 and 2020. The pro forma numbers include a 6-month contribution from Adjarabet in 2019. </w:t>
      </w:r>
    </w:p>
    <w:p w14:paraId="7515B328" w14:textId="77777777" w:rsidR="00942D68" w:rsidRDefault="00942D68" w:rsidP="00856AC3">
      <w:pPr>
        <w:spacing w:before="120" w:after="120"/>
        <w:jc w:val="both"/>
        <w:rPr>
          <w:rFonts w:asciiTheme="minorHAnsi" w:hAnsiTheme="minorHAnsi" w:cstheme="minorHAnsi"/>
          <w:sz w:val="21"/>
          <w:szCs w:val="21"/>
        </w:rPr>
      </w:pPr>
      <w:bookmarkStart w:id="4" w:name="_Hlk47617092"/>
      <w:r w:rsidRPr="00AB2B80">
        <w:rPr>
          <w:rFonts w:asciiTheme="minorHAnsi" w:hAnsiTheme="minorHAnsi" w:cstheme="minorHAnsi"/>
          <w:sz w:val="21"/>
          <w:szCs w:val="21"/>
        </w:rPr>
        <w:t xml:space="preserve">Reported revenue grew by </w:t>
      </w:r>
      <w:r w:rsidR="001E6AB6">
        <w:rPr>
          <w:rFonts w:asciiTheme="minorHAnsi" w:hAnsiTheme="minorHAnsi" w:cstheme="minorHAnsi"/>
          <w:sz w:val="21"/>
          <w:szCs w:val="21"/>
        </w:rPr>
        <w:t>49</w:t>
      </w:r>
      <w:r w:rsidRPr="00AB2B80">
        <w:rPr>
          <w:rFonts w:asciiTheme="minorHAnsi" w:hAnsiTheme="minorHAnsi" w:cstheme="minorHAnsi"/>
          <w:sz w:val="21"/>
          <w:szCs w:val="21"/>
        </w:rPr>
        <w:t>% year-on-year in H1 2020 to £1,5</w:t>
      </w:r>
      <w:r w:rsidR="001E6AB6">
        <w:rPr>
          <w:rFonts w:asciiTheme="minorHAnsi" w:hAnsiTheme="minorHAnsi" w:cstheme="minorHAnsi"/>
          <w:sz w:val="21"/>
          <w:szCs w:val="21"/>
        </w:rPr>
        <w:t>22</w:t>
      </w:r>
      <w:r w:rsidRPr="00AB2B80">
        <w:rPr>
          <w:rFonts w:asciiTheme="minorHAnsi" w:hAnsiTheme="minorHAnsi" w:cstheme="minorHAnsi"/>
          <w:sz w:val="21"/>
          <w:szCs w:val="21"/>
        </w:rPr>
        <w:t>m, following completion of the Group’s combination with TSG. Reported Adjusted EBITDA increased by 5</w:t>
      </w:r>
      <w:r w:rsidR="00CA2EED">
        <w:rPr>
          <w:rFonts w:asciiTheme="minorHAnsi" w:hAnsiTheme="minorHAnsi" w:cstheme="minorHAnsi"/>
          <w:sz w:val="21"/>
          <w:szCs w:val="21"/>
        </w:rPr>
        <w:t>9</w:t>
      </w:r>
      <w:r w:rsidRPr="00AB2B80">
        <w:rPr>
          <w:rFonts w:asciiTheme="minorHAnsi" w:hAnsiTheme="minorHAnsi" w:cstheme="minorHAnsi"/>
          <w:sz w:val="21"/>
          <w:szCs w:val="21"/>
        </w:rPr>
        <w:t xml:space="preserve">% to £342m.  </w:t>
      </w:r>
    </w:p>
    <w:p w14:paraId="5C86F399" w14:textId="77777777" w:rsidR="004C6A8C" w:rsidRDefault="00D94B4E" w:rsidP="00856AC3">
      <w:pPr>
        <w:spacing w:before="120" w:after="120"/>
        <w:jc w:val="both"/>
        <w:rPr>
          <w:rFonts w:asciiTheme="minorHAnsi" w:hAnsiTheme="minorHAnsi" w:cstheme="minorHAnsi"/>
          <w:b/>
          <w:sz w:val="21"/>
          <w:szCs w:val="21"/>
          <w:u w:val="single"/>
        </w:rPr>
      </w:pPr>
      <w:r>
        <w:rPr>
          <w:rFonts w:asciiTheme="minorHAnsi" w:hAnsiTheme="minorHAnsi" w:cstheme="minorHAnsi"/>
          <w:sz w:val="21"/>
          <w:szCs w:val="21"/>
        </w:rPr>
        <w:t>Reported profit before tax was £</w:t>
      </w:r>
      <w:r w:rsidR="00815B01">
        <w:rPr>
          <w:rFonts w:asciiTheme="minorHAnsi" w:hAnsiTheme="minorHAnsi" w:cstheme="minorHAnsi"/>
          <w:sz w:val="21"/>
          <w:szCs w:val="21"/>
        </w:rPr>
        <w:t>24</w:t>
      </w:r>
      <w:r>
        <w:rPr>
          <w:rFonts w:asciiTheme="minorHAnsi" w:hAnsiTheme="minorHAnsi" w:cstheme="minorHAnsi"/>
          <w:sz w:val="21"/>
          <w:szCs w:val="21"/>
        </w:rPr>
        <w:t>m (H1 2019: £81m) after charging separately disclosed items (“SDI</w:t>
      </w:r>
      <w:r w:rsidR="004C6A8C">
        <w:rPr>
          <w:rFonts w:asciiTheme="minorHAnsi" w:hAnsiTheme="minorHAnsi" w:cstheme="minorHAnsi"/>
          <w:sz w:val="21"/>
          <w:szCs w:val="21"/>
        </w:rPr>
        <w:t>s</w:t>
      </w:r>
      <w:r>
        <w:rPr>
          <w:rFonts w:asciiTheme="minorHAnsi" w:hAnsiTheme="minorHAnsi" w:cstheme="minorHAnsi"/>
          <w:sz w:val="21"/>
          <w:szCs w:val="21"/>
        </w:rPr>
        <w:t>”) totalling £</w:t>
      </w:r>
      <w:r w:rsidR="00815B01">
        <w:rPr>
          <w:rFonts w:asciiTheme="minorHAnsi" w:hAnsiTheme="minorHAnsi" w:cstheme="minorHAnsi"/>
          <w:sz w:val="21"/>
          <w:szCs w:val="21"/>
        </w:rPr>
        <w:t>194</w:t>
      </w:r>
      <w:r>
        <w:rPr>
          <w:rFonts w:asciiTheme="minorHAnsi" w:hAnsiTheme="minorHAnsi" w:cstheme="minorHAnsi"/>
          <w:sz w:val="21"/>
          <w:szCs w:val="21"/>
        </w:rPr>
        <w:t xml:space="preserve">m (H1 2019: £59m). The uplift in SDIs </w:t>
      </w:r>
      <w:r w:rsidR="004C6A8C">
        <w:rPr>
          <w:rFonts w:asciiTheme="minorHAnsi" w:hAnsiTheme="minorHAnsi" w:cstheme="minorHAnsi"/>
          <w:sz w:val="21"/>
          <w:szCs w:val="21"/>
        </w:rPr>
        <w:t xml:space="preserve">was driven by </w:t>
      </w:r>
      <w:r w:rsidR="00612479">
        <w:rPr>
          <w:rFonts w:asciiTheme="minorHAnsi" w:hAnsiTheme="minorHAnsi" w:cstheme="minorHAnsi"/>
          <w:sz w:val="21"/>
          <w:szCs w:val="21"/>
        </w:rPr>
        <w:t xml:space="preserve">an increase in the amortisation of acquired intangibles, as well as </w:t>
      </w:r>
      <w:r w:rsidR="004C6A8C">
        <w:rPr>
          <w:rFonts w:asciiTheme="minorHAnsi" w:hAnsiTheme="minorHAnsi" w:cstheme="minorHAnsi"/>
          <w:sz w:val="21"/>
          <w:szCs w:val="21"/>
        </w:rPr>
        <w:t>costs associated with the merger</w:t>
      </w:r>
      <w:r w:rsidR="00612479">
        <w:rPr>
          <w:rFonts w:asciiTheme="minorHAnsi" w:hAnsiTheme="minorHAnsi" w:cstheme="minorHAnsi"/>
          <w:sz w:val="21"/>
          <w:szCs w:val="21"/>
        </w:rPr>
        <w:t>.</w:t>
      </w:r>
    </w:p>
    <w:p w14:paraId="403C2E57" w14:textId="77777777" w:rsidR="00942D68" w:rsidRPr="00AB2B80" w:rsidRDefault="00942D68" w:rsidP="00942D68">
      <w:pPr>
        <w:spacing w:before="120" w:after="120"/>
        <w:jc w:val="both"/>
        <w:rPr>
          <w:rFonts w:asciiTheme="minorHAnsi" w:hAnsiTheme="minorHAnsi" w:cstheme="minorHAnsi"/>
          <w:b/>
          <w:sz w:val="21"/>
          <w:szCs w:val="21"/>
          <w:u w:val="single"/>
        </w:rPr>
      </w:pPr>
      <w:r w:rsidRPr="00AB2B80">
        <w:rPr>
          <w:rFonts w:asciiTheme="minorHAnsi" w:hAnsiTheme="minorHAnsi" w:cstheme="minorHAnsi"/>
          <w:b/>
          <w:sz w:val="21"/>
          <w:szCs w:val="21"/>
          <w:u w:val="single"/>
        </w:rPr>
        <w:t>Pr</w:t>
      </w:r>
      <w:r w:rsidR="00F93699">
        <w:rPr>
          <w:rFonts w:asciiTheme="minorHAnsi" w:hAnsiTheme="minorHAnsi" w:cstheme="minorHAnsi"/>
          <w:b/>
          <w:sz w:val="21"/>
          <w:szCs w:val="21"/>
          <w:u w:val="single"/>
        </w:rPr>
        <w:t>o</w:t>
      </w:r>
      <w:r w:rsidRPr="00AB2B80">
        <w:rPr>
          <w:rFonts w:asciiTheme="minorHAnsi" w:hAnsiTheme="minorHAnsi" w:cstheme="minorHAnsi"/>
          <w:b/>
          <w:sz w:val="21"/>
          <w:szCs w:val="21"/>
          <w:u w:val="single"/>
        </w:rPr>
        <w:t xml:space="preserve"> Forma</w:t>
      </w:r>
    </w:p>
    <w:p w14:paraId="5FCA9FD0"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 xml:space="preserve">Total revenue </w:t>
      </w:r>
      <w:r w:rsidR="00612479">
        <w:rPr>
          <w:rFonts w:asciiTheme="minorHAnsi" w:hAnsiTheme="minorHAnsi" w:cstheme="minorHAnsi"/>
          <w:sz w:val="21"/>
          <w:szCs w:val="21"/>
        </w:rPr>
        <w:t>increased</w:t>
      </w:r>
      <w:r w:rsidR="00612479" w:rsidRPr="00AB2B80">
        <w:rPr>
          <w:rFonts w:asciiTheme="minorHAnsi" w:hAnsiTheme="minorHAnsi" w:cstheme="minorHAnsi"/>
          <w:sz w:val="21"/>
          <w:szCs w:val="21"/>
        </w:rPr>
        <w:t xml:space="preserve"> </w:t>
      </w:r>
      <w:r w:rsidRPr="00AB2B80">
        <w:rPr>
          <w:rFonts w:asciiTheme="minorHAnsi" w:hAnsiTheme="minorHAnsi" w:cstheme="minorHAnsi"/>
          <w:sz w:val="21"/>
          <w:szCs w:val="21"/>
        </w:rPr>
        <w:t xml:space="preserve">by 22% in H1 to £2,389m with Adjusted EBITDA growth of 35% to £684m. </w:t>
      </w:r>
    </w:p>
    <w:p w14:paraId="7B61D117"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The first half performance reflects two distinct phases; the first (from January 1 to March 15) was characterised by a “normal” trading environment while the second phase (from March 16 to June 30) saw widespread disruption to global sporting events as a result of Covid-19. In the commentary that follows, we refer to the period from March 16 to June 30 as the “disrupted period”.</w:t>
      </w:r>
    </w:p>
    <w:p w14:paraId="729F5A16"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 xml:space="preserve">Total Group sports revenue </w:t>
      </w:r>
      <w:r w:rsidR="00612479">
        <w:rPr>
          <w:rFonts w:asciiTheme="minorHAnsi" w:hAnsiTheme="minorHAnsi" w:cstheme="minorHAnsi"/>
          <w:sz w:val="21"/>
          <w:szCs w:val="21"/>
        </w:rPr>
        <w:t>increased</w:t>
      </w:r>
      <w:r w:rsidR="00612479" w:rsidRPr="00AB2B80" w:rsidDel="00612479">
        <w:rPr>
          <w:rFonts w:asciiTheme="minorHAnsi" w:hAnsiTheme="minorHAnsi" w:cstheme="minorHAnsi"/>
          <w:sz w:val="21"/>
          <w:szCs w:val="21"/>
        </w:rPr>
        <w:t xml:space="preserve"> </w:t>
      </w:r>
      <w:r w:rsidRPr="00AB2B80">
        <w:rPr>
          <w:rFonts w:asciiTheme="minorHAnsi" w:hAnsiTheme="minorHAnsi" w:cstheme="minorHAnsi"/>
          <w:sz w:val="21"/>
          <w:szCs w:val="21"/>
        </w:rPr>
        <w:t>by 8% in H1 with growth of 43% pre-disruption and a decline of 11% in the disrupted period. Sports revenue grew by double digit percentages across every division in the pre-disrupt</w:t>
      </w:r>
      <w:r w:rsidR="0049648D">
        <w:rPr>
          <w:rFonts w:asciiTheme="minorHAnsi" w:hAnsiTheme="minorHAnsi" w:cstheme="minorHAnsi"/>
          <w:sz w:val="21"/>
          <w:szCs w:val="21"/>
        </w:rPr>
        <w:t>ed</w:t>
      </w:r>
      <w:r w:rsidRPr="00AB2B80">
        <w:rPr>
          <w:rFonts w:asciiTheme="minorHAnsi" w:hAnsiTheme="minorHAnsi" w:cstheme="minorHAnsi"/>
          <w:sz w:val="21"/>
          <w:szCs w:val="21"/>
        </w:rPr>
        <w:t xml:space="preserve"> period, with the highest growth recorded at SBG due to a substantial </w:t>
      </w:r>
      <w:r w:rsidR="00612479">
        <w:rPr>
          <w:rFonts w:asciiTheme="minorHAnsi" w:hAnsiTheme="minorHAnsi" w:cstheme="minorHAnsi"/>
          <w:sz w:val="21"/>
          <w:szCs w:val="21"/>
        </w:rPr>
        <w:t>improvement</w:t>
      </w:r>
      <w:r w:rsidRPr="00AB2B80">
        <w:rPr>
          <w:rFonts w:asciiTheme="minorHAnsi" w:hAnsiTheme="minorHAnsi" w:cstheme="minorHAnsi"/>
          <w:sz w:val="21"/>
          <w:szCs w:val="21"/>
        </w:rPr>
        <w:t xml:space="preserve"> in net revenue margin year-</w:t>
      </w:r>
      <w:r w:rsidRPr="00AB2B80">
        <w:rPr>
          <w:rFonts w:asciiTheme="minorHAnsi" w:hAnsiTheme="minorHAnsi" w:cstheme="minorHAnsi"/>
          <w:sz w:val="21"/>
          <w:szCs w:val="21"/>
        </w:rPr>
        <w:lastRenderedPageBreak/>
        <w:t xml:space="preserve">on-year (+940bps). Overall </w:t>
      </w:r>
      <w:r w:rsidR="005A05F6">
        <w:rPr>
          <w:rFonts w:asciiTheme="minorHAnsi" w:hAnsiTheme="minorHAnsi" w:cstheme="minorHAnsi"/>
          <w:sz w:val="21"/>
          <w:szCs w:val="21"/>
        </w:rPr>
        <w:t>G</w:t>
      </w:r>
      <w:r w:rsidRPr="00AB2B80">
        <w:rPr>
          <w:rFonts w:asciiTheme="minorHAnsi" w:hAnsiTheme="minorHAnsi" w:cstheme="minorHAnsi"/>
          <w:sz w:val="21"/>
          <w:szCs w:val="21"/>
        </w:rPr>
        <w:t>roup net revenue margins increased by 330bps year-on-year in the pre-disrupt</w:t>
      </w:r>
      <w:r w:rsidR="0049648D">
        <w:rPr>
          <w:rFonts w:asciiTheme="minorHAnsi" w:hAnsiTheme="minorHAnsi" w:cstheme="minorHAnsi"/>
          <w:sz w:val="21"/>
          <w:szCs w:val="21"/>
        </w:rPr>
        <w:t>ed</w:t>
      </w:r>
      <w:r w:rsidRPr="00AB2B80">
        <w:rPr>
          <w:rFonts w:asciiTheme="minorHAnsi" w:hAnsiTheme="minorHAnsi" w:cstheme="minorHAnsi"/>
          <w:sz w:val="21"/>
          <w:szCs w:val="21"/>
        </w:rPr>
        <w:t xml:space="preserve"> period, helped by favourable sports results. </w:t>
      </w:r>
    </w:p>
    <w:p w14:paraId="664FEC36"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During the disrupted period, sports revenue declined by 32% across our UK and Irish online facing businesses (PPB and SBG) while retail revenues were down 9</w:t>
      </w:r>
      <w:r w:rsidR="00C64E17">
        <w:rPr>
          <w:rFonts w:asciiTheme="minorHAnsi" w:hAnsiTheme="minorHAnsi" w:cstheme="minorHAnsi"/>
          <w:sz w:val="21"/>
          <w:szCs w:val="21"/>
        </w:rPr>
        <w:t>4</w:t>
      </w:r>
      <w:r w:rsidRPr="00AB2B80">
        <w:rPr>
          <w:rFonts w:asciiTheme="minorHAnsi" w:hAnsiTheme="minorHAnsi" w:cstheme="minorHAnsi"/>
          <w:sz w:val="21"/>
          <w:szCs w:val="21"/>
        </w:rPr>
        <w:t>%, reflecting the closure of our shops for approximately 2½ months. Elsewhere sports revenue performance was more robust with the continuation of racing in Australia</w:t>
      </w:r>
      <w:r w:rsidR="00C21204">
        <w:rPr>
          <w:rFonts w:asciiTheme="minorHAnsi" w:hAnsiTheme="minorHAnsi" w:cstheme="minorHAnsi"/>
          <w:sz w:val="21"/>
          <w:szCs w:val="21"/>
        </w:rPr>
        <w:t xml:space="preserve"> leading to growth there of </w:t>
      </w:r>
      <w:r w:rsidRPr="00AB2B80">
        <w:rPr>
          <w:rFonts w:asciiTheme="minorHAnsi" w:hAnsiTheme="minorHAnsi" w:cstheme="minorHAnsi"/>
          <w:sz w:val="21"/>
          <w:szCs w:val="21"/>
        </w:rPr>
        <w:t>57%</w:t>
      </w:r>
      <w:r w:rsidR="00C21204">
        <w:rPr>
          <w:rFonts w:asciiTheme="minorHAnsi" w:hAnsiTheme="minorHAnsi" w:cstheme="minorHAnsi"/>
          <w:sz w:val="21"/>
          <w:szCs w:val="21"/>
        </w:rPr>
        <w:t xml:space="preserve">. In the US the continuation of horseracing behind closed doors drove </w:t>
      </w:r>
      <w:r w:rsidR="00E91228">
        <w:rPr>
          <w:rFonts w:asciiTheme="minorHAnsi" w:hAnsiTheme="minorHAnsi" w:cstheme="minorHAnsi"/>
          <w:sz w:val="21"/>
          <w:szCs w:val="21"/>
        </w:rPr>
        <w:t>average daily actives growth of 79% for</w:t>
      </w:r>
      <w:r w:rsidR="00C21204">
        <w:rPr>
          <w:rFonts w:asciiTheme="minorHAnsi" w:hAnsiTheme="minorHAnsi" w:cstheme="minorHAnsi"/>
          <w:sz w:val="21"/>
          <w:szCs w:val="21"/>
        </w:rPr>
        <w:t xml:space="preserve"> TVG </w:t>
      </w:r>
      <w:r w:rsidRPr="00AB2B80">
        <w:rPr>
          <w:rFonts w:asciiTheme="minorHAnsi" w:hAnsiTheme="minorHAnsi" w:cstheme="minorHAnsi"/>
          <w:sz w:val="21"/>
          <w:szCs w:val="21"/>
        </w:rPr>
        <w:t xml:space="preserve">in </w:t>
      </w:r>
      <w:r w:rsidR="008C6F49">
        <w:rPr>
          <w:rFonts w:asciiTheme="minorHAnsi" w:hAnsiTheme="minorHAnsi" w:cstheme="minorHAnsi"/>
          <w:sz w:val="21"/>
          <w:szCs w:val="21"/>
        </w:rPr>
        <w:t>Q2</w:t>
      </w:r>
      <w:r w:rsidRPr="00AB2B80">
        <w:rPr>
          <w:rFonts w:asciiTheme="minorHAnsi" w:hAnsiTheme="minorHAnsi" w:cstheme="minorHAnsi"/>
          <w:sz w:val="21"/>
          <w:szCs w:val="21"/>
        </w:rPr>
        <w:t xml:space="preserve">. </w:t>
      </w:r>
    </w:p>
    <w:p w14:paraId="2325B4F3"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Gaming revenue</w:t>
      </w:r>
      <w:r w:rsidR="0049648D">
        <w:rPr>
          <w:rFonts w:asciiTheme="minorHAnsi" w:hAnsiTheme="minorHAnsi" w:cstheme="minorHAnsi"/>
          <w:sz w:val="21"/>
          <w:szCs w:val="21"/>
        </w:rPr>
        <w:t xml:space="preserve"> was</w:t>
      </w:r>
      <w:r w:rsidRPr="00AB2B80">
        <w:rPr>
          <w:rFonts w:asciiTheme="minorHAnsi" w:hAnsiTheme="minorHAnsi" w:cstheme="minorHAnsi"/>
          <w:sz w:val="21"/>
          <w:szCs w:val="21"/>
        </w:rPr>
        <w:t xml:space="preserve"> 40% higher in H1, with the key driver being the uplift in recreational customer numbers across the Group’s online poker and gaming platforms during the disrupted period. Pre-disruption, gaming growth had been +7% with </w:t>
      </w:r>
      <w:r w:rsidR="00612479">
        <w:rPr>
          <w:rFonts w:asciiTheme="minorHAnsi" w:hAnsiTheme="minorHAnsi" w:cstheme="minorHAnsi"/>
          <w:sz w:val="21"/>
          <w:szCs w:val="21"/>
        </w:rPr>
        <w:t xml:space="preserve">increases </w:t>
      </w:r>
      <w:r w:rsidRPr="00AB2B80">
        <w:rPr>
          <w:rFonts w:asciiTheme="minorHAnsi" w:hAnsiTheme="minorHAnsi" w:cstheme="minorHAnsi"/>
          <w:sz w:val="21"/>
          <w:szCs w:val="21"/>
        </w:rPr>
        <w:t>in PPB, SBG and the US</w:t>
      </w:r>
      <w:r w:rsidR="00612479">
        <w:rPr>
          <w:rFonts w:asciiTheme="minorHAnsi" w:hAnsiTheme="minorHAnsi" w:cstheme="minorHAnsi"/>
          <w:sz w:val="21"/>
          <w:szCs w:val="21"/>
        </w:rPr>
        <w:t>,</w:t>
      </w:r>
      <w:r w:rsidRPr="00AB2B80">
        <w:rPr>
          <w:rFonts w:asciiTheme="minorHAnsi" w:hAnsiTheme="minorHAnsi" w:cstheme="minorHAnsi"/>
          <w:sz w:val="21"/>
          <w:szCs w:val="21"/>
        </w:rPr>
        <w:t xml:space="preserve"> partly offset by declines in TSG (poker-led) and Retail, where the business was still lapping the introduction of the £2 staking limit on FOBTs. </w:t>
      </w:r>
    </w:p>
    <w:p w14:paraId="789BA63D" w14:textId="77777777" w:rsidR="00942D68" w:rsidRPr="00AB2B80" w:rsidRDefault="00942D68" w:rsidP="00942D68">
      <w:pPr>
        <w:spacing w:after="120"/>
        <w:jc w:val="both"/>
        <w:rPr>
          <w:rFonts w:asciiTheme="minorHAnsi" w:hAnsiTheme="minorHAnsi" w:cstheme="minorHAnsi"/>
          <w:sz w:val="21"/>
          <w:szCs w:val="21"/>
        </w:rPr>
      </w:pPr>
      <w:r w:rsidRPr="00AB2B80">
        <w:rPr>
          <w:rFonts w:asciiTheme="minorHAnsi" w:hAnsiTheme="minorHAnsi" w:cstheme="minorHAnsi"/>
          <w:sz w:val="21"/>
          <w:szCs w:val="21"/>
        </w:rPr>
        <w:t xml:space="preserve">Cost of sales as a percentage of revenue increased by 220 basis points, driven by higher direct costs in the Group’s US business and an additional quarter of higher remote gaming duty in the UK (from 15% to 21%). </w:t>
      </w:r>
    </w:p>
    <w:p w14:paraId="06457BCF" w14:textId="77777777" w:rsidR="00942D68" w:rsidRPr="00AB2B80" w:rsidRDefault="00942D68" w:rsidP="00942D68">
      <w:pPr>
        <w:spacing w:after="120"/>
        <w:jc w:val="both"/>
        <w:rPr>
          <w:rFonts w:asciiTheme="minorHAnsi" w:hAnsiTheme="minorHAnsi" w:cstheme="minorHAnsi"/>
          <w:sz w:val="21"/>
          <w:szCs w:val="21"/>
        </w:rPr>
      </w:pPr>
      <w:r w:rsidRPr="00AB2B80">
        <w:rPr>
          <w:rFonts w:asciiTheme="minorHAnsi" w:hAnsiTheme="minorHAnsi" w:cstheme="minorHAnsi"/>
          <w:sz w:val="21"/>
          <w:szCs w:val="21"/>
        </w:rPr>
        <w:t xml:space="preserve">Sales and marketing investment across the </w:t>
      </w:r>
      <w:r w:rsidR="005A05F6">
        <w:rPr>
          <w:rFonts w:asciiTheme="minorHAnsi" w:hAnsiTheme="minorHAnsi" w:cstheme="minorHAnsi"/>
          <w:sz w:val="21"/>
          <w:szCs w:val="21"/>
        </w:rPr>
        <w:t>G</w:t>
      </w:r>
      <w:r w:rsidRPr="00AB2B80">
        <w:rPr>
          <w:rFonts w:asciiTheme="minorHAnsi" w:hAnsiTheme="minorHAnsi" w:cstheme="minorHAnsi"/>
          <w:sz w:val="21"/>
          <w:szCs w:val="21"/>
        </w:rPr>
        <w:t xml:space="preserve">roup grew 10% with the increase almost entirely driven by the US. Excluding the US, sales and marketing grew </w:t>
      </w:r>
      <w:r w:rsidR="00F80D8F">
        <w:rPr>
          <w:rFonts w:asciiTheme="minorHAnsi" w:hAnsiTheme="minorHAnsi" w:cstheme="minorHAnsi"/>
          <w:sz w:val="21"/>
          <w:szCs w:val="21"/>
        </w:rPr>
        <w:t>1</w:t>
      </w:r>
      <w:r w:rsidRPr="00AB2B80">
        <w:rPr>
          <w:rFonts w:asciiTheme="minorHAnsi" w:hAnsiTheme="minorHAnsi" w:cstheme="minorHAnsi"/>
          <w:sz w:val="21"/>
          <w:szCs w:val="21"/>
        </w:rPr>
        <w:t xml:space="preserve">%. Other operating costs increased by </w:t>
      </w:r>
      <w:r w:rsidR="00F80D8F">
        <w:rPr>
          <w:rFonts w:asciiTheme="minorHAnsi" w:hAnsiTheme="minorHAnsi" w:cstheme="minorHAnsi"/>
          <w:sz w:val="21"/>
          <w:szCs w:val="21"/>
        </w:rPr>
        <w:t>9</w:t>
      </w:r>
      <w:r w:rsidRPr="00AB2B80">
        <w:rPr>
          <w:rFonts w:asciiTheme="minorHAnsi" w:hAnsiTheme="minorHAnsi" w:cstheme="minorHAnsi"/>
          <w:sz w:val="21"/>
          <w:szCs w:val="21"/>
        </w:rPr>
        <w:t xml:space="preserve">% in H1, reflecting continued investment in people and technology as the Group continues its international expansion. </w:t>
      </w:r>
    </w:p>
    <w:p w14:paraId="32AB5B3D" w14:textId="77777777" w:rsidR="00942D68" w:rsidRPr="00AB2B80" w:rsidRDefault="00942D68" w:rsidP="00942D68">
      <w:pPr>
        <w:spacing w:before="120" w:after="120"/>
        <w:jc w:val="both"/>
        <w:rPr>
          <w:rFonts w:asciiTheme="minorHAnsi" w:hAnsiTheme="minorHAnsi" w:cstheme="minorHAnsi"/>
          <w:sz w:val="21"/>
          <w:szCs w:val="21"/>
          <w:highlight w:val="yellow"/>
        </w:rPr>
      </w:pPr>
      <w:r w:rsidRPr="00AB2B80">
        <w:rPr>
          <w:rFonts w:asciiTheme="minorHAnsi" w:hAnsiTheme="minorHAnsi" w:cstheme="minorHAnsi"/>
          <w:sz w:val="21"/>
          <w:szCs w:val="21"/>
        </w:rPr>
        <w:t>This resulted in Adjusted EBITDA growth of 35% in H1.  The ‘Adjusted’ EBITDA measure is consistent with ‘Underlying’ EBITDA as per previous Flutter financial reports. This is solely a change in naming convention to reflect accounting best practice.</w:t>
      </w:r>
    </w:p>
    <w:p w14:paraId="72D7FEFC"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 xml:space="preserve">Our multi-year investment in online product and technology, combined with expansion in our US footprint, has resulted in an increase in depreciation and amortisation of 14% in the half. </w:t>
      </w:r>
    </w:p>
    <w:p w14:paraId="635E02DB" w14:textId="77777777" w:rsidR="00942D68" w:rsidRPr="00AB2B80"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 xml:space="preserve">As we flagged at the time of the merger announcement, there are certain costs (such as share based payments and recurring professional/legal fees) that TSG historically treated as </w:t>
      </w:r>
      <w:r w:rsidR="00852B01">
        <w:rPr>
          <w:rFonts w:asciiTheme="minorHAnsi" w:hAnsiTheme="minorHAnsi" w:cstheme="minorHAnsi"/>
          <w:sz w:val="21"/>
          <w:szCs w:val="21"/>
        </w:rPr>
        <w:t>separately disclosed items (</w:t>
      </w:r>
      <w:r w:rsidR="00742A34">
        <w:rPr>
          <w:rFonts w:asciiTheme="minorHAnsi" w:hAnsiTheme="minorHAnsi" w:cstheme="minorHAnsi"/>
          <w:sz w:val="21"/>
          <w:szCs w:val="21"/>
        </w:rPr>
        <w:t>SDIs</w:t>
      </w:r>
      <w:r w:rsidR="00852B01">
        <w:rPr>
          <w:rFonts w:asciiTheme="minorHAnsi" w:hAnsiTheme="minorHAnsi" w:cstheme="minorHAnsi"/>
          <w:sz w:val="21"/>
          <w:szCs w:val="21"/>
        </w:rPr>
        <w:t>)</w:t>
      </w:r>
      <w:r w:rsidRPr="00AB2B80">
        <w:rPr>
          <w:rFonts w:asciiTheme="minorHAnsi" w:hAnsiTheme="minorHAnsi" w:cstheme="minorHAnsi"/>
          <w:sz w:val="21"/>
          <w:szCs w:val="21"/>
        </w:rPr>
        <w:t xml:space="preserve"> but which Flutter considers "business as usual" operating costs. Flutter intends to treat these costs as operating costs going forward. Had Flutter’s accounting treatment been applied to TSG’s 2019 reported earnings, TSG’s full year EBITDA would have been £663m versus its previously reported figure of £724m, a reduction of £61m. A full reconciliation of previously reported financials to presented pro forma financials can be found in </w:t>
      </w:r>
      <w:r w:rsidRPr="00670082">
        <w:rPr>
          <w:rFonts w:asciiTheme="minorHAnsi" w:hAnsiTheme="minorHAnsi" w:cstheme="minorHAnsi"/>
          <w:sz w:val="21"/>
          <w:szCs w:val="21"/>
        </w:rPr>
        <w:t xml:space="preserve">Appendix </w:t>
      </w:r>
      <w:r w:rsidR="00670082" w:rsidRPr="00856AC3">
        <w:rPr>
          <w:rFonts w:asciiTheme="minorHAnsi" w:hAnsiTheme="minorHAnsi" w:cstheme="minorHAnsi"/>
          <w:sz w:val="21"/>
          <w:szCs w:val="21"/>
        </w:rPr>
        <w:t>3</w:t>
      </w:r>
      <w:r w:rsidRPr="00670082">
        <w:rPr>
          <w:rFonts w:asciiTheme="minorHAnsi" w:hAnsiTheme="minorHAnsi" w:cstheme="minorHAnsi"/>
          <w:sz w:val="21"/>
          <w:szCs w:val="21"/>
        </w:rPr>
        <w:t>.</w:t>
      </w:r>
      <w:bookmarkEnd w:id="4"/>
    </w:p>
    <w:p w14:paraId="28A06866" w14:textId="77777777" w:rsidR="00942D68" w:rsidRPr="004667D0" w:rsidRDefault="008C6F49" w:rsidP="00942D68">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Net interest expense increased by £28m reflecting the additional debt </w:t>
      </w:r>
      <w:r w:rsidR="00B10629">
        <w:rPr>
          <w:rFonts w:asciiTheme="minorHAnsi" w:hAnsiTheme="minorHAnsi" w:cstheme="minorHAnsi"/>
          <w:sz w:val="22"/>
          <w:szCs w:val="22"/>
        </w:rPr>
        <w:t xml:space="preserve">taken on by the Group following </w:t>
      </w:r>
      <w:r>
        <w:rPr>
          <w:rFonts w:asciiTheme="minorHAnsi" w:hAnsiTheme="minorHAnsi" w:cstheme="minorHAnsi"/>
          <w:sz w:val="22"/>
          <w:szCs w:val="22"/>
        </w:rPr>
        <w:t xml:space="preserve">the </w:t>
      </w:r>
      <w:r w:rsidR="00604202">
        <w:rPr>
          <w:rFonts w:asciiTheme="minorHAnsi" w:hAnsiTheme="minorHAnsi" w:cstheme="minorHAnsi"/>
          <w:sz w:val="22"/>
          <w:szCs w:val="22"/>
        </w:rPr>
        <w:t xml:space="preserve">combination with </w:t>
      </w:r>
      <w:r>
        <w:rPr>
          <w:rFonts w:asciiTheme="minorHAnsi" w:hAnsiTheme="minorHAnsi" w:cstheme="minorHAnsi"/>
          <w:sz w:val="22"/>
          <w:szCs w:val="22"/>
        </w:rPr>
        <w:t>TSG in May. Separately disclosed items primarily relate to the amortisation of acquired intangibles and transaction costs relating to the TSG merger. Further detail in relation to these costs is available</w:t>
      </w:r>
      <w:r w:rsidR="00604202">
        <w:rPr>
          <w:rFonts w:asciiTheme="minorHAnsi" w:hAnsiTheme="minorHAnsi" w:cstheme="minorHAnsi"/>
          <w:sz w:val="22"/>
          <w:szCs w:val="22"/>
        </w:rPr>
        <w:t xml:space="preserve"> in the section below on separately disclosed items</w:t>
      </w:r>
      <w:r>
        <w:rPr>
          <w:rFonts w:asciiTheme="minorHAnsi" w:hAnsiTheme="minorHAnsi" w:cstheme="minorHAnsi"/>
          <w:sz w:val="22"/>
          <w:szCs w:val="22"/>
        </w:rPr>
        <w:t>.</w:t>
      </w:r>
    </w:p>
    <w:p w14:paraId="2CD1C68E" w14:textId="77777777" w:rsidR="00B0576D" w:rsidRDefault="00B0576D" w:rsidP="00B0576D">
      <w:pPr>
        <w:spacing w:before="120" w:after="120"/>
        <w:jc w:val="both"/>
        <w:rPr>
          <w:rFonts w:asciiTheme="minorHAnsi" w:hAnsiTheme="minorHAnsi" w:cstheme="minorHAnsi"/>
          <w:sz w:val="22"/>
          <w:szCs w:val="22"/>
        </w:rPr>
      </w:pPr>
      <w:r w:rsidRPr="0009214D">
        <w:rPr>
          <w:rFonts w:asciiTheme="minorHAnsi" w:hAnsiTheme="minorHAnsi" w:cstheme="minorHAnsi"/>
          <w:sz w:val="22"/>
          <w:szCs w:val="22"/>
        </w:rPr>
        <w:t xml:space="preserve">The Group’s </w:t>
      </w:r>
      <w:r>
        <w:rPr>
          <w:rFonts w:asciiTheme="minorHAnsi" w:hAnsiTheme="minorHAnsi" w:cstheme="minorHAnsi"/>
          <w:sz w:val="22"/>
          <w:szCs w:val="22"/>
        </w:rPr>
        <w:t>adjusted pro forma</w:t>
      </w:r>
      <w:r w:rsidRPr="0009214D">
        <w:rPr>
          <w:rFonts w:asciiTheme="minorHAnsi" w:hAnsiTheme="minorHAnsi" w:cstheme="minorHAnsi"/>
          <w:sz w:val="22"/>
          <w:szCs w:val="22"/>
        </w:rPr>
        <w:t xml:space="preserve"> effective tax rate </w:t>
      </w:r>
      <w:r>
        <w:rPr>
          <w:rFonts w:asciiTheme="minorHAnsi" w:hAnsiTheme="minorHAnsi" w:cstheme="minorHAnsi"/>
          <w:sz w:val="22"/>
          <w:szCs w:val="22"/>
        </w:rPr>
        <w:t>was</w:t>
      </w:r>
      <w:r w:rsidRPr="0009214D">
        <w:rPr>
          <w:rFonts w:asciiTheme="minorHAnsi" w:hAnsiTheme="minorHAnsi" w:cstheme="minorHAnsi"/>
          <w:sz w:val="22"/>
          <w:szCs w:val="22"/>
        </w:rPr>
        <w:t xml:space="preserve"> </w:t>
      </w:r>
      <w:r>
        <w:rPr>
          <w:rFonts w:asciiTheme="minorHAnsi" w:hAnsiTheme="minorHAnsi" w:cstheme="minorHAnsi"/>
          <w:sz w:val="22"/>
          <w:szCs w:val="22"/>
        </w:rPr>
        <w:t>9.3</w:t>
      </w:r>
      <w:r w:rsidRPr="0009214D">
        <w:rPr>
          <w:rFonts w:asciiTheme="minorHAnsi" w:hAnsiTheme="minorHAnsi" w:cstheme="minorHAnsi"/>
          <w:sz w:val="22"/>
          <w:szCs w:val="22"/>
        </w:rPr>
        <w:t>% (H1 201</w:t>
      </w:r>
      <w:r>
        <w:rPr>
          <w:rFonts w:asciiTheme="minorHAnsi" w:hAnsiTheme="minorHAnsi" w:cstheme="minorHAnsi"/>
          <w:sz w:val="22"/>
          <w:szCs w:val="22"/>
        </w:rPr>
        <w:t>9</w:t>
      </w:r>
      <w:r w:rsidRPr="0009214D">
        <w:rPr>
          <w:rFonts w:asciiTheme="minorHAnsi" w:hAnsiTheme="minorHAnsi" w:cstheme="minorHAnsi"/>
          <w:sz w:val="22"/>
          <w:szCs w:val="22"/>
        </w:rPr>
        <w:t xml:space="preserve">: </w:t>
      </w:r>
      <w:r>
        <w:rPr>
          <w:rFonts w:asciiTheme="minorHAnsi" w:hAnsiTheme="minorHAnsi" w:cstheme="minorHAnsi"/>
          <w:sz w:val="22"/>
          <w:szCs w:val="22"/>
        </w:rPr>
        <w:t>13.4</w:t>
      </w:r>
      <w:r w:rsidRPr="0009214D">
        <w:rPr>
          <w:rFonts w:asciiTheme="minorHAnsi" w:hAnsiTheme="minorHAnsi" w:cstheme="minorHAnsi"/>
          <w:sz w:val="22"/>
          <w:szCs w:val="22"/>
        </w:rPr>
        <w:t>%</w:t>
      </w:r>
      <w:r>
        <w:rPr>
          <w:rFonts w:asciiTheme="minorHAnsi" w:hAnsiTheme="minorHAnsi" w:cstheme="minorHAnsi"/>
          <w:sz w:val="22"/>
          <w:szCs w:val="22"/>
        </w:rPr>
        <w:t xml:space="preserve">) primarily driven by the mix of taxable earnings among and across geographies.  </w:t>
      </w:r>
    </w:p>
    <w:p w14:paraId="06BB0397" w14:textId="77777777" w:rsidR="00942D68" w:rsidRDefault="00942D68" w:rsidP="00856AC3">
      <w:pPr>
        <w:spacing w:after="80"/>
        <w:jc w:val="both"/>
        <w:rPr>
          <w:rFonts w:asciiTheme="minorHAnsi" w:hAnsiTheme="minorHAnsi"/>
          <w:b/>
          <w:sz w:val="22"/>
          <w:szCs w:val="22"/>
        </w:rPr>
      </w:pPr>
      <w:r w:rsidRPr="001E2810">
        <w:rPr>
          <w:rFonts w:asciiTheme="minorHAnsi" w:hAnsiTheme="minorHAnsi" w:cstheme="minorHAnsi"/>
          <w:b/>
          <w:sz w:val="22"/>
          <w:szCs w:val="22"/>
          <w:highlight w:val="yellow"/>
        </w:rPr>
        <w:br w:type="page"/>
      </w:r>
      <w:r w:rsidRPr="004F09BF">
        <w:rPr>
          <w:rFonts w:asciiTheme="minorHAnsi" w:hAnsiTheme="minorHAnsi"/>
          <w:b/>
          <w:sz w:val="22"/>
          <w:szCs w:val="22"/>
        </w:rPr>
        <w:lastRenderedPageBreak/>
        <w:t>PPB</w:t>
      </w:r>
    </w:p>
    <w:tbl>
      <w:tblPr>
        <w:tblW w:w="9416" w:type="dxa"/>
        <w:tblLayout w:type="fixed"/>
        <w:tblCellMar>
          <w:left w:w="57" w:type="dxa"/>
          <w:right w:w="57" w:type="dxa"/>
        </w:tblCellMar>
        <w:tblLook w:val="04A0" w:firstRow="1" w:lastRow="0" w:firstColumn="1" w:lastColumn="0" w:noHBand="0" w:noVBand="1"/>
      </w:tblPr>
      <w:tblGrid>
        <w:gridCol w:w="2746"/>
        <w:gridCol w:w="650"/>
        <w:gridCol w:w="89"/>
        <w:gridCol w:w="562"/>
        <w:gridCol w:w="179"/>
        <w:gridCol w:w="741"/>
        <w:gridCol w:w="6"/>
        <w:gridCol w:w="668"/>
        <w:gridCol w:w="67"/>
        <w:gridCol w:w="587"/>
        <w:gridCol w:w="154"/>
        <w:gridCol w:w="744"/>
        <w:gridCol w:w="706"/>
        <w:gridCol w:w="35"/>
        <w:gridCol w:w="582"/>
        <w:gridCol w:w="159"/>
        <w:gridCol w:w="741"/>
      </w:tblGrid>
      <w:tr w:rsidR="00BB11CD" w:rsidRPr="00BB11CD" w14:paraId="71D5FDB2" w14:textId="77777777" w:rsidTr="003F3314">
        <w:trPr>
          <w:trHeight w:val="255"/>
        </w:trPr>
        <w:tc>
          <w:tcPr>
            <w:tcW w:w="2748" w:type="dxa"/>
            <w:tcBorders>
              <w:top w:val="single" w:sz="8" w:space="0" w:color="auto"/>
              <w:left w:val="single" w:sz="8" w:space="0" w:color="auto"/>
              <w:bottom w:val="nil"/>
              <w:right w:val="nil"/>
            </w:tcBorders>
            <w:shd w:val="clear" w:color="auto" w:fill="auto"/>
            <w:noWrap/>
            <w:vAlign w:val="center"/>
            <w:hideMark/>
          </w:tcPr>
          <w:p w14:paraId="4F856EB4" w14:textId="77777777" w:rsidR="00BB11CD" w:rsidRPr="00BB11CD" w:rsidRDefault="00BB11CD" w:rsidP="00BB11CD">
            <w:pPr>
              <w:jc w:val="both"/>
              <w:rPr>
                <w:rFonts w:ascii="Calibri" w:hAnsi="Calibri" w:cs="Calibri"/>
                <w:b/>
                <w:bCs/>
                <w:sz w:val="20"/>
                <w:lang w:eastAsia="en-GB"/>
              </w:rPr>
            </w:pPr>
            <w:r w:rsidRPr="00BB11CD">
              <w:rPr>
                <w:rFonts w:ascii="Calibri" w:hAnsi="Calibri" w:cs="Calibri"/>
                <w:b/>
                <w:bCs/>
                <w:sz w:val="20"/>
                <w:lang w:eastAsia="en-GB"/>
              </w:rPr>
              <w:t> </w:t>
            </w:r>
          </w:p>
        </w:tc>
        <w:tc>
          <w:tcPr>
            <w:tcW w:w="2222" w:type="dxa"/>
            <w:gridSpan w:val="5"/>
            <w:tcBorders>
              <w:top w:val="single" w:sz="8" w:space="0" w:color="auto"/>
              <w:left w:val="nil"/>
              <w:bottom w:val="nil"/>
              <w:right w:val="single" w:sz="8" w:space="0" w:color="000000"/>
            </w:tcBorders>
            <w:shd w:val="clear" w:color="auto" w:fill="auto"/>
            <w:noWrap/>
            <w:vAlign w:val="center"/>
            <w:hideMark/>
          </w:tcPr>
          <w:p w14:paraId="4CF4C7BB" w14:textId="77777777" w:rsidR="00BB11CD" w:rsidRPr="00BB11CD" w:rsidRDefault="00BB11CD" w:rsidP="00BB11CD">
            <w:pPr>
              <w:jc w:val="center"/>
              <w:rPr>
                <w:rFonts w:ascii="Calibri" w:hAnsi="Calibri" w:cs="Calibri"/>
                <w:b/>
                <w:bCs/>
                <w:color w:val="000000"/>
                <w:sz w:val="20"/>
                <w:lang w:eastAsia="en-GB"/>
              </w:rPr>
            </w:pPr>
            <w:r w:rsidRPr="00BB11CD">
              <w:rPr>
                <w:rFonts w:ascii="Calibri" w:hAnsi="Calibri" w:cs="Calibri"/>
                <w:b/>
                <w:bCs/>
                <w:color w:val="000000"/>
                <w:sz w:val="20"/>
                <w:lang w:eastAsia="en-GB"/>
              </w:rPr>
              <w:t>PPB</w:t>
            </w:r>
            <w:r w:rsidR="00783F7C">
              <w:rPr>
                <w:rFonts w:ascii="Calibri" w:hAnsi="Calibri" w:cs="Calibri"/>
                <w:b/>
                <w:bCs/>
                <w:color w:val="000000"/>
                <w:sz w:val="20"/>
                <w:lang w:eastAsia="en-GB"/>
              </w:rPr>
              <w:t xml:space="preserve"> Total</w:t>
            </w:r>
          </w:p>
        </w:tc>
        <w:tc>
          <w:tcPr>
            <w:tcW w:w="2223" w:type="dxa"/>
            <w:gridSpan w:val="6"/>
            <w:tcBorders>
              <w:top w:val="single" w:sz="8" w:space="0" w:color="auto"/>
              <w:left w:val="nil"/>
              <w:bottom w:val="nil"/>
              <w:right w:val="single" w:sz="8" w:space="0" w:color="000000"/>
            </w:tcBorders>
            <w:shd w:val="clear" w:color="auto" w:fill="auto"/>
            <w:noWrap/>
            <w:vAlign w:val="center"/>
            <w:hideMark/>
          </w:tcPr>
          <w:p w14:paraId="659F30B1" w14:textId="77777777" w:rsidR="00BB11CD" w:rsidRPr="00BB11CD" w:rsidRDefault="00BB11CD" w:rsidP="00BB11CD">
            <w:pPr>
              <w:jc w:val="center"/>
              <w:rPr>
                <w:rFonts w:ascii="Calibri" w:hAnsi="Calibri" w:cs="Calibri"/>
                <w:b/>
                <w:bCs/>
                <w:i/>
                <w:iCs/>
                <w:color w:val="000000"/>
                <w:sz w:val="20"/>
                <w:lang w:eastAsia="en-GB"/>
              </w:rPr>
            </w:pPr>
            <w:r w:rsidRPr="00BB11CD">
              <w:rPr>
                <w:rFonts w:ascii="Calibri" w:hAnsi="Calibri" w:cs="Calibri"/>
                <w:b/>
                <w:bCs/>
                <w:i/>
                <w:iCs/>
                <w:color w:val="000000"/>
                <w:sz w:val="20"/>
                <w:lang w:eastAsia="en-GB"/>
              </w:rPr>
              <w:t>PPB Online</w:t>
            </w:r>
          </w:p>
        </w:tc>
        <w:tc>
          <w:tcPr>
            <w:tcW w:w="2223" w:type="dxa"/>
            <w:gridSpan w:val="5"/>
            <w:tcBorders>
              <w:top w:val="single" w:sz="8" w:space="0" w:color="auto"/>
              <w:left w:val="nil"/>
              <w:bottom w:val="nil"/>
              <w:right w:val="single" w:sz="8" w:space="0" w:color="000000"/>
            </w:tcBorders>
            <w:shd w:val="clear" w:color="auto" w:fill="auto"/>
            <w:noWrap/>
            <w:vAlign w:val="center"/>
            <w:hideMark/>
          </w:tcPr>
          <w:p w14:paraId="271BD563" w14:textId="77777777" w:rsidR="00BB11CD" w:rsidRPr="00BB11CD" w:rsidRDefault="00BB11CD" w:rsidP="00BB11CD">
            <w:pPr>
              <w:jc w:val="center"/>
              <w:rPr>
                <w:rFonts w:ascii="Calibri" w:hAnsi="Calibri" w:cs="Calibri"/>
                <w:b/>
                <w:bCs/>
                <w:i/>
                <w:iCs/>
                <w:color w:val="000000"/>
                <w:sz w:val="20"/>
                <w:lang w:eastAsia="en-GB"/>
              </w:rPr>
            </w:pPr>
            <w:r w:rsidRPr="00BB11CD">
              <w:rPr>
                <w:rFonts w:ascii="Calibri" w:hAnsi="Calibri" w:cs="Calibri"/>
                <w:b/>
                <w:bCs/>
                <w:i/>
                <w:iCs/>
                <w:color w:val="000000"/>
                <w:sz w:val="20"/>
                <w:lang w:eastAsia="en-GB"/>
              </w:rPr>
              <w:t>PPB Retail</w:t>
            </w:r>
          </w:p>
        </w:tc>
      </w:tr>
      <w:tr w:rsidR="00BB11CD" w:rsidRPr="00BB11CD" w14:paraId="7221118A"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3972817D" w14:textId="77777777" w:rsidR="00BB11CD" w:rsidRPr="00BB11CD" w:rsidRDefault="00BB11CD" w:rsidP="00BB11CD">
            <w:pPr>
              <w:jc w:val="both"/>
              <w:rPr>
                <w:rFonts w:ascii="Calibri" w:hAnsi="Calibri" w:cs="Calibri"/>
                <w:b/>
                <w:bCs/>
                <w:sz w:val="20"/>
                <w:lang w:eastAsia="en-GB"/>
              </w:rPr>
            </w:pPr>
            <w:r w:rsidRPr="00BB11CD">
              <w:rPr>
                <w:rFonts w:ascii="Calibri" w:hAnsi="Calibri" w:cs="Calibri"/>
                <w:b/>
                <w:bCs/>
                <w:sz w:val="20"/>
                <w:lang w:eastAsia="en-GB"/>
              </w:rPr>
              <w:t> </w:t>
            </w:r>
          </w:p>
        </w:tc>
        <w:tc>
          <w:tcPr>
            <w:tcW w:w="740" w:type="dxa"/>
            <w:gridSpan w:val="2"/>
            <w:tcBorders>
              <w:top w:val="nil"/>
              <w:left w:val="nil"/>
              <w:bottom w:val="nil"/>
              <w:right w:val="nil"/>
            </w:tcBorders>
            <w:shd w:val="clear" w:color="auto" w:fill="auto"/>
            <w:noWrap/>
            <w:vAlign w:val="center"/>
            <w:hideMark/>
          </w:tcPr>
          <w:p w14:paraId="78DE5A92"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H1</w:t>
            </w:r>
          </w:p>
        </w:tc>
        <w:tc>
          <w:tcPr>
            <w:tcW w:w="741" w:type="dxa"/>
            <w:gridSpan w:val="2"/>
            <w:tcBorders>
              <w:top w:val="nil"/>
              <w:left w:val="nil"/>
              <w:bottom w:val="nil"/>
              <w:right w:val="nil"/>
            </w:tcBorders>
            <w:shd w:val="clear" w:color="auto" w:fill="auto"/>
            <w:noWrap/>
            <w:vAlign w:val="center"/>
            <w:hideMark/>
          </w:tcPr>
          <w:p w14:paraId="05457BCB"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H1</w:t>
            </w:r>
          </w:p>
        </w:tc>
        <w:tc>
          <w:tcPr>
            <w:tcW w:w="741" w:type="dxa"/>
            <w:tcBorders>
              <w:top w:val="nil"/>
              <w:left w:val="nil"/>
              <w:bottom w:val="nil"/>
              <w:right w:val="single" w:sz="8" w:space="0" w:color="auto"/>
            </w:tcBorders>
            <w:shd w:val="clear" w:color="auto" w:fill="auto"/>
            <w:noWrap/>
            <w:vAlign w:val="center"/>
            <w:hideMark/>
          </w:tcPr>
          <w:p w14:paraId="55AACBD3" w14:textId="77777777" w:rsidR="00BB11CD" w:rsidRPr="00BB11CD" w:rsidRDefault="00BB11CD" w:rsidP="00BB11CD">
            <w:pPr>
              <w:rPr>
                <w:rFonts w:ascii="Calibri" w:hAnsi="Calibri" w:cs="Calibri"/>
                <w:b/>
                <w:bCs/>
                <w:color w:val="000000"/>
                <w:sz w:val="20"/>
                <w:lang w:eastAsia="en-GB"/>
              </w:rPr>
            </w:pPr>
            <w:r w:rsidRPr="00BB11CD">
              <w:rPr>
                <w:rFonts w:ascii="Calibri" w:hAnsi="Calibri" w:cs="Calibri"/>
                <w:b/>
                <w:bCs/>
                <w:color w:val="000000"/>
                <w:sz w:val="20"/>
                <w:lang w:eastAsia="en-GB"/>
              </w:rPr>
              <w:t> </w:t>
            </w:r>
          </w:p>
        </w:tc>
        <w:tc>
          <w:tcPr>
            <w:tcW w:w="741" w:type="dxa"/>
            <w:gridSpan w:val="3"/>
            <w:tcBorders>
              <w:top w:val="nil"/>
              <w:left w:val="nil"/>
              <w:bottom w:val="nil"/>
              <w:right w:val="nil"/>
            </w:tcBorders>
            <w:shd w:val="clear" w:color="auto" w:fill="auto"/>
            <w:noWrap/>
            <w:vAlign w:val="center"/>
            <w:hideMark/>
          </w:tcPr>
          <w:p w14:paraId="145A3685"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H1</w:t>
            </w:r>
          </w:p>
        </w:tc>
        <w:tc>
          <w:tcPr>
            <w:tcW w:w="741" w:type="dxa"/>
            <w:gridSpan w:val="2"/>
            <w:tcBorders>
              <w:top w:val="nil"/>
              <w:left w:val="nil"/>
              <w:bottom w:val="nil"/>
              <w:right w:val="nil"/>
            </w:tcBorders>
            <w:shd w:val="clear" w:color="auto" w:fill="auto"/>
            <w:noWrap/>
            <w:vAlign w:val="center"/>
            <w:hideMark/>
          </w:tcPr>
          <w:p w14:paraId="63EA5020"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H1</w:t>
            </w:r>
          </w:p>
        </w:tc>
        <w:tc>
          <w:tcPr>
            <w:tcW w:w="741" w:type="dxa"/>
            <w:tcBorders>
              <w:top w:val="nil"/>
              <w:left w:val="nil"/>
              <w:bottom w:val="nil"/>
              <w:right w:val="single" w:sz="8" w:space="0" w:color="auto"/>
            </w:tcBorders>
            <w:shd w:val="clear" w:color="auto" w:fill="auto"/>
            <w:noWrap/>
            <w:vAlign w:val="center"/>
            <w:hideMark/>
          </w:tcPr>
          <w:p w14:paraId="2F10C43A" w14:textId="77777777" w:rsidR="00BB11CD" w:rsidRPr="00BB11CD" w:rsidRDefault="00BB11CD" w:rsidP="00BB11CD">
            <w:pPr>
              <w:rPr>
                <w:rFonts w:ascii="Calibri" w:hAnsi="Calibri" w:cs="Calibri"/>
                <w:b/>
                <w:bCs/>
                <w:i/>
                <w:iCs/>
                <w:color w:val="000000"/>
                <w:sz w:val="20"/>
                <w:lang w:eastAsia="en-GB"/>
              </w:rPr>
            </w:pPr>
            <w:r w:rsidRPr="00BB11CD">
              <w:rPr>
                <w:rFonts w:ascii="Calibri" w:hAnsi="Calibri" w:cs="Calibri"/>
                <w:b/>
                <w:bCs/>
                <w:i/>
                <w:iCs/>
                <w:color w:val="000000"/>
                <w:sz w:val="20"/>
                <w:lang w:eastAsia="en-GB"/>
              </w:rPr>
              <w:t> </w:t>
            </w:r>
          </w:p>
        </w:tc>
        <w:tc>
          <w:tcPr>
            <w:tcW w:w="741" w:type="dxa"/>
            <w:gridSpan w:val="2"/>
            <w:tcBorders>
              <w:top w:val="nil"/>
              <w:left w:val="nil"/>
              <w:bottom w:val="nil"/>
              <w:right w:val="nil"/>
            </w:tcBorders>
            <w:shd w:val="clear" w:color="auto" w:fill="auto"/>
            <w:noWrap/>
            <w:vAlign w:val="center"/>
            <w:hideMark/>
          </w:tcPr>
          <w:p w14:paraId="3144AE6D"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H1</w:t>
            </w:r>
          </w:p>
        </w:tc>
        <w:tc>
          <w:tcPr>
            <w:tcW w:w="741" w:type="dxa"/>
            <w:gridSpan w:val="2"/>
            <w:tcBorders>
              <w:top w:val="nil"/>
              <w:left w:val="nil"/>
              <w:bottom w:val="nil"/>
              <w:right w:val="nil"/>
            </w:tcBorders>
            <w:shd w:val="clear" w:color="auto" w:fill="auto"/>
            <w:noWrap/>
            <w:vAlign w:val="center"/>
            <w:hideMark/>
          </w:tcPr>
          <w:p w14:paraId="32E45EC5"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H1</w:t>
            </w:r>
          </w:p>
        </w:tc>
        <w:tc>
          <w:tcPr>
            <w:tcW w:w="741" w:type="dxa"/>
            <w:tcBorders>
              <w:top w:val="nil"/>
              <w:left w:val="nil"/>
              <w:bottom w:val="nil"/>
              <w:right w:val="single" w:sz="8" w:space="0" w:color="auto"/>
            </w:tcBorders>
            <w:shd w:val="clear" w:color="auto" w:fill="auto"/>
            <w:noWrap/>
            <w:vAlign w:val="center"/>
            <w:hideMark/>
          </w:tcPr>
          <w:p w14:paraId="7E1476DE" w14:textId="77777777" w:rsidR="00BB11CD" w:rsidRPr="00BB11CD" w:rsidRDefault="00BB11CD" w:rsidP="00BB11CD">
            <w:pPr>
              <w:rPr>
                <w:rFonts w:ascii="Calibri" w:hAnsi="Calibri" w:cs="Calibri"/>
                <w:b/>
                <w:bCs/>
                <w:i/>
                <w:iCs/>
                <w:color w:val="000000"/>
                <w:sz w:val="20"/>
                <w:lang w:eastAsia="en-GB"/>
              </w:rPr>
            </w:pPr>
            <w:r w:rsidRPr="00BB11CD">
              <w:rPr>
                <w:rFonts w:ascii="Calibri" w:hAnsi="Calibri" w:cs="Calibri"/>
                <w:b/>
                <w:bCs/>
                <w:i/>
                <w:iCs/>
                <w:color w:val="000000"/>
                <w:sz w:val="20"/>
                <w:lang w:eastAsia="en-GB"/>
              </w:rPr>
              <w:t> </w:t>
            </w:r>
          </w:p>
        </w:tc>
      </w:tr>
      <w:tr w:rsidR="00BB11CD" w:rsidRPr="00BB11CD" w14:paraId="5A7B7968"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79AAD4BD" w14:textId="77777777" w:rsidR="00BB11CD" w:rsidRPr="00BB11CD" w:rsidRDefault="00BB11CD" w:rsidP="00BB11CD">
            <w:pPr>
              <w:jc w:val="both"/>
              <w:rPr>
                <w:rFonts w:ascii="Calibri" w:hAnsi="Calibri" w:cs="Calibri"/>
                <w:b/>
                <w:bCs/>
                <w:sz w:val="20"/>
                <w:lang w:eastAsia="en-GB"/>
              </w:rPr>
            </w:pPr>
            <w:r w:rsidRPr="00BB11CD">
              <w:rPr>
                <w:rFonts w:ascii="Calibri" w:hAnsi="Calibri" w:cs="Calibri"/>
                <w:b/>
                <w:bCs/>
                <w:sz w:val="20"/>
                <w:lang w:eastAsia="en-GB"/>
              </w:rPr>
              <w:t> </w:t>
            </w:r>
          </w:p>
        </w:tc>
        <w:tc>
          <w:tcPr>
            <w:tcW w:w="740" w:type="dxa"/>
            <w:gridSpan w:val="2"/>
            <w:tcBorders>
              <w:top w:val="nil"/>
              <w:left w:val="nil"/>
              <w:bottom w:val="nil"/>
              <w:right w:val="nil"/>
            </w:tcBorders>
            <w:shd w:val="clear" w:color="auto" w:fill="auto"/>
            <w:noWrap/>
            <w:vAlign w:val="center"/>
            <w:hideMark/>
          </w:tcPr>
          <w:p w14:paraId="29B04F5F"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2020</w:t>
            </w:r>
          </w:p>
        </w:tc>
        <w:tc>
          <w:tcPr>
            <w:tcW w:w="741" w:type="dxa"/>
            <w:gridSpan w:val="2"/>
            <w:tcBorders>
              <w:top w:val="nil"/>
              <w:left w:val="nil"/>
              <w:bottom w:val="nil"/>
              <w:right w:val="nil"/>
            </w:tcBorders>
            <w:shd w:val="clear" w:color="auto" w:fill="auto"/>
            <w:noWrap/>
            <w:vAlign w:val="center"/>
            <w:hideMark/>
          </w:tcPr>
          <w:p w14:paraId="6BE1BAF6"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2019</w:t>
            </w:r>
          </w:p>
        </w:tc>
        <w:tc>
          <w:tcPr>
            <w:tcW w:w="741" w:type="dxa"/>
            <w:tcBorders>
              <w:top w:val="nil"/>
              <w:left w:val="nil"/>
              <w:bottom w:val="nil"/>
              <w:right w:val="single" w:sz="8" w:space="0" w:color="auto"/>
            </w:tcBorders>
            <w:shd w:val="clear" w:color="auto" w:fill="auto"/>
            <w:noWrap/>
            <w:vAlign w:val="center"/>
            <w:hideMark/>
          </w:tcPr>
          <w:p w14:paraId="4DCE6C32"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Change</w:t>
            </w:r>
          </w:p>
        </w:tc>
        <w:tc>
          <w:tcPr>
            <w:tcW w:w="741" w:type="dxa"/>
            <w:gridSpan w:val="3"/>
            <w:tcBorders>
              <w:top w:val="nil"/>
              <w:left w:val="nil"/>
              <w:bottom w:val="nil"/>
              <w:right w:val="nil"/>
            </w:tcBorders>
            <w:shd w:val="clear" w:color="auto" w:fill="auto"/>
            <w:noWrap/>
            <w:vAlign w:val="center"/>
            <w:hideMark/>
          </w:tcPr>
          <w:p w14:paraId="0319ABAF"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2020</w:t>
            </w:r>
          </w:p>
        </w:tc>
        <w:tc>
          <w:tcPr>
            <w:tcW w:w="741" w:type="dxa"/>
            <w:gridSpan w:val="2"/>
            <w:tcBorders>
              <w:top w:val="nil"/>
              <w:left w:val="nil"/>
              <w:bottom w:val="nil"/>
              <w:right w:val="nil"/>
            </w:tcBorders>
            <w:shd w:val="clear" w:color="auto" w:fill="auto"/>
            <w:noWrap/>
            <w:vAlign w:val="center"/>
            <w:hideMark/>
          </w:tcPr>
          <w:p w14:paraId="0ADC132C"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2019</w:t>
            </w:r>
          </w:p>
        </w:tc>
        <w:tc>
          <w:tcPr>
            <w:tcW w:w="741" w:type="dxa"/>
            <w:tcBorders>
              <w:top w:val="nil"/>
              <w:left w:val="nil"/>
              <w:bottom w:val="nil"/>
              <w:right w:val="single" w:sz="8" w:space="0" w:color="auto"/>
            </w:tcBorders>
            <w:shd w:val="clear" w:color="auto" w:fill="auto"/>
            <w:noWrap/>
            <w:vAlign w:val="center"/>
            <w:hideMark/>
          </w:tcPr>
          <w:p w14:paraId="37D8341D"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Change</w:t>
            </w:r>
          </w:p>
        </w:tc>
        <w:tc>
          <w:tcPr>
            <w:tcW w:w="741" w:type="dxa"/>
            <w:gridSpan w:val="2"/>
            <w:tcBorders>
              <w:top w:val="nil"/>
              <w:left w:val="nil"/>
              <w:bottom w:val="nil"/>
              <w:right w:val="nil"/>
            </w:tcBorders>
            <w:shd w:val="clear" w:color="auto" w:fill="auto"/>
            <w:noWrap/>
            <w:vAlign w:val="center"/>
            <w:hideMark/>
          </w:tcPr>
          <w:p w14:paraId="7C53FEAF"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2020</w:t>
            </w:r>
          </w:p>
        </w:tc>
        <w:tc>
          <w:tcPr>
            <w:tcW w:w="741" w:type="dxa"/>
            <w:gridSpan w:val="2"/>
            <w:tcBorders>
              <w:top w:val="nil"/>
              <w:left w:val="nil"/>
              <w:bottom w:val="nil"/>
              <w:right w:val="nil"/>
            </w:tcBorders>
            <w:shd w:val="clear" w:color="auto" w:fill="auto"/>
            <w:noWrap/>
            <w:vAlign w:val="center"/>
            <w:hideMark/>
          </w:tcPr>
          <w:p w14:paraId="3D5E7F67"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2019</w:t>
            </w:r>
          </w:p>
        </w:tc>
        <w:tc>
          <w:tcPr>
            <w:tcW w:w="741" w:type="dxa"/>
            <w:tcBorders>
              <w:top w:val="nil"/>
              <w:left w:val="nil"/>
              <w:bottom w:val="nil"/>
              <w:right w:val="single" w:sz="8" w:space="0" w:color="auto"/>
            </w:tcBorders>
            <w:shd w:val="clear" w:color="auto" w:fill="auto"/>
            <w:noWrap/>
            <w:vAlign w:val="center"/>
            <w:hideMark/>
          </w:tcPr>
          <w:p w14:paraId="6D4A67C2"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Change</w:t>
            </w:r>
          </w:p>
        </w:tc>
      </w:tr>
      <w:tr w:rsidR="00BB11CD" w:rsidRPr="00BB11CD" w14:paraId="6126AEA1" w14:textId="77777777" w:rsidTr="003F3314">
        <w:trPr>
          <w:trHeight w:val="255"/>
        </w:trPr>
        <w:tc>
          <w:tcPr>
            <w:tcW w:w="2748" w:type="dxa"/>
            <w:tcBorders>
              <w:top w:val="nil"/>
              <w:left w:val="single" w:sz="8" w:space="0" w:color="auto"/>
              <w:bottom w:val="single" w:sz="8" w:space="0" w:color="auto"/>
              <w:right w:val="nil"/>
            </w:tcBorders>
            <w:shd w:val="clear" w:color="auto" w:fill="auto"/>
            <w:hideMark/>
          </w:tcPr>
          <w:p w14:paraId="4DED7567" w14:textId="77777777" w:rsidR="00BB11CD" w:rsidRPr="00BB11CD" w:rsidRDefault="00BB11CD" w:rsidP="00BB11CD">
            <w:pPr>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Pro forma</w:t>
            </w:r>
          </w:p>
        </w:tc>
        <w:tc>
          <w:tcPr>
            <w:tcW w:w="740" w:type="dxa"/>
            <w:gridSpan w:val="2"/>
            <w:tcBorders>
              <w:top w:val="nil"/>
              <w:left w:val="nil"/>
              <w:bottom w:val="single" w:sz="8" w:space="0" w:color="auto"/>
              <w:right w:val="nil"/>
            </w:tcBorders>
            <w:shd w:val="clear" w:color="auto" w:fill="auto"/>
            <w:noWrap/>
            <w:vAlign w:val="center"/>
            <w:hideMark/>
          </w:tcPr>
          <w:p w14:paraId="29BDDC77"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£m</w:t>
            </w:r>
          </w:p>
        </w:tc>
        <w:tc>
          <w:tcPr>
            <w:tcW w:w="741" w:type="dxa"/>
            <w:gridSpan w:val="2"/>
            <w:tcBorders>
              <w:top w:val="nil"/>
              <w:left w:val="nil"/>
              <w:bottom w:val="single" w:sz="8" w:space="0" w:color="auto"/>
              <w:right w:val="nil"/>
            </w:tcBorders>
            <w:shd w:val="clear" w:color="auto" w:fill="auto"/>
            <w:noWrap/>
            <w:vAlign w:val="center"/>
            <w:hideMark/>
          </w:tcPr>
          <w:p w14:paraId="73BF9838"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£m</w:t>
            </w:r>
          </w:p>
        </w:tc>
        <w:tc>
          <w:tcPr>
            <w:tcW w:w="741" w:type="dxa"/>
            <w:tcBorders>
              <w:top w:val="nil"/>
              <w:left w:val="nil"/>
              <w:bottom w:val="single" w:sz="8" w:space="0" w:color="auto"/>
              <w:right w:val="single" w:sz="8" w:space="0" w:color="auto"/>
            </w:tcBorders>
            <w:shd w:val="clear" w:color="auto" w:fill="auto"/>
            <w:noWrap/>
            <w:vAlign w:val="center"/>
            <w:hideMark/>
          </w:tcPr>
          <w:p w14:paraId="183F9821"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w:t>
            </w:r>
          </w:p>
        </w:tc>
        <w:tc>
          <w:tcPr>
            <w:tcW w:w="741" w:type="dxa"/>
            <w:gridSpan w:val="3"/>
            <w:tcBorders>
              <w:top w:val="nil"/>
              <w:left w:val="nil"/>
              <w:bottom w:val="single" w:sz="8" w:space="0" w:color="auto"/>
              <w:right w:val="nil"/>
            </w:tcBorders>
            <w:shd w:val="clear" w:color="auto" w:fill="auto"/>
            <w:noWrap/>
            <w:vAlign w:val="center"/>
            <w:hideMark/>
          </w:tcPr>
          <w:p w14:paraId="5ABBE029"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£m</w:t>
            </w:r>
          </w:p>
        </w:tc>
        <w:tc>
          <w:tcPr>
            <w:tcW w:w="741" w:type="dxa"/>
            <w:gridSpan w:val="2"/>
            <w:tcBorders>
              <w:top w:val="nil"/>
              <w:left w:val="nil"/>
              <w:bottom w:val="single" w:sz="8" w:space="0" w:color="auto"/>
              <w:right w:val="nil"/>
            </w:tcBorders>
            <w:shd w:val="clear" w:color="auto" w:fill="auto"/>
            <w:noWrap/>
            <w:vAlign w:val="center"/>
            <w:hideMark/>
          </w:tcPr>
          <w:p w14:paraId="74936B3E"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£m</w:t>
            </w:r>
          </w:p>
        </w:tc>
        <w:tc>
          <w:tcPr>
            <w:tcW w:w="741" w:type="dxa"/>
            <w:tcBorders>
              <w:top w:val="nil"/>
              <w:left w:val="nil"/>
              <w:bottom w:val="single" w:sz="8" w:space="0" w:color="auto"/>
              <w:right w:val="single" w:sz="8" w:space="0" w:color="auto"/>
            </w:tcBorders>
            <w:shd w:val="clear" w:color="auto" w:fill="auto"/>
            <w:noWrap/>
            <w:vAlign w:val="center"/>
            <w:hideMark/>
          </w:tcPr>
          <w:p w14:paraId="56862E5F"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w:t>
            </w:r>
          </w:p>
        </w:tc>
        <w:tc>
          <w:tcPr>
            <w:tcW w:w="741" w:type="dxa"/>
            <w:gridSpan w:val="2"/>
            <w:tcBorders>
              <w:top w:val="nil"/>
              <w:left w:val="nil"/>
              <w:bottom w:val="single" w:sz="8" w:space="0" w:color="auto"/>
              <w:right w:val="nil"/>
            </w:tcBorders>
            <w:shd w:val="clear" w:color="auto" w:fill="auto"/>
            <w:noWrap/>
            <w:vAlign w:val="center"/>
            <w:hideMark/>
          </w:tcPr>
          <w:p w14:paraId="74ADCE4C"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£m</w:t>
            </w:r>
          </w:p>
        </w:tc>
        <w:tc>
          <w:tcPr>
            <w:tcW w:w="741" w:type="dxa"/>
            <w:gridSpan w:val="2"/>
            <w:tcBorders>
              <w:top w:val="nil"/>
              <w:left w:val="nil"/>
              <w:bottom w:val="single" w:sz="8" w:space="0" w:color="auto"/>
              <w:right w:val="nil"/>
            </w:tcBorders>
            <w:shd w:val="clear" w:color="auto" w:fill="auto"/>
            <w:noWrap/>
            <w:vAlign w:val="center"/>
            <w:hideMark/>
          </w:tcPr>
          <w:p w14:paraId="4AD02701"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£m</w:t>
            </w:r>
          </w:p>
        </w:tc>
        <w:tc>
          <w:tcPr>
            <w:tcW w:w="741" w:type="dxa"/>
            <w:tcBorders>
              <w:top w:val="nil"/>
              <w:left w:val="nil"/>
              <w:bottom w:val="single" w:sz="8" w:space="0" w:color="auto"/>
              <w:right w:val="single" w:sz="8" w:space="0" w:color="auto"/>
            </w:tcBorders>
            <w:shd w:val="clear" w:color="auto" w:fill="auto"/>
            <w:noWrap/>
            <w:vAlign w:val="center"/>
            <w:hideMark/>
          </w:tcPr>
          <w:p w14:paraId="2E7532B2"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w:t>
            </w:r>
          </w:p>
        </w:tc>
      </w:tr>
      <w:tr w:rsidR="00BB11CD" w:rsidRPr="00BB11CD" w14:paraId="0C32A811"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240639C5" w14:textId="77777777" w:rsidR="00BB11CD" w:rsidRPr="00BB11CD" w:rsidRDefault="00BB11CD" w:rsidP="00BB11CD">
            <w:pPr>
              <w:jc w:val="both"/>
              <w:rPr>
                <w:rFonts w:ascii="Calibri" w:hAnsi="Calibri" w:cs="Calibri"/>
                <w:b/>
                <w:bCs/>
                <w:color w:val="FF0000"/>
                <w:sz w:val="2"/>
                <w:szCs w:val="2"/>
                <w:lang w:eastAsia="en-GB"/>
              </w:rPr>
            </w:pPr>
            <w:r w:rsidRPr="00BB11CD">
              <w:rPr>
                <w:rFonts w:ascii="Calibri" w:hAnsi="Calibri" w:cs="Calibri"/>
                <w:b/>
                <w:bCs/>
                <w:color w:val="FF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1DE307E5" w14:textId="77777777" w:rsidR="00BB11CD" w:rsidRPr="00BB11CD" w:rsidRDefault="00BB11CD" w:rsidP="00BB11CD">
            <w:pPr>
              <w:jc w:val="both"/>
              <w:rPr>
                <w:rFonts w:ascii="Calibri" w:hAnsi="Calibri" w:cs="Calibri"/>
                <w:b/>
                <w:bCs/>
                <w:color w:val="FF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9B2A10D"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44D946CA" w14:textId="77777777" w:rsidR="00BB11CD" w:rsidRPr="00BB11CD" w:rsidRDefault="00BB11CD" w:rsidP="00BB11CD">
            <w:pPr>
              <w:jc w:val="right"/>
              <w:rPr>
                <w:rFonts w:ascii="Calibri" w:hAnsi="Calibri" w:cs="Calibri"/>
                <w:b/>
                <w:bCs/>
                <w:color w:val="000000"/>
                <w:sz w:val="2"/>
                <w:szCs w:val="2"/>
                <w:lang w:eastAsia="en-GB"/>
              </w:rPr>
            </w:pPr>
            <w:r w:rsidRPr="00BB11CD">
              <w:rPr>
                <w:rFonts w:ascii="Calibri" w:hAnsi="Calibri" w:cs="Calibri"/>
                <w:b/>
                <w:bCs/>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5E7D8FC5" w14:textId="77777777" w:rsidR="00BB11CD" w:rsidRPr="00BB11CD" w:rsidRDefault="00BB11CD" w:rsidP="00BB11CD">
            <w:pPr>
              <w:jc w:val="right"/>
              <w:rPr>
                <w:rFonts w:ascii="Calibri" w:hAnsi="Calibri" w:cs="Calibri"/>
                <w:b/>
                <w:b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120150FC"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578C93E9" w14:textId="77777777" w:rsidR="00BB11CD" w:rsidRPr="00BB11CD" w:rsidRDefault="00BB11CD" w:rsidP="00BB11CD">
            <w:pPr>
              <w:jc w:val="right"/>
              <w:rPr>
                <w:rFonts w:ascii="Calibri" w:hAnsi="Calibri" w:cs="Calibri"/>
                <w:b/>
                <w:bCs/>
                <w:i/>
                <w:iCs/>
                <w:color w:val="000000"/>
                <w:sz w:val="2"/>
                <w:szCs w:val="2"/>
                <w:lang w:eastAsia="en-GB"/>
              </w:rPr>
            </w:pPr>
            <w:r w:rsidRPr="00BB11CD">
              <w:rPr>
                <w:rFonts w:ascii="Calibri" w:hAnsi="Calibri" w:cs="Calibri"/>
                <w:b/>
                <w:bCs/>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47132C9B" w14:textId="77777777" w:rsidR="00BB11CD" w:rsidRPr="00BB11CD" w:rsidRDefault="00BB11CD" w:rsidP="00BB11CD">
            <w:pPr>
              <w:jc w:val="right"/>
              <w:rPr>
                <w:rFonts w:ascii="Calibri" w:hAnsi="Calibri" w:cs="Calibri"/>
                <w:b/>
                <w:bCs/>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45A323C7"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1EA07198" w14:textId="77777777" w:rsidR="00BB11CD" w:rsidRPr="00BB11CD" w:rsidRDefault="00BB11CD" w:rsidP="00BB11CD">
            <w:pPr>
              <w:jc w:val="right"/>
              <w:rPr>
                <w:rFonts w:ascii="Calibri" w:hAnsi="Calibri" w:cs="Calibri"/>
                <w:b/>
                <w:bCs/>
                <w:i/>
                <w:iCs/>
                <w:color w:val="000000"/>
                <w:sz w:val="2"/>
                <w:szCs w:val="2"/>
                <w:lang w:eastAsia="en-GB"/>
              </w:rPr>
            </w:pPr>
            <w:r w:rsidRPr="00BB11CD">
              <w:rPr>
                <w:rFonts w:ascii="Calibri" w:hAnsi="Calibri" w:cs="Calibri"/>
                <w:b/>
                <w:bCs/>
                <w:i/>
                <w:iCs/>
                <w:color w:val="000000"/>
                <w:sz w:val="2"/>
                <w:szCs w:val="2"/>
                <w:lang w:eastAsia="en-GB"/>
              </w:rPr>
              <w:t> </w:t>
            </w:r>
          </w:p>
        </w:tc>
      </w:tr>
      <w:tr w:rsidR="00BB11CD" w:rsidRPr="00BB11CD" w14:paraId="444F2907"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0E665178" w14:textId="77777777" w:rsidR="00BB11CD" w:rsidRPr="00BB11CD" w:rsidRDefault="00BB11CD" w:rsidP="00BB11CD">
            <w:pPr>
              <w:jc w:val="both"/>
              <w:rPr>
                <w:rFonts w:ascii="Calibri" w:hAnsi="Calibri" w:cs="Calibri"/>
                <w:b/>
                <w:bCs/>
                <w:color w:val="000000"/>
                <w:sz w:val="20"/>
                <w:lang w:eastAsia="en-GB"/>
              </w:rPr>
            </w:pPr>
            <w:r w:rsidRPr="00BB11CD">
              <w:rPr>
                <w:rFonts w:ascii="Calibri" w:hAnsi="Calibri" w:cs="Calibri"/>
                <w:b/>
                <w:bCs/>
                <w:color w:val="000000"/>
                <w:sz w:val="20"/>
                <w:lang w:eastAsia="en-GB"/>
              </w:rPr>
              <w:t>Sportsbook stakes</w:t>
            </w:r>
          </w:p>
        </w:tc>
        <w:tc>
          <w:tcPr>
            <w:tcW w:w="740" w:type="dxa"/>
            <w:gridSpan w:val="2"/>
            <w:tcBorders>
              <w:top w:val="nil"/>
              <w:left w:val="nil"/>
              <w:bottom w:val="nil"/>
              <w:right w:val="nil"/>
            </w:tcBorders>
            <w:shd w:val="clear" w:color="auto" w:fill="auto"/>
            <w:noWrap/>
            <w:vAlign w:val="center"/>
            <w:hideMark/>
          </w:tcPr>
          <w:p w14:paraId="06503267"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2,222</w:t>
            </w:r>
          </w:p>
        </w:tc>
        <w:tc>
          <w:tcPr>
            <w:tcW w:w="741" w:type="dxa"/>
            <w:gridSpan w:val="2"/>
            <w:tcBorders>
              <w:top w:val="nil"/>
              <w:left w:val="nil"/>
              <w:bottom w:val="nil"/>
              <w:right w:val="nil"/>
            </w:tcBorders>
            <w:shd w:val="clear" w:color="auto" w:fill="auto"/>
            <w:noWrap/>
            <w:vAlign w:val="center"/>
            <w:hideMark/>
          </w:tcPr>
          <w:p w14:paraId="4DAA49AC"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3,594</w:t>
            </w:r>
          </w:p>
        </w:tc>
        <w:tc>
          <w:tcPr>
            <w:tcW w:w="741" w:type="dxa"/>
            <w:tcBorders>
              <w:top w:val="nil"/>
              <w:left w:val="nil"/>
              <w:bottom w:val="nil"/>
              <w:right w:val="single" w:sz="8" w:space="0" w:color="auto"/>
            </w:tcBorders>
            <w:shd w:val="clear" w:color="auto" w:fill="auto"/>
            <w:noWrap/>
            <w:vAlign w:val="center"/>
            <w:hideMark/>
          </w:tcPr>
          <w:p w14:paraId="18D9246D"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-38%</w:t>
            </w:r>
          </w:p>
        </w:tc>
        <w:tc>
          <w:tcPr>
            <w:tcW w:w="741" w:type="dxa"/>
            <w:gridSpan w:val="3"/>
            <w:tcBorders>
              <w:top w:val="nil"/>
              <w:left w:val="nil"/>
              <w:bottom w:val="nil"/>
              <w:right w:val="nil"/>
            </w:tcBorders>
            <w:shd w:val="clear" w:color="auto" w:fill="auto"/>
            <w:noWrap/>
            <w:vAlign w:val="center"/>
            <w:hideMark/>
          </w:tcPr>
          <w:p w14:paraId="5D573460"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1,839</w:t>
            </w:r>
          </w:p>
        </w:tc>
        <w:tc>
          <w:tcPr>
            <w:tcW w:w="741" w:type="dxa"/>
            <w:gridSpan w:val="2"/>
            <w:tcBorders>
              <w:top w:val="nil"/>
              <w:left w:val="nil"/>
              <w:bottom w:val="nil"/>
              <w:right w:val="nil"/>
            </w:tcBorders>
            <w:shd w:val="clear" w:color="auto" w:fill="auto"/>
            <w:noWrap/>
            <w:vAlign w:val="center"/>
            <w:hideMark/>
          </w:tcPr>
          <w:p w14:paraId="75812B5A"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2,688</w:t>
            </w:r>
          </w:p>
        </w:tc>
        <w:tc>
          <w:tcPr>
            <w:tcW w:w="741" w:type="dxa"/>
            <w:tcBorders>
              <w:top w:val="nil"/>
              <w:left w:val="nil"/>
              <w:bottom w:val="nil"/>
              <w:right w:val="single" w:sz="8" w:space="0" w:color="auto"/>
            </w:tcBorders>
            <w:shd w:val="clear" w:color="auto" w:fill="auto"/>
            <w:noWrap/>
            <w:vAlign w:val="center"/>
            <w:hideMark/>
          </w:tcPr>
          <w:p w14:paraId="77690BC9"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-32%</w:t>
            </w:r>
          </w:p>
        </w:tc>
        <w:tc>
          <w:tcPr>
            <w:tcW w:w="741" w:type="dxa"/>
            <w:gridSpan w:val="2"/>
            <w:tcBorders>
              <w:top w:val="nil"/>
              <w:left w:val="nil"/>
              <w:bottom w:val="nil"/>
              <w:right w:val="nil"/>
            </w:tcBorders>
            <w:shd w:val="clear" w:color="auto" w:fill="auto"/>
            <w:noWrap/>
            <w:vAlign w:val="center"/>
            <w:hideMark/>
          </w:tcPr>
          <w:p w14:paraId="13F61409"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383</w:t>
            </w:r>
          </w:p>
        </w:tc>
        <w:tc>
          <w:tcPr>
            <w:tcW w:w="741" w:type="dxa"/>
            <w:gridSpan w:val="2"/>
            <w:tcBorders>
              <w:top w:val="nil"/>
              <w:left w:val="nil"/>
              <w:bottom w:val="nil"/>
              <w:right w:val="nil"/>
            </w:tcBorders>
            <w:shd w:val="clear" w:color="auto" w:fill="auto"/>
            <w:noWrap/>
            <w:vAlign w:val="center"/>
            <w:hideMark/>
          </w:tcPr>
          <w:p w14:paraId="626B540A"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907</w:t>
            </w:r>
          </w:p>
        </w:tc>
        <w:tc>
          <w:tcPr>
            <w:tcW w:w="741" w:type="dxa"/>
            <w:tcBorders>
              <w:top w:val="nil"/>
              <w:left w:val="nil"/>
              <w:bottom w:val="nil"/>
              <w:right w:val="single" w:sz="8" w:space="0" w:color="auto"/>
            </w:tcBorders>
            <w:shd w:val="clear" w:color="auto" w:fill="auto"/>
            <w:noWrap/>
            <w:vAlign w:val="center"/>
            <w:hideMark/>
          </w:tcPr>
          <w:p w14:paraId="4A83FB5E"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-58%</w:t>
            </w:r>
          </w:p>
        </w:tc>
      </w:tr>
      <w:tr w:rsidR="00BB11CD" w:rsidRPr="00BB11CD" w14:paraId="422B556E"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2BE5D041" w14:textId="77777777" w:rsidR="00BB11CD" w:rsidRPr="00BB11CD" w:rsidRDefault="00BB11CD" w:rsidP="00BB11CD">
            <w:pPr>
              <w:jc w:val="both"/>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Sportsbook net revenue margin</w:t>
            </w:r>
          </w:p>
        </w:tc>
        <w:tc>
          <w:tcPr>
            <w:tcW w:w="740" w:type="dxa"/>
            <w:gridSpan w:val="2"/>
            <w:tcBorders>
              <w:top w:val="nil"/>
              <w:left w:val="nil"/>
              <w:bottom w:val="nil"/>
              <w:right w:val="nil"/>
            </w:tcBorders>
            <w:shd w:val="clear" w:color="auto" w:fill="auto"/>
            <w:noWrap/>
            <w:vAlign w:val="center"/>
            <w:hideMark/>
          </w:tcPr>
          <w:p w14:paraId="2A7317DE"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10.9%</w:t>
            </w:r>
          </w:p>
        </w:tc>
        <w:tc>
          <w:tcPr>
            <w:tcW w:w="741" w:type="dxa"/>
            <w:gridSpan w:val="2"/>
            <w:tcBorders>
              <w:top w:val="nil"/>
              <w:left w:val="nil"/>
              <w:bottom w:val="nil"/>
              <w:right w:val="nil"/>
            </w:tcBorders>
            <w:shd w:val="clear" w:color="auto" w:fill="auto"/>
            <w:noWrap/>
            <w:vAlign w:val="center"/>
            <w:hideMark/>
          </w:tcPr>
          <w:p w14:paraId="1C6779B7"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8.9%</w:t>
            </w:r>
          </w:p>
        </w:tc>
        <w:tc>
          <w:tcPr>
            <w:tcW w:w="741" w:type="dxa"/>
            <w:tcBorders>
              <w:top w:val="nil"/>
              <w:left w:val="nil"/>
              <w:bottom w:val="nil"/>
              <w:right w:val="single" w:sz="8" w:space="0" w:color="auto"/>
            </w:tcBorders>
            <w:shd w:val="clear" w:color="auto" w:fill="auto"/>
            <w:noWrap/>
            <w:vAlign w:val="center"/>
            <w:hideMark/>
          </w:tcPr>
          <w:p w14:paraId="48B521B2" w14:textId="77777777" w:rsidR="00BB11CD" w:rsidRPr="00BB11CD" w:rsidRDefault="00BB11CD" w:rsidP="00BB11CD">
            <w:pPr>
              <w:jc w:val="right"/>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+200bps</w:t>
            </w:r>
          </w:p>
        </w:tc>
        <w:tc>
          <w:tcPr>
            <w:tcW w:w="741" w:type="dxa"/>
            <w:gridSpan w:val="3"/>
            <w:tcBorders>
              <w:top w:val="nil"/>
              <w:left w:val="nil"/>
              <w:bottom w:val="nil"/>
              <w:right w:val="nil"/>
            </w:tcBorders>
            <w:shd w:val="clear" w:color="auto" w:fill="auto"/>
            <w:noWrap/>
            <w:vAlign w:val="center"/>
            <w:hideMark/>
          </w:tcPr>
          <w:p w14:paraId="67DA76B0"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10.2%</w:t>
            </w:r>
          </w:p>
        </w:tc>
        <w:tc>
          <w:tcPr>
            <w:tcW w:w="741" w:type="dxa"/>
            <w:gridSpan w:val="2"/>
            <w:tcBorders>
              <w:top w:val="nil"/>
              <w:left w:val="nil"/>
              <w:bottom w:val="nil"/>
              <w:right w:val="nil"/>
            </w:tcBorders>
            <w:shd w:val="clear" w:color="auto" w:fill="auto"/>
            <w:noWrap/>
            <w:vAlign w:val="center"/>
            <w:hideMark/>
          </w:tcPr>
          <w:p w14:paraId="430833A6"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7.7%</w:t>
            </w:r>
          </w:p>
        </w:tc>
        <w:tc>
          <w:tcPr>
            <w:tcW w:w="741" w:type="dxa"/>
            <w:tcBorders>
              <w:top w:val="nil"/>
              <w:left w:val="nil"/>
              <w:bottom w:val="nil"/>
              <w:right w:val="single" w:sz="8" w:space="0" w:color="auto"/>
            </w:tcBorders>
            <w:shd w:val="clear" w:color="auto" w:fill="auto"/>
            <w:noWrap/>
            <w:vAlign w:val="center"/>
            <w:hideMark/>
          </w:tcPr>
          <w:p w14:paraId="2CB24EDB" w14:textId="77777777" w:rsidR="00BB11CD" w:rsidRPr="00BB11CD" w:rsidRDefault="00BB11CD" w:rsidP="00BB11CD">
            <w:pPr>
              <w:jc w:val="right"/>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+250bps</w:t>
            </w:r>
          </w:p>
        </w:tc>
        <w:tc>
          <w:tcPr>
            <w:tcW w:w="741" w:type="dxa"/>
            <w:gridSpan w:val="2"/>
            <w:tcBorders>
              <w:top w:val="nil"/>
              <w:left w:val="nil"/>
              <w:bottom w:val="nil"/>
              <w:right w:val="nil"/>
            </w:tcBorders>
            <w:shd w:val="clear" w:color="auto" w:fill="auto"/>
            <w:noWrap/>
            <w:vAlign w:val="center"/>
            <w:hideMark/>
          </w:tcPr>
          <w:p w14:paraId="4F880272"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14.6%</w:t>
            </w:r>
          </w:p>
        </w:tc>
        <w:tc>
          <w:tcPr>
            <w:tcW w:w="741" w:type="dxa"/>
            <w:gridSpan w:val="2"/>
            <w:tcBorders>
              <w:top w:val="nil"/>
              <w:left w:val="nil"/>
              <w:bottom w:val="nil"/>
              <w:right w:val="nil"/>
            </w:tcBorders>
            <w:shd w:val="clear" w:color="auto" w:fill="auto"/>
            <w:noWrap/>
            <w:vAlign w:val="center"/>
            <w:hideMark/>
          </w:tcPr>
          <w:p w14:paraId="2FD2B5EB"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12.5%</w:t>
            </w:r>
          </w:p>
        </w:tc>
        <w:tc>
          <w:tcPr>
            <w:tcW w:w="741" w:type="dxa"/>
            <w:tcBorders>
              <w:top w:val="nil"/>
              <w:left w:val="nil"/>
              <w:bottom w:val="nil"/>
              <w:right w:val="single" w:sz="8" w:space="0" w:color="auto"/>
            </w:tcBorders>
            <w:shd w:val="clear" w:color="auto" w:fill="auto"/>
            <w:noWrap/>
            <w:vAlign w:val="center"/>
            <w:hideMark/>
          </w:tcPr>
          <w:p w14:paraId="4199BE6E" w14:textId="77777777" w:rsidR="00BB11CD" w:rsidRPr="00BB11CD" w:rsidRDefault="00BB11CD" w:rsidP="00BB11CD">
            <w:pPr>
              <w:jc w:val="right"/>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+210bps</w:t>
            </w:r>
          </w:p>
        </w:tc>
      </w:tr>
      <w:tr w:rsidR="00BB11CD" w:rsidRPr="00BB11CD" w14:paraId="7577EBCE"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13794424"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2E37D120"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E5E8D5F"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7C6239B1" w14:textId="77777777" w:rsidR="00BB11CD" w:rsidRPr="00BB11CD" w:rsidRDefault="00BB11CD" w:rsidP="00BB11CD">
            <w:pPr>
              <w:jc w:val="right"/>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5F4C46BE" w14:textId="77777777" w:rsidR="00BB11CD" w:rsidRPr="00BB11CD" w:rsidRDefault="00BB11CD" w:rsidP="00BB11CD">
            <w:pPr>
              <w:jc w:val="right"/>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0C42C237"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78216DA0"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3577956D" w14:textId="77777777" w:rsidR="00BB11CD" w:rsidRPr="00BB11CD" w:rsidRDefault="00BB11CD" w:rsidP="00BB11CD">
            <w:pPr>
              <w:jc w:val="right"/>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47AC4BA4"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37DEB2A3"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2CCA182B"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149E40D0" w14:textId="77777777" w:rsidR="00BB11CD" w:rsidRPr="00BB11CD" w:rsidRDefault="00BB11CD" w:rsidP="00BB11CD">
            <w:pPr>
              <w:jc w:val="both"/>
              <w:rPr>
                <w:rFonts w:ascii="Calibri" w:hAnsi="Calibri" w:cs="Calibri"/>
                <w:color w:val="000000"/>
                <w:sz w:val="20"/>
                <w:lang w:eastAsia="en-GB"/>
              </w:rPr>
            </w:pPr>
            <w:r w:rsidRPr="00BB11CD">
              <w:rPr>
                <w:rFonts w:ascii="Calibri" w:hAnsi="Calibri" w:cs="Calibri"/>
                <w:color w:val="000000"/>
                <w:sz w:val="20"/>
                <w:lang w:eastAsia="en-GB"/>
              </w:rPr>
              <w:t>Sports revenue</w:t>
            </w:r>
          </w:p>
        </w:tc>
        <w:tc>
          <w:tcPr>
            <w:tcW w:w="740" w:type="dxa"/>
            <w:gridSpan w:val="2"/>
            <w:tcBorders>
              <w:top w:val="nil"/>
              <w:left w:val="nil"/>
              <w:bottom w:val="nil"/>
              <w:right w:val="nil"/>
            </w:tcBorders>
            <w:shd w:val="clear" w:color="auto" w:fill="auto"/>
            <w:noWrap/>
            <w:vAlign w:val="center"/>
            <w:hideMark/>
          </w:tcPr>
          <w:p w14:paraId="16293286"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320</w:t>
            </w:r>
          </w:p>
        </w:tc>
        <w:tc>
          <w:tcPr>
            <w:tcW w:w="741" w:type="dxa"/>
            <w:gridSpan w:val="2"/>
            <w:tcBorders>
              <w:top w:val="nil"/>
              <w:left w:val="nil"/>
              <w:bottom w:val="nil"/>
              <w:right w:val="nil"/>
            </w:tcBorders>
            <w:shd w:val="clear" w:color="auto" w:fill="auto"/>
            <w:noWrap/>
            <w:vAlign w:val="center"/>
            <w:hideMark/>
          </w:tcPr>
          <w:p w14:paraId="4583F2AE"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448</w:t>
            </w:r>
          </w:p>
        </w:tc>
        <w:tc>
          <w:tcPr>
            <w:tcW w:w="741" w:type="dxa"/>
            <w:tcBorders>
              <w:top w:val="nil"/>
              <w:left w:val="nil"/>
              <w:bottom w:val="nil"/>
              <w:right w:val="single" w:sz="8" w:space="0" w:color="auto"/>
            </w:tcBorders>
            <w:shd w:val="clear" w:color="auto" w:fill="auto"/>
            <w:noWrap/>
            <w:vAlign w:val="center"/>
            <w:hideMark/>
          </w:tcPr>
          <w:p w14:paraId="7201D94C" w14:textId="77777777" w:rsidR="00BB11CD" w:rsidRPr="00BB11CD" w:rsidRDefault="00BB11CD" w:rsidP="00BB11CD">
            <w:pPr>
              <w:jc w:val="right"/>
              <w:rPr>
                <w:rFonts w:ascii="Calibri" w:hAnsi="Calibri" w:cs="Calibri"/>
                <w:color w:val="000000"/>
                <w:sz w:val="20"/>
                <w:lang w:eastAsia="en-GB"/>
              </w:rPr>
            </w:pPr>
            <w:r w:rsidRPr="00BB11CD">
              <w:rPr>
                <w:rFonts w:ascii="Calibri" w:hAnsi="Calibri" w:cs="Calibri"/>
                <w:color w:val="000000"/>
                <w:sz w:val="20"/>
                <w:lang w:eastAsia="en-GB"/>
              </w:rPr>
              <w:t>-29%</w:t>
            </w:r>
          </w:p>
        </w:tc>
        <w:tc>
          <w:tcPr>
            <w:tcW w:w="741" w:type="dxa"/>
            <w:gridSpan w:val="3"/>
            <w:tcBorders>
              <w:top w:val="nil"/>
              <w:left w:val="nil"/>
              <w:bottom w:val="nil"/>
              <w:right w:val="nil"/>
            </w:tcBorders>
            <w:shd w:val="clear" w:color="auto" w:fill="auto"/>
            <w:noWrap/>
            <w:vAlign w:val="center"/>
            <w:hideMark/>
          </w:tcPr>
          <w:p w14:paraId="4BFA1B84"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264</w:t>
            </w:r>
          </w:p>
        </w:tc>
        <w:tc>
          <w:tcPr>
            <w:tcW w:w="741" w:type="dxa"/>
            <w:gridSpan w:val="2"/>
            <w:tcBorders>
              <w:top w:val="nil"/>
              <w:left w:val="nil"/>
              <w:bottom w:val="nil"/>
              <w:right w:val="nil"/>
            </w:tcBorders>
            <w:shd w:val="clear" w:color="auto" w:fill="auto"/>
            <w:noWrap/>
            <w:vAlign w:val="center"/>
            <w:hideMark/>
          </w:tcPr>
          <w:p w14:paraId="54FE67CD"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335</w:t>
            </w:r>
          </w:p>
        </w:tc>
        <w:tc>
          <w:tcPr>
            <w:tcW w:w="741" w:type="dxa"/>
            <w:tcBorders>
              <w:top w:val="nil"/>
              <w:left w:val="nil"/>
              <w:bottom w:val="nil"/>
              <w:right w:val="single" w:sz="8" w:space="0" w:color="auto"/>
            </w:tcBorders>
            <w:shd w:val="clear" w:color="auto" w:fill="auto"/>
            <w:noWrap/>
            <w:vAlign w:val="center"/>
            <w:hideMark/>
          </w:tcPr>
          <w:p w14:paraId="3EE0FCF0"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-21%</w:t>
            </w:r>
          </w:p>
        </w:tc>
        <w:tc>
          <w:tcPr>
            <w:tcW w:w="741" w:type="dxa"/>
            <w:gridSpan w:val="2"/>
            <w:tcBorders>
              <w:top w:val="nil"/>
              <w:left w:val="nil"/>
              <w:bottom w:val="nil"/>
              <w:right w:val="nil"/>
            </w:tcBorders>
            <w:shd w:val="clear" w:color="auto" w:fill="auto"/>
            <w:noWrap/>
            <w:vAlign w:val="center"/>
            <w:hideMark/>
          </w:tcPr>
          <w:p w14:paraId="58545861"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56</w:t>
            </w:r>
          </w:p>
        </w:tc>
        <w:tc>
          <w:tcPr>
            <w:tcW w:w="741" w:type="dxa"/>
            <w:gridSpan w:val="2"/>
            <w:tcBorders>
              <w:top w:val="nil"/>
              <w:left w:val="nil"/>
              <w:bottom w:val="nil"/>
              <w:right w:val="nil"/>
            </w:tcBorders>
            <w:shd w:val="clear" w:color="auto" w:fill="auto"/>
            <w:noWrap/>
            <w:vAlign w:val="center"/>
            <w:hideMark/>
          </w:tcPr>
          <w:p w14:paraId="36CF6F3C"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113</w:t>
            </w:r>
          </w:p>
        </w:tc>
        <w:tc>
          <w:tcPr>
            <w:tcW w:w="741" w:type="dxa"/>
            <w:tcBorders>
              <w:top w:val="nil"/>
              <w:left w:val="nil"/>
              <w:bottom w:val="nil"/>
              <w:right w:val="single" w:sz="8" w:space="0" w:color="auto"/>
            </w:tcBorders>
            <w:shd w:val="clear" w:color="auto" w:fill="auto"/>
            <w:noWrap/>
            <w:vAlign w:val="center"/>
            <w:hideMark/>
          </w:tcPr>
          <w:p w14:paraId="4EEB1D26"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-51%</w:t>
            </w:r>
          </w:p>
        </w:tc>
      </w:tr>
      <w:tr w:rsidR="00BB11CD" w:rsidRPr="00BB11CD" w14:paraId="7FC09B27"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600DE989" w14:textId="77777777" w:rsidR="00BB11CD" w:rsidRPr="00BB11CD" w:rsidRDefault="00BB11CD" w:rsidP="00BB11CD">
            <w:pPr>
              <w:jc w:val="both"/>
              <w:rPr>
                <w:rFonts w:ascii="Calibri" w:hAnsi="Calibri" w:cs="Calibri"/>
                <w:color w:val="000000"/>
                <w:sz w:val="20"/>
                <w:lang w:eastAsia="en-GB"/>
              </w:rPr>
            </w:pPr>
            <w:r w:rsidRPr="00BB11CD">
              <w:rPr>
                <w:rFonts w:ascii="Calibri" w:hAnsi="Calibri" w:cs="Calibri"/>
                <w:color w:val="000000"/>
                <w:sz w:val="20"/>
                <w:lang w:eastAsia="en-GB"/>
              </w:rPr>
              <w:t>Gaming revenue</w:t>
            </w:r>
          </w:p>
        </w:tc>
        <w:tc>
          <w:tcPr>
            <w:tcW w:w="740" w:type="dxa"/>
            <w:gridSpan w:val="2"/>
            <w:tcBorders>
              <w:top w:val="nil"/>
              <w:left w:val="nil"/>
              <w:bottom w:val="single" w:sz="8" w:space="0" w:color="auto"/>
              <w:right w:val="nil"/>
            </w:tcBorders>
            <w:shd w:val="clear" w:color="auto" w:fill="auto"/>
            <w:noWrap/>
            <w:vAlign w:val="center"/>
            <w:hideMark/>
          </w:tcPr>
          <w:p w14:paraId="10C5044A"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220</w:t>
            </w:r>
          </w:p>
        </w:tc>
        <w:tc>
          <w:tcPr>
            <w:tcW w:w="741" w:type="dxa"/>
            <w:gridSpan w:val="2"/>
            <w:tcBorders>
              <w:top w:val="nil"/>
              <w:left w:val="nil"/>
              <w:bottom w:val="single" w:sz="8" w:space="0" w:color="auto"/>
              <w:right w:val="nil"/>
            </w:tcBorders>
            <w:shd w:val="clear" w:color="auto" w:fill="auto"/>
            <w:noWrap/>
            <w:vAlign w:val="center"/>
            <w:hideMark/>
          </w:tcPr>
          <w:p w14:paraId="7142445A"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210</w:t>
            </w:r>
          </w:p>
        </w:tc>
        <w:tc>
          <w:tcPr>
            <w:tcW w:w="741" w:type="dxa"/>
            <w:tcBorders>
              <w:top w:val="nil"/>
              <w:left w:val="nil"/>
              <w:bottom w:val="single" w:sz="8" w:space="0" w:color="auto"/>
              <w:right w:val="single" w:sz="8" w:space="0" w:color="auto"/>
            </w:tcBorders>
            <w:shd w:val="clear" w:color="auto" w:fill="auto"/>
            <w:noWrap/>
            <w:vAlign w:val="center"/>
            <w:hideMark/>
          </w:tcPr>
          <w:p w14:paraId="164516C0" w14:textId="77777777" w:rsidR="00BB11CD" w:rsidRPr="00BB11CD" w:rsidRDefault="00BB11CD" w:rsidP="00BB11CD">
            <w:pPr>
              <w:jc w:val="right"/>
              <w:rPr>
                <w:rFonts w:ascii="Calibri" w:hAnsi="Calibri" w:cs="Calibri"/>
                <w:color w:val="000000"/>
                <w:sz w:val="20"/>
                <w:lang w:eastAsia="en-GB"/>
              </w:rPr>
            </w:pPr>
            <w:r w:rsidRPr="00BB11CD">
              <w:rPr>
                <w:rFonts w:ascii="Calibri" w:hAnsi="Calibri" w:cs="Calibri"/>
                <w:color w:val="000000"/>
                <w:sz w:val="20"/>
                <w:lang w:eastAsia="en-GB"/>
              </w:rPr>
              <w:t>+5%</w:t>
            </w:r>
          </w:p>
        </w:tc>
        <w:tc>
          <w:tcPr>
            <w:tcW w:w="741" w:type="dxa"/>
            <w:gridSpan w:val="3"/>
            <w:tcBorders>
              <w:top w:val="nil"/>
              <w:left w:val="nil"/>
              <w:bottom w:val="single" w:sz="8" w:space="0" w:color="auto"/>
              <w:right w:val="nil"/>
            </w:tcBorders>
            <w:shd w:val="clear" w:color="auto" w:fill="auto"/>
            <w:noWrap/>
            <w:vAlign w:val="center"/>
            <w:hideMark/>
          </w:tcPr>
          <w:p w14:paraId="73868682"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197</w:t>
            </w:r>
          </w:p>
        </w:tc>
        <w:tc>
          <w:tcPr>
            <w:tcW w:w="741" w:type="dxa"/>
            <w:gridSpan w:val="2"/>
            <w:tcBorders>
              <w:top w:val="nil"/>
              <w:left w:val="nil"/>
              <w:bottom w:val="single" w:sz="8" w:space="0" w:color="auto"/>
              <w:right w:val="nil"/>
            </w:tcBorders>
            <w:shd w:val="clear" w:color="auto" w:fill="auto"/>
            <w:noWrap/>
            <w:vAlign w:val="center"/>
            <w:hideMark/>
          </w:tcPr>
          <w:p w14:paraId="0AE3235D"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167</w:t>
            </w:r>
          </w:p>
        </w:tc>
        <w:tc>
          <w:tcPr>
            <w:tcW w:w="741" w:type="dxa"/>
            <w:tcBorders>
              <w:top w:val="nil"/>
              <w:left w:val="nil"/>
              <w:bottom w:val="single" w:sz="8" w:space="0" w:color="auto"/>
              <w:right w:val="single" w:sz="8" w:space="0" w:color="auto"/>
            </w:tcBorders>
            <w:shd w:val="clear" w:color="auto" w:fill="auto"/>
            <w:noWrap/>
            <w:vAlign w:val="center"/>
            <w:hideMark/>
          </w:tcPr>
          <w:p w14:paraId="46D05D42"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+18%</w:t>
            </w:r>
          </w:p>
        </w:tc>
        <w:tc>
          <w:tcPr>
            <w:tcW w:w="741" w:type="dxa"/>
            <w:gridSpan w:val="2"/>
            <w:tcBorders>
              <w:top w:val="nil"/>
              <w:left w:val="nil"/>
              <w:bottom w:val="single" w:sz="8" w:space="0" w:color="auto"/>
              <w:right w:val="nil"/>
            </w:tcBorders>
            <w:shd w:val="clear" w:color="auto" w:fill="auto"/>
            <w:noWrap/>
            <w:vAlign w:val="center"/>
            <w:hideMark/>
          </w:tcPr>
          <w:p w14:paraId="429688D7"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23</w:t>
            </w:r>
          </w:p>
        </w:tc>
        <w:tc>
          <w:tcPr>
            <w:tcW w:w="741" w:type="dxa"/>
            <w:gridSpan w:val="2"/>
            <w:tcBorders>
              <w:top w:val="nil"/>
              <w:left w:val="nil"/>
              <w:bottom w:val="single" w:sz="8" w:space="0" w:color="auto"/>
              <w:right w:val="nil"/>
            </w:tcBorders>
            <w:shd w:val="clear" w:color="auto" w:fill="auto"/>
            <w:noWrap/>
            <w:vAlign w:val="center"/>
            <w:hideMark/>
          </w:tcPr>
          <w:p w14:paraId="240C6E1C"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43</w:t>
            </w:r>
          </w:p>
        </w:tc>
        <w:tc>
          <w:tcPr>
            <w:tcW w:w="741" w:type="dxa"/>
            <w:tcBorders>
              <w:top w:val="nil"/>
              <w:left w:val="nil"/>
              <w:bottom w:val="single" w:sz="8" w:space="0" w:color="auto"/>
              <w:right w:val="single" w:sz="8" w:space="0" w:color="auto"/>
            </w:tcBorders>
            <w:shd w:val="clear" w:color="auto" w:fill="auto"/>
            <w:noWrap/>
            <w:vAlign w:val="center"/>
            <w:hideMark/>
          </w:tcPr>
          <w:p w14:paraId="0BE8DF06"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-46%</w:t>
            </w:r>
          </w:p>
        </w:tc>
      </w:tr>
      <w:tr w:rsidR="00BB11CD" w:rsidRPr="00BB11CD" w14:paraId="1B5FAE3D"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1B0D2D4B" w14:textId="77777777" w:rsidR="00BB11CD" w:rsidRPr="00BB11CD" w:rsidRDefault="00BB11CD" w:rsidP="00BB11CD">
            <w:pPr>
              <w:jc w:val="both"/>
              <w:rPr>
                <w:rFonts w:ascii="Calibri" w:hAnsi="Calibri" w:cs="Calibri"/>
                <w:b/>
                <w:bCs/>
                <w:color w:val="000000"/>
                <w:sz w:val="20"/>
                <w:lang w:eastAsia="en-GB"/>
              </w:rPr>
            </w:pPr>
            <w:r w:rsidRPr="00BB11CD">
              <w:rPr>
                <w:rFonts w:ascii="Calibri" w:hAnsi="Calibri" w:cs="Calibri"/>
                <w:b/>
                <w:bCs/>
                <w:color w:val="000000"/>
                <w:sz w:val="20"/>
                <w:lang w:eastAsia="en-GB"/>
              </w:rPr>
              <w:t>Total revenue</w:t>
            </w:r>
          </w:p>
        </w:tc>
        <w:tc>
          <w:tcPr>
            <w:tcW w:w="740" w:type="dxa"/>
            <w:gridSpan w:val="2"/>
            <w:tcBorders>
              <w:top w:val="nil"/>
              <w:left w:val="nil"/>
              <w:bottom w:val="nil"/>
              <w:right w:val="nil"/>
            </w:tcBorders>
            <w:shd w:val="clear" w:color="auto" w:fill="auto"/>
            <w:noWrap/>
            <w:vAlign w:val="center"/>
            <w:hideMark/>
          </w:tcPr>
          <w:p w14:paraId="638F4F1D"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540</w:t>
            </w:r>
          </w:p>
        </w:tc>
        <w:tc>
          <w:tcPr>
            <w:tcW w:w="741" w:type="dxa"/>
            <w:gridSpan w:val="2"/>
            <w:tcBorders>
              <w:top w:val="nil"/>
              <w:left w:val="nil"/>
              <w:bottom w:val="nil"/>
              <w:right w:val="nil"/>
            </w:tcBorders>
            <w:shd w:val="clear" w:color="auto" w:fill="auto"/>
            <w:noWrap/>
            <w:vAlign w:val="center"/>
            <w:hideMark/>
          </w:tcPr>
          <w:p w14:paraId="0BDB0692"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658</w:t>
            </w:r>
          </w:p>
        </w:tc>
        <w:tc>
          <w:tcPr>
            <w:tcW w:w="741" w:type="dxa"/>
            <w:tcBorders>
              <w:top w:val="nil"/>
              <w:left w:val="nil"/>
              <w:bottom w:val="nil"/>
              <w:right w:val="single" w:sz="8" w:space="0" w:color="auto"/>
            </w:tcBorders>
            <w:shd w:val="clear" w:color="auto" w:fill="auto"/>
            <w:noWrap/>
            <w:vAlign w:val="center"/>
            <w:hideMark/>
          </w:tcPr>
          <w:p w14:paraId="6C97CC41"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-18%</w:t>
            </w:r>
          </w:p>
        </w:tc>
        <w:tc>
          <w:tcPr>
            <w:tcW w:w="741" w:type="dxa"/>
            <w:gridSpan w:val="3"/>
            <w:tcBorders>
              <w:top w:val="nil"/>
              <w:left w:val="nil"/>
              <w:bottom w:val="nil"/>
              <w:right w:val="nil"/>
            </w:tcBorders>
            <w:shd w:val="clear" w:color="auto" w:fill="auto"/>
            <w:noWrap/>
            <w:vAlign w:val="center"/>
            <w:hideMark/>
          </w:tcPr>
          <w:p w14:paraId="1683C2D1"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461</w:t>
            </w:r>
          </w:p>
        </w:tc>
        <w:tc>
          <w:tcPr>
            <w:tcW w:w="741" w:type="dxa"/>
            <w:gridSpan w:val="2"/>
            <w:tcBorders>
              <w:top w:val="nil"/>
              <w:left w:val="nil"/>
              <w:bottom w:val="nil"/>
              <w:right w:val="nil"/>
            </w:tcBorders>
            <w:shd w:val="clear" w:color="auto" w:fill="auto"/>
            <w:noWrap/>
            <w:vAlign w:val="center"/>
            <w:hideMark/>
          </w:tcPr>
          <w:p w14:paraId="57D5804D"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502</w:t>
            </w:r>
          </w:p>
        </w:tc>
        <w:tc>
          <w:tcPr>
            <w:tcW w:w="741" w:type="dxa"/>
            <w:tcBorders>
              <w:top w:val="nil"/>
              <w:left w:val="nil"/>
              <w:bottom w:val="nil"/>
              <w:right w:val="single" w:sz="8" w:space="0" w:color="auto"/>
            </w:tcBorders>
            <w:shd w:val="clear" w:color="auto" w:fill="auto"/>
            <w:noWrap/>
            <w:vAlign w:val="center"/>
            <w:hideMark/>
          </w:tcPr>
          <w:p w14:paraId="34A7E28A"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-8%</w:t>
            </w:r>
          </w:p>
        </w:tc>
        <w:tc>
          <w:tcPr>
            <w:tcW w:w="741" w:type="dxa"/>
            <w:gridSpan w:val="2"/>
            <w:tcBorders>
              <w:top w:val="nil"/>
              <w:left w:val="nil"/>
              <w:bottom w:val="nil"/>
              <w:right w:val="nil"/>
            </w:tcBorders>
            <w:shd w:val="clear" w:color="auto" w:fill="auto"/>
            <w:noWrap/>
            <w:vAlign w:val="center"/>
            <w:hideMark/>
          </w:tcPr>
          <w:p w14:paraId="27AA966F"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79</w:t>
            </w:r>
          </w:p>
        </w:tc>
        <w:tc>
          <w:tcPr>
            <w:tcW w:w="741" w:type="dxa"/>
            <w:gridSpan w:val="2"/>
            <w:tcBorders>
              <w:top w:val="nil"/>
              <w:left w:val="nil"/>
              <w:bottom w:val="nil"/>
              <w:right w:val="nil"/>
            </w:tcBorders>
            <w:shd w:val="clear" w:color="auto" w:fill="auto"/>
            <w:noWrap/>
            <w:vAlign w:val="center"/>
            <w:hideMark/>
          </w:tcPr>
          <w:p w14:paraId="5659F30B"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156</w:t>
            </w:r>
          </w:p>
        </w:tc>
        <w:tc>
          <w:tcPr>
            <w:tcW w:w="741" w:type="dxa"/>
            <w:tcBorders>
              <w:top w:val="nil"/>
              <w:left w:val="nil"/>
              <w:bottom w:val="nil"/>
              <w:right w:val="single" w:sz="8" w:space="0" w:color="auto"/>
            </w:tcBorders>
            <w:shd w:val="clear" w:color="auto" w:fill="auto"/>
            <w:noWrap/>
            <w:vAlign w:val="center"/>
            <w:hideMark/>
          </w:tcPr>
          <w:p w14:paraId="53CDDB37"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-50%</w:t>
            </w:r>
          </w:p>
        </w:tc>
      </w:tr>
      <w:tr w:rsidR="00BB11CD" w:rsidRPr="00BB11CD" w14:paraId="6F5BDB04"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40AC2B28"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280084EF"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36F891C7" w14:textId="77777777" w:rsidR="00BB11CD" w:rsidRPr="00BB11CD" w:rsidRDefault="00BB11CD" w:rsidP="00BB11CD">
            <w:pPr>
              <w:jc w:val="both"/>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78FD47AC"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27B37D28"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BD5421F" w14:textId="77777777" w:rsidR="00BB11CD" w:rsidRPr="00BB11CD" w:rsidRDefault="00BB11CD" w:rsidP="00BB11CD">
            <w:pPr>
              <w:jc w:val="both"/>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2F5669E4" w14:textId="77777777" w:rsidR="00BB11CD" w:rsidRPr="00BB11CD" w:rsidRDefault="00BB11CD" w:rsidP="00BB11CD">
            <w:pPr>
              <w:jc w:val="both"/>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2129265F" w14:textId="77777777" w:rsidR="00BB11CD" w:rsidRPr="00BB11CD" w:rsidRDefault="00BB11CD" w:rsidP="00BB11CD">
            <w:pPr>
              <w:jc w:val="both"/>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42B1DC7C" w14:textId="77777777" w:rsidR="00BB11CD" w:rsidRPr="00BB11CD" w:rsidRDefault="00BB11CD" w:rsidP="00BB11CD">
            <w:pPr>
              <w:jc w:val="both"/>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3C644FF2" w14:textId="77777777" w:rsidR="00BB11CD" w:rsidRPr="00BB11CD" w:rsidRDefault="00BB11CD" w:rsidP="00BB11CD">
            <w:pPr>
              <w:jc w:val="both"/>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0DD2D331"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31EE1C12" w14:textId="77777777" w:rsidR="00BB11CD" w:rsidRPr="00BB11CD" w:rsidRDefault="00BB11CD" w:rsidP="00BB11CD">
            <w:pPr>
              <w:jc w:val="both"/>
              <w:rPr>
                <w:rFonts w:ascii="Calibri" w:hAnsi="Calibri" w:cs="Calibri"/>
                <w:color w:val="000000"/>
                <w:sz w:val="20"/>
                <w:lang w:eastAsia="en-GB"/>
              </w:rPr>
            </w:pPr>
            <w:r w:rsidRPr="00BB11CD">
              <w:rPr>
                <w:rFonts w:ascii="Calibri" w:hAnsi="Calibri" w:cs="Calibri"/>
                <w:color w:val="000000"/>
                <w:sz w:val="20"/>
                <w:lang w:eastAsia="en-GB"/>
              </w:rPr>
              <w:t>Cost of sales</w:t>
            </w:r>
          </w:p>
        </w:tc>
        <w:tc>
          <w:tcPr>
            <w:tcW w:w="740" w:type="dxa"/>
            <w:gridSpan w:val="2"/>
            <w:tcBorders>
              <w:top w:val="nil"/>
              <w:left w:val="nil"/>
              <w:bottom w:val="nil"/>
              <w:right w:val="nil"/>
            </w:tcBorders>
            <w:shd w:val="clear" w:color="auto" w:fill="auto"/>
            <w:noWrap/>
            <w:vAlign w:val="center"/>
            <w:hideMark/>
          </w:tcPr>
          <w:p w14:paraId="16B79C82"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(157)</w:t>
            </w:r>
          </w:p>
        </w:tc>
        <w:tc>
          <w:tcPr>
            <w:tcW w:w="741" w:type="dxa"/>
            <w:gridSpan w:val="2"/>
            <w:tcBorders>
              <w:top w:val="nil"/>
              <w:left w:val="nil"/>
              <w:bottom w:val="nil"/>
              <w:right w:val="nil"/>
            </w:tcBorders>
            <w:shd w:val="clear" w:color="auto" w:fill="auto"/>
            <w:noWrap/>
            <w:vAlign w:val="center"/>
            <w:hideMark/>
          </w:tcPr>
          <w:p w14:paraId="1CFBE306"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(175)</w:t>
            </w:r>
          </w:p>
        </w:tc>
        <w:tc>
          <w:tcPr>
            <w:tcW w:w="741" w:type="dxa"/>
            <w:tcBorders>
              <w:top w:val="nil"/>
              <w:left w:val="nil"/>
              <w:bottom w:val="nil"/>
              <w:right w:val="single" w:sz="8" w:space="0" w:color="auto"/>
            </w:tcBorders>
            <w:shd w:val="clear" w:color="auto" w:fill="auto"/>
            <w:noWrap/>
            <w:vAlign w:val="center"/>
            <w:hideMark/>
          </w:tcPr>
          <w:p w14:paraId="06410EB6" w14:textId="77777777" w:rsidR="00BB11CD" w:rsidRPr="00BB11CD" w:rsidRDefault="00BB11CD" w:rsidP="00BB11CD">
            <w:pPr>
              <w:jc w:val="right"/>
              <w:rPr>
                <w:rFonts w:ascii="Calibri" w:hAnsi="Calibri" w:cs="Calibri"/>
                <w:color w:val="000000"/>
                <w:sz w:val="20"/>
                <w:lang w:eastAsia="en-GB"/>
              </w:rPr>
            </w:pPr>
            <w:r w:rsidRPr="00BB11CD">
              <w:rPr>
                <w:rFonts w:ascii="Calibri" w:hAnsi="Calibri" w:cs="Calibri"/>
                <w:color w:val="000000"/>
                <w:sz w:val="20"/>
                <w:lang w:eastAsia="en-GB"/>
              </w:rPr>
              <w:t>-11%</w:t>
            </w:r>
          </w:p>
        </w:tc>
        <w:tc>
          <w:tcPr>
            <w:tcW w:w="741" w:type="dxa"/>
            <w:gridSpan w:val="3"/>
            <w:tcBorders>
              <w:top w:val="nil"/>
              <w:left w:val="nil"/>
              <w:bottom w:val="nil"/>
              <w:right w:val="nil"/>
            </w:tcBorders>
            <w:shd w:val="clear" w:color="auto" w:fill="auto"/>
            <w:noWrap/>
            <w:vAlign w:val="center"/>
            <w:hideMark/>
          </w:tcPr>
          <w:p w14:paraId="08DE1212"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(140)</w:t>
            </w:r>
          </w:p>
        </w:tc>
        <w:tc>
          <w:tcPr>
            <w:tcW w:w="741" w:type="dxa"/>
            <w:gridSpan w:val="2"/>
            <w:tcBorders>
              <w:top w:val="nil"/>
              <w:left w:val="nil"/>
              <w:bottom w:val="nil"/>
              <w:right w:val="nil"/>
            </w:tcBorders>
            <w:shd w:val="clear" w:color="auto" w:fill="auto"/>
            <w:noWrap/>
            <w:vAlign w:val="center"/>
            <w:hideMark/>
          </w:tcPr>
          <w:p w14:paraId="4A67E79F"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(140)</w:t>
            </w:r>
          </w:p>
        </w:tc>
        <w:tc>
          <w:tcPr>
            <w:tcW w:w="741" w:type="dxa"/>
            <w:tcBorders>
              <w:top w:val="nil"/>
              <w:left w:val="nil"/>
              <w:bottom w:val="nil"/>
              <w:right w:val="single" w:sz="8" w:space="0" w:color="auto"/>
            </w:tcBorders>
            <w:shd w:val="clear" w:color="auto" w:fill="auto"/>
            <w:noWrap/>
            <w:vAlign w:val="center"/>
            <w:hideMark/>
          </w:tcPr>
          <w:p w14:paraId="0F2DA99D"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+0%</w:t>
            </w:r>
          </w:p>
        </w:tc>
        <w:tc>
          <w:tcPr>
            <w:tcW w:w="741" w:type="dxa"/>
            <w:gridSpan w:val="2"/>
            <w:tcBorders>
              <w:top w:val="nil"/>
              <w:left w:val="nil"/>
              <w:bottom w:val="nil"/>
              <w:right w:val="nil"/>
            </w:tcBorders>
            <w:shd w:val="clear" w:color="auto" w:fill="auto"/>
            <w:noWrap/>
            <w:vAlign w:val="center"/>
            <w:hideMark/>
          </w:tcPr>
          <w:p w14:paraId="65D0A042"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(17)</w:t>
            </w:r>
          </w:p>
        </w:tc>
        <w:tc>
          <w:tcPr>
            <w:tcW w:w="741" w:type="dxa"/>
            <w:gridSpan w:val="2"/>
            <w:tcBorders>
              <w:top w:val="nil"/>
              <w:left w:val="nil"/>
              <w:bottom w:val="nil"/>
              <w:right w:val="nil"/>
            </w:tcBorders>
            <w:shd w:val="clear" w:color="auto" w:fill="auto"/>
            <w:noWrap/>
            <w:vAlign w:val="center"/>
            <w:hideMark/>
          </w:tcPr>
          <w:p w14:paraId="0FA0F4F9"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(36)</w:t>
            </w:r>
          </w:p>
        </w:tc>
        <w:tc>
          <w:tcPr>
            <w:tcW w:w="741" w:type="dxa"/>
            <w:tcBorders>
              <w:top w:val="nil"/>
              <w:left w:val="nil"/>
              <w:bottom w:val="nil"/>
              <w:right w:val="single" w:sz="8" w:space="0" w:color="auto"/>
            </w:tcBorders>
            <w:shd w:val="clear" w:color="auto" w:fill="auto"/>
            <w:noWrap/>
            <w:vAlign w:val="center"/>
            <w:hideMark/>
          </w:tcPr>
          <w:p w14:paraId="2CE2A4A3"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-53%</w:t>
            </w:r>
          </w:p>
        </w:tc>
      </w:tr>
      <w:tr w:rsidR="00BB11CD" w:rsidRPr="00BB11CD" w14:paraId="44610C10"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6BFCA756" w14:textId="77777777" w:rsidR="00BB11CD" w:rsidRPr="00BB11CD" w:rsidRDefault="00BB11CD" w:rsidP="00BB11CD">
            <w:pPr>
              <w:jc w:val="both"/>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Cost of sales as a % of net revenue</w:t>
            </w:r>
          </w:p>
        </w:tc>
        <w:tc>
          <w:tcPr>
            <w:tcW w:w="740" w:type="dxa"/>
            <w:gridSpan w:val="2"/>
            <w:tcBorders>
              <w:top w:val="nil"/>
              <w:left w:val="nil"/>
              <w:bottom w:val="nil"/>
              <w:right w:val="nil"/>
            </w:tcBorders>
            <w:shd w:val="clear" w:color="auto" w:fill="auto"/>
            <w:noWrap/>
            <w:vAlign w:val="center"/>
            <w:hideMark/>
          </w:tcPr>
          <w:p w14:paraId="56AC7258"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29.0%</w:t>
            </w:r>
          </w:p>
        </w:tc>
        <w:tc>
          <w:tcPr>
            <w:tcW w:w="741" w:type="dxa"/>
            <w:gridSpan w:val="2"/>
            <w:tcBorders>
              <w:top w:val="nil"/>
              <w:left w:val="nil"/>
              <w:bottom w:val="nil"/>
              <w:right w:val="nil"/>
            </w:tcBorders>
            <w:shd w:val="clear" w:color="auto" w:fill="auto"/>
            <w:noWrap/>
            <w:vAlign w:val="center"/>
            <w:hideMark/>
          </w:tcPr>
          <w:p w14:paraId="30AB8D96"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26.7%</w:t>
            </w:r>
          </w:p>
        </w:tc>
        <w:tc>
          <w:tcPr>
            <w:tcW w:w="741" w:type="dxa"/>
            <w:tcBorders>
              <w:top w:val="nil"/>
              <w:left w:val="nil"/>
              <w:bottom w:val="nil"/>
              <w:right w:val="single" w:sz="8" w:space="0" w:color="auto"/>
            </w:tcBorders>
            <w:shd w:val="clear" w:color="auto" w:fill="auto"/>
            <w:noWrap/>
            <w:vAlign w:val="center"/>
            <w:hideMark/>
          </w:tcPr>
          <w:p w14:paraId="40637162" w14:textId="77777777" w:rsidR="00BB11CD" w:rsidRPr="00BB11CD" w:rsidRDefault="00BB11CD" w:rsidP="00BB11CD">
            <w:pPr>
              <w:jc w:val="right"/>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+230bps</w:t>
            </w:r>
          </w:p>
        </w:tc>
        <w:tc>
          <w:tcPr>
            <w:tcW w:w="741" w:type="dxa"/>
            <w:gridSpan w:val="3"/>
            <w:tcBorders>
              <w:top w:val="nil"/>
              <w:left w:val="nil"/>
              <w:bottom w:val="nil"/>
              <w:right w:val="nil"/>
            </w:tcBorders>
            <w:shd w:val="clear" w:color="auto" w:fill="auto"/>
            <w:noWrap/>
            <w:vAlign w:val="center"/>
            <w:hideMark/>
          </w:tcPr>
          <w:p w14:paraId="420197CA"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30.3%</w:t>
            </w:r>
          </w:p>
        </w:tc>
        <w:tc>
          <w:tcPr>
            <w:tcW w:w="741" w:type="dxa"/>
            <w:gridSpan w:val="2"/>
            <w:tcBorders>
              <w:top w:val="nil"/>
              <w:left w:val="nil"/>
              <w:bottom w:val="nil"/>
              <w:right w:val="nil"/>
            </w:tcBorders>
            <w:shd w:val="clear" w:color="auto" w:fill="auto"/>
            <w:noWrap/>
            <w:vAlign w:val="center"/>
            <w:hideMark/>
          </w:tcPr>
          <w:p w14:paraId="5228FC65"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27.8%</w:t>
            </w:r>
          </w:p>
        </w:tc>
        <w:tc>
          <w:tcPr>
            <w:tcW w:w="741" w:type="dxa"/>
            <w:tcBorders>
              <w:top w:val="nil"/>
              <w:left w:val="nil"/>
              <w:bottom w:val="nil"/>
              <w:right w:val="single" w:sz="8" w:space="0" w:color="auto"/>
            </w:tcBorders>
            <w:shd w:val="clear" w:color="auto" w:fill="auto"/>
            <w:noWrap/>
            <w:vAlign w:val="center"/>
            <w:hideMark/>
          </w:tcPr>
          <w:p w14:paraId="09678AA2" w14:textId="77777777" w:rsidR="00BB11CD" w:rsidRPr="00BB11CD" w:rsidRDefault="00BB11CD" w:rsidP="00BB11CD">
            <w:pPr>
              <w:jc w:val="right"/>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+250bps</w:t>
            </w:r>
          </w:p>
        </w:tc>
        <w:tc>
          <w:tcPr>
            <w:tcW w:w="741" w:type="dxa"/>
            <w:gridSpan w:val="2"/>
            <w:tcBorders>
              <w:top w:val="nil"/>
              <w:left w:val="nil"/>
              <w:bottom w:val="nil"/>
              <w:right w:val="nil"/>
            </w:tcBorders>
            <w:shd w:val="clear" w:color="auto" w:fill="auto"/>
            <w:noWrap/>
            <w:vAlign w:val="center"/>
            <w:hideMark/>
          </w:tcPr>
          <w:p w14:paraId="643E1775"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21.6%</w:t>
            </w:r>
          </w:p>
        </w:tc>
        <w:tc>
          <w:tcPr>
            <w:tcW w:w="741" w:type="dxa"/>
            <w:gridSpan w:val="2"/>
            <w:tcBorders>
              <w:top w:val="nil"/>
              <w:left w:val="nil"/>
              <w:bottom w:val="nil"/>
              <w:right w:val="nil"/>
            </w:tcBorders>
            <w:shd w:val="clear" w:color="auto" w:fill="auto"/>
            <w:noWrap/>
            <w:vAlign w:val="center"/>
            <w:hideMark/>
          </w:tcPr>
          <w:p w14:paraId="3D16BC98"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23.0%</w:t>
            </w:r>
          </w:p>
        </w:tc>
        <w:tc>
          <w:tcPr>
            <w:tcW w:w="741" w:type="dxa"/>
            <w:tcBorders>
              <w:top w:val="nil"/>
              <w:left w:val="nil"/>
              <w:bottom w:val="nil"/>
              <w:right w:val="single" w:sz="8" w:space="0" w:color="auto"/>
            </w:tcBorders>
            <w:shd w:val="clear" w:color="auto" w:fill="auto"/>
            <w:noWrap/>
            <w:vAlign w:val="center"/>
            <w:hideMark/>
          </w:tcPr>
          <w:p w14:paraId="2C4DEBEF" w14:textId="77777777" w:rsidR="00BB11CD" w:rsidRPr="00BB11CD" w:rsidRDefault="00BB11CD" w:rsidP="00BB11CD">
            <w:pPr>
              <w:jc w:val="right"/>
              <w:rPr>
                <w:rFonts w:ascii="Calibri" w:hAnsi="Calibri" w:cs="Calibri"/>
                <w:i/>
                <w:iCs/>
                <w:color w:val="000000"/>
                <w:sz w:val="18"/>
                <w:szCs w:val="18"/>
                <w:lang w:eastAsia="en-GB"/>
              </w:rPr>
            </w:pPr>
            <w:r w:rsidRPr="00BB11CD">
              <w:rPr>
                <w:rFonts w:ascii="Calibri" w:hAnsi="Calibri" w:cs="Calibri"/>
                <w:i/>
                <w:iCs/>
                <w:color w:val="000000"/>
                <w:sz w:val="18"/>
                <w:szCs w:val="18"/>
                <w:lang w:eastAsia="en-GB"/>
              </w:rPr>
              <w:t>-140bps</w:t>
            </w:r>
          </w:p>
        </w:tc>
      </w:tr>
      <w:tr w:rsidR="00BB11CD" w:rsidRPr="00BB11CD" w14:paraId="14846114"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5A188C4A"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7ACAE1D9"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54474268"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4CCB844B" w14:textId="77777777" w:rsidR="00BB11CD" w:rsidRPr="00BB11CD" w:rsidRDefault="00BB11CD" w:rsidP="00BB11CD">
            <w:pPr>
              <w:jc w:val="right"/>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369F1C65" w14:textId="77777777" w:rsidR="00BB11CD" w:rsidRPr="00BB11CD" w:rsidRDefault="00BB11CD" w:rsidP="00BB11CD">
            <w:pPr>
              <w:jc w:val="right"/>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11111ECB"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58D70BE4"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4CF001DE" w14:textId="77777777" w:rsidR="00BB11CD" w:rsidRPr="00BB11CD" w:rsidRDefault="00BB11CD" w:rsidP="00BB11CD">
            <w:pPr>
              <w:jc w:val="right"/>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E848BE6"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2DF7BFC3"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2252BBF0"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358CE973" w14:textId="77777777" w:rsidR="00BB11CD" w:rsidRPr="00BB11CD" w:rsidRDefault="00BB11CD" w:rsidP="00BB11CD">
            <w:pPr>
              <w:jc w:val="both"/>
              <w:rPr>
                <w:rFonts w:ascii="Calibri" w:hAnsi="Calibri" w:cs="Calibri"/>
                <w:b/>
                <w:bCs/>
                <w:color w:val="000000"/>
                <w:sz w:val="20"/>
                <w:lang w:eastAsia="en-GB"/>
              </w:rPr>
            </w:pPr>
            <w:r w:rsidRPr="00BB11CD">
              <w:rPr>
                <w:rFonts w:ascii="Calibri" w:hAnsi="Calibri" w:cs="Calibri"/>
                <w:b/>
                <w:bCs/>
                <w:color w:val="000000"/>
                <w:sz w:val="20"/>
                <w:lang w:eastAsia="en-GB"/>
              </w:rPr>
              <w:t>Gross profit</w:t>
            </w:r>
          </w:p>
        </w:tc>
        <w:tc>
          <w:tcPr>
            <w:tcW w:w="740" w:type="dxa"/>
            <w:gridSpan w:val="2"/>
            <w:tcBorders>
              <w:top w:val="nil"/>
              <w:left w:val="nil"/>
              <w:bottom w:val="nil"/>
              <w:right w:val="nil"/>
            </w:tcBorders>
            <w:shd w:val="clear" w:color="auto" w:fill="auto"/>
            <w:noWrap/>
            <w:vAlign w:val="center"/>
            <w:hideMark/>
          </w:tcPr>
          <w:p w14:paraId="79E4A88E"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383</w:t>
            </w:r>
          </w:p>
        </w:tc>
        <w:tc>
          <w:tcPr>
            <w:tcW w:w="741" w:type="dxa"/>
            <w:gridSpan w:val="2"/>
            <w:tcBorders>
              <w:top w:val="nil"/>
              <w:left w:val="nil"/>
              <w:bottom w:val="nil"/>
              <w:right w:val="nil"/>
            </w:tcBorders>
            <w:shd w:val="clear" w:color="auto" w:fill="auto"/>
            <w:noWrap/>
            <w:vAlign w:val="center"/>
            <w:hideMark/>
          </w:tcPr>
          <w:p w14:paraId="5423503D"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483</w:t>
            </w:r>
          </w:p>
        </w:tc>
        <w:tc>
          <w:tcPr>
            <w:tcW w:w="741" w:type="dxa"/>
            <w:tcBorders>
              <w:top w:val="nil"/>
              <w:left w:val="nil"/>
              <w:bottom w:val="nil"/>
              <w:right w:val="single" w:sz="8" w:space="0" w:color="auto"/>
            </w:tcBorders>
            <w:shd w:val="clear" w:color="auto" w:fill="auto"/>
            <w:noWrap/>
            <w:vAlign w:val="center"/>
            <w:hideMark/>
          </w:tcPr>
          <w:p w14:paraId="69CA095A"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-21%</w:t>
            </w:r>
          </w:p>
        </w:tc>
        <w:tc>
          <w:tcPr>
            <w:tcW w:w="741" w:type="dxa"/>
            <w:gridSpan w:val="3"/>
            <w:tcBorders>
              <w:top w:val="nil"/>
              <w:left w:val="nil"/>
              <w:bottom w:val="nil"/>
              <w:right w:val="nil"/>
            </w:tcBorders>
            <w:shd w:val="clear" w:color="auto" w:fill="auto"/>
            <w:noWrap/>
            <w:vAlign w:val="center"/>
            <w:hideMark/>
          </w:tcPr>
          <w:p w14:paraId="06D5AFB2"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321</w:t>
            </w:r>
          </w:p>
        </w:tc>
        <w:tc>
          <w:tcPr>
            <w:tcW w:w="741" w:type="dxa"/>
            <w:gridSpan w:val="2"/>
            <w:tcBorders>
              <w:top w:val="nil"/>
              <w:left w:val="nil"/>
              <w:bottom w:val="nil"/>
              <w:right w:val="nil"/>
            </w:tcBorders>
            <w:shd w:val="clear" w:color="auto" w:fill="auto"/>
            <w:noWrap/>
            <w:vAlign w:val="center"/>
            <w:hideMark/>
          </w:tcPr>
          <w:p w14:paraId="4EC1E5A7"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362</w:t>
            </w:r>
          </w:p>
        </w:tc>
        <w:tc>
          <w:tcPr>
            <w:tcW w:w="741" w:type="dxa"/>
            <w:tcBorders>
              <w:top w:val="nil"/>
              <w:left w:val="nil"/>
              <w:bottom w:val="nil"/>
              <w:right w:val="single" w:sz="8" w:space="0" w:color="auto"/>
            </w:tcBorders>
            <w:shd w:val="clear" w:color="auto" w:fill="auto"/>
            <w:noWrap/>
            <w:vAlign w:val="center"/>
            <w:hideMark/>
          </w:tcPr>
          <w:p w14:paraId="7F941506"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-11%</w:t>
            </w:r>
          </w:p>
        </w:tc>
        <w:tc>
          <w:tcPr>
            <w:tcW w:w="741" w:type="dxa"/>
            <w:gridSpan w:val="2"/>
            <w:tcBorders>
              <w:top w:val="nil"/>
              <w:left w:val="nil"/>
              <w:bottom w:val="nil"/>
              <w:right w:val="nil"/>
            </w:tcBorders>
            <w:shd w:val="clear" w:color="auto" w:fill="auto"/>
            <w:noWrap/>
            <w:vAlign w:val="center"/>
            <w:hideMark/>
          </w:tcPr>
          <w:p w14:paraId="6EF793D1"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62</w:t>
            </w:r>
          </w:p>
        </w:tc>
        <w:tc>
          <w:tcPr>
            <w:tcW w:w="741" w:type="dxa"/>
            <w:gridSpan w:val="2"/>
            <w:tcBorders>
              <w:top w:val="nil"/>
              <w:left w:val="nil"/>
              <w:bottom w:val="nil"/>
              <w:right w:val="nil"/>
            </w:tcBorders>
            <w:shd w:val="clear" w:color="auto" w:fill="auto"/>
            <w:noWrap/>
            <w:vAlign w:val="center"/>
            <w:hideMark/>
          </w:tcPr>
          <w:p w14:paraId="2AEEB6E2"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120</w:t>
            </w:r>
          </w:p>
        </w:tc>
        <w:tc>
          <w:tcPr>
            <w:tcW w:w="741" w:type="dxa"/>
            <w:tcBorders>
              <w:top w:val="nil"/>
              <w:left w:val="nil"/>
              <w:bottom w:val="nil"/>
              <w:right w:val="single" w:sz="8" w:space="0" w:color="auto"/>
            </w:tcBorders>
            <w:shd w:val="clear" w:color="auto" w:fill="auto"/>
            <w:noWrap/>
            <w:vAlign w:val="center"/>
            <w:hideMark/>
          </w:tcPr>
          <w:p w14:paraId="22EABC9E"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-49%</w:t>
            </w:r>
          </w:p>
        </w:tc>
      </w:tr>
      <w:tr w:rsidR="00BB11CD" w:rsidRPr="00BB11CD" w14:paraId="4B2B887F"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5B00A50D"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42C8CCC6"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C6494BC"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29AAAABE" w14:textId="77777777" w:rsidR="00BB11CD" w:rsidRPr="00BB11CD" w:rsidRDefault="00BB11CD" w:rsidP="00BB11CD">
            <w:pPr>
              <w:jc w:val="right"/>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13650894" w14:textId="77777777" w:rsidR="00BB11CD" w:rsidRPr="00BB11CD" w:rsidRDefault="00BB11CD" w:rsidP="00BB11CD">
            <w:pPr>
              <w:jc w:val="right"/>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606C92B"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6D604152"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20B6EAAA" w14:textId="77777777" w:rsidR="00BB11CD" w:rsidRPr="00BB11CD" w:rsidRDefault="00BB11CD" w:rsidP="00BB11CD">
            <w:pPr>
              <w:jc w:val="right"/>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455499C"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76F5B4F1"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4A9446CE"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60204F38" w14:textId="77777777" w:rsidR="00BB11CD" w:rsidRPr="00BB11CD" w:rsidRDefault="00BB11CD" w:rsidP="00BB11CD">
            <w:pPr>
              <w:jc w:val="both"/>
              <w:rPr>
                <w:rFonts w:ascii="Calibri" w:hAnsi="Calibri" w:cs="Calibri"/>
                <w:color w:val="000000"/>
                <w:sz w:val="20"/>
                <w:lang w:eastAsia="en-GB"/>
              </w:rPr>
            </w:pPr>
            <w:r w:rsidRPr="00BB11CD">
              <w:rPr>
                <w:rFonts w:ascii="Calibri" w:hAnsi="Calibri" w:cs="Calibri"/>
                <w:color w:val="000000"/>
                <w:sz w:val="20"/>
                <w:lang w:eastAsia="en-GB"/>
              </w:rPr>
              <w:t>Sales and marketing</w:t>
            </w:r>
          </w:p>
        </w:tc>
        <w:tc>
          <w:tcPr>
            <w:tcW w:w="740" w:type="dxa"/>
            <w:gridSpan w:val="2"/>
            <w:tcBorders>
              <w:top w:val="nil"/>
              <w:left w:val="nil"/>
              <w:bottom w:val="single" w:sz="8" w:space="0" w:color="auto"/>
              <w:right w:val="nil"/>
            </w:tcBorders>
            <w:shd w:val="clear" w:color="auto" w:fill="auto"/>
            <w:noWrap/>
            <w:vAlign w:val="center"/>
            <w:hideMark/>
          </w:tcPr>
          <w:p w14:paraId="528C0470"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(127)</w:t>
            </w:r>
          </w:p>
        </w:tc>
        <w:tc>
          <w:tcPr>
            <w:tcW w:w="741" w:type="dxa"/>
            <w:gridSpan w:val="2"/>
            <w:tcBorders>
              <w:top w:val="nil"/>
              <w:left w:val="nil"/>
              <w:bottom w:val="single" w:sz="8" w:space="0" w:color="auto"/>
              <w:right w:val="nil"/>
            </w:tcBorders>
            <w:shd w:val="clear" w:color="auto" w:fill="auto"/>
            <w:noWrap/>
            <w:vAlign w:val="center"/>
            <w:hideMark/>
          </w:tcPr>
          <w:p w14:paraId="60932882"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(133)</w:t>
            </w:r>
          </w:p>
        </w:tc>
        <w:tc>
          <w:tcPr>
            <w:tcW w:w="741" w:type="dxa"/>
            <w:tcBorders>
              <w:top w:val="nil"/>
              <w:left w:val="nil"/>
              <w:bottom w:val="single" w:sz="8" w:space="0" w:color="auto"/>
              <w:right w:val="single" w:sz="8" w:space="0" w:color="auto"/>
            </w:tcBorders>
            <w:shd w:val="clear" w:color="auto" w:fill="auto"/>
            <w:noWrap/>
            <w:vAlign w:val="center"/>
            <w:hideMark/>
          </w:tcPr>
          <w:p w14:paraId="0885EBAE" w14:textId="77777777" w:rsidR="00BB11CD" w:rsidRPr="00BB11CD" w:rsidRDefault="00BB11CD" w:rsidP="00BB11CD">
            <w:pPr>
              <w:jc w:val="right"/>
              <w:rPr>
                <w:rFonts w:ascii="Calibri" w:hAnsi="Calibri" w:cs="Calibri"/>
                <w:color w:val="000000"/>
                <w:sz w:val="20"/>
                <w:lang w:eastAsia="en-GB"/>
              </w:rPr>
            </w:pPr>
            <w:r w:rsidRPr="00BB11CD">
              <w:rPr>
                <w:rFonts w:ascii="Calibri" w:hAnsi="Calibri" w:cs="Calibri"/>
                <w:color w:val="000000"/>
                <w:sz w:val="20"/>
                <w:lang w:eastAsia="en-GB"/>
              </w:rPr>
              <w:t>-5%</w:t>
            </w:r>
          </w:p>
        </w:tc>
        <w:tc>
          <w:tcPr>
            <w:tcW w:w="741" w:type="dxa"/>
            <w:gridSpan w:val="3"/>
            <w:tcBorders>
              <w:top w:val="nil"/>
              <w:left w:val="nil"/>
              <w:bottom w:val="single" w:sz="8" w:space="0" w:color="auto"/>
              <w:right w:val="nil"/>
            </w:tcBorders>
            <w:shd w:val="clear" w:color="auto" w:fill="auto"/>
            <w:noWrap/>
            <w:vAlign w:val="center"/>
            <w:hideMark/>
          </w:tcPr>
          <w:p w14:paraId="14AF2DA2"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(124)</w:t>
            </w:r>
          </w:p>
        </w:tc>
        <w:tc>
          <w:tcPr>
            <w:tcW w:w="741" w:type="dxa"/>
            <w:gridSpan w:val="2"/>
            <w:tcBorders>
              <w:top w:val="nil"/>
              <w:left w:val="nil"/>
              <w:bottom w:val="single" w:sz="8" w:space="0" w:color="auto"/>
              <w:right w:val="nil"/>
            </w:tcBorders>
            <w:shd w:val="clear" w:color="auto" w:fill="auto"/>
            <w:noWrap/>
            <w:vAlign w:val="center"/>
            <w:hideMark/>
          </w:tcPr>
          <w:p w14:paraId="1F7654E7"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(129)</w:t>
            </w:r>
          </w:p>
        </w:tc>
        <w:tc>
          <w:tcPr>
            <w:tcW w:w="741" w:type="dxa"/>
            <w:tcBorders>
              <w:top w:val="nil"/>
              <w:left w:val="nil"/>
              <w:bottom w:val="single" w:sz="8" w:space="0" w:color="auto"/>
              <w:right w:val="single" w:sz="8" w:space="0" w:color="auto"/>
            </w:tcBorders>
            <w:shd w:val="clear" w:color="auto" w:fill="auto"/>
            <w:noWrap/>
            <w:vAlign w:val="center"/>
            <w:hideMark/>
          </w:tcPr>
          <w:p w14:paraId="19A3EC79"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-4%</w:t>
            </w:r>
          </w:p>
        </w:tc>
        <w:tc>
          <w:tcPr>
            <w:tcW w:w="741" w:type="dxa"/>
            <w:gridSpan w:val="2"/>
            <w:tcBorders>
              <w:top w:val="nil"/>
              <w:left w:val="nil"/>
              <w:bottom w:val="single" w:sz="8" w:space="0" w:color="auto"/>
              <w:right w:val="nil"/>
            </w:tcBorders>
            <w:shd w:val="clear" w:color="auto" w:fill="auto"/>
            <w:noWrap/>
            <w:vAlign w:val="center"/>
            <w:hideMark/>
          </w:tcPr>
          <w:p w14:paraId="40B3AD88"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(3)</w:t>
            </w:r>
          </w:p>
        </w:tc>
        <w:tc>
          <w:tcPr>
            <w:tcW w:w="741" w:type="dxa"/>
            <w:gridSpan w:val="2"/>
            <w:tcBorders>
              <w:top w:val="nil"/>
              <w:left w:val="nil"/>
              <w:bottom w:val="single" w:sz="8" w:space="0" w:color="auto"/>
              <w:right w:val="nil"/>
            </w:tcBorders>
            <w:shd w:val="clear" w:color="auto" w:fill="auto"/>
            <w:noWrap/>
            <w:vAlign w:val="center"/>
            <w:hideMark/>
          </w:tcPr>
          <w:p w14:paraId="48151080"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(3)</w:t>
            </w:r>
          </w:p>
        </w:tc>
        <w:tc>
          <w:tcPr>
            <w:tcW w:w="741" w:type="dxa"/>
            <w:tcBorders>
              <w:top w:val="nil"/>
              <w:left w:val="nil"/>
              <w:bottom w:val="single" w:sz="8" w:space="0" w:color="auto"/>
              <w:right w:val="single" w:sz="8" w:space="0" w:color="auto"/>
            </w:tcBorders>
            <w:shd w:val="clear" w:color="auto" w:fill="auto"/>
            <w:noWrap/>
            <w:vAlign w:val="center"/>
            <w:hideMark/>
          </w:tcPr>
          <w:p w14:paraId="6B26CD06"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-17%</w:t>
            </w:r>
          </w:p>
        </w:tc>
      </w:tr>
      <w:tr w:rsidR="00BB11CD" w:rsidRPr="00BB11CD" w14:paraId="0D7FEB76"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356D2EC5" w14:textId="77777777" w:rsidR="00BB11CD" w:rsidRPr="00BB11CD" w:rsidRDefault="00BB11CD" w:rsidP="00BB11CD">
            <w:pPr>
              <w:jc w:val="both"/>
              <w:rPr>
                <w:rFonts w:ascii="Calibri" w:hAnsi="Calibri" w:cs="Calibri"/>
                <w:b/>
                <w:bCs/>
                <w:color w:val="000000"/>
                <w:sz w:val="20"/>
                <w:lang w:eastAsia="en-GB"/>
              </w:rPr>
            </w:pPr>
            <w:r w:rsidRPr="00BB11CD">
              <w:rPr>
                <w:rFonts w:ascii="Calibri" w:hAnsi="Calibri" w:cs="Calibri"/>
                <w:b/>
                <w:bCs/>
                <w:color w:val="000000"/>
                <w:sz w:val="20"/>
                <w:lang w:eastAsia="en-GB"/>
              </w:rPr>
              <w:t>Contribution</w:t>
            </w:r>
          </w:p>
        </w:tc>
        <w:tc>
          <w:tcPr>
            <w:tcW w:w="740" w:type="dxa"/>
            <w:gridSpan w:val="2"/>
            <w:tcBorders>
              <w:top w:val="nil"/>
              <w:left w:val="nil"/>
              <w:bottom w:val="nil"/>
              <w:right w:val="nil"/>
            </w:tcBorders>
            <w:shd w:val="clear" w:color="auto" w:fill="auto"/>
            <w:noWrap/>
            <w:vAlign w:val="center"/>
            <w:hideMark/>
          </w:tcPr>
          <w:p w14:paraId="38A7FE8E"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256</w:t>
            </w:r>
          </w:p>
        </w:tc>
        <w:tc>
          <w:tcPr>
            <w:tcW w:w="741" w:type="dxa"/>
            <w:gridSpan w:val="2"/>
            <w:tcBorders>
              <w:top w:val="nil"/>
              <w:left w:val="nil"/>
              <w:bottom w:val="nil"/>
              <w:right w:val="nil"/>
            </w:tcBorders>
            <w:shd w:val="clear" w:color="auto" w:fill="auto"/>
            <w:noWrap/>
            <w:vAlign w:val="center"/>
            <w:hideMark/>
          </w:tcPr>
          <w:p w14:paraId="1FDD4FE6"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350</w:t>
            </w:r>
          </w:p>
        </w:tc>
        <w:tc>
          <w:tcPr>
            <w:tcW w:w="741" w:type="dxa"/>
            <w:tcBorders>
              <w:top w:val="nil"/>
              <w:left w:val="nil"/>
              <w:bottom w:val="nil"/>
              <w:right w:val="single" w:sz="8" w:space="0" w:color="auto"/>
            </w:tcBorders>
            <w:shd w:val="clear" w:color="auto" w:fill="auto"/>
            <w:noWrap/>
            <w:vAlign w:val="center"/>
            <w:hideMark/>
          </w:tcPr>
          <w:p w14:paraId="084EFAE2"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-27%</w:t>
            </w:r>
          </w:p>
        </w:tc>
        <w:tc>
          <w:tcPr>
            <w:tcW w:w="741" w:type="dxa"/>
            <w:gridSpan w:val="3"/>
            <w:tcBorders>
              <w:top w:val="nil"/>
              <w:left w:val="nil"/>
              <w:bottom w:val="nil"/>
              <w:right w:val="nil"/>
            </w:tcBorders>
            <w:shd w:val="clear" w:color="auto" w:fill="auto"/>
            <w:noWrap/>
            <w:vAlign w:val="center"/>
            <w:hideMark/>
          </w:tcPr>
          <w:p w14:paraId="58FB58C9"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198</w:t>
            </w:r>
          </w:p>
        </w:tc>
        <w:tc>
          <w:tcPr>
            <w:tcW w:w="741" w:type="dxa"/>
            <w:gridSpan w:val="2"/>
            <w:tcBorders>
              <w:top w:val="nil"/>
              <w:left w:val="nil"/>
              <w:bottom w:val="nil"/>
              <w:right w:val="nil"/>
            </w:tcBorders>
            <w:shd w:val="clear" w:color="auto" w:fill="auto"/>
            <w:noWrap/>
            <w:vAlign w:val="center"/>
            <w:hideMark/>
          </w:tcPr>
          <w:p w14:paraId="3D8A0910"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233</w:t>
            </w:r>
          </w:p>
        </w:tc>
        <w:tc>
          <w:tcPr>
            <w:tcW w:w="741" w:type="dxa"/>
            <w:tcBorders>
              <w:top w:val="nil"/>
              <w:left w:val="nil"/>
              <w:bottom w:val="nil"/>
              <w:right w:val="single" w:sz="8" w:space="0" w:color="auto"/>
            </w:tcBorders>
            <w:shd w:val="clear" w:color="auto" w:fill="auto"/>
            <w:noWrap/>
            <w:vAlign w:val="center"/>
            <w:hideMark/>
          </w:tcPr>
          <w:p w14:paraId="738A6FD2"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-15%</w:t>
            </w:r>
          </w:p>
        </w:tc>
        <w:tc>
          <w:tcPr>
            <w:tcW w:w="741" w:type="dxa"/>
            <w:gridSpan w:val="2"/>
            <w:tcBorders>
              <w:top w:val="nil"/>
              <w:left w:val="nil"/>
              <w:bottom w:val="nil"/>
              <w:right w:val="nil"/>
            </w:tcBorders>
            <w:shd w:val="clear" w:color="auto" w:fill="auto"/>
            <w:noWrap/>
            <w:vAlign w:val="center"/>
            <w:hideMark/>
          </w:tcPr>
          <w:p w14:paraId="20F0B04B"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59</w:t>
            </w:r>
          </w:p>
        </w:tc>
        <w:tc>
          <w:tcPr>
            <w:tcW w:w="741" w:type="dxa"/>
            <w:gridSpan w:val="2"/>
            <w:tcBorders>
              <w:top w:val="nil"/>
              <w:left w:val="nil"/>
              <w:bottom w:val="nil"/>
              <w:right w:val="nil"/>
            </w:tcBorders>
            <w:shd w:val="clear" w:color="auto" w:fill="auto"/>
            <w:noWrap/>
            <w:vAlign w:val="center"/>
            <w:hideMark/>
          </w:tcPr>
          <w:p w14:paraId="4CA80164"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117</w:t>
            </w:r>
          </w:p>
        </w:tc>
        <w:tc>
          <w:tcPr>
            <w:tcW w:w="741" w:type="dxa"/>
            <w:tcBorders>
              <w:top w:val="nil"/>
              <w:left w:val="nil"/>
              <w:bottom w:val="nil"/>
              <w:right w:val="single" w:sz="8" w:space="0" w:color="auto"/>
            </w:tcBorders>
            <w:shd w:val="clear" w:color="auto" w:fill="auto"/>
            <w:noWrap/>
            <w:vAlign w:val="center"/>
            <w:hideMark/>
          </w:tcPr>
          <w:p w14:paraId="644A327E"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-50%</w:t>
            </w:r>
          </w:p>
        </w:tc>
      </w:tr>
      <w:tr w:rsidR="00BB11CD" w:rsidRPr="00BB11CD" w14:paraId="0BB10697"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7F78BF9E"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565C019D"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2B6CF8F"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5A456D86" w14:textId="77777777" w:rsidR="00BB11CD" w:rsidRPr="00BB11CD" w:rsidRDefault="00BB11CD" w:rsidP="00BB11CD">
            <w:pPr>
              <w:jc w:val="right"/>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34879FF2" w14:textId="77777777" w:rsidR="00BB11CD" w:rsidRPr="00BB11CD" w:rsidRDefault="00BB11CD" w:rsidP="00BB11CD">
            <w:pPr>
              <w:jc w:val="right"/>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520FE0D4"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4630FDA8"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607FEB4C" w14:textId="77777777" w:rsidR="00BB11CD" w:rsidRPr="00BB11CD" w:rsidRDefault="00BB11CD" w:rsidP="00BB11CD">
            <w:pPr>
              <w:jc w:val="right"/>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672B793"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19F94AA3"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7810F494"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21568B40" w14:textId="77777777" w:rsidR="00BB11CD" w:rsidRPr="00BB11CD" w:rsidRDefault="00BB11CD" w:rsidP="00BB11CD">
            <w:pPr>
              <w:jc w:val="both"/>
              <w:rPr>
                <w:rFonts w:ascii="Calibri" w:hAnsi="Calibri" w:cs="Calibri"/>
                <w:color w:val="000000"/>
                <w:sz w:val="20"/>
                <w:lang w:eastAsia="en-GB"/>
              </w:rPr>
            </w:pPr>
            <w:r w:rsidRPr="00BB11CD">
              <w:rPr>
                <w:rFonts w:ascii="Calibri" w:hAnsi="Calibri" w:cs="Calibri"/>
                <w:color w:val="000000"/>
                <w:sz w:val="20"/>
                <w:lang w:eastAsia="en-GB"/>
              </w:rPr>
              <w:t>Other operating costs</w:t>
            </w:r>
          </w:p>
        </w:tc>
        <w:tc>
          <w:tcPr>
            <w:tcW w:w="740" w:type="dxa"/>
            <w:gridSpan w:val="2"/>
            <w:tcBorders>
              <w:top w:val="nil"/>
              <w:left w:val="nil"/>
              <w:bottom w:val="single" w:sz="8" w:space="0" w:color="auto"/>
              <w:right w:val="nil"/>
            </w:tcBorders>
            <w:shd w:val="clear" w:color="auto" w:fill="auto"/>
            <w:noWrap/>
            <w:vAlign w:val="center"/>
            <w:hideMark/>
          </w:tcPr>
          <w:p w14:paraId="1028D92A"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(171)</w:t>
            </w:r>
          </w:p>
        </w:tc>
        <w:tc>
          <w:tcPr>
            <w:tcW w:w="741" w:type="dxa"/>
            <w:gridSpan w:val="2"/>
            <w:tcBorders>
              <w:top w:val="nil"/>
              <w:left w:val="nil"/>
              <w:bottom w:val="single" w:sz="8" w:space="0" w:color="auto"/>
              <w:right w:val="nil"/>
            </w:tcBorders>
            <w:shd w:val="clear" w:color="auto" w:fill="auto"/>
            <w:noWrap/>
            <w:vAlign w:val="center"/>
            <w:hideMark/>
          </w:tcPr>
          <w:p w14:paraId="0A1FDB9B"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(170)</w:t>
            </w:r>
          </w:p>
        </w:tc>
        <w:tc>
          <w:tcPr>
            <w:tcW w:w="741" w:type="dxa"/>
            <w:tcBorders>
              <w:top w:val="nil"/>
              <w:left w:val="nil"/>
              <w:bottom w:val="single" w:sz="8" w:space="0" w:color="auto"/>
              <w:right w:val="single" w:sz="8" w:space="0" w:color="auto"/>
            </w:tcBorders>
            <w:shd w:val="clear" w:color="auto" w:fill="auto"/>
            <w:noWrap/>
            <w:vAlign w:val="center"/>
            <w:hideMark/>
          </w:tcPr>
          <w:p w14:paraId="03387765" w14:textId="77777777" w:rsidR="00BB11CD" w:rsidRPr="00BB11CD" w:rsidRDefault="00BB11CD" w:rsidP="00BB11CD">
            <w:pPr>
              <w:jc w:val="right"/>
              <w:rPr>
                <w:rFonts w:ascii="Calibri" w:hAnsi="Calibri" w:cs="Calibri"/>
                <w:color w:val="000000"/>
                <w:sz w:val="20"/>
                <w:lang w:eastAsia="en-GB"/>
              </w:rPr>
            </w:pPr>
            <w:r w:rsidRPr="00BB11CD">
              <w:rPr>
                <w:rFonts w:ascii="Calibri" w:hAnsi="Calibri" w:cs="Calibri"/>
                <w:color w:val="000000"/>
                <w:sz w:val="20"/>
                <w:lang w:eastAsia="en-GB"/>
              </w:rPr>
              <w:t>+1%</w:t>
            </w:r>
          </w:p>
        </w:tc>
        <w:tc>
          <w:tcPr>
            <w:tcW w:w="741" w:type="dxa"/>
            <w:gridSpan w:val="3"/>
            <w:tcBorders>
              <w:top w:val="nil"/>
              <w:left w:val="nil"/>
              <w:bottom w:val="single" w:sz="8" w:space="0" w:color="auto"/>
              <w:right w:val="nil"/>
            </w:tcBorders>
            <w:shd w:val="clear" w:color="auto" w:fill="auto"/>
            <w:noWrap/>
            <w:vAlign w:val="center"/>
            <w:hideMark/>
          </w:tcPr>
          <w:p w14:paraId="28490601"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(103)</w:t>
            </w:r>
          </w:p>
        </w:tc>
        <w:tc>
          <w:tcPr>
            <w:tcW w:w="741" w:type="dxa"/>
            <w:gridSpan w:val="2"/>
            <w:tcBorders>
              <w:top w:val="nil"/>
              <w:left w:val="nil"/>
              <w:bottom w:val="single" w:sz="8" w:space="0" w:color="auto"/>
              <w:right w:val="nil"/>
            </w:tcBorders>
            <w:shd w:val="clear" w:color="auto" w:fill="auto"/>
            <w:noWrap/>
            <w:vAlign w:val="center"/>
            <w:hideMark/>
          </w:tcPr>
          <w:p w14:paraId="14782391"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(91)</w:t>
            </w:r>
          </w:p>
        </w:tc>
        <w:tc>
          <w:tcPr>
            <w:tcW w:w="741" w:type="dxa"/>
            <w:tcBorders>
              <w:top w:val="nil"/>
              <w:left w:val="nil"/>
              <w:bottom w:val="single" w:sz="8" w:space="0" w:color="auto"/>
              <w:right w:val="single" w:sz="8" w:space="0" w:color="auto"/>
            </w:tcBorders>
            <w:shd w:val="clear" w:color="auto" w:fill="auto"/>
            <w:noWrap/>
            <w:vAlign w:val="center"/>
            <w:hideMark/>
          </w:tcPr>
          <w:p w14:paraId="5FF93BEE"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+13%</w:t>
            </w:r>
          </w:p>
        </w:tc>
        <w:tc>
          <w:tcPr>
            <w:tcW w:w="741" w:type="dxa"/>
            <w:gridSpan w:val="2"/>
            <w:tcBorders>
              <w:top w:val="nil"/>
              <w:left w:val="nil"/>
              <w:bottom w:val="single" w:sz="8" w:space="0" w:color="auto"/>
              <w:right w:val="nil"/>
            </w:tcBorders>
            <w:shd w:val="clear" w:color="auto" w:fill="auto"/>
            <w:noWrap/>
            <w:vAlign w:val="center"/>
            <w:hideMark/>
          </w:tcPr>
          <w:p w14:paraId="777CF386"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(69)</w:t>
            </w:r>
          </w:p>
        </w:tc>
        <w:tc>
          <w:tcPr>
            <w:tcW w:w="741" w:type="dxa"/>
            <w:gridSpan w:val="2"/>
            <w:tcBorders>
              <w:top w:val="nil"/>
              <w:left w:val="nil"/>
              <w:bottom w:val="single" w:sz="8" w:space="0" w:color="auto"/>
              <w:right w:val="nil"/>
            </w:tcBorders>
            <w:shd w:val="clear" w:color="auto" w:fill="auto"/>
            <w:noWrap/>
            <w:vAlign w:val="center"/>
            <w:hideMark/>
          </w:tcPr>
          <w:p w14:paraId="0F974243"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(80)</w:t>
            </w:r>
          </w:p>
        </w:tc>
        <w:tc>
          <w:tcPr>
            <w:tcW w:w="741" w:type="dxa"/>
            <w:tcBorders>
              <w:top w:val="nil"/>
              <w:left w:val="nil"/>
              <w:bottom w:val="single" w:sz="8" w:space="0" w:color="auto"/>
              <w:right w:val="single" w:sz="8" w:space="0" w:color="auto"/>
            </w:tcBorders>
            <w:shd w:val="clear" w:color="auto" w:fill="auto"/>
            <w:noWrap/>
            <w:vAlign w:val="center"/>
            <w:hideMark/>
          </w:tcPr>
          <w:p w14:paraId="38D5AB14"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-14%</w:t>
            </w:r>
          </w:p>
        </w:tc>
      </w:tr>
      <w:tr w:rsidR="00BB11CD" w:rsidRPr="00BB11CD" w14:paraId="68CB1ED1"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3D83DB8F" w14:textId="77777777" w:rsidR="00BB11CD" w:rsidRPr="00BB11CD" w:rsidRDefault="00BB11CD" w:rsidP="00BB11CD">
            <w:pPr>
              <w:jc w:val="both"/>
              <w:rPr>
                <w:rFonts w:ascii="Calibri" w:hAnsi="Calibri" w:cs="Calibri"/>
                <w:b/>
                <w:bCs/>
                <w:color w:val="000000"/>
                <w:sz w:val="2"/>
                <w:szCs w:val="2"/>
                <w:lang w:eastAsia="en-GB"/>
              </w:rPr>
            </w:pPr>
            <w:r w:rsidRPr="00BB11CD">
              <w:rPr>
                <w:rFonts w:ascii="Calibri" w:hAnsi="Calibri" w:cs="Calibri"/>
                <w:b/>
                <w:bCs/>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068AD84A" w14:textId="77777777" w:rsidR="00BB11CD" w:rsidRPr="00BB11CD" w:rsidRDefault="00BB11CD" w:rsidP="00BB11CD">
            <w:pPr>
              <w:jc w:val="both"/>
              <w:rPr>
                <w:rFonts w:ascii="Calibri" w:hAnsi="Calibri" w:cs="Calibri"/>
                <w:b/>
                <w:b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17985279"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49A0994A" w14:textId="77777777" w:rsidR="00BB11CD" w:rsidRPr="00BB11CD" w:rsidRDefault="00BB11CD" w:rsidP="00BB11CD">
            <w:pPr>
              <w:jc w:val="right"/>
              <w:rPr>
                <w:rFonts w:ascii="Calibri" w:hAnsi="Calibri" w:cs="Calibri"/>
                <w:b/>
                <w:bCs/>
                <w:color w:val="000000"/>
                <w:sz w:val="2"/>
                <w:szCs w:val="2"/>
                <w:lang w:eastAsia="en-GB"/>
              </w:rPr>
            </w:pPr>
            <w:r w:rsidRPr="00BB11CD">
              <w:rPr>
                <w:rFonts w:ascii="Calibri" w:hAnsi="Calibri" w:cs="Calibri"/>
                <w:b/>
                <w:bCs/>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3125819A" w14:textId="77777777" w:rsidR="00BB11CD" w:rsidRPr="00BB11CD" w:rsidRDefault="00BB11CD" w:rsidP="00BB11CD">
            <w:pPr>
              <w:jc w:val="right"/>
              <w:rPr>
                <w:rFonts w:ascii="Calibri" w:hAnsi="Calibri" w:cs="Calibri"/>
                <w:b/>
                <w:b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06E9C2FF"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50EA6024" w14:textId="77777777" w:rsidR="00BB11CD" w:rsidRPr="00BB11CD" w:rsidRDefault="00BB11CD" w:rsidP="00BB11CD">
            <w:pPr>
              <w:jc w:val="right"/>
              <w:rPr>
                <w:rFonts w:ascii="Calibri" w:hAnsi="Calibri" w:cs="Calibri"/>
                <w:b/>
                <w:bCs/>
                <w:i/>
                <w:iCs/>
                <w:color w:val="000000"/>
                <w:sz w:val="2"/>
                <w:szCs w:val="2"/>
                <w:lang w:eastAsia="en-GB"/>
              </w:rPr>
            </w:pPr>
            <w:r w:rsidRPr="00BB11CD">
              <w:rPr>
                <w:rFonts w:ascii="Calibri" w:hAnsi="Calibri" w:cs="Calibri"/>
                <w:b/>
                <w:bCs/>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4A772510" w14:textId="77777777" w:rsidR="00BB11CD" w:rsidRPr="00BB11CD" w:rsidRDefault="00BB11CD" w:rsidP="00BB11CD">
            <w:pPr>
              <w:jc w:val="right"/>
              <w:rPr>
                <w:rFonts w:ascii="Calibri" w:hAnsi="Calibri" w:cs="Calibri"/>
                <w:b/>
                <w:bCs/>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57D5A470"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3A123D6C" w14:textId="77777777" w:rsidR="00BB11CD" w:rsidRPr="00BB11CD" w:rsidRDefault="00BB11CD" w:rsidP="00BB11CD">
            <w:pPr>
              <w:jc w:val="right"/>
              <w:rPr>
                <w:rFonts w:ascii="Calibri" w:hAnsi="Calibri" w:cs="Calibri"/>
                <w:b/>
                <w:bCs/>
                <w:i/>
                <w:iCs/>
                <w:color w:val="000000"/>
                <w:sz w:val="2"/>
                <w:szCs w:val="2"/>
                <w:lang w:eastAsia="en-GB"/>
              </w:rPr>
            </w:pPr>
            <w:r w:rsidRPr="00BB11CD">
              <w:rPr>
                <w:rFonts w:ascii="Calibri" w:hAnsi="Calibri" w:cs="Calibri"/>
                <w:b/>
                <w:bCs/>
                <w:i/>
                <w:iCs/>
                <w:color w:val="000000"/>
                <w:sz w:val="2"/>
                <w:szCs w:val="2"/>
                <w:lang w:eastAsia="en-GB"/>
              </w:rPr>
              <w:t> </w:t>
            </w:r>
          </w:p>
        </w:tc>
      </w:tr>
      <w:tr w:rsidR="00BB11CD" w:rsidRPr="00BB11CD" w14:paraId="255FE705"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536A15CF" w14:textId="77777777" w:rsidR="00BB11CD" w:rsidRPr="00BB11CD" w:rsidRDefault="00BB11CD" w:rsidP="00BB11CD">
            <w:pPr>
              <w:jc w:val="both"/>
              <w:rPr>
                <w:rFonts w:ascii="Calibri" w:hAnsi="Calibri" w:cs="Calibri"/>
                <w:b/>
                <w:bCs/>
                <w:color w:val="000000"/>
                <w:sz w:val="20"/>
                <w:lang w:eastAsia="en-GB"/>
              </w:rPr>
            </w:pPr>
            <w:r w:rsidRPr="00BB11CD">
              <w:rPr>
                <w:rFonts w:ascii="Calibri" w:hAnsi="Calibri" w:cs="Calibri"/>
                <w:b/>
                <w:bCs/>
                <w:color w:val="000000"/>
                <w:sz w:val="20"/>
                <w:lang w:eastAsia="en-GB"/>
              </w:rPr>
              <w:t>Adjusted EBITDA</w:t>
            </w:r>
            <w:r w:rsidRPr="00BB11CD">
              <w:rPr>
                <w:rFonts w:ascii="Calibri" w:hAnsi="Calibri" w:cs="Calibri"/>
                <w:i/>
                <w:iCs/>
                <w:color w:val="000000"/>
                <w:sz w:val="18"/>
                <w:szCs w:val="18"/>
                <w:vertAlign w:val="superscript"/>
                <w:lang w:eastAsia="en-GB"/>
              </w:rPr>
              <w:t>1,2</w:t>
            </w:r>
          </w:p>
        </w:tc>
        <w:tc>
          <w:tcPr>
            <w:tcW w:w="740" w:type="dxa"/>
            <w:gridSpan w:val="2"/>
            <w:tcBorders>
              <w:top w:val="nil"/>
              <w:left w:val="nil"/>
              <w:bottom w:val="nil"/>
              <w:right w:val="nil"/>
            </w:tcBorders>
            <w:shd w:val="clear" w:color="auto" w:fill="auto"/>
            <w:noWrap/>
            <w:vAlign w:val="center"/>
            <w:hideMark/>
          </w:tcPr>
          <w:p w14:paraId="27D396E5"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85</w:t>
            </w:r>
          </w:p>
        </w:tc>
        <w:tc>
          <w:tcPr>
            <w:tcW w:w="741" w:type="dxa"/>
            <w:gridSpan w:val="2"/>
            <w:tcBorders>
              <w:top w:val="nil"/>
              <w:left w:val="nil"/>
              <w:bottom w:val="nil"/>
              <w:right w:val="nil"/>
            </w:tcBorders>
            <w:shd w:val="clear" w:color="auto" w:fill="auto"/>
            <w:noWrap/>
            <w:vAlign w:val="center"/>
            <w:hideMark/>
          </w:tcPr>
          <w:p w14:paraId="7B5089DB"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179</w:t>
            </w:r>
          </w:p>
        </w:tc>
        <w:tc>
          <w:tcPr>
            <w:tcW w:w="741" w:type="dxa"/>
            <w:tcBorders>
              <w:top w:val="nil"/>
              <w:left w:val="nil"/>
              <w:bottom w:val="nil"/>
              <w:right w:val="single" w:sz="8" w:space="0" w:color="auto"/>
            </w:tcBorders>
            <w:shd w:val="clear" w:color="auto" w:fill="auto"/>
            <w:noWrap/>
            <w:vAlign w:val="center"/>
            <w:hideMark/>
          </w:tcPr>
          <w:p w14:paraId="5BC59F60"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-53%</w:t>
            </w:r>
          </w:p>
        </w:tc>
        <w:tc>
          <w:tcPr>
            <w:tcW w:w="741" w:type="dxa"/>
            <w:gridSpan w:val="3"/>
            <w:tcBorders>
              <w:top w:val="nil"/>
              <w:left w:val="nil"/>
              <w:bottom w:val="nil"/>
              <w:right w:val="nil"/>
            </w:tcBorders>
            <w:shd w:val="clear" w:color="auto" w:fill="auto"/>
            <w:noWrap/>
            <w:vAlign w:val="center"/>
            <w:hideMark/>
          </w:tcPr>
          <w:p w14:paraId="478019CA"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95</w:t>
            </w:r>
          </w:p>
        </w:tc>
        <w:tc>
          <w:tcPr>
            <w:tcW w:w="741" w:type="dxa"/>
            <w:gridSpan w:val="2"/>
            <w:tcBorders>
              <w:top w:val="nil"/>
              <w:left w:val="nil"/>
              <w:bottom w:val="nil"/>
              <w:right w:val="nil"/>
            </w:tcBorders>
            <w:shd w:val="clear" w:color="auto" w:fill="auto"/>
            <w:noWrap/>
            <w:vAlign w:val="center"/>
            <w:hideMark/>
          </w:tcPr>
          <w:p w14:paraId="186A3426"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142</w:t>
            </w:r>
          </w:p>
        </w:tc>
        <w:tc>
          <w:tcPr>
            <w:tcW w:w="741" w:type="dxa"/>
            <w:tcBorders>
              <w:top w:val="nil"/>
              <w:left w:val="nil"/>
              <w:bottom w:val="nil"/>
              <w:right w:val="single" w:sz="8" w:space="0" w:color="auto"/>
            </w:tcBorders>
            <w:shd w:val="clear" w:color="auto" w:fill="auto"/>
            <w:noWrap/>
            <w:vAlign w:val="center"/>
            <w:hideMark/>
          </w:tcPr>
          <w:p w14:paraId="3D5F6082"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-33%</w:t>
            </w:r>
          </w:p>
        </w:tc>
        <w:tc>
          <w:tcPr>
            <w:tcW w:w="741" w:type="dxa"/>
            <w:gridSpan w:val="2"/>
            <w:tcBorders>
              <w:top w:val="nil"/>
              <w:left w:val="nil"/>
              <w:bottom w:val="nil"/>
              <w:right w:val="nil"/>
            </w:tcBorders>
            <w:shd w:val="clear" w:color="auto" w:fill="auto"/>
            <w:noWrap/>
            <w:vAlign w:val="center"/>
            <w:hideMark/>
          </w:tcPr>
          <w:p w14:paraId="0F0638BE"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(10)</w:t>
            </w:r>
          </w:p>
        </w:tc>
        <w:tc>
          <w:tcPr>
            <w:tcW w:w="741" w:type="dxa"/>
            <w:gridSpan w:val="2"/>
            <w:tcBorders>
              <w:top w:val="nil"/>
              <w:left w:val="nil"/>
              <w:bottom w:val="nil"/>
              <w:right w:val="nil"/>
            </w:tcBorders>
            <w:shd w:val="clear" w:color="auto" w:fill="auto"/>
            <w:noWrap/>
            <w:vAlign w:val="center"/>
            <w:hideMark/>
          </w:tcPr>
          <w:p w14:paraId="7CBB7882"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37</w:t>
            </w:r>
          </w:p>
        </w:tc>
        <w:tc>
          <w:tcPr>
            <w:tcW w:w="741" w:type="dxa"/>
            <w:tcBorders>
              <w:top w:val="nil"/>
              <w:left w:val="nil"/>
              <w:bottom w:val="nil"/>
              <w:right w:val="single" w:sz="8" w:space="0" w:color="auto"/>
            </w:tcBorders>
            <w:shd w:val="clear" w:color="auto" w:fill="auto"/>
            <w:noWrap/>
            <w:vAlign w:val="center"/>
            <w:hideMark/>
          </w:tcPr>
          <w:p w14:paraId="3F0B08DD"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-126%</w:t>
            </w:r>
          </w:p>
        </w:tc>
      </w:tr>
      <w:tr w:rsidR="00BB11CD" w:rsidRPr="00BB11CD" w14:paraId="5F4363E2"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6B2E7166" w14:textId="77777777" w:rsidR="00BB11CD" w:rsidRPr="00BB11CD" w:rsidRDefault="001A3100" w:rsidP="00BB11CD">
            <w:pPr>
              <w:jc w:val="both"/>
              <w:rPr>
                <w:rFonts w:ascii="Calibri" w:hAnsi="Calibri" w:cs="Calibri"/>
                <w:i/>
                <w:iCs/>
                <w:color w:val="000000"/>
                <w:sz w:val="18"/>
                <w:szCs w:val="18"/>
                <w:lang w:eastAsia="en-GB"/>
              </w:rPr>
            </w:pPr>
            <w:r>
              <w:rPr>
                <w:rFonts w:ascii="Calibri" w:hAnsi="Calibri" w:cs="Calibri"/>
                <w:i/>
                <w:iCs/>
                <w:color w:val="000000"/>
                <w:sz w:val="18"/>
                <w:szCs w:val="18"/>
                <w:lang w:eastAsia="en-GB"/>
              </w:rPr>
              <w:t>Adjusted EBITDA margin</w:t>
            </w:r>
          </w:p>
        </w:tc>
        <w:tc>
          <w:tcPr>
            <w:tcW w:w="740" w:type="dxa"/>
            <w:gridSpan w:val="2"/>
            <w:tcBorders>
              <w:top w:val="nil"/>
              <w:left w:val="nil"/>
              <w:bottom w:val="nil"/>
              <w:right w:val="nil"/>
            </w:tcBorders>
            <w:shd w:val="clear" w:color="auto" w:fill="auto"/>
            <w:noWrap/>
            <w:vAlign w:val="center"/>
            <w:hideMark/>
          </w:tcPr>
          <w:p w14:paraId="6FC133F0"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15.7%</w:t>
            </w:r>
          </w:p>
        </w:tc>
        <w:tc>
          <w:tcPr>
            <w:tcW w:w="741" w:type="dxa"/>
            <w:gridSpan w:val="2"/>
            <w:tcBorders>
              <w:top w:val="nil"/>
              <w:left w:val="nil"/>
              <w:bottom w:val="nil"/>
              <w:right w:val="nil"/>
            </w:tcBorders>
            <w:shd w:val="clear" w:color="auto" w:fill="auto"/>
            <w:noWrap/>
            <w:vAlign w:val="center"/>
            <w:hideMark/>
          </w:tcPr>
          <w:p w14:paraId="61F26EF4"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27.3%</w:t>
            </w:r>
          </w:p>
        </w:tc>
        <w:tc>
          <w:tcPr>
            <w:tcW w:w="741" w:type="dxa"/>
            <w:tcBorders>
              <w:top w:val="nil"/>
              <w:left w:val="nil"/>
              <w:bottom w:val="nil"/>
              <w:right w:val="single" w:sz="8" w:space="0" w:color="auto"/>
            </w:tcBorders>
            <w:shd w:val="clear" w:color="auto" w:fill="auto"/>
            <w:noWrap/>
            <w:tcMar>
              <w:left w:w="28" w:type="dxa"/>
              <w:right w:w="28" w:type="dxa"/>
            </w:tcMar>
            <w:vAlign w:val="center"/>
            <w:hideMark/>
          </w:tcPr>
          <w:p w14:paraId="2C976EB8" w14:textId="77777777" w:rsidR="00BB11CD" w:rsidRPr="00BB11CD" w:rsidRDefault="00BB11CD" w:rsidP="00BB11CD">
            <w:pPr>
              <w:jc w:val="right"/>
              <w:rPr>
                <w:rFonts w:ascii="Calibri" w:hAnsi="Calibri" w:cs="Calibri"/>
                <w:i/>
                <w:iCs/>
                <w:color w:val="000000"/>
                <w:sz w:val="16"/>
                <w:szCs w:val="16"/>
                <w:lang w:eastAsia="en-GB"/>
              </w:rPr>
            </w:pPr>
            <w:r w:rsidRPr="00BB11CD">
              <w:rPr>
                <w:rFonts w:ascii="Calibri" w:hAnsi="Calibri" w:cs="Calibri"/>
                <w:i/>
                <w:iCs/>
                <w:color w:val="000000"/>
                <w:sz w:val="16"/>
                <w:szCs w:val="16"/>
                <w:lang w:eastAsia="en-GB"/>
              </w:rPr>
              <w:t>-1,160bps</w:t>
            </w:r>
          </w:p>
        </w:tc>
        <w:tc>
          <w:tcPr>
            <w:tcW w:w="741" w:type="dxa"/>
            <w:gridSpan w:val="3"/>
            <w:tcBorders>
              <w:top w:val="nil"/>
              <w:left w:val="nil"/>
              <w:bottom w:val="nil"/>
              <w:right w:val="nil"/>
            </w:tcBorders>
            <w:shd w:val="clear" w:color="auto" w:fill="auto"/>
            <w:noWrap/>
            <w:vAlign w:val="center"/>
            <w:hideMark/>
          </w:tcPr>
          <w:p w14:paraId="487F47C9"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20.5%</w:t>
            </w:r>
          </w:p>
        </w:tc>
        <w:tc>
          <w:tcPr>
            <w:tcW w:w="741" w:type="dxa"/>
            <w:gridSpan w:val="2"/>
            <w:tcBorders>
              <w:top w:val="nil"/>
              <w:left w:val="nil"/>
              <w:bottom w:val="nil"/>
              <w:right w:val="nil"/>
            </w:tcBorders>
            <w:shd w:val="clear" w:color="auto" w:fill="auto"/>
            <w:noWrap/>
            <w:vAlign w:val="center"/>
            <w:hideMark/>
          </w:tcPr>
          <w:p w14:paraId="55F1B3AC"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28.4%</w:t>
            </w:r>
          </w:p>
        </w:tc>
        <w:tc>
          <w:tcPr>
            <w:tcW w:w="741" w:type="dxa"/>
            <w:tcBorders>
              <w:top w:val="nil"/>
              <w:left w:val="nil"/>
              <w:bottom w:val="nil"/>
              <w:right w:val="single" w:sz="8" w:space="0" w:color="auto"/>
            </w:tcBorders>
            <w:shd w:val="clear" w:color="auto" w:fill="auto"/>
            <w:noWrap/>
            <w:vAlign w:val="center"/>
            <w:hideMark/>
          </w:tcPr>
          <w:p w14:paraId="3486BC87" w14:textId="77777777" w:rsidR="00BB11CD" w:rsidRPr="00BB11CD" w:rsidRDefault="00BB11CD" w:rsidP="00BB11CD">
            <w:pPr>
              <w:jc w:val="right"/>
              <w:rPr>
                <w:rFonts w:ascii="Calibri" w:hAnsi="Calibri" w:cs="Calibri"/>
                <w:i/>
                <w:iCs/>
                <w:color w:val="000000"/>
                <w:sz w:val="16"/>
                <w:szCs w:val="16"/>
                <w:lang w:eastAsia="en-GB"/>
              </w:rPr>
            </w:pPr>
            <w:r w:rsidRPr="00BB11CD">
              <w:rPr>
                <w:rFonts w:ascii="Calibri" w:hAnsi="Calibri" w:cs="Calibri"/>
                <w:i/>
                <w:iCs/>
                <w:color w:val="000000"/>
                <w:sz w:val="16"/>
                <w:szCs w:val="16"/>
                <w:lang w:eastAsia="en-GB"/>
              </w:rPr>
              <w:t>-780bps</w:t>
            </w:r>
          </w:p>
        </w:tc>
        <w:tc>
          <w:tcPr>
            <w:tcW w:w="741" w:type="dxa"/>
            <w:gridSpan w:val="2"/>
            <w:tcBorders>
              <w:top w:val="nil"/>
              <w:left w:val="nil"/>
              <w:bottom w:val="nil"/>
              <w:right w:val="nil"/>
            </w:tcBorders>
            <w:shd w:val="clear" w:color="auto" w:fill="auto"/>
            <w:noWrap/>
            <w:vAlign w:val="center"/>
            <w:hideMark/>
          </w:tcPr>
          <w:p w14:paraId="2FFB683A"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-12.4%</w:t>
            </w:r>
          </w:p>
        </w:tc>
        <w:tc>
          <w:tcPr>
            <w:tcW w:w="741" w:type="dxa"/>
            <w:gridSpan w:val="2"/>
            <w:tcBorders>
              <w:top w:val="nil"/>
              <w:left w:val="nil"/>
              <w:bottom w:val="nil"/>
              <w:right w:val="nil"/>
            </w:tcBorders>
            <w:shd w:val="clear" w:color="auto" w:fill="auto"/>
            <w:noWrap/>
            <w:vAlign w:val="center"/>
            <w:hideMark/>
          </w:tcPr>
          <w:p w14:paraId="5ADA4319" w14:textId="77777777" w:rsidR="00BB11CD" w:rsidRPr="00BB11CD" w:rsidRDefault="00BB11CD" w:rsidP="00BB11CD">
            <w:pPr>
              <w:jc w:val="right"/>
              <w:rPr>
                <w:rFonts w:ascii="Calibri" w:hAnsi="Calibri" w:cs="Calibri"/>
                <w:i/>
                <w:iCs/>
                <w:sz w:val="18"/>
                <w:szCs w:val="18"/>
                <w:lang w:eastAsia="en-GB"/>
              </w:rPr>
            </w:pPr>
            <w:r w:rsidRPr="00BB11CD">
              <w:rPr>
                <w:rFonts w:ascii="Calibri" w:hAnsi="Calibri" w:cs="Calibri"/>
                <w:i/>
                <w:iCs/>
                <w:sz w:val="18"/>
                <w:szCs w:val="18"/>
                <w:lang w:eastAsia="en-GB"/>
              </w:rPr>
              <w:t>23.7%</w:t>
            </w:r>
          </w:p>
        </w:tc>
        <w:tc>
          <w:tcPr>
            <w:tcW w:w="741" w:type="dxa"/>
            <w:tcBorders>
              <w:top w:val="nil"/>
              <w:left w:val="nil"/>
              <w:bottom w:val="nil"/>
              <w:right w:val="single" w:sz="8" w:space="0" w:color="auto"/>
            </w:tcBorders>
            <w:shd w:val="clear" w:color="auto" w:fill="auto"/>
            <w:noWrap/>
            <w:tcMar>
              <w:left w:w="28" w:type="dxa"/>
              <w:right w:w="28" w:type="dxa"/>
            </w:tcMar>
            <w:vAlign w:val="center"/>
            <w:hideMark/>
          </w:tcPr>
          <w:p w14:paraId="024D019C" w14:textId="77777777" w:rsidR="00BB11CD" w:rsidRPr="00BB11CD" w:rsidRDefault="00BB11CD" w:rsidP="00BB11CD">
            <w:pPr>
              <w:jc w:val="right"/>
              <w:rPr>
                <w:rFonts w:ascii="Calibri" w:hAnsi="Calibri" w:cs="Calibri"/>
                <w:i/>
                <w:iCs/>
                <w:color w:val="000000"/>
                <w:sz w:val="16"/>
                <w:szCs w:val="16"/>
                <w:lang w:eastAsia="en-GB"/>
              </w:rPr>
            </w:pPr>
            <w:r w:rsidRPr="00BB11CD">
              <w:rPr>
                <w:rFonts w:ascii="Calibri" w:hAnsi="Calibri" w:cs="Calibri"/>
                <w:i/>
                <w:iCs/>
                <w:color w:val="000000"/>
                <w:sz w:val="16"/>
                <w:szCs w:val="16"/>
                <w:lang w:eastAsia="en-GB"/>
              </w:rPr>
              <w:t>-3,610bps</w:t>
            </w:r>
          </w:p>
        </w:tc>
      </w:tr>
      <w:tr w:rsidR="00BB11CD" w:rsidRPr="00BB11CD" w14:paraId="2A5E5CA4"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375BC75F"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56FC5210"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8E525C0"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79E60CD7" w14:textId="77777777" w:rsidR="00BB11CD" w:rsidRPr="00BB11CD" w:rsidRDefault="00BB11CD" w:rsidP="00BB11CD">
            <w:pPr>
              <w:jc w:val="right"/>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098788FF" w14:textId="77777777" w:rsidR="00BB11CD" w:rsidRPr="00BB11CD" w:rsidRDefault="00BB11CD" w:rsidP="00BB11CD">
            <w:pPr>
              <w:jc w:val="right"/>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F9F5FE7"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102EDC6A"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70CA8A86" w14:textId="77777777" w:rsidR="00BB11CD" w:rsidRPr="00BB11CD" w:rsidRDefault="00BB11CD" w:rsidP="00BB11CD">
            <w:pPr>
              <w:jc w:val="right"/>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531237A"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692ACF44"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7602BBB9"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0114B980" w14:textId="77777777" w:rsidR="00BB11CD" w:rsidRPr="00BB11CD" w:rsidRDefault="00BB11CD" w:rsidP="00BB11CD">
            <w:pPr>
              <w:jc w:val="both"/>
              <w:rPr>
                <w:rFonts w:ascii="Calibri" w:hAnsi="Calibri" w:cs="Calibri"/>
                <w:color w:val="000000"/>
                <w:sz w:val="20"/>
                <w:lang w:eastAsia="en-GB"/>
              </w:rPr>
            </w:pPr>
            <w:r w:rsidRPr="00BB11CD">
              <w:rPr>
                <w:rFonts w:ascii="Calibri" w:hAnsi="Calibri" w:cs="Calibri"/>
                <w:color w:val="000000"/>
                <w:sz w:val="20"/>
                <w:lang w:eastAsia="en-GB"/>
              </w:rPr>
              <w:t>Depreciation and amortisation</w:t>
            </w:r>
          </w:p>
        </w:tc>
        <w:tc>
          <w:tcPr>
            <w:tcW w:w="740" w:type="dxa"/>
            <w:gridSpan w:val="2"/>
            <w:tcBorders>
              <w:top w:val="nil"/>
              <w:left w:val="nil"/>
              <w:bottom w:val="single" w:sz="8" w:space="0" w:color="auto"/>
              <w:right w:val="nil"/>
            </w:tcBorders>
            <w:shd w:val="clear" w:color="auto" w:fill="auto"/>
            <w:noWrap/>
            <w:vAlign w:val="center"/>
            <w:hideMark/>
          </w:tcPr>
          <w:p w14:paraId="131D26A4"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(47)</w:t>
            </w:r>
          </w:p>
        </w:tc>
        <w:tc>
          <w:tcPr>
            <w:tcW w:w="741" w:type="dxa"/>
            <w:gridSpan w:val="2"/>
            <w:tcBorders>
              <w:top w:val="nil"/>
              <w:left w:val="nil"/>
              <w:bottom w:val="single" w:sz="8" w:space="0" w:color="auto"/>
              <w:right w:val="nil"/>
            </w:tcBorders>
            <w:shd w:val="clear" w:color="auto" w:fill="auto"/>
            <w:noWrap/>
            <w:vAlign w:val="center"/>
            <w:hideMark/>
          </w:tcPr>
          <w:p w14:paraId="60600B76" w14:textId="77777777" w:rsidR="00BB11CD" w:rsidRPr="00BB11CD" w:rsidRDefault="00BB11CD" w:rsidP="00BB11CD">
            <w:pPr>
              <w:jc w:val="right"/>
              <w:rPr>
                <w:rFonts w:ascii="Calibri" w:hAnsi="Calibri" w:cs="Calibri"/>
                <w:sz w:val="20"/>
                <w:lang w:eastAsia="en-GB"/>
              </w:rPr>
            </w:pPr>
            <w:r w:rsidRPr="00BB11CD">
              <w:rPr>
                <w:rFonts w:ascii="Calibri" w:hAnsi="Calibri" w:cs="Calibri"/>
                <w:sz w:val="20"/>
                <w:lang w:eastAsia="en-GB"/>
              </w:rPr>
              <w:t>(45)</w:t>
            </w:r>
          </w:p>
        </w:tc>
        <w:tc>
          <w:tcPr>
            <w:tcW w:w="741" w:type="dxa"/>
            <w:tcBorders>
              <w:top w:val="nil"/>
              <w:left w:val="nil"/>
              <w:bottom w:val="single" w:sz="8" w:space="0" w:color="auto"/>
              <w:right w:val="single" w:sz="8" w:space="0" w:color="auto"/>
            </w:tcBorders>
            <w:shd w:val="clear" w:color="auto" w:fill="auto"/>
            <w:noWrap/>
            <w:vAlign w:val="center"/>
            <w:hideMark/>
          </w:tcPr>
          <w:p w14:paraId="5FA4A7D0" w14:textId="77777777" w:rsidR="00BB11CD" w:rsidRPr="00BB11CD" w:rsidRDefault="00BB11CD" w:rsidP="00BB11CD">
            <w:pPr>
              <w:jc w:val="right"/>
              <w:rPr>
                <w:rFonts w:ascii="Calibri" w:hAnsi="Calibri" w:cs="Calibri"/>
                <w:color w:val="000000"/>
                <w:sz w:val="20"/>
                <w:lang w:eastAsia="en-GB"/>
              </w:rPr>
            </w:pPr>
            <w:r w:rsidRPr="00BB11CD">
              <w:rPr>
                <w:rFonts w:ascii="Calibri" w:hAnsi="Calibri" w:cs="Calibri"/>
                <w:color w:val="000000"/>
                <w:sz w:val="20"/>
                <w:lang w:eastAsia="en-GB"/>
              </w:rPr>
              <w:t>+6%</w:t>
            </w:r>
          </w:p>
        </w:tc>
        <w:tc>
          <w:tcPr>
            <w:tcW w:w="741" w:type="dxa"/>
            <w:gridSpan w:val="3"/>
            <w:tcBorders>
              <w:top w:val="nil"/>
              <w:left w:val="nil"/>
              <w:bottom w:val="single" w:sz="8" w:space="0" w:color="auto"/>
              <w:right w:val="nil"/>
            </w:tcBorders>
            <w:shd w:val="clear" w:color="auto" w:fill="auto"/>
            <w:noWrap/>
            <w:vAlign w:val="center"/>
            <w:hideMark/>
          </w:tcPr>
          <w:p w14:paraId="4AC6B4F9"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(26)</w:t>
            </w:r>
          </w:p>
        </w:tc>
        <w:tc>
          <w:tcPr>
            <w:tcW w:w="741" w:type="dxa"/>
            <w:gridSpan w:val="2"/>
            <w:tcBorders>
              <w:top w:val="nil"/>
              <w:left w:val="nil"/>
              <w:bottom w:val="single" w:sz="8" w:space="0" w:color="auto"/>
              <w:right w:val="nil"/>
            </w:tcBorders>
            <w:shd w:val="clear" w:color="auto" w:fill="auto"/>
            <w:noWrap/>
            <w:vAlign w:val="center"/>
            <w:hideMark/>
          </w:tcPr>
          <w:p w14:paraId="44198933"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(24)</w:t>
            </w:r>
          </w:p>
        </w:tc>
        <w:tc>
          <w:tcPr>
            <w:tcW w:w="741" w:type="dxa"/>
            <w:tcBorders>
              <w:top w:val="nil"/>
              <w:left w:val="nil"/>
              <w:bottom w:val="single" w:sz="8" w:space="0" w:color="auto"/>
              <w:right w:val="single" w:sz="8" w:space="0" w:color="auto"/>
            </w:tcBorders>
            <w:shd w:val="clear" w:color="auto" w:fill="auto"/>
            <w:noWrap/>
            <w:vAlign w:val="center"/>
            <w:hideMark/>
          </w:tcPr>
          <w:p w14:paraId="22B15414"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+9%</w:t>
            </w:r>
          </w:p>
        </w:tc>
        <w:tc>
          <w:tcPr>
            <w:tcW w:w="741" w:type="dxa"/>
            <w:gridSpan w:val="2"/>
            <w:tcBorders>
              <w:top w:val="nil"/>
              <w:left w:val="nil"/>
              <w:bottom w:val="single" w:sz="8" w:space="0" w:color="auto"/>
              <w:right w:val="nil"/>
            </w:tcBorders>
            <w:shd w:val="clear" w:color="auto" w:fill="auto"/>
            <w:noWrap/>
            <w:vAlign w:val="center"/>
            <w:hideMark/>
          </w:tcPr>
          <w:p w14:paraId="07F341FC"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(21)</w:t>
            </w:r>
          </w:p>
        </w:tc>
        <w:tc>
          <w:tcPr>
            <w:tcW w:w="741" w:type="dxa"/>
            <w:gridSpan w:val="2"/>
            <w:tcBorders>
              <w:top w:val="nil"/>
              <w:left w:val="nil"/>
              <w:bottom w:val="single" w:sz="8" w:space="0" w:color="auto"/>
              <w:right w:val="nil"/>
            </w:tcBorders>
            <w:shd w:val="clear" w:color="auto" w:fill="auto"/>
            <w:noWrap/>
            <w:vAlign w:val="center"/>
            <w:hideMark/>
          </w:tcPr>
          <w:p w14:paraId="1A37154D" w14:textId="77777777" w:rsidR="00BB11CD" w:rsidRPr="00BB11CD" w:rsidRDefault="00BB11CD" w:rsidP="00BB11CD">
            <w:pPr>
              <w:jc w:val="right"/>
              <w:rPr>
                <w:rFonts w:ascii="Calibri" w:hAnsi="Calibri" w:cs="Calibri"/>
                <w:i/>
                <w:iCs/>
                <w:sz w:val="20"/>
                <w:lang w:eastAsia="en-GB"/>
              </w:rPr>
            </w:pPr>
            <w:r w:rsidRPr="00BB11CD">
              <w:rPr>
                <w:rFonts w:ascii="Calibri" w:hAnsi="Calibri" w:cs="Calibri"/>
                <w:i/>
                <w:iCs/>
                <w:sz w:val="20"/>
                <w:lang w:eastAsia="en-GB"/>
              </w:rPr>
              <w:t>(21)</w:t>
            </w:r>
          </w:p>
        </w:tc>
        <w:tc>
          <w:tcPr>
            <w:tcW w:w="741" w:type="dxa"/>
            <w:tcBorders>
              <w:top w:val="nil"/>
              <w:left w:val="nil"/>
              <w:bottom w:val="single" w:sz="8" w:space="0" w:color="auto"/>
              <w:right w:val="single" w:sz="8" w:space="0" w:color="auto"/>
            </w:tcBorders>
            <w:shd w:val="clear" w:color="auto" w:fill="auto"/>
            <w:noWrap/>
            <w:vAlign w:val="center"/>
            <w:hideMark/>
          </w:tcPr>
          <w:p w14:paraId="4E38D9A7" w14:textId="77777777" w:rsidR="00BB11CD" w:rsidRPr="00BB11CD" w:rsidRDefault="00BB11CD" w:rsidP="00BB11CD">
            <w:pPr>
              <w:jc w:val="right"/>
              <w:rPr>
                <w:rFonts w:ascii="Calibri" w:hAnsi="Calibri" w:cs="Calibri"/>
                <w:i/>
                <w:iCs/>
                <w:color w:val="000000"/>
                <w:sz w:val="20"/>
                <w:lang w:eastAsia="en-GB"/>
              </w:rPr>
            </w:pPr>
            <w:r w:rsidRPr="00BB11CD">
              <w:rPr>
                <w:rFonts w:ascii="Calibri" w:hAnsi="Calibri" w:cs="Calibri"/>
                <w:i/>
                <w:iCs/>
                <w:color w:val="000000"/>
                <w:sz w:val="20"/>
                <w:lang w:eastAsia="en-GB"/>
              </w:rPr>
              <w:t>+2%</w:t>
            </w:r>
          </w:p>
        </w:tc>
      </w:tr>
      <w:tr w:rsidR="00BB11CD" w:rsidRPr="00BB11CD" w14:paraId="5CB65651" w14:textId="77777777" w:rsidTr="003F3314">
        <w:trPr>
          <w:trHeight w:val="34"/>
        </w:trPr>
        <w:tc>
          <w:tcPr>
            <w:tcW w:w="2748" w:type="dxa"/>
            <w:tcBorders>
              <w:top w:val="nil"/>
              <w:left w:val="single" w:sz="8" w:space="0" w:color="auto"/>
              <w:bottom w:val="nil"/>
              <w:right w:val="nil"/>
            </w:tcBorders>
            <w:shd w:val="clear" w:color="auto" w:fill="auto"/>
            <w:noWrap/>
            <w:vAlign w:val="center"/>
            <w:hideMark/>
          </w:tcPr>
          <w:p w14:paraId="61E8A32A" w14:textId="77777777" w:rsidR="00BB11CD" w:rsidRPr="00BB11CD" w:rsidRDefault="00BB11CD" w:rsidP="00BB11CD">
            <w:pPr>
              <w:jc w:val="both"/>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0" w:type="dxa"/>
            <w:gridSpan w:val="2"/>
            <w:tcBorders>
              <w:top w:val="nil"/>
              <w:left w:val="nil"/>
              <w:bottom w:val="nil"/>
              <w:right w:val="nil"/>
            </w:tcBorders>
            <w:shd w:val="clear" w:color="auto" w:fill="auto"/>
            <w:noWrap/>
            <w:vAlign w:val="center"/>
            <w:hideMark/>
          </w:tcPr>
          <w:p w14:paraId="34C85EF2" w14:textId="77777777" w:rsidR="00BB11CD" w:rsidRPr="00BB11CD" w:rsidRDefault="00BB11CD" w:rsidP="00BB11CD">
            <w:pPr>
              <w:jc w:val="both"/>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05EF37D8"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453E0959" w14:textId="77777777" w:rsidR="00BB11CD" w:rsidRPr="00BB11CD" w:rsidRDefault="00BB11CD" w:rsidP="00BB11CD">
            <w:pPr>
              <w:jc w:val="right"/>
              <w:rPr>
                <w:rFonts w:ascii="Calibri" w:hAnsi="Calibri" w:cs="Calibri"/>
                <w:color w:val="000000"/>
                <w:sz w:val="2"/>
                <w:szCs w:val="2"/>
                <w:lang w:eastAsia="en-GB"/>
              </w:rPr>
            </w:pPr>
            <w:r w:rsidRPr="00BB11CD">
              <w:rPr>
                <w:rFonts w:ascii="Calibri" w:hAnsi="Calibri" w:cs="Calibri"/>
                <w:color w:val="000000"/>
                <w:sz w:val="2"/>
                <w:szCs w:val="2"/>
                <w:lang w:eastAsia="en-GB"/>
              </w:rPr>
              <w:t> </w:t>
            </w:r>
          </w:p>
        </w:tc>
        <w:tc>
          <w:tcPr>
            <w:tcW w:w="741" w:type="dxa"/>
            <w:gridSpan w:val="3"/>
            <w:tcBorders>
              <w:top w:val="nil"/>
              <w:left w:val="nil"/>
              <w:bottom w:val="nil"/>
              <w:right w:val="nil"/>
            </w:tcBorders>
            <w:shd w:val="clear" w:color="auto" w:fill="auto"/>
            <w:noWrap/>
            <w:vAlign w:val="center"/>
            <w:hideMark/>
          </w:tcPr>
          <w:p w14:paraId="77F977CA" w14:textId="77777777" w:rsidR="00BB11CD" w:rsidRPr="00BB11CD" w:rsidRDefault="00BB11CD" w:rsidP="00BB11CD">
            <w:pPr>
              <w:jc w:val="right"/>
              <w:rPr>
                <w:rFonts w:ascii="Calibri" w:hAnsi="Calibri" w:cs="Calibri"/>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38758621"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0FA782AC"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c>
          <w:tcPr>
            <w:tcW w:w="741" w:type="dxa"/>
            <w:gridSpan w:val="2"/>
            <w:tcBorders>
              <w:top w:val="nil"/>
              <w:left w:val="nil"/>
              <w:bottom w:val="nil"/>
              <w:right w:val="nil"/>
            </w:tcBorders>
            <w:shd w:val="clear" w:color="auto" w:fill="auto"/>
            <w:noWrap/>
            <w:vAlign w:val="center"/>
            <w:hideMark/>
          </w:tcPr>
          <w:p w14:paraId="284CBC6E" w14:textId="77777777" w:rsidR="00BB11CD" w:rsidRPr="00BB11CD" w:rsidRDefault="00BB11CD" w:rsidP="00BB11CD">
            <w:pPr>
              <w:jc w:val="right"/>
              <w:rPr>
                <w:rFonts w:ascii="Calibri" w:hAnsi="Calibri" w:cs="Calibri"/>
                <w:i/>
                <w:iCs/>
                <w:color w:val="000000"/>
                <w:sz w:val="2"/>
                <w:szCs w:val="2"/>
                <w:lang w:eastAsia="en-GB"/>
              </w:rPr>
            </w:pPr>
          </w:p>
        </w:tc>
        <w:tc>
          <w:tcPr>
            <w:tcW w:w="741" w:type="dxa"/>
            <w:gridSpan w:val="2"/>
            <w:tcBorders>
              <w:top w:val="nil"/>
              <w:left w:val="nil"/>
              <w:bottom w:val="nil"/>
              <w:right w:val="nil"/>
            </w:tcBorders>
            <w:shd w:val="clear" w:color="auto" w:fill="auto"/>
            <w:noWrap/>
            <w:vAlign w:val="center"/>
            <w:hideMark/>
          </w:tcPr>
          <w:p w14:paraId="22E5876D" w14:textId="77777777" w:rsidR="00BB11CD" w:rsidRPr="00BB11CD" w:rsidRDefault="00BB11CD" w:rsidP="00BB11CD">
            <w:pPr>
              <w:jc w:val="right"/>
              <w:rPr>
                <w:rFonts w:ascii="Times New Roman" w:hAnsi="Times New Roman"/>
                <w:sz w:val="20"/>
                <w:lang w:eastAsia="en-GB"/>
              </w:rPr>
            </w:pPr>
          </w:p>
        </w:tc>
        <w:tc>
          <w:tcPr>
            <w:tcW w:w="741" w:type="dxa"/>
            <w:tcBorders>
              <w:top w:val="nil"/>
              <w:left w:val="nil"/>
              <w:bottom w:val="nil"/>
              <w:right w:val="single" w:sz="8" w:space="0" w:color="auto"/>
            </w:tcBorders>
            <w:shd w:val="clear" w:color="auto" w:fill="auto"/>
            <w:noWrap/>
            <w:vAlign w:val="center"/>
            <w:hideMark/>
          </w:tcPr>
          <w:p w14:paraId="5A8934AA" w14:textId="77777777" w:rsidR="00BB11CD" w:rsidRPr="00BB11CD" w:rsidRDefault="00BB11CD" w:rsidP="00BB11CD">
            <w:pPr>
              <w:jc w:val="right"/>
              <w:rPr>
                <w:rFonts w:ascii="Calibri" w:hAnsi="Calibri" w:cs="Calibri"/>
                <w:i/>
                <w:iCs/>
                <w:color w:val="000000"/>
                <w:sz w:val="2"/>
                <w:szCs w:val="2"/>
                <w:lang w:eastAsia="en-GB"/>
              </w:rPr>
            </w:pPr>
            <w:r w:rsidRPr="00BB11CD">
              <w:rPr>
                <w:rFonts w:ascii="Calibri" w:hAnsi="Calibri" w:cs="Calibri"/>
                <w:i/>
                <w:iCs/>
                <w:color w:val="000000"/>
                <w:sz w:val="2"/>
                <w:szCs w:val="2"/>
                <w:lang w:eastAsia="en-GB"/>
              </w:rPr>
              <w:t> </w:t>
            </w:r>
          </w:p>
        </w:tc>
      </w:tr>
      <w:tr w:rsidR="00BB11CD" w:rsidRPr="00BB11CD" w14:paraId="61B4638B" w14:textId="77777777" w:rsidTr="003F3314">
        <w:trPr>
          <w:trHeight w:val="255"/>
        </w:trPr>
        <w:tc>
          <w:tcPr>
            <w:tcW w:w="2748" w:type="dxa"/>
            <w:tcBorders>
              <w:top w:val="nil"/>
              <w:left w:val="single" w:sz="8" w:space="0" w:color="auto"/>
              <w:bottom w:val="nil"/>
              <w:right w:val="nil"/>
            </w:tcBorders>
            <w:shd w:val="clear" w:color="auto" w:fill="auto"/>
            <w:noWrap/>
            <w:vAlign w:val="center"/>
            <w:hideMark/>
          </w:tcPr>
          <w:p w14:paraId="5A1A453B" w14:textId="77777777" w:rsidR="00BB11CD" w:rsidRPr="00BB11CD" w:rsidRDefault="00BB11CD" w:rsidP="00BB11CD">
            <w:pPr>
              <w:jc w:val="both"/>
              <w:rPr>
                <w:rFonts w:ascii="Calibri" w:hAnsi="Calibri" w:cs="Calibri"/>
                <w:b/>
                <w:bCs/>
                <w:color w:val="000000"/>
                <w:sz w:val="20"/>
                <w:lang w:eastAsia="en-GB"/>
              </w:rPr>
            </w:pPr>
            <w:r w:rsidRPr="00BB11CD">
              <w:rPr>
                <w:rFonts w:ascii="Calibri" w:hAnsi="Calibri" w:cs="Calibri"/>
                <w:b/>
                <w:bCs/>
                <w:color w:val="000000"/>
                <w:sz w:val="20"/>
                <w:lang w:eastAsia="en-GB"/>
              </w:rPr>
              <w:t>Adjusted</w:t>
            </w:r>
            <w:r w:rsidRPr="00BB11CD">
              <w:rPr>
                <w:rFonts w:ascii="Calibri" w:hAnsi="Calibri" w:cs="Calibri"/>
                <w:i/>
                <w:iCs/>
                <w:color w:val="000000"/>
                <w:sz w:val="18"/>
                <w:szCs w:val="18"/>
                <w:vertAlign w:val="superscript"/>
                <w:lang w:eastAsia="en-GB"/>
              </w:rPr>
              <w:t xml:space="preserve">1 </w:t>
            </w:r>
            <w:r w:rsidRPr="00BB11CD">
              <w:rPr>
                <w:rFonts w:ascii="Calibri" w:hAnsi="Calibri" w:cs="Calibri"/>
                <w:b/>
                <w:bCs/>
                <w:color w:val="000000"/>
                <w:sz w:val="20"/>
                <w:lang w:eastAsia="en-GB"/>
              </w:rPr>
              <w:t>operating profit</w:t>
            </w:r>
          </w:p>
        </w:tc>
        <w:tc>
          <w:tcPr>
            <w:tcW w:w="740" w:type="dxa"/>
            <w:gridSpan w:val="2"/>
            <w:tcBorders>
              <w:top w:val="nil"/>
              <w:left w:val="nil"/>
              <w:bottom w:val="nil"/>
              <w:right w:val="nil"/>
            </w:tcBorders>
            <w:shd w:val="clear" w:color="auto" w:fill="auto"/>
            <w:noWrap/>
            <w:vAlign w:val="center"/>
            <w:hideMark/>
          </w:tcPr>
          <w:p w14:paraId="3CDEC02D"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37</w:t>
            </w:r>
          </w:p>
        </w:tc>
        <w:tc>
          <w:tcPr>
            <w:tcW w:w="741" w:type="dxa"/>
            <w:gridSpan w:val="2"/>
            <w:tcBorders>
              <w:top w:val="nil"/>
              <w:left w:val="nil"/>
              <w:bottom w:val="nil"/>
              <w:right w:val="nil"/>
            </w:tcBorders>
            <w:shd w:val="clear" w:color="auto" w:fill="auto"/>
            <w:noWrap/>
            <w:vAlign w:val="center"/>
            <w:hideMark/>
          </w:tcPr>
          <w:p w14:paraId="487F4CB9" w14:textId="77777777" w:rsidR="00BB11CD" w:rsidRPr="00BB11CD" w:rsidRDefault="00BB11CD" w:rsidP="00BB11CD">
            <w:pPr>
              <w:jc w:val="right"/>
              <w:rPr>
                <w:rFonts w:ascii="Calibri" w:hAnsi="Calibri" w:cs="Calibri"/>
                <w:b/>
                <w:bCs/>
                <w:sz w:val="20"/>
                <w:lang w:eastAsia="en-GB"/>
              </w:rPr>
            </w:pPr>
            <w:r w:rsidRPr="00BB11CD">
              <w:rPr>
                <w:rFonts w:ascii="Calibri" w:hAnsi="Calibri" w:cs="Calibri"/>
                <w:b/>
                <w:bCs/>
                <w:sz w:val="20"/>
                <w:lang w:eastAsia="en-GB"/>
              </w:rPr>
              <w:t>134</w:t>
            </w:r>
          </w:p>
        </w:tc>
        <w:tc>
          <w:tcPr>
            <w:tcW w:w="741" w:type="dxa"/>
            <w:tcBorders>
              <w:top w:val="nil"/>
              <w:left w:val="nil"/>
              <w:bottom w:val="nil"/>
              <w:right w:val="single" w:sz="8" w:space="0" w:color="auto"/>
            </w:tcBorders>
            <w:shd w:val="clear" w:color="auto" w:fill="auto"/>
            <w:noWrap/>
            <w:vAlign w:val="center"/>
            <w:hideMark/>
          </w:tcPr>
          <w:p w14:paraId="56AF2EE5" w14:textId="77777777" w:rsidR="00BB11CD" w:rsidRPr="00BB11CD" w:rsidRDefault="00BB11CD" w:rsidP="00BB11CD">
            <w:pPr>
              <w:jc w:val="right"/>
              <w:rPr>
                <w:rFonts w:ascii="Calibri" w:hAnsi="Calibri" w:cs="Calibri"/>
                <w:b/>
                <w:bCs/>
                <w:color w:val="000000"/>
                <w:sz w:val="20"/>
                <w:lang w:eastAsia="en-GB"/>
              </w:rPr>
            </w:pPr>
            <w:r w:rsidRPr="00BB11CD">
              <w:rPr>
                <w:rFonts w:ascii="Calibri" w:hAnsi="Calibri" w:cs="Calibri"/>
                <w:b/>
                <w:bCs/>
                <w:color w:val="000000"/>
                <w:sz w:val="20"/>
                <w:lang w:eastAsia="en-GB"/>
              </w:rPr>
              <w:t>-72%</w:t>
            </w:r>
          </w:p>
        </w:tc>
        <w:tc>
          <w:tcPr>
            <w:tcW w:w="741" w:type="dxa"/>
            <w:gridSpan w:val="3"/>
            <w:tcBorders>
              <w:top w:val="nil"/>
              <w:left w:val="nil"/>
              <w:bottom w:val="nil"/>
              <w:right w:val="nil"/>
            </w:tcBorders>
            <w:shd w:val="clear" w:color="auto" w:fill="auto"/>
            <w:noWrap/>
            <w:vAlign w:val="center"/>
            <w:hideMark/>
          </w:tcPr>
          <w:p w14:paraId="19A6F14B"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69</w:t>
            </w:r>
          </w:p>
        </w:tc>
        <w:tc>
          <w:tcPr>
            <w:tcW w:w="741" w:type="dxa"/>
            <w:gridSpan w:val="2"/>
            <w:tcBorders>
              <w:top w:val="nil"/>
              <w:left w:val="nil"/>
              <w:bottom w:val="nil"/>
              <w:right w:val="nil"/>
            </w:tcBorders>
            <w:shd w:val="clear" w:color="auto" w:fill="auto"/>
            <w:noWrap/>
            <w:vAlign w:val="center"/>
            <w:hideMark/>
          </w:tcPr>
          <w:p w14:paraId="34838584"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119</w:t>
            </w:r>
          </w:p>
        </w:tc>
        <w:tc>
          <w:tcPr>
            <w:tcW w:w="741" w:type="dxa"/>
            <w:tcBorders>
              <w:top w:val="nil"/>
              <w:left w:val="nil"/>
              <w:bottom w:val="nil"/>
              <w:right w:val="single" w:sz="8" w:space="0" w:color="auto"/>
            </w:tcBorders>
            <w:shd w:val="clear" w:color="auto" w:fill="auto"/>
            <w:noWrap/>
            <w:vAlign w:val="center"/>
            <w:hideMark/>
          </w:tcPr>
          <w:p w14:paraId="34A5E66E"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-42%</w:t>
            </w:r>
          </w:p>
        </w:tc>
        <w:tc>
          <w:tcPr>
            <w:tcW w:w="741" w:type="dxa"/>
            <w:gridSpan w:val="2"/>
            <w:tcBorders>
              <w:top w:val="nil"/>
              <w:left w:val="nil"/>
              <w:bottom w:val="nil"/>
              <w:right w:val="nil"/>
            </w:tcBorders>
            <w:shd w:val="clear" w:color="auto" w:fill="auto"/>
            <w:noWrap/>
            <w:vAlign w:val="center"/>
            <w:hideMark/>
          </w:tcPr>
          <w:p w14:paraId="5B85DCC1"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(31)</w:t>
            </w:r>
          </w:p>
        </w:tc>
        <w:tc>
          <w:tcPr>
            <w:tcW w:w="741" w:type="dxa"/>
            <w:gridSpan w:val="2"/>
            <w:tcBorders>
              <w:top w:val="nil"/>
              <w:left w:val="nil"/>
              <w:bottom w:val="nil"/>
              <w:right w:val="nil"/>
            </w:tcBorders>
            <w:shd w:val="clear" w:color="auto" w:fill="auto"/>
            <w:noWrap/>
            <w:vAlign w:val="center"/>
            <w:hideMark/>
          </w:tcPr>
          <w:p w14:paraId="3972CD4D" w14:textId="77777777" w:rsidR="00BB11CD" w:rsidRPr="00BB11CD" w:rsidRDefault="00BB11CD" w:rsidP="00BB11CD">
            <w:pPr>
              <w:jc w:val="right"/>
              <w:rPr>
                <w:rFonts w:ascii="Calibri" w:hAnsi="Calibri" w:cs="Calibri"/>
                <w:b/>
                <w:bCs/>
                <w:i/>
                <w:iCs/>
                <w:sz w:val="20"/>
                <w:lang w:eastAsia="en-GB"/>
              </w:rPr>
            </w:pPr>
            <w:r w:rsidRPr="00BB11CD">
              <w:rPr>
                <w:rFonts w:ascii="Calibri" w:hAnsi="Calibri" w:cs="Calibri"/>
                <w:b/>
                <w:bCs/>
                <w:i/>
                <w:iCs/>
                <w:sz w:val="20"/>
                <w:lang w:eastAsia="en-GB"/>
              </w:rPr>
              <w:t>16</w:t>
            </w:r>
          </w:p>
        </w:tc>
        <w:tc>
          <w:tcPr>
            <w:tcW w:w="741" w:type="dxa"/>
            <w:tcBorders>
              <w:top w:val="nil"/>
              <w:left w:val="nil"/>
              <w:bottom w:val="nil"/>
              <w:right w:val="single" w:sz="8" w:space="0" w:color="auto"/>
            </w:tcBorders>
            <w:shd w:val="clear" w:color="auto" w:fill="auto"/>
            <w:noWrap/>
            <w:vAlign w:val="center"/>
            <w:hideMark/>
          </w:tcPr>
          <w:p w14:paraId="043AE01D" w14:textId="77777777" w:rsidR="00BB11CD" w:rsidRPr="00BB11CD" w:rsidRDefault="00BB11CD" w:rsidP="00BB11CD">
            <w:pPr>
              <w:jc w:val="right"/>
              <w:rPr>
                <w:rFonts w:ascii="Calibri" w:hAnsi="Calibri" w:cs="Calibri"/>
                <w:b/>
                <w:bCs/>
                <w:i/>
                <w:iCs/>
                <w:color w:val="000000"/>
                <w:sz w:val="20"/>
                <w:lang w:eastAsia="en-GB"/>
              </w:rPr>
            </w:pPr>
            <w:r w:rsidRPr="00BB11CD">
              <w:rPr>
                <w:rFonts w:ascii="Calibri" w:hAnsi="Calibri" w:cs="Calibri"/>
                <w:b/>
                <w:bCs/>
                <w:i/>
                <w:iCs/>
                <w:color w:val="000000"/>
                <w:sz w:val="20"/>
                <w:lang w:eastAsia="en-GB"/>
              </w:rPr>
              <w:t>-295%</w:t>
            </w:r>
          </w:p>
        </w:tc>
      </w:tr>
      <w:tr w:rsidR="00BB11CD" w:rsidRPr="00BB11CD" w14:paraId="0D67A424" w14:textId="77777777" w:rsidTr="003F3314">
        <w:trPr>
          <w:trHeight w:val="34"/>
        </w:trPr>
        <w:tc>
          <w:tcPr>
            <w:tcW w:w="2748" w:type="dxa"/>
            <w:tcBorders>
              <w:top w:val="nil"/>
              <w:left w:val="single" w:sz="8" w:space="0" w:color="auto"/>
              <w:bottom w:val="single" w:sz="8" w:space="0" w:color="auto"/>
              <w:right w:val="nil"/>
            </w:tcBorders>
            <w:shd w:val="clear" w:color="auto" w:fill="auto"/>
            <w:noWrap/>
            <w:vAlign w:val="center"/>
            <w:hideMark/>
          </w:tcPr>
          <w:p w14:paraId="605BAF60" w14:textId="77777777" w:rsidR="00BB11CD" w:rsidRPr="00BB11CD" w:rsidRDefault="00BB11CD" w:rsidP="00BB11CD">
            <w:pPr>
              <w:jc w:val="both"/>
              <w:rPr>
                <w:rFonts w:ascii="Calibri" w:hAnsi="Calibri" w:cs="Calibri"/>
                <w:b/>
                <w:bCs/>
                <w:color w:val="FF0000"/>
                <w:sz w:val="2"/>
                <w:szCs w:val="2"/>
                <w:lang w:eastAsia="en-GB"/>
              </w:rPr>
            </w:pPr>
            <w:r w:rsidRPr="00BB11CD">
              <w:rPr>
                <w:rFonts w:ascii="Calibri" w:hAnsi="Calibri" w:cs="Calibri"/>
                <w:b/>
                <w:bCs/>
                <w:color w:val="FF0000"/>
                <w:sz w:val="2"/>
                <w:szCs w:val="2"/>
                <w:lang w:eastAsia="en-GB"/>
              </w:rPr>
              <w:t> </w:t>
            </w:r>
          </w:p>
        </w:tc>
        <w:tc>
          <w:tcPr>
            <w:tcW w:w="651" w:type="dxa"/>
            <w:tcBorders>
              <w:top w:val="nil"/>
              <w:left w:val="nil"/>
              <w:bottom w:val="single" w:sz="8" w:space="0" w:color="auto"/>
              <w:right w:val="nil"/>
            </w:tcBorders>
            <w:shd w:val="clear" w:color="auto" w:fill="auto"/>
            <w:noWrap/>
            <w:vAlign w:val="center"/>
            <w:hideMark/>
          </w:tcPr>
          <w:p w14:paraId="3863D496" w14:textId="77777777" w:rsidR="00BB11CD" w:rsidRPr="00BB11CD" w:rsidRDefault="00BB11CD" w:rsidP="00BB11CD">
            <w:pPr>
              <w:jc w:val="right"/>
              <w:rPr>
                <w:rFonts w:ascii="Calibri" w:hAnsi="Calibri" w:cs="Calibri"/>
                <w:b/>
                <w:bCs/>
                <w:color w:val="FF0000"/>
                <w:sz w:val="2"/>
                <w:szCs w:val="2"/>
                <w:lang w:eastAsia="en-GB"/>
              </w:rPr>
            </w:pPr>
            <w:r w:rsidRPr="00BB11CD">
              <w:rPr>
                <w:rFonts w:ascii="Calibri" w:hAnsi="Calibri" w:cs="Calibri"/>
                <w:b/>
                <w:bCs/>
                <w:color w:val="FF0000"/>
                <w:sz w:val="2"/>
                <w:szCs w:val="2"/>
                <w:lang w:eastAsia="en-GB"/>
              </w:rPr>
              <w:t> </w:t>
            </w:r>
          </w:p>
        </w:tc>
        <w:tc>
          <w:tcPr>
            <w:tcW w:w="651" w:type="dxa"/>
            <w:gridSpan w:val="2"/>
            <w:tcBorders>
              <w:top w:val="nil"/>
              <w:left w:val="nil"/>
              <w:bottom w:val="single" w:sz="8" w:space="0" w:color="auto"/>
              <w:right w:val="nil"/>
            </w:tcBorders>
            <w:shd w:val="clear" w:color="auto" w:fill="auto"/>
            <w:noWrap/>
            <w:vAlign w:val="center"/>
            <w:hideMark/>
          </w:tcPr>
          <w:p w14:paraId="68DF48BE" w14:textId="77777777" w:rsidR="00BB11CD" w:rsidRPr="00BB11CD" w:rsidRDefault="00BB11CD" w:rsidP="00BB11CD">
            <w:pPr>
              <w:jc w:val="right"/>
              <w:rPr>
                <w:rFonts w:ascii="Calibri" w:hAnsi="Calibri" w:cs="Calibri"/>
                <w:b/>
                <w:bCs/>
                <w:sz w:val="2"/>
                <w:szCs w:val="2"/>
                <w:lang w:eastAsia="en-GB"/>
              </w:rPr>
            </w:pPr>
            <w:r w:rsidRPr="00BB11CD">
              <w:rPr>
                <w:rFonts w:ascii="Calibri" w:hAnsi="Calibri" w:cs="Calibri"/>
                <w:b/>
                <w:bCs/>
                <w:sz w:val="2"/>
                <w:szCs w:val="2"/>
                <w:lang w:eastAsia="en-GB"/>
              </w:rPr>
              <w:t> </w:t>
            </w:r>
          </w:p>
        </w:tc>
        <w:tc>
          <w:tcPr>
            <w:tcW w:w="926" w:type="dxa"/>
            <w:gridSpan w:val="3"/>
            <w:tcBorders>
              <w:top w:val="nil"/>
              <w:left w:val="nil"/>
              <w:bottom w:val="single" w:sz="8" w:space="0" w:color="auto"/>
              <w:right w:val="single" w:sz="8" w:space="0" w:color="auto"/>
            </w:tcBorders>
            <w:shd w:val="clear" w:color="auto" w:fill="auto"/>
            <w:noWrap/>
            <w:vAlign w:val="center"/>
            <w:hideMark/>
          </w:tcPr>
          <w:p w14:paraId="58F6A173" w14:textId="77777777" w:rsidR="00BB11CD" w:rsidRPr="00BB11CD" w:rsidRDefault="00BB11CD" w:rsidP="00BB11CD">
            <w:pPr>
              <w:jc w:val="right"/>
              <w:rPr>
                <w:rFonts w:ascii="Calibri" w:hAnsi="Calibri" w:cs="Calibri"/>
                <w:b/>
                <w:bCs/>
                <w:color w:val="FF0000"/>
                <w:sz w:val="2"/>
                <w:szCs w:val="2"/>
                <w:lang w:eastAsia="en-GB"/>
              </w:rPr>
            </w:pPr>
            <w:r w:rsidRPr="00BB11CD">
              <w:rPr>
                <w:rFonts w:ascii="Calibri" w:hAnsi="Calibri" w:cs="Calibri"/>
                <w:b/>
                <w:bCs/>
                <w:color w:val="FF0000"/>
                <w:sz w:val="2"/>
                <w:szCs w:val="2"/>
                <w:lang w:eastAsia="en-GB"/>
              </w:rPr>
              <w:t> </w:t>
            </w:r>
          </w:p>
        </w:tc>
        <w:tc>
          <w:tcPr>
            <w:tcW w:w="668" w:type="dxa"/>
            <w:tcBorders>
              <w:top w:val="nil"/>
              <w:left w:val="nil"/>
              <w:bottom w:val="single" w:sz="8" w:space="0" w:color="auto"/>
              <w:right w:val="nil"/>
            </w:tcBorders>
            <w:shd w:val="clear" w:color="auto" w:fill="auto"/>
            <w:noWrap/>
            <w:vAlign w:val="center"/>
            <w:hideMark/>
          </w:tcPr>
          <w:p w14:paraId="089C9F5C" w14:textId="77777777" w:rsidR="00BB11CD" w:rsidRPr="00BB11CD" w:rsidRDefault="00BB11CD" w:rsidP="00BB11CD">
            <w:pPr>
              <w:jc w:val="right"/>
              <w:rPr>
                <w:rFonts w:ascii="Calibri" w:hAnsi="Calibri" w:cs="Calibri"/>
                <w:b/>
                <w:bCs/>
                <w:i/>
                <w:iCs/>
                <w:color w:val="FF0000"/>
                <w:sz w:val="2"/>
                <w:szCs w:val="2"/>
                <w:lang w:eastAsia="en-GB"/>
              </w:rPr>
            </w:pPr>
            <w:r w:rsidRPr="00BB11CD">
              <w:rPr>
                <w:rFonts w:ascii="Calibri" w:hAnsi="Calibri" w:cs="Calibri"/>
                <w:b/>
                <w:bCs/>
                <w:i/>
                <w:iCs/>
                <w:color w:val="FF0000"/>
                <w:sz w:val="2"/>
                <w:szCs w:val="2"/>
                <w:lang w:eastAsia="en-GB"/>
              </w:rPr>
              <w:t> </w:t>
            </w:r>
          </w:p>
        </w:tc>
        <w:tc>
          <w:tcPr>
            <w:tcW w:w="654" w:type="dxa"/>
            <w:gridSpan w:val="2"/>
            <w:tcBorders>
              <w:top w:val="nil"/>
              <w:left w:val="nil"/>
              <w:bottom w:val="single" w:sz="8" w:space="0" w:color="auto"/>
              <w:right w:val="nil"/>
            </w:tcBorders>
            <w:shd w:val="clear" w:color="auto" w:fill="auto"/>
            <w:noWrap/>
            <w:vAlign w:val="center"/>
            <w:hideMark/>
          </w:tcPr>
          <w:p w14:paraId="7B9A3315" w14:textId="77777777" w:rsidR="00BB11CD" w:rsidRPr="00BB11CD" w:rsidRDefault="00BB11CD" w:rsidP="00BB11CD">
            <w:pPr>
              <w:jc w:val="right"/>
              <w:rPr>
                <w:rFonts w:ascii="Calibri" w:hAnsi="Calibri" w:cs="Calibri"/>
                <w:b/>
                <w:bCs/>
                <w:i/>
                <w:iCs/>
                <w:sz w:val="2"/>
                <w:szCs w:val="2"/>
                <w:lang w:eastAsia="en-GB"/>
              </w:rPr>
            </w:pPr>
            <w:r w:rsidRPr="00BB11CD">
              <w:rPr>
                <w:rFonts w:ascii="Calibri" w:hAnsi="Calibri" w:cs="Calibri"/>
                <w:b/>
                <w:bCs/>
                <w:i/>
                <w:iCs/>
                <w:sz w:val="2"/>
                <w:szCs w:val="2"/>
                <w:lang w:eastAsia="en-GB"/>
              </w:rPr>
              <w:t> </w:t>
            </w:r>
          </w:p>
        </w:tc>
        <w:tc>
          <w:tcPr>
            <w:tcW w:w="898" w:type="dxa"/>
            <w:gridSpan w:val="2"/>
            <w:tcBorders>
              <w:top w:val="nil"/>
              <w:left w:val="nil"/>
              <w:bottom w:val="single" w:sz="8" w:space="0" w:color="auto"/>
              <w:right w:val="single" w:sz="8" w:space="0" w:color="auto"/>
            </w:tcBorders>
            <w:shd w:val="clear" w:color="auto" w:fill="auto"/>
            <w:noWrap/>
            <w:vAlign w:val="center"/>
            <w:hideMark/>
          </w:tcPr>
          <w:p w14:paraId="65A6A257" w14:textId="77777777" w:rsidR="00BB11CD" w:rsidRPr="00BB11CD" w:rsidRDefault="00BB11CD" w:rsidP="00BB11CD">
            <w:pPr>
              <w:jc w:val="right"/>
              <w:rPr>
                <w:rFonts w:ascii="Calibri" w:hAnsi="Calibri" w:cs="Calibri"/>
                <w:b/>
                <w:bCs/>
                <w:i/>
                <w:iCs/>
                <w:color w:val="FF0000"/>
                <w:sz w:val="2"/>
                <w:szCs w:val="2"/>
                <w:lang w:eastAsia="en-GB"/>
              </w:rPr>
            </w:pPr>
            <w:r w:rsidRPr="00BB11CD">
              <w:rPr>
                <w:rFonts w:ascii="Calibri" w:hAnsi="Calibri" w:cs="Calibri"/>
                <w:b/>
                <w:bCs/>
                <w:i/>
                <w:iCs/>
                <w:color w:val="FF0000"/>
                <w:sz w:val="2"/>
                <w:szCs w:val="2"/>
                <w:lang w:eastAsia="en-GB"/>
              </w:rPr>
              <w:t> </w:t>
            </w:r>
          </w:p>
        </w:tc>
        <w:tc>
          <w:tcPr>
            <w:tcW w:w="706" w:type="dxa"/>
            <w:tcBorders>
              <w:top w:val="nil"/>
              <w:left w:val="nil"/>
              <w:bottom w:val="single" w:sz="8" w:space="0" w:color="auto"/>
              <w:right w:val="nil"/>
            </w:tcBorders>
            <w:shd w:val="clear" w:color="auto" w:fill="auto"/>
            <w:noWrap/>
            <w:vAlign w:val="center"/>
            <w:hideMark/>
          </w:tcPr>
          <w:p w14:paraId="44AECB3B" w14:textId="77777777" w:rsidR="00BB11CD" w:rsidRPr="00BB11CD" w:rsidRDefault="00BB11CD" w:rsidP="00BB11CD">
            <w:pPr>
              <w:jc w:val="right"/>
              <w:rPr>
                <w:rFonts w:ascii="Calibri" w:hAnsi="Calibri" w:cs="Calibri"/>
                <w:b/>
                <w:bCs/>
                <w:i/>
                <w:iCs/>
                <w:color w:val="FF0000"/>
                <w:sz w:val="2"/>
                <w:szCs w:val="2"/>
                <w:lang w:eastAsia="en-GB"/>
              </w:rPr>
            </w:pPr>
            <w:r w:rsidRPr="00BB11CD">
              <w:rPr>
                <w:rFonts w:ascii="Calibri" w:hAnsi="Calibri" w:cs="Calibri"/>
                <w:b/>
                <w:bCs/>
                <w:i/>
                <w:iCs/>
                <w:color w:val="FF0000"/>
                <w:sz w:val="2"/>
                <w:szCs w:val="2"/>
                <w:lang w:eastAsia="en-GB"/>
              </w:rPr>
              <w:t> </w:t>
            </w:r>
          </w:p>
        </w:tc>
        <w:tc>
          <w:tcPr>
            <w:tcW w:w="617" w:type="dxa"/>
            <w:gridSpan w:val="2"/>
            <w:tcBorders>
              <w:top w:val="nil"/>
              <w:left w:val="nil"/>
              <w:bottom w:val="single" w:sz="8" w:space="0" w:color="auto"/>
              <w:right w:val="nil"/>
            </w:tcBorders>
            <w:shd w:val="clear" w:color="auto" w:fill="auto"/>
            <w:noWrap/>
            <w:vAlign w:val="center"/>
            <w:hideMark/>
          </w:tcPr>
          <w:p w14:paraId="00B7784B" w14:textId="77777777" w:rsidR="00BB11CD" w:rsidRPr="00BB11CD" w:rsidRDefault="00BB11CD" w:rsidP="00BB11CD">
            <w:pPr>
              <w:jc w:val="right"/>
              <w:rPr>
                <w:rFonts w:ascii="Calibri" w:hAnsi="Calibri" w:cs="Calibri"/>
                <w:b/>
                <w:bCs/>
                <w:i/>
                <w:iCs/>
                <w:sz w:val="2"/>
                <w:szCs w:val="2"/>
                <w:lang w:eastAsia="en-GB"/>
              </w:rPr>
            </w:pPr>
            <w:r w:rsidRPr="00BB11CD">
              <w:rPr>
                <w:rFonts w:ascii="Calibri" w:hAnsi="Calibri" w:cs="Calibri"/>
                <w:b/>
                <w:bCs/>
                <w:i/>
                <w:iCs/>
                <w:sz w:val="2"/>
                <w:szCs w:val="2"/>
                <w:lang w:eastAsia="en-GB"/>
              </w:rPr>
              <w:t> </w:t>
            </w:r>
          </w:p>
        </w:tc>
        <w:tc>
          <w:tcPr>
            <w:tcW w:w="897" w:type="dxa"/>
            <w:gridSpan w:val="2"/>
            <w:tcBorders>
              <w:top w:val="nil"/>
              <w:left w:val="nil"/>
              <w:bottom w:val="single" w:sz="8" w:space="0" w:color="auto"/>
              <w:right w:val="single" w:sz="8" w:space="0" w:color="auto"/>
            </w:tcBorders>
            <w:shd w:val="clear" w:color="auto" w:fill="auto"/>
            <w:noWrap/>
            <w:vAlign w:val="center"/>
            <w:hideMark/>
          </w:tcPr>
          <w:p w14:paraId="198E9144" w14:textId="77777777" w:rsidR="00BB11CD" w:rsidRPr="00BB11CD" w:rsidRDefault="00BB11CD" w:rsidP="00BB11CD">
            <w:pPr>
              <w:jc w:val="right"/>
              <w:rPr>
                <w:rFonts w:ascii="Calibri" w:hAnsi="Calibri" w:cs="Calibri"/>
                <w:b/>
                <w:bCs/>
                <w:i/>
                <w:iCs/>
                <w:color w:val="FF0000"/>
                <w:sz w:val="2"/>
                <w:szCs w:val="2"/>
                <w:lang w:eastAsia="en-GB"/>
              </w:rPr>
            </w:pPr>
            <w:r w:rsidRPr="00BB11CD">
              <w:rPr>
                <w:rFonts w:ascii="Calibri" w:hAnsi="Calibri" w:cs="Calibri"/>
                <w:b/>
                <w:bCs/>
                <w:i/>
                <w:iCs/>
                <w:color w:val="FF0000"/>
                <w:sz w:val="2"/>
                <w:szCs w:val="2"/>
                <w:lang w:eastAsia="en-GB"/>
              </w:rPr>
              <w:t> </w:t>
            </w:r>
          </w:p>
        </w:tc>
      </w:tr>
    </w:tbl>
    <w:p w14:paraId="5C10AE2A" w14:textId="77777777" w:rsidR="00942D68" w:rsidRPr="007C27AF" w:rsidRDefault="00942D68" w:rsidP="00942D68">
      <w:pPr>
        <w:spacing w:before="120" w:after="120"/>
        <w:jc w:val="both"/>
        <w:rPr>
          <w:rFonts w:asciiTheme="minorHAnsi" w:hAnsiTheme="minorHAnsi"/>
          <w:i/>
          <w:sz w:val="18"/>
          <w:szCs w:val="21"/>
        </w:rPr>
      </w:pPr>
      <w:r w:rsidRPr="007C27AF">
        <w:rPr>
          <w:rFonts w:asciiTheme="minorHAnsi" w:hAnsiTheme="minorHAnsi"/>
          <w:i/>
          <w:sz w:val="18"/>
          <w:szCs w:val="21"/>
        </w:rPr>
        <w:t>The PPB division operates the Paddy Power, Betfair and Adjarabet brands online</w:t>
      </w:r>
      <w:r w:rsidR="005E0BBF">
        <w:rPr>
          <w:rFonts w:asciiTheme="minorHAnsi" w:hAnsiTheme="minorHAnsi"/>
          <w:i/>
          <w:sz w:val="18"/>
          <w:szCs w:val="21"/>
        </w:rPr>
        <w:t xml:space="preserve">, as well as </w:t>
      </w:r>
      <w:r w:rsidRPr="007C27AF">
        <w:rPr>
          <w:rFonts w:asciiTheme="minorHAnsi" w:hAnsiTheme="minorHAnsi"/>
          <w:i/>
          <w:sz w:val="18"/>
          <w:szCs w:val="21"/>
        </w:rPr>
        <w:t xml:space="preserve">retail </w:t>
      </w:r>
      <w:r w:rsidR="005E0BBF">
        <w:rPr>
          <w:rFonts w:asciiTheme="minorHAnsi" w:hAnsiTheme="minorHAnsi"/>
          <w:i/>
          <w:sz w:val="18"/>
          <w:szCs w:val="21"/>
        </w:rPr>
        <w:t>operations in the UK and Ireland</w:t>
      </w:r>
      <w:r w:rsidRPr="007C27AF">
        <w:rPr>
          <w:rFonts w:asciiTheme="minorHAnsi" w:hAnsiTheme="minorHAnsi"/>
          <w:i/>
          <w:sz w:val="18"/>
          <w:szCs w:val="21"/>
        </w:rPr>
        <w:t xml:space="preserve">.  </w:t>
      </w:r>
    </w:p>
    <w:p w14:paraId="06F6627B" w14:textId="77777777" w:rsidR="00942D68" w:rsidRPr="00A96702" w:rsidRDefault="00942D68" w:rsidP="00856AC3">
      <w:pPr>
        <w:spacing w:before="80" w:after="80"/>
        <w:jc w:val="both"/>
        <w:rPr>
          <w:rFonts w:asciiTheme="minorHAnsi" w:hAnsiTheme="minorHAnsi"/>
          <w:sz w:val="21"/>
          <w:szCs w:val="21"/>
          <w:highlight w:val="yellow"/>
        </w:rPr>
      </w:pPr>
      <w:r>
        <w:rPr>
          <w:rFonts w:asciiTheme="minorHAnsi" w:hAnsiTheme="minorHAnsi"/>
          <w:sz w:val="21"/>
          <w:szCs w:val="21"/>
        </w:rPr>
        <w:t xml:space="preserve">Total revenue (online and retail combined) reduced 18% to £540m, leading to a 53% decline in Adjusted EBITDA. </w:t>
      </w:r>
    </w:p>
    <w:p w14:paraId="352CC2FB" w14:textId="77777777" w:rsidR="00942D68" w:rsidRPr="00D26615" w:rsidRDefault="00942D68" w:rsidP="00856AC3">
      <w:pPr>
        <w:spacing w:before="80"/>
        <w:jc w:val="both"/>
        <w:rPr>
          <w:rFonts w:asciiTheme="minorHAnsi" w:hAnsiTheme="minorHAnsi"/>
          <w:b/>
          <w:sz w:val="21"/>
          <w:szCs w:val="21"/>
        </w:rPr>
      </w:pPr>
      <w:r w:rsidRPr="00D26615">
        <w:rPr>
          <w:rFonts w:asciiTheme="minorHAnsi" w:hAnsiTheme="minorHAnsi"/>
          <w:b/>
          <w:sz w:val="21"/>
          <w:szCs w:val="21"/>
        </w:rPr>
        <w:t>Online</w:t>
      </w:r>
    </w:p>
    <w:p w14:paraId="1140D6CD" w14:textId="77777777" w:rsidR="00942D68" w:rsidRPr="00D8097A" w:rsidRDefault="00942D68" w:rsidP="00942D68">
      <w:pPr>
        <w:spacing w:after="120"/>
        <w:jc w:val="both"/>
        <w:rPr>
          <w:rFonts w:asciiTheme="minorHAnsi" w:hAnsiTheme="minorHAnsi"/>
          <w:color w:val="FF0000"/>
          <w:sz w:val="21"/>
          <w:szCs w:val="21"/>
        </w:rPr>
      </w:pPr>
      <w:r w:rsidRPr="00D8097A">
        <w:rPr>
          <w:rFonts w:asciiTheme="minorHAnsi" w:hAnsiTheme="minorHAnsi"/>
          <w:sz w:val="21"/>
          <w:szCs w:val="21"/>
        </w:rPr>
        <w:t>Total online net revenue declined 8% in H1 to £461m</w:t>
      </w:r>
      <w:r>
        <w:rPr>
          <w:rFonts w:asciiTheme="minorHAnsi" w:hAnsiTheme="minorHAnsi"/>
          <w:sz w:val="21"/>
          <w:szCs w:val="21"/>
        </w:rPr>
        <w:t>,</w:t>
      </w:r>
      <w:r w:rsidRPr="00D8097A">
        <w:rPr>
          <w:rFonts w:asciiTheme="minorHAnsi" w:hAnsiTheme="minorHAnsi"/>
          <w:sz w:val="21"/>
          <w:szCs w:val="21"/>
        </w:rPr>
        <w:t xml:space="preserve"> with a 21% </w:t>
      </w:r>
      <w:r>
        <w:rPr>
          <w:rFonts w:asciiTheme="minorHAnsi" w:hAnsiTheme="minorHAnsi"/>
          <w:sz w:val="21"/>
          <w:szCs w:val="21"/>
        </w:rPr>
        <w:t xml:space="preserve">reduction </w:t>
      </w:r>
      <w:r w:rsidRPr="00D8097A">
        <w:rPr>
          <w:rFonts w:asciiTheme="minorHAnsi" w:hAnsiTheme="minorHAnsi"/>
          <w:sz w:val="21"/>
          <w:szCs w:val="21"/>
        </w:rPr>
        <w:t xml:space="preserve">in sports </w:t>
      </w:r>
      <w:r>
        <w:rPr>
          <w:rFonts w:asciiTheme="minorHAnsi" w:hAnsiTheme="minorHAnsi"/>
          <w:sz w:val="21"/>
          <w:szCs w:val="21"/>
        </w:rPr>
        <w:t>and 18</w:t>
      </w:r>
      <w:r w:rsidRPr="00D8097A">
        <w:rPr>
          <w:rFonts w:asciiTheme="minorHAnsi" w:hAnsiTheme="minorHAnsi"/>
          <w:sz w:val="21"/>
          <w:szCs w:val="21"/>
        </w:rPr>
        <w:t>% increase in gaming.</w:t>
      </w:r>
      <w:r>
        <w:rPr>
          <w:rFonts w:asciiTheme="minorHAnsi" w:hAnsiTheme="minorHAnsi"/>
          <w:sz w:val="21"/>
          <w:szCs w:val="21"/>
        </w:rPr>
        <w:t xml:space="preserve"> </w:t>
      </w:r>
    </w:p>
    <w:p w14:paraId="7F7D321D" w14:textId="77777777" w:rsidR="00942D68" w:rsidRDefault="00942D68" w:rsidP="00942D68">
      <w:pPr>
        <w:spacing w:after="120"/>
        <w:jc w:val="both"/>
        <w:rPr>
          <w:rFonts w:asciiTheme="minorHAnsi" w:hAnsiTheme="minorHAnsi"/>
          <w:sz w:val="21"/>
          <w:szCs w:val="21"/>
        </w:rPr>
      </w:pPr>
      <w:r>
        <w:rPr>
          <w:rFonts w:asciiTheme="minorHAnsi" w:hAnsiTheme="minorHAnsi"/>
          <w:sz w:val="21"/>
          <w:szCs w:val="21"/>
        </w:rPr>
        <w:t>S</w:t>
      </w:r>
      <w:r w:rsidRPr="00D8097A">
        <w:rPr>
          <w:rFonts w:asciiTheme="minorHAnsi" w:hAnsiTheme="minorHAnsi"/>
          <w:sz w:val="21"/>
          <w:szCs w:val="21"/>
        </w:rPr>
        <w:t xml:space="preserve">portsbook </w:t>
      </w:r>
      <w:r>
        <w:rPr>
          <w:rFonts w:asciiTheme="minorHAnsi" w:hAnsiTheme="minorHAnsi"/>
          <w:sz w:val="21"/>
          <w:szCs w:val="21"/>
        </w:rPr>
        <w:t xml:space="preserve">stakes </w:t>
      </w:r>
      <w:r w:rsidR="00790963">
        <w:rPr>
          <w:rFonts w:asciiTheme="minorHAnsi" w:hAnsiTheme="minorHAnsi"/>
          <w:sz w:val="21"/>
          <w:szCs w:val="21"/>
        </w:rPr>
        <w:t xml:space="preserve">reduced </w:t>
      </w:r>
      <w:r>
        <w:rPr>
          <w:rFonts w:asciiTheme="minorHAnsi" w:hAnsiTheme="minorHAnsi"/>
          <w:sz w:val="21"/>
          <w:szCs w:val="21"/>
        </w:rPr>
        <w:t>32% due to Covid-19 disruption, partly offset by a 25</w:t>
      </w:r>
      <w:r w:rsidRPr="00D8097A">
        <w:rPr>
          <w:rFonts w:asciiTheme="minorHAnsi" w:hAnsiTheme="minorHAnsi"/>
          <w:sz w:val="21"/>
          <w:szCs w:val="21"/>
        </w:rPr>
        <w:t>0 basis point increase in net revenue margin</w:t>
      </w:r>
      <w:r>
        <w:rPr>
          <w:rFonts w:asciiTheme="minorHAnsi" w:hAnsiTheme="minorHAnsi"/>
          <w:sz w:val="21"/>
          <w:szCs w:val="21"/>
        </w:rPr>
        <w:t>. The margin improvement reflected a 2</w:t>
      </w:r>
      <w:r w:rsidR="00453AFA">
        <w:rPr>
          <w:rFonts w:asciiTheme="minorHAnsi" w:hAnsiTheme="minorHAnsi"/>
          <w:sz w:val="21"/>
          <w:szCs w:val="21"/>
        </w:rPr>
        <w:t>2</w:t>
      </w:r>
      <w:r>
        <w:rPr>
          <w:rFonts w:asciiTheme="minorHAnsi" w:hAnsiTheme="minorHAnsi"/>
          <w:sz w:val="21"/>
          <w:szCs w:val="21"/>
        </w:rPr>
        <w:t xml:space="preserve">0 basis point benefit from favourable sports results and increased </w:t>
      </w:r>
      <w:r w:rsidR="005E20CD">
        <w:rPr>
          <w:rFonts w:asciiTheme="minorHAnsi" w:hAnsiTheme="minorHAnsi"/>
          <w:sz w:val="21"/>
          <w:szCs w:val="21"/>
        </w:rPr>
        <w:t xml:space="preserve">customer </w:t>
      </w:r>
      <w:r>
        <w:rPr>
          <w:rFonts w:asciiTheme="minorHAnsi" w:hAnsiTheme="minorHAnsi"/>
          <w:sz w:val="21"/>
          <w:szCs w:val="21"/>
        </w:rPr>
        <w:t>interest in less mainstream</w:t>
      </w:r>
      <w:r w:rsidRPr="00D8097A">
        <w:rPr>
          <w:rFonts w:asciiTheme="minorHAnsi" w:hAnsiTheme="minorHAnsi"/>
          <w:sz w:val="21"/>
          <w:szCs w:val="21"/>
        </w:rPr>
        <w:t xml:space="preserve"> </w:t>
      </w:r>
      <w:r>
        <w:rPr>
          <w:rFonts w:asciiTheme="minorHAnsi" w:hAnsiTheme="minorHAnsi"/>
          <w:sz w:val="21"/>
          <w:szCs w:val="21"/>
        </w:rPr>
        <w:t xml:space="preserve">sports. Sportsbook revenue declined 9% in H1 as a result. Exchange and B2B revenue </w:t>
      </w:r>
      <w:r w:rsidR="00790963">
        <w:rPr>
          <w:rFonts w:asciiTheme="minorHAnsi" w:hAnsiTheme="minorHAnsi"/>
          <w:sz w:val="21"/>
          <w:szCs w:val="21"/>
        </w:rPr>
        <w:t xml:space="preserve">reduced </w:t>
      </w:r>
      <w:r>
        <w:rPr>
          <w:rFonts w:asciiTheme="minorHAnsi" w:hAnsiTheme="minorHAnsi"/>
          <w:sz w:val="21"/>
          <w:szCs w:val="21"/>
        </w:rPr>
        <w:t>40% year-on-year</w:t>
      </w:r>
      <w:r w:rsidR="00E23C76">
        <w:rPr>
          <w:rFonts w:asciiTheme="minorHAnsi" w:hAnsiTheme="minorHAnsi"/>
          <w:sz w:val="21"/>
          <w:szCs w:val="21"/>
        </w:rPr>
        <w:t xml:space="preserve"> given its </w:t>
      </w:r>
      <w:r>
        <w:rPr>
          <w:rFonts w:asciiTheme="minorHAnsi" w:hAnsiTheme="minorHAnsi"/>
          <w:sz w:val="21"/>
          <w:szCs w:val="21"/>
        </w:rPr>
        <w:t>high</w:t>
      </w:r>
      <w:r w:rsidR="00E23C76">
        <w:rPr>
          <w:rFonts w:asciiTheme="minorHAnsi" w:hAnsiTheme="minorHAnsi"/>
          <w:sz w:val="21"/>
          <w:szCs w:val="21"/>
        </w:rPr>
        <w:t>er</w:t>
      </w:r>
      <w:r>
        <w:rPr>
          <w:rFonts w:asciiTheme="minorHAnsi" w:hAnsiTheme="minorHAnsi"/>
          <w:sz w:val="21"/>
          <w:szCs w:val="21"/>
        </w:rPr>
        <w:t xml:space="preserve"> correlat</w:t>
      </w:r>
      <w:r w:rsidR="00E23C76">
        <w:rPr>
          <w:rFonts w:asciiTheme="minorHAnsi" w:hAnsiTheme="minorHAnsi"/>
          <w:sz w:val="21"/>
          <w:szCs w:val="21"/>
        </w:rPr>
        <w:t>ion</w:t>
      </w:r>
      <w:r>
        <w:rPr>
          <w:rFonts w:asciiTheme="minorHAnsi" w:hAnsiTheme="minorHAnsi"/>
          <w:sz w:val="21"/>
          <w:szCs w:val="21"/>
        </w:rPr>
        <w:t xml:space="preserve"> to the volume of sporting events. </w:t>
      </w:r>
      <w:r w:rsidR="00790963">
        <w:rPr>
          <w:rFonts w:asciiTheme="minorHAnsi" w:hAnsiTheme="minorHAnsi"/>
          <w:sz w:val="21"/>
          <w:szCs w:val="21"/>
        </w:rPr>
        <w:t>S</w:t>
      </w:r>
      <w:r>
        <w:rPr>
          <w:rFonts w:asciiTheme="minorHAnsi" w:hAnsiTheme="minorHAnsi"/>
          <w:sz w:val="21"/>
          <w:szCs w:val="21"/>
        </w:rPr>
        <w:t xml:space="preserve">ports revenue was 21% lower in H1, having been 19% higher in </w:t>
      </w:r>
      <w:r w:rsidR="00790963">
        <w:rPr>
          <w:rFonts w:asciiTheme="minorHAnsi" w:hAnsiTheme="minorHAnsi"/>
          <w:sz w:val="21"/>
          <w:szCs w:val="21"/>
        </w:rPr>
        <w:t xml:space="preserve">the </w:t>
      </w:r>
      <w:r>
        <w:rPr>
          <w:rFonts w:asciiTheme="minorHAnsi" w:hAnsiTheme="minorHAnsi"/>
          <w:sz w:val="21"/>
          <w:szCs w:val="21"/>
        </w:rPr>
        <w:t>pre</w:t>
      </w:r>
      <w:r w:rsidR="00790963">
        <w:rPr>
          <w:rFonts w:asciiTheme="minorHAnsi" w:hAnsiTheme="minorHAnsi"/>
          <w:sz w:val="21"/>
          <w:szCs w:val="21"/>
        </w:rPr>
        <w:t>-</w:t>
      </w:r>
      <w:r>
        <w:rPr>
          <w:rFonts w:asciiTheme="minorHAnsi" w:hAnsiTheme="minorHAnsi"/>
          <w:sz w:val="21"/>
          <w:szCs w:val="21"/>
        </w:rPr>
        <w:t>disrupt</w:t>
      </w:r>
      <w:r w:rsidR="003C44E8">
        <w:rPr>
          <w:rFonts w:asciiTheme="minorHAnsi" w:hAnsiTheme="minorHAnsi"/>
          <w:sz w:val="21"/>
          <w:szCs w:val="21"/>
        </w:rPr>
        <w:t>ed</w:t>
      </w:r>
      <w:r w:rsidR="00790963">
        <w:rPr>
          <w:rFonts w:asciiTheme="minorHAnsi" w:hAnsiTheme="minorHAnsi"/>
          <w:sz w:val="21"/>
          <w:szCs w:val="21"/>
        </w:rPr>
        <w:t xml:space="preserve"> period</w:t>
      </w:r>
      <w:r>
        <w:rPr>
          <w:rFonts w:asciiTheme="minorHAnsi" w:hAnsiTheme="minorHAnsi"/>
          <w:sz w:val="21"/>
          <w:szCs w:val="21"/>
        </w:rPr>
        <w:t>.</w:t>
      </w:r>
    </w:p>
    <w:p w14:paraId="00F872DB" w14:textId="77777777" w:rsidR="00942D68" w:rsidRDefault="002549A6" w:rsidP="00942D68">
      <w:pPr>
        <w:spacing w:after="120"/>
        <w:jc w:val="both"/>
        <w:rPr>
          <w:rFonts w:asciiTheme="minorHAnsi" w:hAnsiTheme="minorHAnsi"/>
          <w:sz w:val="21"/>
          <w:szCs w:val="21"/>
        </w:rPr>
      </w:pPr>
      <w:r>
        <w:rPr>
          <w:rFonts w:asciiTheme="minorHAnsi" w:hAnsiTheme="minorHAnsi"/>
          <w:sz w:val="21"/>
          <w:szCs w:val="21"/>
        </w:rPr>
        <w:t>G</w:t>
      </w:r>
      <w:r w:rsidR="00942D68">
        <w:rPr>
          <w:rFonts w:asciiTheme="minorHAnsi" w:hAnsiTheme="minorHAnsi"/>
          <w:sz w:val="21"/>
          <w:szCs w:val="21"/>
        </w:rPr>
        <w:t xml:space="preserve">aming revenue </w:t>
      </w:r>
      <w:r w:rsidR="00612479">
        <w:rPr>
          <w:rFonts w:asciiTheme="minorHAnsi" w:hAnsiTheme="minorHAnsi"/>
          <w:sz w:val="21"/>
          <w:szCs w:val="21"/>
        </w:rPr>
        <w:t>growth was</w:t>
      </w:r>
      <w:r w:rsidR="00942D68">
        <w:rPr>
          <w:rFonts w:asciiTheme="minorHAnsi" w:hAnsiTheme="minorHAnsi"/>
          <w:sz w:val="21"/>
          <w:szCs w:val="21"/>
        </w:rPr>
        <w:t xml:space="preserve"> driven by excellent customer growth. Average daily actives across our 3 brands grew 37%, </w:t>
      </w:r>
      <w:r w:rsidR="00E121E3">
        <w:rPr>
          <w:rFonts w:asciiTheme="minorHAnsi" w:hAnsiTheme="minorHAnsi"/>
          <w:sz w:val="21"/>
          <w:szCs w:val="21"/>
        </w:rPr>
        <w:t xml:space="preserve">helped by </w:t>
      </w:r>
      <w:r w:rsidR="00942D68">
        <w:rPr>
          <w:rFonts w:asciiTheme="minorHAnsi" w:hAnsiTheme="minorHAnsi"/>
          <w:sz w:val="21"/>
          <w:szCs w:val="21"/>
        </w:rPr>
        <w:t xml:space="preserve">some substitution of sports betting spend to gaming. Customer growth also reflected our continued focus on acquiring recreational customers. </w:t>
      </w:r>
    </w:p>
    <w:p w14:paraId="565AF9D3" w14:textId="77777777" w:rsidR="00942D68" w:rsidRDefault="00942D68" w:rsidP="00856AC3">
      <w:pPr>
        <w:spacing w:after="80"/>
        <w:jc w:val="both"/>
        <w:rPr>
          <w:rFonts w:asciiTheme="minorHAnsi" w:hAnsiTheme="minorHAnsi"/>
          <w:sz w:val="21"/>
          <w:szCs w:val="21"/>
        </w:rPr>
      </w:pPr>
      <w:r>
        <w:rPr>
          <w:rFonts w:asciiTheme="minorHAnsi" w:hAnsiTheme="minorHAnsi"/>
          <w:sz w:val="21"/>
          <w:szCs w:val="21"/>
        </w:rPr>
        <w:t xml:space="preserve">Cost of sales as a percentage of revenue increased 250 basis points, reflecting the full half impact of the increase in remote gaming duty </w:t>
      </w:r>
      <w:r w:rsidR="002549A6">
        <w:rPr>
          <w:rFonts w:asciiTheme="minorHAnsi" w:hAnsiTheme="minorHAnsi"/>
          <w:sz w:val="21"/>
          <w:szCs w:val="21"/>
        </w:rPr>
        <w:t xml:space="preserve">in the UK </w:t>
      </w:r>
      <w:r>
        <w:rPr>
          <w:rFonts w:asciiTheme="minorHAnsi" w:hAnsiTheme="minorHAnsi"/>
          <w:sz w:val="21"/>
          <w:szCs w:val="21"/>
        </w:rPr>
        <w:t xml:space="preserve">in April 2019 and a greater share of revenues coming from gaming rather than sports. </w:t>
      </w:r>
      <w:r w:rsidRPr="005B01CF">
        <w:rPr>
          <w:rFonts w:asciiTheme="minorHAnsi" w:hAnsiTheme="minorHAnsi"/>
          <w:sz w:val="21"/>
          <w:szCs w:val="21"/>
        </w:rPr>
        <w:t xml:space="preserve">Sales and </w:t>
      </w:r>
      <w:r>
        <w:rPr>
          <w:rFonts w:asciiTheme="minorHAnsi" w:hAnsiTheme="minorHAnsi"/>
          <w:sz w:val="21"/>
          <w:szCs w:val="21"/>
        </w:rPr>
        <w:t>m</w:t>
      </w:r>
      <w:r w:rsidRPr="005B01CF">
        <w:rPr>
          <w:rFonts w:asciiTheme="minorHAnsi" w:hAnsiTheme="minorHAnsi"/>
          <w:sz w:val="21"/>
          <w:szCs w:val="21"/>
        </w:rPr>
        <w:t>arketing costs were 4% lower year-on-year</w:t>
      </w:r>
      <w:r>
        <w:rPr>
          <w:rFonts w:asciiTheme="minorHAnsi" w:hAnsiTheme="minorHAnsi"/>
          <w:sz w:val="21"/>
          <w:szCs w:val="21"/>
        </w:rPr>
        <w:t xml:space="preserve"> but increased as a percentage of revenue (26.9% versus 25.9% in H1 2019)</w:t>
      </w:r>
      <w:r w:rsidRPr="005B01CF">
        <w:rPr>
          <w:rFonts w:asciiTheme="minorHAnsi" w:hAnsiTheme="minorHAnsi"/>
          <w:sz w:val="21"/>
          <w:szCs w:val="21"/>
        </w:rPr>
        <w:t>. Other operating</w:t>
      </w:r>
      <w:r>
        <w:rPr>
          <w:rFonts w:asciiTheme="minorHAnsi" w:hAnsiTheme="minorHAnsi"/>
          <w:sz w:val="21"/>
          <w:szCs w:val="21"/>
        </w:rPr>
        <w:t xml:space="preserve"> </w:t>
      </w:r>
      <w:r w:rsidRPr="005B01CF">
        <w:rPr>
          <w:rFonts w:asciiTheme="minorHAnsi" w:hAnsiTheme="minorHAnsi"/>
          <w:sz w:val="21"/>
          <w:szCs w:val="21"/>
        </w:rPr>
        <w:t xml:space="preserve">costs increased </w:t>
      </w:r>
      <w:r>
        <w:rPr>
          <w:rFonts w:asciiTheme="minorHAnsi" w:hAnsiTheme="minorHAnsi"/>
          <w:sz w:val="21"/>
          <w:szCs w:val="21"/>
        </w:rPr>
        <w:t xml:space="preserve">13% as a result of </w:t>
      </w:r>
      <w:r w:rsidRPr="005B01CF">
        <w:rPr>
          <w:rFonts w:asciiTheme="minorHAnsi" w:hAnsiTheme="minorHAnsi"/>
          <w:sz w:val="21"/>
          <w:szCs w:val="21"/>
        </w:rPr>
        <w:t xml:space="preserve">continued </w:t>
      </w:r>
      <w:r>
        <w:rPr>
          <w:rFonts w:asciiTheme="minorHAnsi" w:hAnsiTheme="minorHAnsi"/>
          <w:sz w:val="21"/>
          <w:szCs w:val="21"/>
        </w:rPr>
        <w:t xml:space="preserve">tech </w:t>
      </w:r>
      <w:r w:rsidRPr="005B01CF">
        <w:rPr>
          <w:rFonts w:asciiTheme="minorHAnsi" w:hAnsiTheme="minorHAnsi"/>
          <w:sz w:val="21"/>
          <w:szCs w:val="21"/>
        </w:rPr>
        <w:t xml:space="preserve">investment </w:t>
      </w:r>
      <w:r>
        <w:rPr>
          <w:rFonts w:asciiTheme="minorHAnsi" w:hAnsiTheme="minorHAnsi"/>
          <w:sz w:val="21"/>
          <w:szCs w:val="21"/>
        </w:rPr>
        <w:t xml:space="preserve">in </w:t>
      </w:r>
      <w:r w:rsidRPr="005B01CF">
        <w:rPr>
          <w:rFonts w:asciiTheme="minorHAnsi" w:hAnsiTheme="minorHAnsi"/>
          <w:sz w:val="21"/>
          <w:szCs w:val="21"/>
        </w:rPr>
        <w:t>personalisa</w:t>
      </w:r>
      <w:r>
        <w:rPr>
          <w:rFonts w:asciiTheme="minorHAnsi" w:hAnsiTheme="minorHAnsi"/>
          <w:sz w:val="21"/>
          <w:szCs w:val="21"/>
        </w:rPr>
        <w:t xml:space="preserve">tion and our overall gaming proposition. Online EBITDA declined 33% to £95m. </w:t>
      </w:r>
    </w:p>
    <w:p w14:paraId="7B2EEB51" w14:textId="77777777" w:rsidR="00942D68" w:rsidRPr="00582C04" w:rsidRDefault="00942D68" w:rsidP="00942D68">
      <w:pPr>
        <w:rPr>
          <w:rFonts w:asciiTheme="minorHAnsi" w:hAnsiTheme="minorHAnsi"/>
          <w:b/>
          <w:sz w:val="21"/>
          <w:szCs w:val="21"/>
        </w:rPr>
      </w:pPr>
      <w:r w:rsidRPr="00582C04">
        <w:rPr>
          <w:rFonts w:asciiTheme="minorHAnsi" w:hAnsiTheme="minorHAnsi"/>
          <w:b/>
          <w:sz w:val="21"/>
          <w:szCs w:val="21"/>
        </w:rPr>
        <w:t>Retail</w:t>
      </w:r>
    </w:p>
    <w:p w14:paraId="52067BA9" w14:textId="77777777" w:rsidR="00942D68" w:rsidRDefault="00942D68" w:rsidP="00942D68">
      <w:pPr>
        <w:jc w:val="both"/>
        <w:rPr>
          <w:rFonts w:asciiTheme="minorHAnsi" w:hAnsiTheme="minorHAnsi" w:cstheme="minorHAnsi"/>
          <w:sz w:val="21"/>
          <w:szCs w:val="21"/>
        </w:rPr>
      </w:pPr>
      <w:r>
        <w:rPr>
          <w:rFonts w:asciiTheme="minorHAnsi" w:hAnsiTheme="minorHAnsi"/>
          <w:sz w:val="21"/>
          <w:szCs w:val="21"/>
        </w:rPr>
        <w:t xml:space="preserve">PPB </w:t>
      </w:r>
      <w:r w:rsidRPr="00582C04">
        <w:rPr>
          <w:rFonts w:asciiTheme="minorHAnsi" w:hAnsiTheme="minorHAnsi"/>
          <w:sz w:val="21"/>
          <w:szCs w:val="21"/>
        </w:rPr>
        <w:t xml:space="preserve">Retail </w:t>
      </w:r>
      <w:r>
        <w:rPr>
          <w:rFonts w:asciiTheme="minorHAnsi" w:hAnsiTheme="minorHAnsi"/>
          <w:sz w:val="21"/>
          <w:szCs w:val="21"/>
        </w:rPr>
        <w:t xml:space="preserve">generated </w:t>
      </w:r>
      <w:r w:rsidRPr="00582C04">
        <w:rPr>
          <w:rFonts w:asciiTheme="minorHAnsi" w:hAnsiTheme="minorHAnsi"/>
          <w:sz w:val="21"/>
          <w:szCs w:val="21"/>
        </w:rPr>
        <w:t>an EBITDA loss of £</w:t>
      </w:r>
      <w:r>
        <w:rPr>
          <w:rFonts w:asciiTheme="minorHAnsi" w:hAnsiTheme="minorHAnsi"/>
          <w:sz w:val="21"/>
          <w:szCs w:val="21"/>
        </w:rPr>
        <w:t>10</w:t>
      </w:r>
      <w:r w:rsidRPr="00582C04">
        <w:rPr>
          <w:rFonts w:asciiTheme="minorHAnsi" w:hAnsiTheme="minorHAnsi"/>
          <w:sz w:val="21"/>
          <w:szCs w:val="21"/>
        </w:rPr>
        <w:t>m in</w:t>
      </w:r>
      <w:r w:rsidR="001679FA">
        <w:rPr>
          <w:rFonts w:asciiTheme="minorHAnsi" w:hAnsiTheme="minorHAnsi"/>
          <w:sz w:val="21"/>
          <w:szCs w:val="21"/>
        </w:rPr>
        <w:t xml:space="preserve"> H1</w:t>
      </w:r>
      <w:r>
        <w:rPr>
          <w:rFonts w:asciiTheme="minorHAnsi" w:hAnsiTheme="minorHAnsi"/>
          <w:sz w:val="21"/>
          <w:szCs w:val="21"/>
        </w:rPr>
        <w:t xml:space="preserve">, reflecting the closure of </w:t>
      </w:r>
      <w:r w:rsidR="00E23C76">
        <w:rPr>
          <w:rFonts w:asciiTheme="minorHAnsi" w:hAnsiTheme="minorHAnsi"/>
          <w:sz w:val="21"/>
          <w:szCs w:val="21"/>
        </w:rPr>
        <w:t xml:space="preserve">shops </w:t>
      </w:r>
      <w:r>
        <w:rPr>
          <w:rFonts w:asciiTheme="minorHAnsi" w:hAnsiTheme="minorHAnsi"/>
          <w:sz w:val="21"/>
          <w:szCs w:val="21"/>
        </w:rPr>
        <w:t>for around 2½ months</w:t>
      </w:r>
      <w:r w:rsidRPr="00582C04">
        <w:rPr>
          <w:rFonts w:asciiTheme="minorHAnsi" w:hAnsiTheme="minorHAnsi"/>
          <w:sz w:val="21"/>
          <w:szCs w:val="21"/>
        </w:rPr>
        <w:t xml:space="preserve">. </w:t>
      </w:r>
      <w:r w:rsidR="001679FA">
        <w:rPr>
          <w:rFonts w:asciiTheme="minorHAnsi" w:hAnsiTheme="minorHAnsi" w:cstheme="minorHAnsi"/>
          <w:sz w:val="21"/>
          <w:szCs w:val="21"/>
        </w:rPr>
        <w:t>P</w:t>
      </w:r>
      <w:r w:rsidRPr="00F96239">
        <w:rPr>
          <w:rFonts w:asciiTheme="minorHAnsi" w:hAnsiTheme="minorHAnsi" w:cstheme="minorHAnsi"/>
          <w:sz w:val="21"/>
          <w:szCs w:val="21"/>
        </w:rPr>
        <w:t xml:space="preserve">erformance prior to </w:t>
      </w:r>
      <w:r w:rsidR="00EE1D14">
        <w:rPr>
          <w:rFonts w:asciiTheme="minorHAnsi" w:hAnsiTheme="minorHAnsi" w:cstheme="minorHAnsi"/>
          <w:sz w:val="21"/>
          <w:szCs w:val="21"/>
        </w:rPr>
        <w:t xml:space="preserve">the </w:t>
      </w:r>
      <w:r w:rsidRPr="00F96239">
        <w:rPr>
          <w:rFonts w:asciiTheme="minorHAnsi" w:hAnsiTheme="minorHAnsi" w:cstheme="minorHAnsi"/>
          <w:sz w:val="21"/>
          <w:szCs w:val="21"/>
        </w:rPr>
        <w:t>closure</w:t>
      </w:r>
      <w:r w:rsidR="001679FA">
        <w:rPr>
          <w:rFonts w:asciiTheme="minorHAnsi" w:hAnsiTheme="minorHAnsi" w:cstheme="minorHAnsi"/>
          <w:sz w:val="21"/>
          <w:szCs w:val="21"/>
        </w:rPr>
        <w:t>s</w:t>
      </w:r>
      <w:r w:rsidRPr="00F96239">
        <w:rPr>
          <w:rFonts w:asciiTheme="minorHAnsi" w:hAnsiTheme="minorHAnsi" w:cstheme="minorHAnsi"/>
          <w:sz w:val="21"/>
          <w:szCs w:val="21"/>
        </w:rPr>
        <w:t xml:space="preserve"> </w:t>
      </w:r>
      <w:r w:rsidR="001679FA">
        <w:rPr>
          <w:rFonts w:asciiTheme="minorHAnsi" w:hAnsiTheme="minorHAnsi" w:cstheme="minorHAnsi"/>
          <w:sz w:val="21"/>
          <w:szCs w:val="21"/>
        </w:rPr>
        <w:t xml:space="preserve">was </w:t>
      </w:r>
      <w:r>
        <w:rPr>
          <w:rFonts w:asciiTheme="minorHAnsi" w:hAnsiTheme="minorHAnsi" w:cstheme="minorHAnsi"/>
          <w:sz w:val="21"/>
          <w:szCs w:val="21"/>
        </w:rPr>
        <w:t>encouraging,</w:t>
      </w:r>
      <w:r w:rsidRPr="00F96239">
        <w:rPr>
          <w:rFonts w:asciiTheme="minorHAnsi" w:hAnsiTheme="minorHAnsi" w:cstheme="minorHAnsi"/>
          <w:sz w:val="21"/>
          <w:szCs w:val="21"/>
        </w:rPr>
        <w:t xml:space="preserve"> with revenue growth of 13% in the </w:t>
      </w:r>
      <w:r w:rsidR="007F4631">
        <w:rPr>
          <w:rFonts w:asciiTheme="minorHAnsi" w:hAnsiTheme="minorHAnsi" w:cstheme="minorHAnsi"/>
          <w:sz w:val="21"/>
          <w:szCs w:val="21"/>
        </w:rPr>
        <w:t>pre-disrupt</w:t>
      </w:r>
      <w:r w:rsidR="003C44E8">
        <w:rPr>
          <w:rFonts w:asciiTheme="minorHAnsi" w:hAnsiTheme="minorHAnsi" w:cstheme="minorHAnsi"/>
          <w:sz w:val="21"/>
          <w:szCs w:val="21"/>
        </w:rPr>
        <w:t>ed</w:t>
      </w:r>
      <w:r w:rsidR="007F4631">
        <w:rPr>
          <w:rFonts w:asciiTheme="minorHAnsi" w:hAnsiTheme="minorHAnsi" w:cstheme="minorHAnsi"/>
          <w:sz w:val="21"/>
          <w:szCs w:val="21"/>
        </w:rPr>
        <w:t xml:space="preserve"> </w:t>
      </w:r>
      <w:r>
        <w:rPr>
          <w:rFonts w:asciiTheme="minorHAnsi" w:hAnsiTheme="minorHAnsi" w:cstheme="minorHAnsi"/>
          <w:sz w:val="21"/>
          <w:szCs w:val="21"/>
        </w:rPr>
        <w:t xml:space="preserve">period. This was delivered </w:t>
      </w:r>
      <w:r w:rsidRPr="00F96239">
        <w:rPr>
          <w:rFonts w:asciiTheme="minorHAnsi" w:hAnsiTheme="minorHAnsi" w:cstheme="minorHAnsi"/>
          <w:sz w:val="21"/>
          <w:szCs w:val="21"/>
        </w:rPr>
        <w:t xml:space="preserve">despite </w:t>
      </w:r>
      <w:r w:rsidR="001679FA">
        <w:rPr>
          <w:rFonts w:asciiTheme="minorHAnsi" w:hAnsiTheme="minorHAnsi" w:cstheme="minorHAnsi"/>
          <w:sz w:val="21"/>
          <w:szCs w:val="21"/>
        </w:rPr>
        <w:t xml:space="preserve">the </w:t>
      </w:r>
      <w:r>
        <w:rPr>
          <w:rFonts w:asciiTheme="minorHAnsi" w:hAnsiTheme="minorHAnsi" w:cstheme="minorHAnsi"/>
          <w:sz w:val="21"/>
          <w:szCs w:val="21"/>
        </w:rPr>
        <w:t xml:space="preserve">introduction of staking limits on UK </w:t>
      </w:r>
      <w:r w:rsidRPr="00F96239">
        <w:rPr>
          <w:rFonts w:asciiTheme="minorHAnsi" w:hAnsiTheme="minorHAnsi" w:cstheme="minorHAnsi"/>
          <w:sz w:val="21"/>
          <w:szCs w:val="21"/>
        </w:rPr>
        <w:t>gaming machines</w:t>
      </w:r>
      <w:r>
        <w:rPr>
          <w:rFonts w:asciiTheme="minorHAnsi" w:hAnsiTheme="minorHAnsi" w:cstheme="minorHAnsi"/>
          <w:sz w:val="21"/>
          <w:szCs w:val="21"/>
        </w:rPr>
        <w:t xml:space="preserve"> in April 2019.</w:t>
      </w:r>
      <w:r w:rsidRPr="00F96239">
        <w:rPr>
          <w:rFonts w:asciiTheme="minorHAnsi" w:hAnsiTheme="minorHAnsi" w:cstheme="minorHAnsi"/>
          <w:sz w:val="21"/>
          <w:szCs w:val="21"/>
        </w:rPr>
        <w:t xml:space="preserve"> Th</w:t>
      </w:r>
      <w:r>
        <w:rPr>
          <w:rFonts w:asciiTheme="minorHAnsi" w:hAnsiTheme="minorHAnsi" w:cstheme="minorHAnsi"/>
          <w:sz w:val="21"/>
          <w:szCs w:val="21"/>
        </w:rPr>
        <w:t>e</w:t>
      </w:r>
      <w:r w:rsidRPr="00F96239">
        <w:rPr>
          <w:rFonts w:asciiTheme="minorHAnsi" w:hAnsiTheme="minorHAnsi" w:cstheme="minorHAnsi"/>
          <w:sz w:val="21"/>
          <w:szCs w:val="21"/>
        </w:rPr>
        <w:t xml:space="preserve"> </w:t>
      </w:r>
      <w:r>
        <w:rPr>
          <w:rFonts w:asciiTheme="minorHAnsi" w:hAnsiTheme="minorHAnsi" w:cstheme="minorHAnsi"/>
          <w:sz w:val="21"/>
          <w:szCs w:val="21"/>
        </w:rPr>
        <w:t xml:space="preserve">strong </w:t>
      </w:r>
      <w:r w:rsidRPr="00F96239">
        <w:rPr>
          <w:rFonts w:asciiTheme="minorHAnsi" w:hAnsiTheme="minorHAnsi" w:cstheme="minorHAnsi"/>
          <w:sz w:val="21"/>
          <w:szCs w:val="21"/>
        </w:rPr>
        <w:t xml:space="preserve">performance </w:t>
      </w:r>
      <w:r>
        <w:rPr>
          <w:rFonts w:asciiTheme="minorHAnsi" w:hAnsiTheme="minorHAnsi" w:cstheme="minorHAnsi"/>
          <w:sz w:val="21"/>
          <w:szCs w:val="21"/>
        </w:rPr>
        <w:t xml:space="preserve">also </w:t>
      </w:r>
      <w:r w:rsidRPr="00F96239">
        <w:rPr>
          <w:rFonts w:asciiTheme="minorHAnsi" w:hAnsiTheme="minorHAnsi" w:cstheme="minorHAnsi"/>
          <w:sz w:val="21"/>
          <w:szCs w:val="21"/>
        </w:rPr>
        <w:t>reflect</w:t>
      </w:r>
      <w:r>
        <w:rPr>
          <w:rFonts w:asciiTheme="minorHAnsi" w:hAnsiTheme="minorHAnsi" w:cstheme="minorHAnsi"/>
          <w:sz w:val="21"/>
          <w:szCs w:val="21"/>
        </w:rPr>
        <w:t>ed</w:t>
      </w:r>
      <w:r w:rsidRPr="00F96239">
        <w:rPr>
          <w:rFonts w:asciiTheme="minorHAnsi" w:hAnsiTheme="minorHAnsi" w:cstheme="minorHAnsi"/>
          <w:sz w:val="21"/>
          <w:szCs w:val="21"/>
        </w:rPr>
        <w:t xml:space="preserve"> </w:t>
      </w:r>
      <w:r w:rsidR="00EE1D14">
        <w:rPr>
          <w:rFonts w:asciiTheme="minorHAnsi" w:hAnsiTheme="minorHAnsi" w:cstheme="minorHAnsi"/>
          <w:sz w:val="21"/>
          <w:szCs w:val="21"/>
        </w:rPr>
        <w:t xml:space="preserve">favourable </w:t>
      </w:r>
      <w:r w:rsidRPr="00F96239">
        <w:rPr>
          <w:rFonts w:asciiTheme="minorHAnsi" w:hAnsiTheme="minorHAnsi" w:cstheme="minorHAnsi"/>
          <w:sz w:val="21"/>
          <w:szCs w:val="21"/>
        </w:rPr>
        <w:t xml:space="preserve">sports results and </w:t>
      </w:r>
      <w:r w:rsidR="001679FA">
        <w:rPr>
          <w:rFonts w:asciiTheme="minorHAnsi" w:hAnsiTheme="minorHAnsi" w:cstheme="minorHAnsi"/>
          <w:sz w:val="21"/>
          <w:szCs w:val="21"/>
        </w:rPr>
        <w:t xml:space="preserve">an ongoing </w:t>
      </w:r>
      <w:r w:rsidRPr="00F96239">
        <w:rPr>
          <w:rFonts w:asciiTheme="minorHAnsi" w:hAnsiTheme="minorHAnsi" w:cstheme="minorHAnsi"/>
          <w:sz w:val="21"/>
          <w:szCs w:val="21"/>
        </w:rPr>
        <w:t xml:space="preserve">benefit </w:t>
      </w:r>
      <w:r w:rsidR="001679FA">
        <w:rPr>
          <w:rFonts w:asciiTheme="minorHAnsi" w:hAnsiTheme="minorHAnsi" w:cstheme="minorHAnsi"/>
          <w:sz w:val="21"/>
          <w:szCs w:val="21"/>
        </w:rPr>
        <w:t xml:space="preserve">from </w:t>
      </w:r>
      <w:r w:rsidRPr="00F96239">
        <w:rPr>
          <w:rFonts w:asciiTheme="minorHAnsi" w:hAnsiTheme="minorHAnsi" w:cstheme="minorHAnsi"/>
          <w:sz w:val="21"/>
          <w:szCs w:val="21"/>
        </w:rPr>
        <w:t xml:space="preserve">competitor closures. </w:t>
      </w:r>
      <w:r w:rsidR="00E23C76">
        <w:rPr>
          <w:rFonts w:asciiTheme="minorHAnsi" w:hAnsiTheme="minorHAnsi" w:cstheme="minorHAnsi"/>
          <w:sz w:val="21"/>
          <w:szCs w:val="21"/>
        </w:rPr>
        <w:t xml:space="preserve">Our </w:t>
      </w:r>
      <w:r w:rsidRPr="00F96239">
        <w:rPr>
          <w:rFonts w:asciiTheme="minorHAnsi" w:hAnsiTheme="minorHAnsi" w:cstheme="minorHAnsi"/>
          <w:sz w:val="21"/>
          <w:szCs w:val="21"/>
        </w:rPr>
        <w:t xml:space="preserve">shops re-opened </w:t>
      </w:r>
      <w:r>
        <w:rPr>
          <w:rFonts w:asciiTheme="minorHAnsi" w:hAnsiTheme="minorHAnsi" w:cstheme="minorHAnsi"/>
          <w:sz w:val="21"/>
          <w:szCs w:val="21"/>
        </w:rPr>
        <w:t xml:space="preserve">by the end of </w:t>
      </w:r>
      <w:r w:rsidRPr="00F96239">
        <w:rPr>
          <w:rFonts w:asciiTheme="minorHAnsi" w:hAnsiTheme="minorHAnsi" w:cstheme="minorHAnsi"/>
          <w:sz w:val="21"/>
          <w:szCs w:val="21"/>
        </w:rPr>
        <w:t xml:space="preserve">June and we have been pleased with customer activity </w:t>
      </w:r>
      <w:r w:rsidR="001679FA">
        <w:rPr>
          <w:rFonts w:asciiTheme="minorHAnsi" w:hAnsiTheme="minorHAnsi" w:cstheme="minorHAnsi"/>
          <w:sz w:val="21"/>
          <w:szCs w:val="21"/>
        </w:rPr>
        <w:t xml:space="preserve">levels </w:t>
      </w:r>
      <w:r>
        <w:rPr>
          <w:rFonts w:asciiTheme="minorHAnsi" w:hAnsiTheme="minorHAnsi" w:cstheme="minorHAnsi"/>
          <w:sz w:val="21"/>
          <w:szCs w:val="21"/>
        </w:rPr>
        <w:t xml:space="preserve">since. </w:t>
      </w:r>
      <w:r w:rsidRPr="00F96239">
        <w:rPr>
          <w:rFonts w:asciiTheme="minorHAnsi" w:hAnsiTheme="minorHAnsi" w:cstheme="minorHAnsi"/>
          <w:sz w:val="21"/>
          <w:szCs w:val="21"/>
        </w:rPr>
        <w:t xml:space="preserve">We </w:t>
      </w:r>
      <w:r w:rsidR="00EE1D14">
        <w:rPr>
          <w:rFonts w:asciiTheme="minorHAnsi" w:hAnsiTheme="minorHAnsi" w:cstheme="minorHAnsi"/>
          <w:sz w:val="21"/>
          <w:szCs w:val="21"/>
        </w:rPr>
        <w:t xml:space="preserve">remain confident that </w:t>
      </w:r>
      <w:r w:rsidRPr="00F96239">
        <w:rPr>
          <w:rFonts w:asciiTheme="minorHAnsi" w:hAnsiTheme="minorHAnsi" w:cstheme="minorHAnsi"/>
          <w:sz w:val="21"/>
          <w:szCs w:val="21"/>
        </w:rPr>
        <w:t xml:space="preserve">our estate can make further market share gains </w:t>
      </w:r>
      <w:r>
        <w:rPr>
          <w:rFonts w:asciiTheme="minorHAnsi" w:hAnsiTheme="minorHAnsi" w:cstheme="minorHAnsi"/>
          <w:sz w:val="21"/>
          <w:szCs w:val="21"/>
        </w:rPr>
        <w:t xml:space="preserve">as </w:t>
      </w:r>
      <w:r w:rsidRPr="00F96239">
        <w:rPr>
          <w:rFonts w:asciiTheme="minorHAnsi" w:hAnsiTheme="minorHAnsi" w:cstheme="minorHAnsi"/>
          <w:sz w:val="21"/>
          <w:szCs w:val="21"/>
        </w:rPr>
        <w:t>competitors continue to</w:t>
      </w:r>
      <w:r>
        <w:rPr>
          <w:rFonts w:asciiTheme="minorHAnsi" w:hAnsiTheme="minorHAnsi" w:cstheme="minorHAnsi"/>
          <w:sz w:val="21"/>
          <w:szCs w:val="21"/>
        </w:rPr>
        <w:t xml:space="preserve"> reduce </w:t>
      </w:r>
      <w:r w:rsidR="00EE1D14">
        <w:rPr>
          <w:rFonts w:asciiTheme="minorHAnsi" w:hAnsiTheme="minorHAnsi" w:cstheme="minorHAnsi"/>
          <w:sz w:val="21"/>
          <w:szCs w:val="21"/>
        </w:rPr>
        <w:t xml:space="preserve">the size of </w:t>
      </w:r>
      <w:r>
        <w:rPr>
          <w:rFonts w:asciiTheme="minorHAnsi" w:hAnsiTheme="minorHAnsi" w:cstheme="minorHAnsi"/>
          <w:sz w:val="21"/>
          <w:szCs w:val="21"/>
        </w:rPr>
        <w:t>their estates</w:t>
      </w:r>
      <w:r w:rsidRPr="00F96239">
        <w:rPr>
          <w:rFonts w:asciiTheme="minorHAnsi" w:hAnsiTheme="minorHAnsi" w:cstheme="minorHAnsi"/>
          <w:sz w:val="21"/>
          <w:szCs w:val="21"/>
        </w:rPr>
        <w:t>.</w:t>
      </w:r>
    </w:p>
    <w:p w14:paraId="5DC2D856" w14:textId="77777777" w:rsidR="004816A4" w:rsidRDefault="004816A4" w:rsidP="00856AC3">
      <w:pPr>
        <w:spacing w:after="120"/>
        <w:rPr>
          <w:rFonts w:asciiTheme="minorHAnsi" w:hAnsiTheme="minorHAnsi"/>
          <w:b/>
          <w:sz w:val="22"/>
          <w:szCs w:val="22"/>
        </w:rPr>
      </w:pPr>
    </w:p>
    <w:p w14:paraId="16F24232" w14:textId="77777777" w:rsidR="004816A4" w:rsidRDefault="004816A4" w:rsidP="00856AC3">
      <w:pPr>
        <w:spacing w:after="120"/>
        <w:rPr>
          <w:rFonts w:asciiTheme="minorHAnsi" w:hAnsiTheme="minorHAnsi"/>
          <w:b/>
          <w:sz w:val="22"/>
          <w:szCs w:val="22"/>
        </w:rPr>
      </w:pPr>
    </w:p>
    <w:p w14:paraId="66E241AB" w14:textId="77777777" w:rsidR="00942D68" w:rsidRPr="004F09BF" w:rsidRDefault="00942D68" w:rsidP="00856AC3">
      <w:pPr>
        <w:spacing w:after="120"/>
        <w:rPr>
          <w:rFonts w:asciiTheme="minorHAnsi" w:hAnsiTheme="minorHAnsi"/>
          <w:b/>
          <w:i/>
          <w:sz w:val="18"/>
          <w:szCs w:val="18"/>
        </w:rPr>
      </w:pPr>
      <w:r>
        <w:rPr>
          <w:rFonts w:asciiTheme="minorHAnsi" w:hAnsiTheme="minorHAnsi"/>
          <w:b/>
          <w:sz w:val="22"/>
          <w:szCs w:val="22"/>
        </w:rPr>
        <w:lastRenderedPageBreak/>
        <w:t>SBG</w:t>
      </w:r>
      <w:r w:rsidR="00D176F2">
        <w:rPr>
          <w:rFonts w:asciiTheme="minorHAnsi" w:hAnsiTheme="minorHAnsi"/>
          <w:i/>
          <w:sz w:val="22"/>
          <w:szCs w:val="22"/>
          <w:vertAlign w:val="superscript"/>
        </w:rPr>
        <w:t>9</w:t>
      </w:r>
    </w:p>
    <w:tbl>
      <w:tblPr>
        <w:tblW w:w="6348" w:type="dxa"/>
        <w:tblLayout w:type="fixed"/>
        <w:tblCellMar>
          <w:left w:w="57" w:type="dxa"/>
          <w:right w:w="57" w:type="dxa"/>
        </w:tblCellMar>
        <w:tblLook w:val="04A0" w:firstRow="1" w:lastRow="0" w:firstColumn="1" w:lastColumn="0" w:noHBand="0" w:noVBand="1"/>
      </w:tblPr>
      <w:tblGrid>
        <w:gridCol w:w="3068"/>
        <w:gridCol w:w="1093"/>
        <w:gridCol w:w="1093"/>
        <w:gridCol w:w="1094"/>
      </w:tblGrid>
      <w:tr w:rsidR="00605352" w:rsidRPr="00605352" w14:paraId="27B96225" w14:textId="77777777" w:rsidTr="00605352">
        <w:trPr>
          <w:trHeight w:val="255"/>
        </w:trPr>
        <w:tc>
          <w:tcPr>
            <w:tcW w:w="3068" w:type="dxa"/>
            <w:tcBorders>
              <w:top w:val="single" w:sz="8" w:space="0" w:color="auto"/>
              <w:left w:val="single" w:sz="8" w:space="0" w:color="auto"/>
              <w:bottom w:val="nil"/>
              <w:right w:val="nil"/>
            </w:tcBorders>
            <w:shd w:val="clear" w:color="auto" w:fill="auto"/>
            <w:noWrap/>
            <w:vAlign w:val="center"/>
            <w:hideMark/>
          </w:tcPr>
          <w:p w14:paraId="10FE1E3B" w14:textId="77777777" w:rsidR="00605352" w:rsidRPr="00605352" w:rsidRDefault="00605352" w:rsidP="00605352">
            <w:pPr>
              <w:jc w:val="both"/>
              <w:rPr>
                <w:rFonts w:ascii="Calibri" w:hAnsi="Calibri" w:cs="Calibri"/>
                <w:b/>
                <w:bCs/>
                <w:sz w:val="20"/>
                <w:lang w:eastAsia="en-GB"/>
              </w:rPr>
            </w:pPr>
            <w:r w:rsidRPr="00605352">
              <w:rPr>
                <w:rFonts w:ascii="Calibri" w:hAnsi="Calibri" w:cs="Calibri"/>
                <w:b/>
                <w:bCs/>
                <w:sz w:val="20"/>
                <w:lang w:eastAsia="en-GB"/>
              </w:rPr>
              <w:t> </w:t>
            </w:r>
          </w:p>
        </w:tc>
        <w:tc>
          <w:tcPr>
            <w:tcW w:w="1093" w:type="dxa"/>
            <w:tcBorders>
              <w:top w:val="single" w:sz="8" w:space="0" w:color="auto"/>
              <w:left w:val="nil"/>
              <w:bottom w:val="nil"/>
              <w:right w:val="nil"/>
            </w:tcBorders>
            <w:shd w:val="clear" w:color="auto" w:fill="auto"/>
            <w:noWrap/>
            <w:vAlign w:val="center"/>
            <w:hideMark/>
          </w:tcPr>
          <w:p w14:paraId="7FDA807E"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H1</w:t>
            </w:r>
          </w:p>
        </w:tc>
        <w:tc>
          <w:tcPr>
            <w:tcW w:w="1093" w:type="dxa"/>
            <w:tcBorders>
              <w:top w:val="single" w:sz="8" w:space="0" w:color="auto"/>
              <w:left w:val="nil"/>
              <w:bottom w:val="nil"/>
              <w:right w:val="nil"/>
            </w:tcBorders>
            <w:shd w:val="clear" w:color="auto" w:fill="auto"/>
            <w:noWrap/>
            <w:vAlign w:val="center"/>
            <w:hideMark/>
          </w:tcPr>
          <w:p w14:paraId="7C80516A"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H1</w:t>
            </w:r>
          </w:p>
        </w:tc>
        <w:tc>
          <w:tcPr>
            <w:tcW w:w="1094" w:type="dxa"/>
            <w:tcBorders>
              <w:top w:val="single" w:sz="8" w:space="0" w:color="auto"/>
              <w:left w:val="nil"/>
              <w:bottom w:val="nil"/>
              <w:right w:val="single" w:sz="8" w:space="0" w:color="auto"/>
            </w:tcBorders>
            <w:shd w:val="clear" w:color="auto" w:fill="auto"/>
            <w:noWrap/>
            <w:vAlign w:val="center"/>
            <w:hideMark/>
          </w:tcPr>
          <w:p w14:paraId="61C04239"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 </w:t>
            </w:r>
          </w:p>
        </w:tc>
      </w:tr>
      <w:tr w:rsidR="00605352" w:rsidRPr="00605352" w14:paraId="27BBD820"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0DF6EC54" w14:textId="77777777" w:rsidR="00605352" w:rsidRPr="00605352" w:rsidRDefault="00605352" w:rsidP="00605352">
            <w:pPr>
              <w:jc w:val="both"/>
              <w:rPr>
                <w:rFonts w:ascii="Calibri" w:hAnsi="Calibri" w:cs="Calibri"/>
                <w:b/>
                <w:bCs/>
                <w:sz w:val="20"/>
                <w:lang w:eastAsia="en-GB"/>
              </w:rPr>
            </w:pPr>
            <w:r w:rsidRPr="00605352">
              <w:rPr>
                <w:rFonts w:ascii="Calibri" w:hAnsi="Calibri" w:cs="Calibri"/>
                <w:b/>
                <w:bCs/>
                <w:sz w:val="20"/>
                <w:lang w:eastAsia="en-GB"/>
              </w:rPr>
              <w:t> </w:t>
            </w:r>
          </w:p>
        </w:tc>
        <w:tc>
          <w:tcPr>
            <w:tcW w:w="1093" w:type="dxa"/>
            <w:tcBorders>
              <w:top w:val="nil"/>
              <w:left w:val="nil"/>
              <w:bottom w:val="nil"/>
              <w:right w:val="nil"/>
            </w:tcBorders>
            <w:shd w:val="clear" w:color="auto" w:fill="auto"/>
            <w:noWrap/>
            <w:vAlign w:val="center"/>
            <w:hideMark/>
          </w:tcPr>
          <w:p w14:paraId="54D4FF8C"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2020</w:t>
            </w:r>
          </w:p>
        </w:tc>
        <w:tc>
          <w:tcPr>
            <w:tcW w:w="1093" w:type="dxa"/>
            <w:tcBorders>
              <w:top w:val="nil"/>
              <w:left w:val="nil"/>
              <w:bottom w:val="nil"/>
              <w:right w:val="nil"/>
            </w:tcBorders>
            <w:shd w:val="clear" w:color="auto" w:fill="auto"/>
            <w:noWrap/>
            <w:vAlign w:val="center"/>
            <w:hideMark/>
          </w:tcPr>
          <w:p w14:paraId="0A5C7E12"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2019</w:t>
            </w:r>
          </w:p>
        </w:tc>
        <w:tc>
          <w:tcPr>
            <w:tcW w:w="1094" w:type="dxa"/>
            <w:tcBorders>
              <w:top w:val="nil"/>
              <w:left w:val="nil"/>
              <w:bottom w:val="nil"/>
              <w:right w:val="single" w:sz="8" w:space="0" w:color="auto"/>
            </w:tcBorders>
            <w:shd w:val="clear" w:color="auto" w:fill="auto"/>
            <w:noWrap/>
            <w:vAlign w:val="center"/>
            <w:hideMark/>
          </w:tcPr>
          <w:p w14:paraId="195D34B6"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Change</w:t>
            </w:r>
          </w:p>
        </w:tc>
      </w:tr>
      <w:tr w:rsidR="00605352" w:rsidRPr="00605352" w14:paraId="2D2AA68E" w14:textId="77777777" w:rsidTr="00605352">
        <w:trPr>
          <w:trHeight w:val="255"/>
        </w:trPr>
        <w:tc>
          <w:tcPr>
            <w:tcW w:w="3068" w:type="dxa"/>
            <w:tcBorders>
              <w:top w:val="nil"/>
              <w:left w:val="single" w:sz="8" w:space="0" w:color="auto"/>
              <w:bottom w:val="single" w:sz="8" w:space="0" w:color="auto"/>
              <w:right w:val="nil"/>
            </w:tcBorders>
            <w:shd w:val="clear" w:color="auto" w:fill="auto"/>
            <w:hideMark/>
          </w:tcPr>
          <w:p w14:paraId="6C5F0B54" w14:textId="77777777" w:rsidR="00605352" w:rsidRPr="00605352" w:rsidRDefault="00605352" w:rsidP="00605352">
            <w:pPr>
              <w:rPr>
                <w:rFonts w:ascii="Calibri" w:hAnsi="Calibri" w:cs="Calibri"/>
                <w:i/>
                <w:iCs/>
                <w:color w:val="000000"/>
                <w:sz w:val="20"/>
                <w:lang w:eastAsia="en-GB"/>
              </w:rPr>
            </w:pPr>
            <w:r w:rsidRPr="00605352">
              <w:rPr>
                <w:rFonts w:ascii="Calibri" w:hAnsi="Calibri" w:cs="Calibri"/>
                <w:i/>
                <w:iCs/>
                <w:color w:val="000000"/>
                <w:sz w:val="20"/>
                <w:lang w:eastAsia="en-GB"/>
              </w:rPr>
              <w:t>Pro forma</w:t>
            </w:r>
          </w:p>
        </w:tc>
        <w:tc>
          <w:tcPr>
            <w:tcW w:w="1093" w:type="dxa"/>
            <w:tcBorders>
              <w:top w:val="nil"/>
              <w:left w:val="nil"/>
              <w:bottom w:val="single" w:sz="8" w:space="0" w:color="auto"/>
              <w:right w:val="nil"/>
            </w:tcBorders>
            <w:shd w:val="clear" w:color="auto" w:fill="auto"/>
            <w:noWrap/>
            <w:vAlign w:val="center"/>
            <w:hideMark/>
          </w:tcPr>
          <w:p w14:paraId="15428F34" w14:textId="77777777" w:rsidR="00605352" w:rsidRPr="00605352" w:rsidRDefault="00605352" w:rsidP="00605352">
            <w:pPr>
              <w:jc w:val="right"/>
              <w:rPr>
                <w:rFonts w:ascii="Calibri" w:hAnsi="Calibri" w:cs="Calibri"/>
                <w:b/>
                <w:bCs/>
                <w:color w:val="000000"/>
                <w:sz w:val="18"/>
                <w:szCs w:val="18"/>
                <w:lang w:eastAsia="en-GB"/>
              </w:rPr>
            </w:pPr>
            <w:r w:rsidRPr="00605352">
              <w:rPr>
                <w:rFonts w:ascii="Calibri" w:hAnsi="Calibri" w:cs="Calibri"/>
                <w:b/>
                <w:bCs/>
                <w:color w:val="000000"/>
                <w:sz w:val="18"/>
                <w:szCs w:val="18"/>
                <w:lang w:eastAsia="en-GB"/>
              </w:rPr>
              <w:t>£m</w:t>
            </w:r>
          </w:p>
        </w:tc>
        <w:tc>
          <w:tcPr>
            <w:tcW w:w="1093" w:type="dxa"/>
            <w:tcBorders>
              <w:top w:val="nil"/>
              <w:left w:val="nil"/>
              <w:bottom w:val="single" w:sz="8" w:space="0" w:color="auto"/>
              <w:right w:val="nil"/>
            </w:tcBorders>
            <w:shd w:val="clear" w:color="auto" w:fill="auto"/>
            <w:noWrap/>
            <w:vAlign w:val="center"/>
            <w:hideMark/>
          </w:tcPr>
          <w:p w14:paraId="357C70C5"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£m</w:t>
            </w:r>
          </w:p>
        </w:tc>
        <w:tc>
          <w:tcPr>
            <w:tcW w:w="1094" w:type="dxa"/>
            <w:tcBorders>
              <w:top w:val="nil"/>
              <w:left w:val="nil"/>
              <w:bottom w:val="single" w:sz="8" w:space="0" w:color="auto"/>
              <w:right w:val="single" w:sz="8" w:space="0" w:color="auto"/>
            </w:tcBorders>
            <w:shd w:val="clear" w:color="auto" w:fill="auto"/>
            <w:noWrap/>
            <w:vAlign w:val="center"/>
            <w:hideMark/>
          </w:tcPr>
          <w:p w14:paraId="01FEF5DC"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w:t>
            </w:r>
          </w:p>
        </w:tc>
      </w:tr>
      <w:tr w:rsidR="00605352" w:rsidRPr="00605352" w14:paraId="7D2842FA"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584460D1" w14:textId="77777777" w:rsidR="00605352" w:rsidRPr="00605352" w:rsidRDefault="00605352" w:rsidP="00605352">
            <w:pPr>
              <w:jc w:val="both"/>
              <w:rPr>
                <w:rFonts w:ascii="Calibri" w:hAnsi="Calibri" w:cs="Calibri"/>
                <w:b/>
                <w:bCs/>
                <w:color w:val="FF0000"/>
                <w:sz w:val="2"/>
                <w:szCs w:val="2"/>
                <w:lang w:eastAsia="en-GB"/>
              </w:rPr>
            </w:pPr>
            <w:r w:rsidRPr="00605352">
              <w:rPr>
                <w:rFonts w:ascii="Calibri" w:hAnsi="Calibri" w:cs="Calibri"/>
                <w:b/>
                <w:bCs/>
                <w:color w:val="FF0000"/>
                <w:sz w:val="2"/>
                <w:szCs w:val="2"/>
                <w:lang w:eastAsia="en-GB"/>
              </w:rPr>
              <w:t> </w:t>
            </w:r>
          </w:p>
        </w:tc>
        <w:tc>
          <w:tcPr>
            <w:tcW w:w="1093" w:type="dxa"/>
            <w:tcBorders>
              <w:top w:val="nil"/>
              <w:left w:val="nil"/>
              <w:bottom w:val="nil"/>
              <w:right w:val="nil"/>
            </w:tcBorders>
            <w:shd w:val="clear" w:color="auto" w:fill="auto"/>
            <w:noWrap/>
            <w:vAlign w:val="center"/>
            <w:hideMark/>
          </w:tcPr>
          <w:p w14:paraId="52430A7D" w14:textId="77777777" w:rsidR="00605352" w:rsidRPr="00605352" w:rsidRDefault="00605352" w:rsidP="00605352">
            <w:pPr>
              <w:jc w:val="both"/>
              <w:rPr>
                <w:rFonts w:ascii="Calibri" w:hAnsi="Calibri" w:cs="Calibri"/>
                <w:b/>
                <w:bCs/>
                <w:color w:val="FF0000"/>
                <w:sz w:val="2"/>
                <w:szCs w:val="2"/>
                <w:lang w:eastAsia="en-GB"/>
              </w:rPr>
            </w:pPr>
          </w:p>
        </w:tc>
        <w:tc>
          <w:tcPr>
            <w:tcW w:w="1093" w:type="dxa"/>
            <w:tcBorders>
              <w:top w:val="nil"/>
              <w:left w:val="nil"/>
              <w:bottom w:val="nil"/>
              <w:right w:val="nil"/>
            </w:tcBorders>
            <w:shd w:val="clear" w:color="auto" w:fill="auto"/>
            <w:noWrap/>
            <w:vAlign w:val="center"/>
            <w:hideMark/>
          </w:tcPr>
          <w:p w14:paraId="70F65212"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34B775A0" w14:textId="77777777" w:rsidR="00605352" w:rsidRPr="00605352" w:rsidRDefault="00605352" w:rsidP="00605352">
            <w:pPr>
              <w:jc w:val="right"/>
              <w:rPr>
                <w:rFonts w:ascii="Calibri" w:hAnsi="Calibri" w:cs="Calibri"/>
                <w:b/>
                <w:bCs/>
                <w:color w:val="000000"/>
                <w:sz w:val="2"/>
                <w:szCs w:val="2"/>
                <w:lang w:eastAsia="en-GB"/>
              </w:rPr>
            </w:pPr>
            <w:r w:rsidRPr="00605352">
              <w:rPr>
                <w:rFonts w:ascii="Calibri" w:hAnsi="Calibri" w:cs="Calibri"/>
                <w:b/>
                <w:bCs/>
                <w:color w:val="000000"/>
                <w:sz w:val="2"/>
                <w:szCs w:val="2"/>
                <w:lang w:eastAsia="en-GB"/>
              </w:rPr>
              <w:t> </w:t>
            </w:r>
          </w:p>
        </w:tc>
      </w:tr>
      <w:tr w:rsidR="00605352" w:rsidRPr="00605352" w14:paraId="77B3E887"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0C9E7872" w14:textId="77777777" w:rsidR="00605352" w:rsidRPr="00605352" w:rsidRDefault="00605352" w:rsidP="00605352">
            <w:pPr>
              <w:jc w:val="both"/>
              <w:rPr>
                <w:rFonts w:ascii="Calibri" w:hAnsi="Calibri" w:cs="Calibri"/>
                <w:b/>
                <w:bCs/>
                <w:color w:val="000000"/>
                <w:sz w:val="20"/>
                <w:lang w:eastAsia="en-GB"/>
              </w:rPr>
            </w:pPr>
            <w:r w:rsidRPr="00605352">
              <w:rPr>
                <w:rFonts w:ascii="Calibri" w:hAnsi="Calibri" w:cs="Calibri"/>
                <w:b/>
                <w:bCs/>
                <w:color w:val="000000"/>
                <w:sz w:val="20"/>
                <w:lang w:eastAsia="en-GB"/>
              </w:rPr>
              <w:t>Sportsbook stakes</w:t>
            </w:r>
          </w:p>
        </w:tc>
        <w:tc>
          <w:tcPr>
            <w:tcW w:w="1093" w:type="dxa"/>
            <w:tcBorders>
              <w:top w:val="nil"/>
              <w:left w:val="nil"/>
              <w:bottom w:val="nil"/>
              <w:right w:val="nil"/>
            </w:tcBorders>
            <w:shd w:val="clear" w:color="auto" w:fill="auto"/>
            <w:noWrap/>
            <w:vAlign w:val="center"/>
            <w:hideMark/>
          </w:tcPr>
          <w:p w14:paraId="367F5833"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1,639</w:t>
            </w:r>
          </w:p>
        </w:tc>
        <w:tc>
          <w:tcPr>
            <w:tcW w:w="1093" w:type="dxa"/>
            <w:tcBorders>
              <w:top w:val="nil"/>
              <w:left w:val="nil"/>
              <w:bottom w:val="nil"/>
              <w:right w:val="nil"/>
            </w:tcBorders>
            <w:shd w:val="clear" w:color="auto" w:fill="auto"/>
            <w:noWrap/>
            <w:vAlign w:val="center"/>
            <w:hideMark/>
          </w:tcPr>
          <w:p w14:paraId="4E676B80"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2,339</w:t>
            </w:r>
          </w:p>
        </w:tc>
        <w:tc>
          <w:tcPr>
            <w:tcW w:w="1094" w:type="dxa"/>
            <w:tcBorders>
              <w:top w:val="nil"/>
              <w:left w:val="nil"/>
              <w:bottom w:val="nil"/>
              <w:right w:val="single" w:sz="8" w:space="0" w:color="auto"/>
            </w:tcBorders>
            <w:shd w:val="clear" w:color="auto" w:fill="auto"/>
            <w:noWrap/>
            <w:vAlign w:val="center"/>
            <w:hideMark/>
          </w:tcPr>
          <w:p w14:paraId="7093F892"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-30%</w:t>
            </w:r>
          </w:p>
        </w:tc>
      </w:tr>
      <w:tr w:rsidR="00605352" w:rsidRPr="00605352" w14:paraId="725F4378"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4BEC8E09" w14:textId="77777777" w:rsidR="00605352" w:rsidRPr="00605352" w:rsidRDefault="00605352" w:rsidP="00605352">
            <w:pPr>
              <w:jc w:val="both"/>
              <w:rPr>
                <w:rFonts w:ascii="Calibri" w:hAnsi="Calibri" w:cs="Calibri"/>
                <w:i/>
                <w:iCs/>
                <w:color w:val="000000"/>
                <w:sz w:val="18"/>
                <w:szCs w:val="18"/>
                <w:lang w:eastAsia="en-GB"/>
              </w:rPr>
            </w:pPr>
            <w:r w:rsidRPr="00605352">
              <w:rPr>
                <w:rFonts w:ascii="Calibri" w:hAnsi="Calibri" w:cs="Calibri"/>
                <w:i/>
                <w:iCs/>
                <w:color w:val="000000"/>
                <w:sz w:val="18"/>
                <w:szCs w:val="18"/>
                <w:lang w:eastAsia="en-GB"/>
              </w:rPr>
              <w:t>Sportsbook net revenue margin</w:t>
            </w:r>
          </w:p>
        </w:tc>
        <w:tc>
          <w:tcPr>
            <w:tcW w:w="1093" w:type="dxa"/>
            <w:tcBorders>
              <w:top w:val="nil"/>
              <w:left w:val="nil"/>
              <w:bottom w:val="nil"/>
              <w:right w:val="nil"/>
            </w:tcBorders>
            <w:shd w:val="clear" w:color="auto" w:fill="auto"/>
            <w:noWrap/>
            <w:vAlign w:val="center"/>
            <w:hideMark/>
          </w:tcPr>
          <w:p w14:paraId="4D11C703" w14:textId="77777777" w:rsidR="00605352" w:rsidRPr="00605352" w:rsidRDefault="00605352" w:rsidP="00605352">
            <w:pPr>
              <w:jc w:val="right"/>
              <w:rPr>
                <w:rFonts w:ascii="Calibri" w:hAnsi="Calibri" w:cs="Calibri"/>
                <w:i/>
                <w:iCs/>
                <w:sz w:val="18"/>
                <w:szCs w:val="18"/>
                <w:lang w:eastAsia="en-GB"/>
              </w:rPr>
            </w:pPr>
            <w:r w:rsidRPr="00605352">
              <w:rPr>
                <w:rFonts w:ascii="Calibri" w:hAnsi="Calibri" w:cs="Calibri"/>
                <w:i/>
                <w:iCs/>
                <w:sz w:val="18"/>
                <w:szCs w:val="18"/>
                <w:lang w:eastAsia="en-GB"/>
              </w:rPr>
              <w:t>14.</w:t>
            </w:r>
            <w:r w:rsidR="007951EC">
              <w:rPr>
                <w:rFonts w:ascii="Calibri" w:hAnsi="Calibri" w:cs="Calibri"/>
                <w:i/>
                <w:iCs/>
                <w:sz w:val="18"/>
                <w:szCs w:val="18"/>
                <w:lang w:eastAsia="en-GB"/>
              </w:rPr>
              <w:t>8</w:t>
            </w:r>
            <w:r w:rsidRPr="00605352">
              <w:rPr>
                <w:rFonts w:ascii="Calibri" w:hAnsi="Calibri" w:cs="Calibri"/>
                <w:i/>
                <w:iCs/>
                <w:sz w:val="18"/>
                <w:szCs w:val="18"/>
                <w:lang w:eastAsia="en-GB"/>
              </w:rPr>
              <w:t>%</w:t>
            </w:r>
          </w:p>
        </w:tc>
        <w:tc>
          <w:tcPr>
            <w:tcW w:w="1093" w:type="dxa"/>
            <w:tcBorders>
              <w:top w:val="nil"/>
              <w:left w:val="nil"/>
              <w:bottom w:val="nil"/>
              <w:right w:val="nil"/>
            </w:tcBorders>
            <w:shd w:val="clear" w:color="auto" w:fill="auto"/>
            <w:noWrap/>
            <w:vAlign w:val="center"/>
            <w:hideMark/>
          </w:tcPr>
          <w:p w14:paraId="3E0C8C77" w14:textId="77777777" w:rsidR="00605352" w:rsidRPr="00605352" w:rsidRDefault="00605352" w:rsidP="00605352">
            <w:pPr>
              <w:jc w:val="right"/>
              <w:rPr>
                <w:rFonts w:ascii="Calibri" w:hAnsi="Calibri" w:cs="Calibri"/>
                <w:i/>
                <w:iCs/>
                <w:sz w:val="18"/>
                <w:szCs w:val="18"/>
                <w:lang w:eastAsia="en-GB"/>
              </w:rPr>
            </w:pPr>
            <w:r w:rsidRPr="00605352">
              <w:rPr>
                <w:rFonts w:ascii="Calibri" w:hAnsi="Calibri" w:cs="Calibri"/>
                <w:i/>
                <w:iCs/>
                <w:sz w:val="18"/>
                <w:szCs w:val="18"/>
                <w:lang w:eastAsia="en-GB"/>
              </w:rPr>
              <w:t>7.4%</w:t>
            </w:r>
          </w:p>
        </w:tc>
        <w:tc>
          <w:tcPr>
            <w:tcW w:w="1094" w:type="dxa"/>
            <w:tcBorders>
              <w:top w:val="nil"/>
              <w:left w:val="nil"/>
              <w:bottom w:val="nil"/>
              <w:right w:val="single" w:sz="8" w:space="0" w:color="auto"/>
            </w:tcBorders>
            <w:shd w:val="clear" w:color="auto" w:fill="auto"/>
            <w:noWrap/>
            <w:vAlign w:val="center"/>
            <w:hideMark/>
          </w:tcPr>
          <w:p w14:paraId="02758AEC" w14:textId="77777777" w:rsidR="00605352" w:rsidRPr="00605352" w:rsidRDefault="00605352" w:rsidP="00605352">
            <w:pPr>
              <w:jc w:val="right"/>
              <w:rPr>
                <w:rFonts w:ascii="Calibri" w:hAnsi="Calibri" w:cs="Calibri"/>
                <w:i/>
                <w:iCs/>
                <w:color w:val="000000"/>
                <w:sz w:val="18"/>
                <w:szCs w:val="18"/>
                <w:lang w:eastAsia="en-GB"/>
              </w:rPr>
            </w:pPr>
            <w:r w:rsidRPr="00605352">
              <w:rPr>
                <w:rFonts w:ascii="Calibri" w:hAnsi="Calibri" w:cs="Calibri"/>
                <w:i/>
                <w:iCs/>
                <w:color w:val="000000"/>
                <w:sz w:val="18"/>
                <w:szCs w:val="18"/>
                <w:lang w:eastAsia="en-GB"/>
              </w:rPr>
              <w:t>+7</w:t>
            </w:r>
            <w:r w:rsidR="007951EC">
              <w:rPr>
                <w:rFonts w:ascii="Calibri" w:hAnsi="Calibri" w:cs="Calibri"/>
                <w:i/>
                <w:iCs/>
                <w:color w:val="000000"/>
                <w:sz w:val="18"/>
                <w:szCs w:val="18"/>
                <w:lang w:eastAsia="en-GB"/>
              </w:rPr>
              <w:t>4</w:t>
            </w:r>
            <w:r w:rsidRPr="00605352">
              <w:rPr>
                <w:rFonts w:ascii="Calibri" w:hAnsi="Calibri" w:cs="Calibri"/>
                <w:i/>
                <w:iCs/>
                <w:color w:val="000000"/>
                <w:sz w:val="18"/>
                <w:szCs w:val="18"/>
                <w:lang w:eastAsia="en-GB"/>
              </w:rPr>
              <w:t>0bps</w:t>
            </w:r>
          </w:p>
        </w:tc>
      </w:tr>
      <w:tr w:rsidR="00605352" w:rsidRPr="00605352" w14:paraId="0100EB06"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4BAC343A"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285C798D"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7EAFDFF3"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3C2F634A" w14:textId="77777777" w:rsidR="00605352" w:rsidRPr="00605352" w:rsidRDefault="00605352" w:rsidP="00605352">
            <w:pPr>
              <w:jc w:val="right"/>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7EE6E56F"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1B44F031" w14:textId="77777777" w:rsidR="00605352" w:rsidRPr="00605352" w:rsidRDefault="00605352" w:rsidP="00605352">
            <w:pPr>
              <w:jc w:val="both"/>
              <w:rPr>
                <w:rFonts w:ascii="Calibri" w:hAnsi="Calibri" w:cs="Calibri"/>
                <w:color w:val="000000"/>
                <w:sz w:val="20"/>
                <w:lang w:eastAsia="en-GB"/>
              </w:rPr>
            </w:pPr>
            <w:r w:rsidRPr="00605352">
              <w:rPr>
                <w:rFonts w:ascii="Calibri" w:hAnsi="Calibri" w:cs="Calibri"/>
                <w:color w:val="000000"/>
                <w:sz w:val="20"/>
                <w:lang w:eastAsia="en-GB"/>
              </w:rPr>
              <w:t>Sports revenue</w:t>
            </w:r>
          </w:p>
        </w:tc>
        <w:tc>
          <w:tcPr>
            <w:tcW w:w="1093" w:type="dxa"/>
            <w:tcBorders>
              <w:top w:val="nil"/>
              <w:left w:val="nil"/>
              <w:bottom w:val="nil"/>
              <w:right w:val="nil"/>
            </w:tcBorders>
            <w:shd w:val="clear" w:color="auto" w:fill="auto"/>
            <w:noWrap/>
            <w:vAlign w:val="center"/>
            <w:hideMark/>
          </w:tcPr>
          <w:p w14:paraId="3EBF4552"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253</w:t>
            </w:r>
          </w:p>
        </w:tc>
        <w:tc>
          <w:tcPr>
            <w:tcW w:w="1093" w:type="dxa"/>
            <w:tcBorders>
              <w:top w:val="nil"/>
              <w:left w:val="nil"/>
              <w:bottom w:val="nil"/>
              <w:right w:val="nil"/>
            </w:tcBorders>
            <w:shd w:val="clear" w:color="auto" w:fill="auto"/>
            <w:noWrap/>
            <w:vAlign w:val="center"/>
            <w:hideMark/>
          </w:tcPr>
          <w:p w14:paraId="4AD31EA3"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185</w:t>
            </w:r>
          </w:p>
        </w:tc>
        <w:tc>
          <w:tcPr>
            <w:tcW w:w="1094" w:type="dxa"/>
            <w:tcBorders>
              <w:top w:val="nil"/>
              <w:left w:val="nil"/>
              <w:bottom w:val="nil"/>
              <w:right w:val="single" w:sz="8" w:space="0" w:color="auto"/>
            </w:tcBorders>
            <w:shd w:val="clear" w:color="auto" w:fill="auto"/>
            <w:noWrap/>
            <w:vAlign w:val="center"/>
            <w:hideMark/>
          </w:tcPr>
          <w:p w14:paraId="204B2C15" w14:textId="77777777" w:rsidR="00605352" w:rsidRPr="00605352" w:rsidRDefault="00605352" w:rsidP="00605352">
            <w:pPr>
              <w:jc w:val="right"/>
              <w:rPr>
                <w:rFonts w:ascii="Calibri" w:hAnsi="Calibri" w:cs="Calibri"/>
                <w:color w:val="000000"/>
                <w:sz w:val="20"/>
                <w:lang w:eastAsia="en-GB"/>
              </w:rPr>
            </w:pPr>
            <w:r w:rsidRPr="00605352">
              <w:rPr>
                <w:rFonts w:ascii="Calibri" w:hAnsi="Calibri" w:cs="Calibri"/>
                <w:color w:val="000000"/>
                <w:sz w:val="20"/>
                <w:lang w:eastAsia="en-GB"/>
              </w:rPr>
              <w:t>+36%</w:t>
            </w:r>
          </w:p>
        </w:tc>
      </w:tr>
      <w:tr w:rsidR="00605352" w:rsidRPr="00605352" w14:paraId="2644767F"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7AFCE249" w14:textId="77777777" w:rsidR="00605352" w:rsidRPr="00605352" w:rsidRDefault="00605352" w:rsidP="00605352">
            <w:pPr>
              <w:jc w:val="both"/>
              <w:rPr>
                <w:rFonts w:ascii="Calibri" w:hAnsi="Calibri" w:cs="Calibri"/>
                <w:color w:val="000000"/>
                <w:sz w:val="20"/>
                <w:lang w:eastAsia="en-GB"/>
              </w:rPr>
            </w:pPr>
            <w:r w:rsidRPr="00605352">
              <w:rPr>
                <w:rFonts w:ascii="Calibri" w:hAnsi="Calibri" w:cs="Calibri"/>
                <w:color w:val="000000"/>
                <w:sz w:val="20"/>
                <w:lang w:eastAsia="en-GB"/>
              </w:rPr>
              <w:t>Gaming revenue</w:t>
            </w:r>
          </w:p>
        </w:tc>
        <w:tc>
          <w:tcPr>
            <w:tcW w:w="1093" w:type="dxa"/>
            <w:tcBorders>
              <w:top w:val="nil"/>
              <w:left w:val="nil"/>
              <w:bottom w:val="single" w:sz="8" w:space="0" w:color="auto"/>
              <w:right w:val="nil"/>
            </w:tcBorders>
            <w:shd w:val="clear" w:color="auto" w:fill="auto"/>
            <w:noWrap/>
            <w:vAlign w:val="center"/>
            <w:hideMark/>
          </w:tcPr>
          <w:p w14:paraId="5281FA3D"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186</w:t>
            </w:r>
          </w:p>
        </w:tc>
        <w:tc>
          <w:tcPr>
            <w:tcW w:w="1093" w:type="dxa"/>
            <w:tcBorders>
              <w:top w:val="nil"/>
              <w:left w:val="nil"/>
              <w:bottom w:val="single" w:sz="8" w:space="0" w:color="auto"/>
              <w:right w:val="nil"/>
            </w:tcBorders>
            <w:shd w:val="clear" w:color="auto" w:fill="auto"/>
            <w:noWrap/>
            <w:vAlign w:val="center"/>
            <w:hideMark/>
          </w:tcPr>
          <w:p w14:paraId="5F69C967"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146</w:t>
            </w:r>
          </w:p>
        </w:tc>
        <w:tc>
          <w:tcPr>
            <w:tcW w:w="1094" w:type="dxa"/>
            <w:tcBorders>
              <w:top w:val="nil"/>
              <w:left w:val="nil"/>
              <w:bottom w:val="single" w:sz="8" w:space="0" w:color="auto"/>
              <w:right w:val="single" w:sz="8" w:space="0" w:color="auto"/>
            </w:tcBorders>
            <w:shd w:val="clear" w:color="auto" w:fill="auto"/>
            <w:noWrap/>
            <w:vAlign w:val="center"/>
            <w:hideMark/>
          </w:tcPr>
          <w:p w14:paraId="78606D0D" w14:textId="77777777" w:rsidR="00605352" w:rsidRPr="00605352" w:rsidRDefault="00605352" w:rsidP="00605352">
            <w:pPr>
              <w:jc w:val="right"/>
              <w:rPr>
                <w:rFonts w:ascii="Calibri" w:hAnsi="Calibri" w:cs="Calibri"/>
                <w:color w:val="000000"/>
                <w:sz w:val="20"/>
                <w:lang w:eastAsia="en-GB"/>
              </w:rPr>
            </w:pPr>
            <w:r w:rsidRPr="00605352">
              <w:rPr>
                <w:rFonts w:ascii="Calibri" w:hAnsi="Calibri" w:cs="Calibri"/>
                <w:color w:val="000000"/>
                <w:sz w:val="20"/>
                <w:lang w:eastAsia="en-GB"/>
              </w:rPr>
              <w:t>+27%</w:t>
            </w:r>
          </w:p>
        </w:tc>
      </w:tr>
      <w:tr w:rsidR="00605352" w:rsidRPr="00605352" w14:paraId="0E0BA38C"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2B82B9D5" w14:textId="77777777" w:rsidR="00605352" w:rsidRPr="00605352" w:rsidRDefault="00605352" w:rsidP="00605352">
            <w:pPr>
              <w:jc w:val="both"/>
              <w:rPr>
                <w:rFonts w:ascii="Calibri" w:hAnsi="Calibri" w:cs="Calibri"/>
                <w:b/>
                <w:bCs/>
                <w:color w:val="000000"/>
                <w:sz w:val="20"/>
                <w:lang w:eastAsia="en-GB"/>
              </w:rPr>
            </w:pPr>
            <w:r w:rsidRPr="00605352">
              <w:rPr>
                <w:rFonts w:ascii="Calibri" w:hAnsi="Calibri" w:cs="Calibri"/>
                <w:b/>
                <w:bCs/>
                <w:color w:val="000000"/>
                <w:sz w:val="20"/>
                <w:lang w:eastAsia="en-GB"/>
              </w:rPr>
              <w:t>Total revenue</w:t>
            </w:r>
          </w:p>
        </w:tc>
        <w:tc>
          <w:tcPr>
            <w:tcW w:w="1093" w:type="dxa"/>
            <w:tcBorders>
              <w:top w:val="nil"/>
              <w:left w:val="nil"/>
              <w:bottom w:val="nil"/>
              <w:right w:val="nil"/>
            </w:tcBorders>
            <w:shd w:val="clear" w:color="auto" w:fill="auto"/>
            <w:noWrap/>
            <w:vAlign w:val="center"/>
            <w:hideMark/>
          </w:tcPr>
          <w:p w14:paraId="511FF619"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439</w:t>
            </w:r>
          </w:p>
        </w:tc>
        <w:tc>
          <w:tcPr>
            <w:tcW w:w="1093" w:type="dxa"/>
            <w:tcBorders>
              <w:top w:val="nil"/>
              <w:left w:val="nil"/>
              <w:bottom w:val="nil"/>
              <w:right w:val="nil"/>
            </w:tcBorders>
            <w:shd w:val="clear" w:color="auto" w:fill="auto"/>
            <w:noWrap/>
            <w:vAlign w:val="center"/>
            <w:hideMark/>
          </w:tcPr>
          <w:p w14:paraId="5230EF21"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331</w:t>
            </w:r>
          </w:p>
        </w:tc>
        <w:tc>
          <w:tcPr>
            <w:tcW w:w="1094" w:type="dxa"/>
            <w:tcBorders>
              <w:top w:val="nil"/>
              <w:left w:val="nil"/>
              <w:bottom w:val="nil"/>
              <w:right w:val="single" w:sz="8" w:space="0" w:color="auto"/>
            </w:tcBorders>
            <w:shd w:val="clear" w:color="auto" w:fill="auto"/>
            <w:noWrap/>
            <w:vAlign w:val="center"/>
            <w:hideMark/>
          </w:tcPr>
          <w:p w14:paraId="3A529ADB"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+32%</w:t>
            </w:r>
          </w:p>
        </w:tc>
      </w:tr>
      <w:tr w:rsidR="00605352" w:rsidRPr="00605352" w14:paraId="660F6CA7"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6F8DD91F"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2FCF5AFF"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40E2AF4B" w14:textId="77777777" w:rsidR="00605352" w:rsidRPr="00605352" w:rsidRDefault="00605352" w:rsidP="00605352">
            <w:pPr>
              <w:jc w:val="both"/>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536BB519"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4C2744FD"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78C82412" w14:textId="77777777" w:rsidR="00605352" w:rsidRPr="00605352" w:rsidRDefault="00605352" w:rsidP="00605352">
            <w:pPr>
              <w:jc w:val="both"/>
              <w:rPr>
                <w:rFonts w:ascii="Calibri" w:hAnsi="Calibri" w:cs="Calibri"/>
                <w:color w:val="000000"/>
                <w:sz w:val="20"/>
                <w:lang w:eastAsia="en-GB"/>
              </w:rPr>
            </w:pPr>
            <w:r w:rsidRPr="00605352">
              <w:rPr>
                <w:rFonts w:ascii="Calibri" w:hAnsi="Calibri" w:cs="Calibri"/>
                <w:color w:val="000000"/>
                <w:sz w:val="20"/>
                <w:lang w:eastAsia="en-GB"/>
              </w:rPr>
              <w:t>Cost of sales</w:t>
            </w:r>
          </w:p>
        </w:tc>
        <w:tc>
          <w:tcPr>
            <w:tcW w:w="1093" w:type="dxa"/>
            <w:tcBorders>
              <w:top w:val="nil"/>
              <w:left w:val="nil"/>
              <w:bottom w:val="nil"/>
              <w:right w:val="nil"/>
            </w:tcBorders>
            <w:shd w:val="clear" w:color="auto" w:fill="auto"/>
            <w:noWrap/>
            <w:vAlign w:val="center"/>
            <w:hideMark/>
          </w:tcPr>
          <w:p w14:paraId="311CCBD6"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(119)</w:t>
            </w:r>
          </w:p>
        </w:tc>
        <w:tc>
          <w:tcPr>
            <w:tcW w:w="1093" w:type="dxa"/>
            <w:tcBorders>
              <w:top w:val="nil"/>
              <w:left w:val="nil"/>
              <w:bottom w:val="nil"/>
              <w:right w:val="nil"/>
            </w:tcBorders>
            <w:shd w:val="clear" w:color="auto" w:fill="auto"/>
            <w:noWrap/>
            <w:vAlign w:val="center"/>
            <w:hideMark/>
          </w:tcPr>
          <w:p w14:paraId="38C4AFFA"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(91)</w:t>
            </w:r>
          </w:p>
        </w:tc>
        <w:tc>
          <w:tcPr>
            <w:tcW w:w="1094" w:type="dxa"/>
            <w:tcBorders>
              <w:top w:val="nil"/>
              <w:left w:val="nil"/>
              <w:bottom w:val="nil"/>
              <w:right w:val="single" w:sz="8" w:space="0" w:color="auto"/>
            </w:tcBorders>
            <w:shd w:val="clear" w:color="auto" w:fill="auto"/>
            <w:noWrap/>
            <w:vAlign w:val="center"/>
            <w:hideMark/>
          </w:tcPr>
          <w:p w14:paraId="6C9FDE7D" w14:textId="77777777" w:rsidR="00605352" w:rsidRPr="00605352" w:rsidRDefault="00605352" w:rsidP="00605352">
            <w:pPr>
              <w:jc w:val="right"/>
              <w:rPr>
                <w:rFonts w:ascii="Calibri" w:hAnsi="Calibri" w:cs="Calibri"/>
                <w:color w:val="000000"/>
                <w:sz w:val="20"/>
                <w:lang w:eastAsia="en-GB"/>
              </w:rPr>
            </w:pPr>
            <w:r w:rsidRPr="00605352">
              <w:rPr>
                <w:rFonts w:ascii="Calibri" w:hAnsi="Calibri" w:cs="Calibri"/>
                <w:color w:val="000000"/>
                <w:sz w:val="20"/>
                <w:lang w:eastAsia="en-GB"/>
              </w:rPr>
              <w:t>+30%</w:t>
            </w:r>
          </w:p>
        </w:tc>
      </w:tr>
      <w:tr w:rsidR="00605352" w:rsidRPr="00605352" w14:paraId="7D3FA075"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198E8730" w14:textId="77777777" w:rsidR="00605352" w:rsidRPr="00605352" w:rsidRDefault="00605352" w:rsidP="00605352">
            <w:pPr>
              <w:jc w:val="both"/>
              <w:rPr>
                <w:rFonts w:ascii="Calibri" w:hAnsi="Calibri" w:cs="Calibri"/>
                <w:i/>
                <w:iCs/>
                <w:color w:val="000000"/>
                <w:sz w:val="18"/>
                <w:szCs w:val="18"/>
                <w:lang w:eastAsia="en-GB"/>
              </w:rPr>
            </w:pPr>
            <w:r w:rsidRPr="00605352">
              <w:rPr>
                <w:rFonts w:ascii="Calibri" w:hAnsi="Calibri" w:cs="Calibri"/>
                <w:i/>
                <w:iCs/>
                <w:color w:val="000000"/>
                <w:sz w:val="18"/>
                <w:szCs w:val="18"/>
                <w:lang w:eastAsia="en-GB"/>
              </w:rPr>
              <w:t>Cost of sales as a % of net revenue</w:t>
            </w:r>
          </w:p>
        </w:tc>
        <w:tc>
          <w:tcPr>
            <w:tcW w:w="1093" w:type="dxa"/>
            <w:tcBorders>
              <w:top w:val="nil"/>
              <w:left w:val="nil"/>
              <w:bottom w:val="nil"/>
              <w:right w:val="nil"/>
            </w:tcBorders>
            <w:shd w:val="clear" w:color="auto" w:fill="auto"/>
            <w:noWrap/>
            <w:vAlign w:val="center"/>
            <w:hideMark/>
          </w:tcPr>
          <w:p w14:paraId="0BE4F7C9" w14:textId="77777777" w:rsidR="00605352" w:rsidRPr="00605352" w:rsidRDefault="00605352" w:rsidP="00605352">
            <w:pPr>
              <w:jc w:val="right"/>
              <w:rPr>
                <w:rFonts w:ascii="Calibri" w:hAnsi="Calibri" w:cs="Calibri"/>
                <w:i/>
                <w:iCs/>
                <w:sz w:val="18"/>
                <w:szCs w:val="18"/>
                <w:lang w:eastAsia="en-GB"/>
              </w:rPr>
            </w:pPr>
            <w:r w:rsidRPr="00605352">
              <w:rPr>
                <w:rFonts w:ascii="Calibri" w:hAnsi="Calibri" w:cs="Calibri"/>
                <w:i/>
                <w:iCs/>
                <w:sz w:val="18"/>
                <w:szCs w:val="18"/>
                <w:lang w:eastAsia="en-GB"/>
              </w:rPr>
              <w:t>27.0%</w:t>
            </w:r>
          </w:p>
        </w:tc>
        <w:tc>
          <w:tcPr>
            <w:tcW w:w="1093" w:type="dxa"/>
            <w:tcBorders>
              <w:top w:val="nil"/>
              <w:left w:val="nil"/>
              <w:bottom w:val="nil"/>
              <w:right w:val="nil"/>
            </w:tcBorders>
            <w:shd w:val="clear" w:color="auto" w:fill="auto"/>
            <w:noWrap/>
            <w:vAlign w:val="center"/>
            <w:hideMark/>
          </w:tcPr>
          <w:p w14:paraId="6A028819" w14:textId="77777777" w:rsidR="00605352" w:rsidRPr="00605352" w:rsidRDefault="00605352" w:rsidP="00605352">
            <w:pPr>
              <w:jc w:val="right"/>
              <w:rPr>
                <w:rFonts w:ascii="Calibri" w:hAnsi="Calibri" w:cs="Calibri"/>
                <w:i/>
                <w:iCs/>
                <w:sz w:val="18"/>
                <w:szCs w:val="18"/>
                <w:lang w:eastAsia="en-GB"/>
              </w:rPr>
            </w:pPr>
            <w:r w:rsidRPr="00605352">
              <w:rPr>
                <w:rFonts w:ascii="Calibri" w:hAnsi="Calibri" w:cs="Calibri"/>
                <w:i/>
                <w:iCs/>
                <w:sz w:val="18"/>
                <w:szCs w:val="18"/>
                <w:lang w:eastAsia="en-GB"/>
              </w:rPr>
              <w:t>27.6%</w:t>
            </w:r>
          </w:p>
        </w:tc>
        <w:tc>
          <w:tcPr>
            <w:tcW w:w="1094" w:type="dxa"/>
            <w:tcBorders>
              <w:top w:val="nil"/>
              <w:left w:val="nil"/>
              <w:bottom w:val="nil"/>
              <w:right w:val="single" w:sz="8" w:space="0" w:color="auto"/>
            </w:tcBorders>
            <w:shd w:val="clear" w:color="auto" w:fill="auto"/>
            <w:noWrap/>
            <w:vAlign w:val="center"/>
            <w:hideMark/>
          </w:tcPr>
          <w:p w14:paraId="7E2C1C1E" w14:textId="77777777" w:rsidR="00605352" w:rsidRPr="00605352" w:rsidRDefault="00605352" w:rsidP="00605352">
            <w:pPr>
              <w:jc w:val="right"/>
              <w:rPr>
                <w:rFonts w:ascii="Calibri" w:hAnsi="Calibri" w:cs="Calibri"/>
                <w:i/>
                <w:iCs/>
                <w:color w:val="000000"/>
                <w:sz w:val="18"/>
                <w:szCs w:val="18"/>
                <w:lang w:eastAsia="en-GB"/>
              </w:rPr>
            </w:pPr>
            <w:r w:rsidRPr="00605352">
              <w:rPr>
                <w:rFonts w:ascii="Calibri" w:hAnsi="Calibri" w:cs="Calibri"/>
                <w:i/>
                <w:iCs/>
                <w:color w:val="000000"/>
                <w:sz w:val="18"/>
                <w:szCs w:val="18"/>
                <w:lang w:eastAsia="en-GB"/>
              </w:rPr>
              <w:t>-60bps</w:t>
            </w:r>
          </w:p>
        </w:tc>
      </w:tr>
      <w:tr w:rsidR="00605352" w:rsidRPr="00605352" w14:paraId="59D47EEE"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0CFBA88F"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2D7E39C3"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5E7AB013"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23C1B89F" w14:textId="77777777" w:rsidR="00605352" w:rsidRPr="00605352" w:rsidRDefault="00605352" w:rsidP="00605352">
            <w:pPr>
              <w:jc w:val="right"/>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565779E7"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48166221" w14:textId="77777777" w:rsidR="00605352" w:rsidRPr="00605352" w:rsidRDefault="00605352" w:rsidP="00605352">
            <w:pPr>
              <w:jc w:val="both"/>
              <w:rPr>
                <w:rFonts w:ascii="Calibri" w:hAnsi="Calibri" w:cs="Calibri"/>
                <w:b/>
                <w:bCs/>
                <w:color w:val="000000"/>
                <w:sz w:val="20"/>
                <w:lang w:eastAsia="en-GB"/>
              </w:rPr>
            </w:pPr>
            <w:r w:rsidRPr="00605352">
              <w:rPr>
                <w:rFonts w:ascii="Calibri" w:hAnsi="Calibri" w:cs="Calibri"/>
                <w:b/>
                <w:bCs/>
                <w:color w:val="000000"/>
                <w:sz w:val="20"/>
                <w:lang w:eastAsia="en-GB"/>
              </w:rPr>
              <w:t>Gross profit</w:t>
            </w:r>
          </w:p>
        </w:tc>
        <w:tc>
          <w:tcPr>
            <w:tcW w:w="1093" w:type="dxa"/>
            <w:tcBorders>
              <w:top w:val="nil"/>
              <w:left w:val="nil"/>
              <w:bottom w:val="nil"/>
              <w:right w:val="nil"/>
            </w:tcBorders>
            <w:shd w:val="clear" w:color="auto" w:fill="auto"/>
            <w:noWrap/>
            <w:vAlign w:val="center"/>
            <w:hideMark/>
          </w:tcPr>
          <w:p w14:paraId="1DBF5485"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320</w:t>
            </w:r>
          </w:p>
        </w:tc>
        <w:tc>
          <w:tcPr>
            <w:tcW w:w="1093" w:type="dxa"/>
            <w:tcBorders>
              <w:top w:val="nil"/>
              <w:left w:val="nil"/>
              <w:bottom w:val="nil"/>
              <w:right w:val="nil"/>
            </w:tcBorders>
            <w:shd w:val="clear" w:color="auto" w:fill="auto"/>
            <w:noWrap/>
            <w:vAlign w:val="center"/>
            <w:hideMark/>
          </w:tcPr>
          <w:p w14:paraId="501A4590"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240</w:t>
            </w:r>
          </w:p>
        </w:tc>
        <w:tc>
          <w:tcPr>
            <w:tcW w:w="1094" w:type="dxa"/>
            <w:tcBorders>
              <w:top w:val="nil"/>
              <w:left w:val="nil"/>
              <w:bottom w:val="nil"/>
              <w:right w:val="single" w:sz="8" w:space="0" w:color="auto"/>
            </w:tcBorders>
            <w:shd w:val="clear" w:color="auto" w:fill="auto"/>
            <w:noWrap/>
            <w:vAlign w:val="center"/>
            <w:hideMark/>
          </w:tcPr>
          <w:p w14:paraId="1AEB7796"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+33%</w:t>
            </w:r>
          </w:p>
        </w:tc>
      </w:tr>
      <w:tr w:rsidR="00605352" w:rsidRPr="00605352" w14:paraId="267BBD59"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74EC6689"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2C268AE2"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5DAAD658"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7DEDCA6D" w14:textId="77777777" w:rsidR="00605352" w:rsidRPr="00605352" w:rsidRDefault="00605352" w:rsidP="00605352">
            <w:pPr>
              <w:jc w:val="right"/>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4765D83C"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741BBBA5" w14:textId="77777777" w:rsidR="00605352" w:rsidRPr="00605352" w:rsidRDefault="00605352" w:rsidP="00605352">
            <w:pPr>
              <w:jc w:val="both"/>
              <w:rPr>
                <w:rFonts w:ascii="Calibri" w:hAnsi="Calibri" w:cs="Calibri"/>
                <w:color w:val="000000"/>
                <w:sz w:val="20"/>
                <w:lang w:eastAsia="en-GB"/>
              </w:rPr>
            </w:pPr>
            <w:r w:rsidRPr="00605352">
              <w:rPr>
                <w:rFonts w:ascii="Calibri" w:hAnsi="Calibri" w:cs="Calibri"/>
                <w:color w:val="000000"/>
                <w:sz w:val="20"/>
                <w:lang w:eastAsia="en-GB"/>
              </w:rPr>
              <w:t>Sales and marketing</w:t>
            </w:r>
          </w:p>
        </w:tc>
        <w:tc>
          <w:tcPr>
            <w:tcW w:w="1093" w:type="dxa"/>
            <w:tcBorders>
              <w:top w:val="nil"/>
              <w:left w:val="nil"/>
              <w:bottom w:val="single" w:sz="8" w:space="0" w:color="auto"/>
              <w:right w:val="nil"/>
            </w:tcBorders>
            <w:shd w:val="clear" w:color="auto" w:fill="auto"/>
            <w:noWrap/>
            <w:vAlign w:val="center"/>
            <w:hideMark/>
          </w:tcPr>
          <w:p w14:paraId="66FAB19C"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(7</w:t>
            </w:r>
            <w:r w:rsidR="007951EC">
              <w:rPr>
                <w:rFonts w:ascii="Calibri" w:hAnsi="Calibri" w:cs="Calibri"/>
                <w:sz w:val="20"/>
                <w:lang w:eastAsia="en-GB"/>
              </w:rPr>
              <w:t>0</w:t>
            </w:r>
            <w:r w:rsidRPr="00605352">
              <w:rPr>
                <w:rFonts w:ascii="Calibri" w:hAnsi="Calibri" w:cs="Calibri"/>
                <w:sz w:val="20"/>
                <w:lang w:eastAsia="en-GB"/>
              </w:rPr>
              <w:t>)</w:t>
            </w:r>
          </w:p>
        </w:tc>
        <w:tc>
          <w:tcPr>
            <w:tcW w:w="1093" w:type="dxa"/>
            <w:tcBorders>
              <w:top w:val="nil"/>
              <w:left w:val="nil"/>
              <w:bottom w:val="single" w:sz="8" w:space="0" w:color="auto"/>
              <w:right w:val="nil"/>
            </w:tcBorders>
            <w:shd w:val="clear" w:color="auto" w:fill="auto"/>
            <w:noWrap/>
            <w:vAlign w:val="center"/>
            <w:hideMark/>
          </w:tcPr>
          <w:p w14:paraId="3A7C9380"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(73)</w:t>
            </w:r>
          </w:p>
        </w:tc>
        <w:tc>
          <w:tcPr>
            <w:tcW w:w="1094" w:type="dxa"/>
            <w:tcBorders>
              <w:top w:val="nil"/>
              <w:left w:val="nil"/>
              <w:bottom w:val="single" w:sz="8" w:space="0" w:color="auto"/>
              <w:right w:val="single" w:sz="8" w:space="0" w:color="auto"/>
            </w:tcBorders>
            <w:shd w:val="clear" w:color="auto" w:fill="auto"/>
            <w:noWrap/>
            <w:vAlign w:val="center"/>
            <w:hideMark/>
          </w:tcPr>
          <w:p w14:paraId="58336992" w14:textId="77777777" w:rsidR="00605352" w:rsidRPr="00605352" w:rsidRDefault="00605352" w:rsidP="00605352">
            <w:pPr>
              <w:jc w:val="right"/>
              <w:rPr>
                <w:rFonts w:ascii="Calibri" w:hAnsi="Calibri" w:cs="Calibri"/>
                <w:color w:val="000000"/>
                <w:sz w:val="20"/>
                <w:lang w:eastAsia="en-GB"/>
              </w:rPr>
            </w:pPr>
            <w:r w:rsidRPr="00605352">
              <w:rPr>
                <w:rFonts w:ascii="Calibri" w:hAnsi="Calibri" w:cs="Calibri"/>
                <w:color w:val="000000"/>
                <w:sz w:val="20"/>
                <w:lang w:eastAsia="en-GB"/>
              </w:rPr>
              <w:t>-</w:t>
            </w:r>
            <w:r w:rsidR="007951EC">
              <w:rPr>
                <w:rFonts w:ascii="Calibri" w:hAnsi="Calibri" w:cs="Calibri"/>
                <w:color w:val="000000"/>
                <w:sz w:val="20"/>
                <w:lang w:eastAsia="en-GB"/>
              </w:rPr>
              <w:t>4</w:t>
            </w:r>
            <w:r w:rsidRPr="00605352">
              <w:rPr>
                <w:rFonts w:ascii="Calibri" w:hAnsi="Calibri" w:cs="Calibri"/>
                <w:color w:val="000000"/>
                <w:sz w:val="20"/>
                <w:lang w:eastAsia="en-GB"/>
              </w:rPr>
              <w:t>%</w:t>
            </w:r>
          </w:p>
        </w:tc>
      </w:tr>
      <w:tr w:rsidR="00605352" w:rsidRPr="00605352" w14:paraId="3A44CBD9"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2925599A" w14:textId="77777777" w:rsidR="00605352" w:rsidRPr="00605352" w:rsidRDefault="00605352" w:rsidP="00605352">
            <w:pPr>
              <w:jc w:val="both"/>
              <w:rPr>
                <w:rFonts w:ascii="Calibri" w:hAnsi="Calibri" w:cs="Calibri"/>
                <w:b/>
                <w:bCs/>
                <w:color w:val="000000"/>
                <w:sz w:val="20"/>
                <w:lang w:eastAsia="en-GB"/>
              </w:rPr>
            </w:pPr>
            <w:r w:rsidRPr="00605352">
              <w:rPr>
                <w:rFonts w:ascii="Calibri" w:hAnsi="Calibri" w:cs="Calibri"/>
                <w:b/>
                <w:bCs/>
                <w:color w:val="000000"/>
                <w:sz w:val="20"/>
                <w:lang w:eastAsia="en-GB"/>
              </w:rPr>
              <w:t>Contribution</w:t>
            </w:r>
          </w:p>
        </w:tc>
        <w:tc>
          <w:tcPr>
            <w:tcW w:w="1093" w:type="dxa"/>
            <w:tcBorders>
              <w:top w:val="nil"/>
              <w:left w:val="nil"/>
              <w:bottom w:val="nil"/>
              <w:right w:val="nil"/>
            </w:tcBorders>
            <w:shd w:val="clear" w:color="auto" w:fill="auto"/>
            <w:noWrap/>
            <w:vAlign w:val="center"/>
            <w:hideMark/>
          </w:tcPr>
          <w:p w14:paraId="18EB40B0"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2</w:t>
            </w:r>
            <w:r w:rsidR="007951EC">
              <w:rPr>
                <w:rFonts w:ascii="Calibri" w:hAnsi="Calibri" w:cs="Calibri"/>
                <w:b/>
                <w:bCs/>
                <w:sz w:val="20"/>
                <w:lang w:eastAsia="en-GB"/>
              </w:rPr>
              <w:t>50</w:t>
            </w:r>
          </w:p>
        </w:tc>
        <w:tc>
          <w:tcPr>
            <w:tcW w:w="1093" w:type="dxa"/>
            <w:tcBorders>
              <w:top w:val="nil"/>
              <w:left w:val="nil"/>
              <w:bottom w:val="nil"/>
              <w:right w:val="nil"/>
            </w:tcBorders>
            <w:shd w:val="clear" w:color="auto" w:fill="auto"/>
            <w:noWrap/>
            <w:vAlign w:val="center"/>
            <w:hideMark/>
          </w:tcPr>
          <w:p w14:paraId="141D6E51"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167</w:t>
            </w:r>
          </w:p>
        </w:tc>
        <w:tc>
          <w:tcPr>
            <w:tcW w:w="1094" w:type="dxa"/>
            <w:tcBorders>
              <w:top w:val="nil"/>
              <w:left w:val="nil"/>
              <w:bottom w:val="nil"/>
              <w:right w:val="single" w:sz="8" w:space="0" w:color="auto"/>
            </w:tcBorders>
            <w:shd w:val="clear" w:color="auto" w:fill="auto"/>
            <w:noWrap/>
            <w:vAlign w:val="center"/>
            <w:hideMark/>
          </w:tcPr>
          <w:p w14:paraId="481DCCC0"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w:t>
            </w:r>
            <w:r w:rsidR="007951EC">
              <w:rPr>
                <w:rFonts w:ascii="Calibri" w:hAnsi="Calibri" w:cs="Calibri"/>
                <w:b/>
                <w:bCs/>
                <w:color w:val="000000"/>
                <w:sz w:val="20"/>
                <w:lang w:eastAsia="en-GB"/>
              </w:rPr>
              <w:t>50</w:t>
            </w:r>
            <w:r w:rsidRPr="00605352">
              <w:rPr>
                <w:rFonts w:ascii="Calibri" w:hAnsi="Calibri" w:cs="Calibri"/>
                <w:b/>
                <w:bCs/>
                <w:color w:val="000000"/>
                <w:sz w:val="20"/>
                <w:lang w:eastAsia="en-GB"/>
              </w:rPr>
              <w:t>%</w:t>
            </w:r>
          </w:p>
        </w:tc>
      </w:tr>
      <w:tr w:rsidR="00605352" w:rsidRPr="00605352" w14:paraId="5B9E0E46"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7C4D2576"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36A313B5"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2937D9B4"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5EA784C9" w14:textId="77777777" w:rsidR="00605352" w:rsidRPr="00605352" w:rsidRDefault="00605352" w:rsidP="00605352">
            <w:pPr>
              <w:jc w:val="right"/>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24381CB1"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59968BEA" w14:textId="77777777" w:rsidR="00605352" w:rsidRPr="00605352" w:rsidRDefault="00605352" w:rsidP="00605352">
            <w:pPr>
              <w:jc w:val="both"/>
              <w:rPr>
                <w:rFonts w:ascii="Calibri" w:hAnsi="Calibri" w:cs="Calibri"/>
                <w:color w:val="000000"/>
                <w:sz w:val="20"/>
                <w:lang w:eastAsia="en-GB"/>
              </w:rPr>
            </w:pPr>
            <w:r w:rsidRPr="00605352">
              <w:rPr>
                <w:rFonts w:ascii="Calibri" w:hAnsi="Calibri" w:cs="Calibri"/>
                <w:color w:val="000000"/>
                <w:sz w:val="20"/>
                <w:lang w:eastAsia="en-GB"/>
              </w:rPr>
              <w:t>Other operating costs</w:t>
            </w:r>
          </w:p>
        </w:tc>
        <w:tc>
          <w:tcPr>
            <w:tcW w:w="1093" w:type="dxa"/>
            <w:tcBorders>
              <w:top w:val="nil"/>
              <w:left w:val="nil"/>
              <w:bottom w:val="single" w:sz="8" w:space="0" w:color="auto"/>
              <w:right w:val="nil"/>
            </w:tcBorders>
            <w:shd w:val="clear" w:color="auto" w:fill="auto"/>
            <w:noWrap/>
            <w:vAlign w:val="center"/>
            <w:hideMark/>
          </w:tcPr>
          <w:p w14:paraId="7F826CD7" w14:textId="77777777" w:rsidR="00605352" w:rsidRPr="00605352" w:rsidRDefault="00605352">
            <w:pPr>
              <w:jc w:val="right"/>
              <w:rPr>
                <w:rFonts w:ascii="Calibri" w:hAnsi="Calibri" w:cs="Calibri"/>
                <w:sz w:val="20"/>
                <w:lang w:eastAsia="en-GB"/>
              </w:rPr>
            </w:pPr>
            <w:r w:rsidRPr="00605352">
              <w:rPr>
                <w:rFonts w:ascii="Calibri" w:hAnsi="Calibri" w:cs="Calibri"/>
                <w:sz w:val="20"/>
                <w:lang w:eastAsia="en-GB"/>
              </w:rPr>
              <w:t>(6</w:t>
            </w:r>
            <w:r w:rsidR="007951EC">
              <w:rPr>
                <w:rFonts w:ascii="Calibri" w:hAnsi="Calibri" w:cs="Calibri"/>
                <w:sz w:val="20"/>
                <w:lang w:eastAsia="en-GB"/>
              </w:rPr>
              <w:t>6</w:t>
            </w:r>
            <w:r w:rsidRPr="00605352">
              <w:rPr>
                <w:rFonts w:ascii="Calibri" w:hAnsi="Calibri" w:cs="Calibri"/>
                <w:sz w:val="20"/>
                <w:lang w:eastAsia="en-GB"/>
              </w:rPr>
              <w:t>)</w:t>
            </w:r>
          </w:p>
        </w:tc>
        <w:tc>
          <w:tcPr>
            <w:tcW w:w="1093" w:type="dxa"/>
            <w:tcBorders>
              <w:top w:val="nil"/>
              <w:left w:val="nil"/>
              <w:bottom w:val="single" w:sz="8" w:space="0" w:color="auto"/>
              <w:right w:val="nil"/>
            </w:tcBorders>
            <w:shd w:val="clear" w:color="auto" w:fill="auto"/>
            <w:noWrap/>
            <w:vAlign w:val="center"/>
            <w:hideMark/>
          </w:tcPr>
          <w:p w14:paraId="49967655"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(56)</w:t>
            </w:r>
          </w:p>
        </w:tc>
        <w:tc>
          <w:tcPr>
            <w:tcW w:w="1094" w:type="dxa"/>
            <w:tcBorders>
              <w:top w:val="nil"/>
              <w:left w:val="nil"/>
              <w:bottom w:val="single" w:sz="8" w:space="0" w:color="auto"/>
              <w:right w:val="single" w:sz="8" w:space="0" w:color="auto"/>
            </w:tcBorders>
            <w:shd w:val="clear" w:color="auto" w:fill="auto"/>
            <w:noWrap/>
            <w:vAlign w:val="center"/>
            <w:hideMark/>
          </w:tcPr>
          <w:p w14:paraId="2C466908" w14:textId="77777777" w:rsidR="00605352" w:rsidRPr="00605352" w:rsidRDefault="00605352" w:rsidP="00605352">
            <w:pPr>
              <w:jc w:val="right"/>
              <w:rPr>
                <w:rFonts w:ascii="Calibri" w:hAnsi="Calibri" w:cs="Calibri"/>
                <w:color w:val="000000"/>
                <w:sz w:val="20"/>
                <w:lang w:eastAsia="en-GB"/>
              </w:rPr>
            </w:pPr>
            <w:r w:rsidRPr="00605352">
              <w:rPr>
                <w:rFonts w:ascii="Calibri" w:hAnsi="Calibri" w:cs="Calibri"/>
                <w:color w:val="000000"/>
                <w:sz w:val="20"/>
                <w:lang w:eastAsia="en-GB"/>
              </w:rPr>
              <w:t>+1</w:t>
            </w:r>
            <w:r w:rsidR="007951EC">
              <w:rPr>
                <w:rFonts w:ascii="Calibri" w:hAnsi="Calibri" w:cs="Calibri"/>
                <w:color w:val="000000"/>
                <w:sz w:val="20"/>
                <w:lang w:eastAsia="en-GB"/>
              </w:rPr>
              <w:t>7</w:t>
            </w:r>
            <w:r w:rsidRPr="00605352">
              <w:rPr>
                <w:rFonts w:ascii="Calibri" w:hAnsi="Calibri" w:cs="Calibri"/>
                <w:color w:val="000000"/>
                <w:sz w:val="20"/>
                <w:lang w:eastAsia="en-GB"/>
              </w:rPr>
              <w:t>%</w:t>
            </w:r>
          </w:p>
        </w:tc>
      </w:tr>
      <w:tr w:rsidR="00605352" w:rsidRPr="00605352" w14:paraId="007CD620"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17B18267" w14:textId="77777777" w:rsidR="00605352" w:rsidRPr="00605352" w:rsidRDefault="00605352" w:rsidP="00605352">
            <w:pPr>
              <w:jc w:val="both"/>
              <w:rPr>
                <w:rFonts w:ascii="Calibri" w:hAnsi="Calibri" w:cs="Calibri"/>
                <w:b/>
                <w:bCs/>
                <w:color w:val="000000"/>
                <w:sz w:val="2"/>
                <w:szCs w:val="2"/>
                <w:lang w:eastAsia="en-GB"/>
              </w:rPr>
            </w:pPr>
            <w:r w:rsidRPr="00605352">
              <w:rPr>
                <w:rFonts w:ascii="Calibri" w:hAnsi="Calibri" w:cs="Calibri"/>
                <w:b/>
                <w:bCs/>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0FE46391" w14:textId="77777777" w:rsidR="00605352" w:rsidRPr="00605352" w:rsidRDefault="00605352" w:rsidP="00605352">
            <w:pPr>
              <w:jc w:val="both"/>
              <w:rPr>
                <w:rFonts w:ascii="Calibri" w:hAnsi="Calibri" w:cs="Calibri"/>
                <w:b/>
                <w:bCs/>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47CC635A"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070C5DF3" w14:textId="77777777" w:rsidR="00605352" w:rsidRPr="00605352" w:rsidRDefault="00605352" w:rsidP="00605352">
            <w:pPr>
              <w:jc w:val="right"/>
              <w:rPr>
                <w:rFonts w:ascii="Calibri" w:hAnsi="Calibri" w:cs="Calibri"/>
                <w:b/>
                <w:bCs/>
                <w:color w:val="000000"/>
                <w:sz w:val="2"/>
                <w:szCs w:val="2"/>
                <w:lang w:eastAsia="en-GB"/>
              </w:rPr>
            </w:pPr>
            <w:r w:rsidRPr="00605352">
              <w:rPr>
                <w:rFonts w:ascii="Calibri" w:hAnsi="Calibri" w:cs="Calibri"/>
                <w:b/>
                <w:bCs/>
                <w:color w:val="000000"/>
                <w:sz w:val="2"/>
                <w:szCs w:val="2"/>
                <w:lang w:eastAsia="en-GB"/>
              </w:rPr>
              <w:t> </w:t>
            </w:r>
          </w:p>
        </w:tc>
      </w:tr>
      <w:tr w:rsidR="00605352" w:rsidRPr="00605352" w14:paraId="020895BA"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502F287F" w14:textId="77777777" w:rsidR="00605352" w:rsidRPr="00605352" w:rsidRDefault="00605352" w:rsidP="00605352">
            <w:pPr>
              <w:jc w:val="both"/>
              <w:rPr>
                <w:rFonts w:ascii="Calibri" w:hAnsi="Calibri" w:cs="Calibri"/>
                <w:b/>
                <w:bCs/>
                <w:color w:val="000000"/>
                <w:sz w:val="20"/>
                <w:lang w:eastAsia="en-GB"/>
              </w:rPr>
            </w:pPr>
            <w:r w:rsidRPr="00605352">
              <w:rPr>
                <w:rFonts w:ascii="Calibri" w:hAnsi="Calibri" w:cs="Calibri"/>
                <w:b/>
                <w:bCs/>
                <w:color w:val="000000"/>
                <w:sz w:val="20"/>
                <w:lang w:eastAsia="en-GB"/>
              </w:rPr>
              <w:t>Adjusted EBITDA</w:t>
            </w:r>
            <w:r w:rsidRPr="00605352">
              <w:rPr>
                <w:rFonts w:ascii="Calibri" w:hAnsi="Calibri" w:cs="Calibri"/>
                <w:i/>
                <w:iCs/>
                <w:color w:val="000000"/>
                <w:sz w:val="20"/>
                <w:vertAlign w:val="superscript"/>
                <w:lang w:eastAsia="en-GB"/>
              </w:rPr>
              <w:t>1,2</w:t>
            </w:r>
          </w:p>
        </w:tc>
        <w:tc>
          <w:tcPr>
            <w:tcW w:w="1093" w:type="dxa"/>
            <w:tcBorders>
              <w:top w:val="nil"/>
              <w:left w:val="nil"/>
              <w:bottom w:val="nil"/>
              <w:right w:val="nil"/>
            </w:tcBorders>
            <w:shd w:val="clear" w:color="auto" w:fill="auto"/>
            <w:noWrap/>
            <w:vAlign w:val="center"/>
            <w:hideMark/>
          </w:tcPr>
          <w:p w14:paraId="3C3163AF"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184</w:t>
            </w:r>
          </w:p>
        </w:tc>
        <w:tc>
          <w:tcPr>
            <w:tcW w:w="1093" w:type="dxa"/>
            <w:tcBorders>
              <w:top w:val="nil"/>
              <w:left w:val="nil"/>
              <w:bottom w:val="nil"/>
              <w:right w:val="nil"/>
            </w:tcBorders>
            <w:shd w:val="clear" w:color="auto" w:fill="auto"/>
            <w:noWrap/>
            <w:vAlign w:val="center"/>
            <w:hideMark/>
          </w:tcPr>
          <w:p w14:paraId="4DCA03D2"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111</w:t>
            </w:r>
          </w:p>
        </w:tc>
        <w:tc>
          <w:tcPr>
            <w:tcW w:w="1094" w:type="dxa"/>
            <w:tcBorders>
              <w:top w:val="nil"/>
              <w:left w:val="nil"/>
              <w:bottom w:val="nil"/>
              <w:right w:val="single" w:sz="8" w:space="0" w:color="auto"/>
            </w:tcBorders>
            <w:shd w:val="clear" w:color="auto" w:fill="auto"/>
            <w:noWrap/>
            <w:vAlign w:val="center"/>
            <w:hideMark/>
          </w:tcPr>
          <w:p w14:paraId="5A01618F"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+66%</w:t>
            </w:r>
          </w:p>
        </w:tc>
      </w:tr>
      <w:tr w:rsidR="00605352" w:rsidRPr="00605352" w14:paraId="34C7494D"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1E64ADD4" w14:textId="77777777" w:rsidR="00605352" w:rsidRPr="00605352" w:rsidRDefault="00605352" w:rsidP="00605352">
            <w:pPr>
              <w:jc w:val="both"/>
              <w:rPr>
                <w:rFonts w:ascii="Calibri" w:hAnsi="Calibri" w:cs="Calibri"/>
                <w:i/>
                <w:iCs/>
                <w:color w:val="000000"/>
                <w:sz w:val="18"/>
                <w:szCs w:val="18"/>
                <w:lang w:eastAsia="en-GB"/>
              </w:rPr>
            </w:pPr>
            <w:r w:rsidRPr="00605352">
              <w:rPr>
                <w:rFonts w:ascii="Calibri" w:hAnsi="Calibri" w:cs="Calibri"/>
                <w:i/>
                <w:iCs/>
                <w:color w:val="000000"/>
                <w:sz w:val="18"/>
                <w:szCs w:val="18"/>
                <w:lang w:eastAsia="en-GB"/>
              </w:rPr>
              <w:t>Adjusted EBITDA margin</w:t>
            </w:r>
          </w:p>
        </w:tc>
        <w:tc>
          <w:tcPr>
            <w:tcW w:w="1093" w:type="dxa"/>
            <w:tcBorders>
              <w:top w:val="nil"/>
              <w:left w:val="nil"/>
              <w:bottom w:val="nil"/>
              <w:right w:val="nil"/>
            </w:tcBorders>
            <w:shd w:val="clear" w:color="auto" w:fill="auto"/>
            <w:noWrap/>
            <w:vAlign w:val="center"/>
            <w:hideMark/>
          </w:tcPr>
          <w:p w14:paraId="176D6CC5" w14:textId="77777777" w:rsidR="00605352" w:rsidRPr="00605352" w:rsidRDefault="00605352" w:rsidP="00605352">
            <w:pPr>
              <w:jc w:val="right"/>
              <w:rPr>
                <w:rFonts w:ascii="Calibri" w:hAnsi="Calibri" w:cs="Calibri"/>
                <w:i/>
                <w:iCs/>
                <w:sz w:val="18"/>
                <w:szCs w:val="18"/>
                <w:lang w:eastAsia="en-GB"/>
              </w:rPr>
            </w:pPr>
            <w:r w:rsidRPr="00605352">
              <w:rPr>
                <w:rFonts w:ascii="Calibri" w:hAnsi="Calibri" w:cs="Calibri"/>
                <w:i/>
                <w:iCs/>
                <w:sz w:val="18"/>
                <w:szCs w:val="18"/>
                <w:lang w:eastAsia="en-GB"/>
              </w:rPr>
              <w:t>41.9%</w:t>
            </w:r>
          </w:p>
        </w:tc>
        <w:tc>
          <w:tcPr>
            <w:tcW w:w="1093" w:type="dxa"/>
            <w:tcBorders>
              <w:top w:val="nil"/>
              <w:left w:val="nil"/>
              <w:bottom w:val="nil"/>
              <w:right w:val="nil"/>
            </w:tcBorders>
            <w:shd w:val="clear" w:color="auto" w:fill="auto"/>
            <w:noWrap/>
            <w:vAlign w:val="center"/>
            <w:hideMark/>
          </w:tcPr>
          <w:p w14:paraId="5BF2885F" w14:textId="77777777" w:rsidR="00605352" w:rsidRPr="00605352" w:rsidRDefault="00605352" w:rsidP="00605352">
            <w:pPr>
              <w:jc w:val="right"/>
              <w:rPr>
                <w:rFonts w:ascii="Calibri" w:hAnsi="Calibri" w:cs="Calibri"/>
                <w:i/>
                <w:iCs/>
                <w:sz w:val="18"/>
                <w:szCs w:val="18"/>
                <w:lang w:eastAsia="en-GB"/>
              </w:rPr>
            </w:pPr>
            <w:r w:rsidRPr="00605352">
              <w:rPr>
                <w:rFonts w:ascii="Calibri" w:hAnsi="Calibri" w:cs="Calibri"/>
                <w:i/>
                <w:iCs/>
                <w:sz w:val="18"/>
                <w:szCs w:val="18"/>
                <w:lang w:eastAsia="en-GB"/>
              </w:rPr>
              <w:t>33.4%</w:t>
            </w:r>
          </w:p>
        </w:tc>
        <w:tc>
          <w:tcPr>
            <w:tcW w:w="1094" w:type="dxa"/>
            <w:tcBorders>
              <w:top w:val="nil"/>
              <w:left w:val="nil"/>
              <w:bottom w:val="nil"/>
              <w:right w:val="single" w:sz="8" w:space="0" w:color="auto"/>
            </w:tcBorders>
            <w:shd w:val="clear" w:color="auto" w:fill="auto"/>
            <w:noWrap/>
            <w:vAlign w:val="center"/>
            <w:hideMark/>
          </w:tcPr>
          <w:p w14:paraId="0266974E" w14:textId="77777777" w:rsidR="00605352" w:rsidRPr="00605352" w:rsidRDefault="00605352" w:rsidP="00605352">
            <w:pPr>
              <w:jc w:val="right"/>
              <w:rPr>
                <w:rFonts w:ascii="Calibri" w:hAnsi="Calibri" w:cs="Calibri"/>
                <w:i/>
                <w:iCs/>
                <w:color w:val="000000"/>
                <w:sz w:val="18"/>
                <w:szCs w:val="18"/>
                <w:lang w:eastAsia="en-GB"/>
              </w:rPr>
            </w:pPr>
            <w:r w:rsidRPr="00605352">
              <w:rPr>
                <w:rFonts w:ascii="Calibri" w:hAnsi="Calibri" w:cs="Calibri"/>
                <w:i/>
                <w:iCs/>
                <w:color w:val="000000"/>
                <w:sz w:val="18"/>
                <w:szCs w:val="18"/>
                <w:lang w:eastAsia="en-GB"/>
              </w:rPr>
              <w:t>+860bps</w:t>
            </w:r>
          </w:p>
        </w:tc>
      </w:tr>
      <w:tr w:rsidR="00605352" w:rsidRPr="00605352" w14:paraId="19C2A0B9"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5C53F121"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1B566DE2"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5DC24A58"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01AB0A9C" w14:textId="77777777" w:rsidR="00605352" w:rsidRPr="00605352" w:rsidRDefault="00605352" w:rsidP="00605352">
            <w:pPr>
              <w:jc w:val="right"/>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3A7BED31"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5A9C8677" w14:textId="77777777" w:rsidR="00605352" w:rsidRPr="00605352" w:rsidRDefault="00605352" w:rsidP="00605352">
            <w:pPr>
              <w:jc w:val="both"/>
              <w:rPr>
                <w:rFonts w:ascii="Calibri" w:hAnsi="Calibri" w:cs="Calibri"/>
                <w:color w:val="000000"/>
                <w:sz w:val="20"/>
                <w:lang w:eastAsia="en-GB"/>
              </w:rPr>
            </w:pPr>
            <w:r w:rsidRPr="00605352">
              <w:rPr>
                <w:rFonts w:ascii="Calibri" w:hAnsi="Calibri" w:cs="Calibri"/>
                <w:color w:val="000000"/>
                <w:sz w:val="20"/>
                <w:lang w:eastAsia="en-GB"/>
              </w:rPr>
              <w:t>Depreciation and amortisation</w:t>
            </w:r>
          </w:p>
        </w:tc>
        <w:tc>
          <w:tcPr>
            <w:tcW w:w="1093" w:type="dxa"/>
            <w:tcBorders>
              <w:top w:val="nil"/>
              <w:left w:val="nil"/>
              <w:bottom w:val="single" w:sz="8" w:space="0" w:color="auto"/>
              <w:right w:val="nil"/>
            </w:tcBorders>
            <w:shd w:val="clear" w:color="auto" w:fill="auto"/>
            <w:noWrap/>
            <w:vAlign w:val="center"/>
            <w:hideMark/>
          </w:tcPr>
          <w:p w14:paraId="41DF68FC"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(12)</w:t>
            </w:r>
          </w:p>
        </w:tc>
        <w:tc>
          <w:tcPr>
            <w:tcW w:w="1093" w:type="dxa"/>
            <w:tcBorders>
              <w:top w:val="nil"/>
              <w:left w:val="nil"/>
              <w:bottom w:val="single" w:sz="8" w:space="0" w:color="auto"/>
              <w:right w:val="nil"/>
            </w:tcBorders>
            <w:shd w:val="clear" w:color="auto" w:fill="auto"/>
            <w:noWrap/>
            <w:vAlign w:val="center"/>
            <w:hideMark/>
          </w:tcPr>
          <w:p w14:paraId="32CB58A6" w14:textId="77777777" w:rsidR="00605352" w:rsidRPr="00605352" w:rsidRDefault="00605352" w:rsidP="00605352">
            <w:pPr>
              <w:jc w:val="right"/>
              <w:rPr>
                <w:rFonts w:ascii="Calibri" w:hAnsi="Calibri" w:cs="Calibri"/>
                <w:sz w:val="20"/>
                <w:lang w:eastAsia="en-GB"/>
              </w:rPr>
            </w:pPr>
            <w:r w:rsidRPr="00605352">
              <w:rPr>
                <w:rFonts w:ascii="Calibri" w:hAnsi="Calibri" w:cs="Calibri"/>
                <w:sz w:val="20"/>
                <w:lang w:eastAsia="en-GB"/>
              </w:rPr>
              <w:t>(11)</w:t>
            </w:r>
          </w:p>
        </w:tc>
        <w:tc>
          <w:tcPr>
            <w:tcW w:w="1094" w:type="dxa"/>
            <w:tcBorders>
              <w:top w:val="nil"/>
              <w:left w:val="nil"/>
              <w:bottom w:val="single" w:sz="8" w:space="0" w:color="auto"/>
              <w:right w:val="single" w:sz="8" w:space="0" w:color="auto"/>
            </w:tcBorders>
            <w:shd w:val="clear" w:color="auto" w:fill="auto"/>
            <w:noWrap/>
            <w:vAlign w:val="center"/>
            <w:hideMark/>
          </w:tcPr>
          <w:p w14:paraId="3E14AE9F" w14:textId="77777777" w:rsidR="00605352" w:rsidRPr="00605352" w:rsidRDefault="00605352" w:rsidP="00605352">
            <w:pPr>
              <w:jc w:val="right"/>
              <w:rPr>
                <w:rFonts w:ascii="Calibri" w:hAnsi="Calibri" w:cs="Calibri"/>
                <w:color w:val="000000"/>
                <w:sz w:val="20"/>
                <w:lang w:eastAsia="en-GB"/>
              </w:rPr>
            </w:pPr>
            <w:r w:rsidRPr="00605352">
              <w:rPr>
                <w:rFonts w:ascii="Calibri" w:hAnsi="Calibri" w:cs="Calibri"/>
                <w:color w:val="000000"/>
                <w:sz w:val="20"/>
                <w:lang w:eastAsia="en-GB"/>
              </w:rPr>
              <w:t>+5%</w:t>
            </w:r>
          </w:p>
        </w:tc>
      </w:tr>
      <w:tr w:rsidR="00605352" w:rsidRPr="00605352" w14:paraId="7D003699" w14:textId="77777777" w:rsidTr="00605352">
        <w:trPr>
          <w:trHeight w:val="34"/>
        </w:trPr>
        <w:tc>
          <w:tcPr>
            <w:tcW w:w="3068" w:type="dxa"/>
            <w:tcBorders>
              <w:top w:val="nil"/>
              <w:left w:val="single" w:sz="8" w:space="0" w:color="auto"/>
              <w:bottom w:val="nil"/>
              <w:right w:val="nil"/>
            </w:tcBorders>
            <w:shd w:val="clear" w:color="auto" w:fill="auto"/>
            <w:noWrap/>
            <w:vAlign w:val="center"/>
            <w:hideMark/>
          </w:tcPr>
          <w:p w14:paraId="3F474C10" w14:textId="77777777" w:rsidR="00605352" w:rsidRPr="00605352" w:rsidRDefault="00605352" w:rsidP="00605352">
            <w:pPr>
              <w:jc w:val="both"/>
              <w:rPr>
                <w:rFonts w:ascii="Calibri" w:hAnsi="Calibri" w:cs="Calibri"/>
                <w:color w:val="000000"/>
                <w:sz w:val="2"/>
                <w:szCs w:val="2"/>
                <w:lang w:eastAsia="en-GB"/>
              </w:rPr>
            </w:pPr>
            <w:r w:rsidRPr="00605352">
              <w:rPr>
                <w:rFonts w:ascii="Calibri" w:hAnsi="Calibri" w:cs="Calibri"/>
                <w:color w:val="000000"/>
                <w:sz w:val="2"/>
                <w:szCs w:val="2"/>
                <w:lang w:eastAsia="en-GB"/>
              </w:rPr>
              <w:t> </w:t>
            </w:r>
          </w:p>
        </w:tc>
        <w:tc>
          <w:tcPr>
            <w:tcW w:w="1093" w:type="dxa"/>
            <w:tcBorders>
              <w:top w:val="nil"/>
              <w:left w:val="nil"/>
              <w:bottom w:val="nil"/>
              <w:right w:val="nil"/>
            </w:tcBorders>
            <w:shd w:val="clear" w:color="auto" w:fill="auto"/>
            <w:noWrap/>
            <w:vAlign w:val="center"/>
            <w:hideMark/>
          </w:tcPr>
          <w:p w14:paraId="2D3DE4CB" w14:textId="77777777" w:rsidR="00605352" w:rsidRPr="00605352" w:rsidRDefault="00605352" w:rsidP="00605352">
            <w:pPr>
              <w:jc w:val="both"/>
              <w:rPr>
                <w:rFonts w:ascii="Calibri" w:hAnsi="Calibri" w:cs="Calibri"/>
                <w:color w:val="000000"/>
                <w:sz w:val="2"/>
                <w:szCs w:val="2"/>
                <w:lang w:eastAsia="en-GB"/>
              </w:rPr>
            </w:pPr>
          </w:p>
        </w:tc>
        <w:tc>
          <w:tcPr>
            <w:tcW w:w="1093" w:type="dxa"/>
            <w:tcBorders>
              <w:top w:val="nil"/>
              <w:left w:val="nil"/>
              <w:bottom w:val="nil"/>
              <w:right w:val="nil"/>
            </w:tcBorders>
            <w:shd w:val="clear" w:color="auto" w:fill="auto"/>
            <w:noWrap/>
            <w:vAlign w:val="center"/>
            <w:hideMark/>
          </w:tcPr>
          <w:p w14:paraId="3A7F1790" w14:textId="77777777" w:rsidR="00605352" w:rsidRPr="00605352" w:rsidRDefault="00605352" w:rsidP="00605352">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38B7C4A8" w14:textId="77777777" w:rsidR="00605352" w:rsidRPr="00605352" w:rsidRDefault="00605352" w:rsidP="00605352">
            <w:pPr>
              <w:jc w:val="right"/>
              <w:rPr>
                <w:rFonts w:ascii="Calibri" w:hAnsi="Calibri" w:cs="Calibri"/>
                <w:color w:val="000000"/>
                <w:sz w:val="2"/>
                <w:szCs w:val="2"/>
                <w:lang w:eastAsia="en-GB"/>
              </w:rPr>
            </w:pPr>
            <w:r w:rsidRPr="00605352">
              <w:rPr>
                <w:rFonts w:ascii="Calibri" w:hAnsi="Calibri" w:cs="Calibri"/>
                <w:color w:val="000000"/>
                <w:sz w:val="2"/>
                <w:szCs w:val="2"/>
                <w:lang w:eastAsia="en-GB"/>
              </w:rPr>
              <w:t> </w:t>
            </w:r>
          </w:p>
        </w:tc>
      </w:tr>
      <w:tr w:rsidR="00605352" w:rsidRPr="00605352" w14:paraId="48E7A3FD" w14:textId="77777777" w:rsidTr="00605352">
        <w:trPr>
          <w:trHeight w:val="255"/>
        </w:trPr>
        <w:tc>
          <w:tcPr>
            <w:tcW w:w="3068" w:type="dxa"/>
            <w:tcBorders>
              <w:top w:val="nil"/>
              <w:left w:val="single" w:sz="8" w:space="0" w:color="auto"/>
              <w:bottom w:val="nil"/>
              <w:right w:val="nil"/>
            </w:tcBorders>
            <w:shd w:val="clear" w:color="auto" w:fill="auto"/>
            <w:noWrap/>
            <w:vAlign w:val="center"/>
            <w:hideMark/>
          </w:tcPr>
          <w:p w14:paraId="0C3B760F" w14:textId="77777777" w:rsidR="00605352" w:rsidRPr="00605352" w:rsidRDefault="00605352" w:rsidP="00605352">
            <w:pPr>
              <w:jc w:val="both"/>
              <w:rPr>
                <w:rFonts w:ascii="Calibri" w:hAnsi="Calibri" w:cs="Calibri"/>
                <w:b/>
                <w:bCs/>
                <w:color w:val="000000"/>
                <w:sz w:val="20"/>
                <w:lang w:eastAsia="en-GB"/>
              </w:rPr>
            </w:pPr>
            <w:r w:rsidRPr="00605352">
              <w:rPr>
                <w:rFonts w:ascii="Calibri" w:hAnsi="Calibri" w:cs="Calibri"/>
                <w:b/>
                <w:bCs/>
                <w:color w:val="000000"/>
                <w:sz w:val="20"/>
                <w:lang w:eastAsia="en-GB"/>
              </w:rPr>
              <w:t>Adjusted</w:t>
            </w:r>
            <w:r w:rsidRPr="00605352">
              <w:rPr>
                <w:rFonts w:ascii="Calibri" w:hAnsi="Calibri" w:cs="Calibri"/>
                <w:i/>
                <w:iCs/>
                <w:color w:val="000000"/>
                <w:sz w:val="20"/>
                <w:vertAlign w:val="superscript"/>
                <w:lang w:eastAsia="en-GB"/>
              </w:rPr>
              <w:t xml:space="preserve">1 </w:t>
            </w:r>
            <w:r w:rsidRPr="00605352">
              <w:rPr>
                <w:rFonts w:ascii="Calibri" w:hAnsi="Calibri" w:cs="Calibri"/>
                <w:b/>
                <w:bCs/>
                <w:color w:val="000000"/>
                <w:sz w:val="20"/>
                <w:lang w:eastAsia="en-GB"/>
              </w:rPr>
              <w:t>operating profit</w:t>
            </w:r>
          </w:p>
        </w:tc>
        <w:tc>
          <w:tcPr>
            <w:tcW w:w="1093" w:type="dxa"/>
            <w:tcBorders>
              <w:top w:val="nil"/>
              <w:left w:val="nil"/>
              <w:bottom w:val="nil"/>
              <w:right w:val="nil"/>
            </w:tcBorders>
            <w:shd w:val="clear" w:color="auto" w:fill="auto"/>
            <w:noWrap/>
            <w:vAlign w:val="center"/>
            <w:hideMark/>
          </w:tcPr>
          <w:p w14:paraId="602CD545"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172</w:t>
            </w:r>
          </w:p>
        </w:tc>
        <w:tc>
          <w:tcPr>
            <w:tcW w:w="1093" w:type="dxa"/>
            <w:tcBorders>
              <w:top w:val="nil"/>
              <w:left w:val="nil"/>
              <w:bottom w:val="nil"/>
              <w:right w:val="nil"/>
            </w:tcBorders>
            <w:shd w:val="clear" w:color="auto" w:fill="auto"/>
            <w:noWrap/>
            <w:vAlign w:val="center"/>
            <w:hideMark/>
          </w:tcPr>
          <w:p w14:paraId="32FE9E45" w14:textId="77777777" w:rsidR="00605352" w:rsidRPr="00605352" w:rsidRDefault="00605352" w:rsidP="00605352">
            <w:pPr>
              <w:jc w:val="right"/>
              <w:rPr>
                <w:rFonts w:ascii="Calibri" w:hAnsi="Calibri" w:cs="Calibri"/>
                <w:b/>
                <w:bCs/>
                <w:sz w:val="20"/>
                <w:lang w:eastAsia="en-GB"/>
              </w:rPr>
            </w:pPr>
            <w:r w:rsidRPr="00605352">
              <w:rPr>
                <w:rFonts w:ascii="Calibri" w:hAnsi="Calibri" w:cs="Calibri"/>
                <w:b/>
                <w:bCs/>
                <w:sz w:val="20"/>
                <w:lang w:eastAsia="en-GB"/>
              </w:rPr>
              <w:t>99</w:t>
            </w:r>
          </w:p>
        </w:tc>
        <w:tc>
          <w:tcPr>
            <w:tcW w:w="1094" w:type="dxa"/>
            <w:tcBorders>
              <w:top w:val="nil"/>
              <w:left w:val="nil"/>
              <w:bottom w:val="nil"/>
              <w:right w:val="single" w:sz="8" w:space="0" w:color="auto"/>
            </w:tcBorders>
            <w:shd w:val="clear" w:color="auto" w:fill="auto"/>
            <w:noWrap/>
            <w:vAlign w:val="center"/>
            <w:hideMark/>
          </w:tcPr>
          <w:p w14:paraId="6D0A8D9D" w14:textId="77777777" w:rsidR="00605352" w:rsidRPr="00605352" w:rsidRDefault="00605352" w:rsidP="00605352">
            <w:pPr>
              <w:jc w:val="right"/>
              <w:rPr>
                <w:rFonts w:ascii="Calibri" w:hAnsi="Calibri" w:cs="Calibri"/>
                <w:b/>
                <w:bCs/>
                <w:color w:val="000000"/>
                <w:sz w:val="20"/>
                <w:lang w:eastAsia="en-GB"/>
              </w:rPr>
            </w:pPr>
            <w:r w:rsidRPr="00605352">
              <w:rPr>
                <w:rFonts w:ascii="Calibri" w:hAnsi="Calibri" w:cs="Calibri"/>
                <w:b/>
                <w:bCs/>
                <w:color w:val="000000"/>
                <w:sz w:val="20"/>
                <w:lang w:eastAsia="en-GB"/>
              </w:rPr>
              <w:t>+73%</w:t>
            </w:r>
          </w:p>
        </w:tc>
      </w:tr>
      <w:tr w:rsidR="00605352" w:rsidRPr="00605352" w14:paraId="7EC1B444" w14:textId="77777777" w:rsidTr="00605352">
        <w:trPr>
          <w:trHeight w:val="34"/>
        </w:trPr>
        <w:tc>
          <w:tcPr>
            <w:tcW w:w="3068" w:type="dxa"/>
            <w:tcBorders>
              <w:top w:val="nil"/>
              <w:left w:val="single" w:sz="8" w:space="0" w:color="auto"/>
              <w:bottom w:val="single" w:sz="8" w:space="0" w:color="auto"/>
              <w:right w:val="nil"/>
            </w:tcBorders>
            <w:shd w:val="clear" w:color="auto" w:fill="auto"/>
            <w:noWrap/>
            <w:vAlign w:val="center"/>
            <w:hideMark/>
          </w:tcPr>
          <w:p w14:paraId="798B06BC" w14:textId="77777777" w:rsidR="00605352" w:rsidRPr="00605352" w:rsidRDefault="00605352" w:rsidP="00605352">
            <w:pPr>
              <w:jc w:val="both"/>
              <w:rPr>
                <w:rFonts w:ascii="Calibri" w:hAnsi="Calibri" w:cs="Calibri"/>
                <w:b/>
                <w:bCs/>
                <w:color w:val="FF0000"/>
                <w:sz w:val="2"/>
                <w:szCs w:val="2"/>
                <w:lang w:eastAsia="en-GB"/>
              </w:rPr>
            </w:pPr>
            <w:r w:rsidRPr="00605352">
              <w:rPr>
                <w:rFonts w:ascii="Calibri" w:hAnsi="Calibri" w:cs="Calibri"/>
                <w:b/>
                <w:bCs/>
                <w:color w:val="FF0000"/>
                <w:sz w:val="2"/>
                <w:szCs w:val="2"/>
                <w:lang w:eastAsia="en-GB"/>
              </w:rPr>
              <w:t> </w:t>
            </w:r>
          </w:p>
        </w:tc>
        <w:tc>
          <w:tcPr>
            <w:tcW w:w="1093" w:type="dxa"/>
            <w:tcBorders>
              <w:top w:val="nil"/>
              <w:left w:val="nil"/>
              <w:bottom w:val="single" w:sz="8" w:space="0" w:color="auto"/>
              <w:right w:val="nil"/>
            </w:tcBorders>
            <w:shd w:val="clear" w:color="auto" w:fill="auto"/>
            <w:noWrap/>
            <w:vAlign w:val="center"/>
            <w:hideMark/>
          </w:tcPr>
          <w:p w14:paraId="658E54BA" w14:textId="77777777" w:rsidR="00605352" w:rsidRPr="00605352" w:rsidRDefault="00605352" w:rsidP="00605352">
            <w:pPr>
              <w:jc w:val="right"/>
              <w:rPr>
                <w:rFonts w:ascii="Calibri" w:hAnsi="Calibri" w:cs="Calibri"/>
                <w:b/>
                <w:bCs/>
                <w:color w:val="FF0000"/>
                <w:sz w:val="2"/>
                <w:szCs w:val="2"/>
                <w:lang w:eastAsia="en-GB"/>
              </w:rPr>
            </w:pPr>
            <w:r w:rsidRPr="00605352">
              <w:rPr>
                <w:rFonts w:ascii="Calibri" w:hAnsi="Calibri" w:cs="Calibri"/>
                <w:b/>
                <w:bCs/>
                <w:color w:val="FF0000"/>
                <w:sz w:val="2"/>
                <w:szCs w:val="2"/>
                <w:lang w:eastAsia="en-GB"/>
              </w:rPr>
              <w:t> </w:t>
            </w:r>
          </w:p>
        </w:tc>
        <w:tc>
          <w:tcPr>
            <w:tcW w:w="1093" w:type="dxa"/>
            <w:tcBorders>
              <w:top w:val="nil"/>
              <w:left w:val="nil"/>
              <w:bottom w:val="single" w:sz="8" w:space="0" w:color="auto"/>
              <w:right w:val="nil"/>
            </w:tcBorders>
            <w:shd w:val="clear" w:color="auto" w:fill="auto"/>
            <w:noWrap/>
            <w:vAlign w:val="center"/>
            <w:hideMark/>
          </w:tcPr>
          <w:p w14:paraId="20555C48" w14:textId="77777777" w:rsidR="00605352" w:rsidRPr="00605352" w:rsidRDefault="00605352" w:rsidP="00605352">
            <w:pPr>
              <w:jc w:val="right"/>
              <w:rPr>
                <w:rFonts w:ascii="Calibri" w:hAnsi="Calibri" w:cs="Calibri"/>
                <w:b/>
                <w:bCs/>
                <w:sz w:val="2"/>
                <w:szCs w:val="2"/>
                <w:lang w:eastAsia="en-GB"/>
              </w:rPr>
            </w:pPr>
            <w:r w:rsidRPr="00605352">
              <w:rPr>
                <w:rFonts w:ascii="Calibri" w:hAnsi="Calibri" w:cs="Calibri"/>
                <w:b/>
                <w:bCs/>
                <w:sz w:val="2"/>
                <w:szCs w:val="2"/>
                <w:lang w:eastAsia="en-GB"/>
              </w:rPr>
              <w:t> </w:t>
            </w:r>
          </w:p>
        </w:tc>
        <w:tc>
          <w:tcPr>
            <w:tcW w:w="1094" w:type="dxa"/>
            <w:tcBorders>
              <w:top w:val="nil"/>
              <w:left w:val="nil"/>
              <w:bottom w:val="single" w:sz="8" w:space="0" w:color="auto"/>
              <w:right w:val="single" w:sz="8" w:space="0" w:color="auto"/>
            </w:tcBorders>
            <w:shd w:val="clear" w:color="auto" w:fill="auto"/>
            <w:noWrap/>
            <w:vAlign w:val="center"/>
            <w:hideMark/>
          </w:tcPr>
          <w:p w14:paraId="05C2018A" w14:textId="77777777" w:rsidR="00605352" w:rsidRPr="00605352" w:rsidRDefault="00605352" w:rsidP="00605352">
            <w:pPr>
              <w:jc w:val="right"/>
              <w:rPr>
                <w:rFonts w:ascii="Calibri" w:hAnsi="Calibri" w:cs="Calibri"/>
                <w:b/>
                <w:bCs/>
                <w:color w:val="FF0000"/>
                <w:sz w:val="2"/>
                <w:szCs w:val="2"/>
                <w:lang w:eastAsia="en-GB"/>
              </w:rPr>
            </w:pPr>
            <w:r w:rsidRPr="00605352">
              <w:rPr>
                <w:rFonts w:ascii="Calibri" w:hAnsi="Calibri" w:cs="Calibri"/>
                <w:b/>
                <w:bCs/>
                <w:color w:val="FF0000"/>
                <w:sz w:val="2"/>
                <w:szCs w:val="2"/>
                <w:lang w:eastAsia="en-GB"/>
              </w:rPr>
              <w:t> </w:t>
            </w:r>
          </w:p>
        </w:tc>
      </w:tr>
    </w:tbl>
    <w:p w14:paraId="682D8A30" w14:textId="77777777" w:rsidR="00942D68" w:rsidRPr="007C27AF" w:rsidRDefault="00942D68" w:rsidP="00942D68">
      <w:pPr>
        <w:spacing w:before="120" w:after="120"/>
        <w:jc w:val="both"/>
        <w:rPr>
          <w:rFonts w:asciiTheme="minorHAnsi" w:hAnsiTheme="minorHAnsi"/>
          <w:i/>
          <w:sz w:val="18"/>
          <w:szCs w:val="21"/>
        </w:rPr>
      </w:pPr>
      <w:r>
        <w:rPr>
          <w:rFonts w:asciiTheme="minorHAnsi" w:hAnsiTheme="minorHAnsi"/>
          <w:i/>
          <w:sz w:val="18"/>
          <w:szCs w:val="21"/>
        </w:rPr>
        <w:t>SBG</w:t>
      </w:r>
      <w:r w:rsidRPr="007C27AF">
        <w:rPr>
          <w:rFonts w:asciiTheme="minorHAnsi" w:hAnsiTheme="minorHAnsi"/>
          <w:i/>
          <w:sz w:val="18"/>
          <w:szCs w:val="21"/>
        </w:rPr>
        <w:t xml:space="preserve"> includes Sky</w:t>
      </w:r>
      <w:r w:rsidR="003634C1">
        <w:rPr>
          <w:rFonts w:asciiTheme="minorHAnsi" w:hAnsiTheme="minorHAnsi"/>
          <w:i/>
          <w:sz w:val="18"/>
          <w:szCs w:val="21"/>
        </w:rPr>
        <w:t xml:space="preserve"> </w:t>
      </w:r>
      <w:r w:rsidRPr="007C27AF">
        <w:rPr>
          <w:rFonts w:asciiTheme="minorHAnsi" w:hAnsiTheme="minorHAnsi"/>
          <w:i/>
          <w:sz w:val="18"/>
          <w:szCs w:val="21"/>
        </w:rPr>
        <w:t>Bet sportsbook and Sky Vegas gaming businesses</w:t>
      </w:r>
      <w:r w:rsidR="002F6B3B">
        <w:rPr>
          <w:rFonts w:asciiTheme="minorHAnsi" w:hAnsiTheme="minorHAnsi"/>
          <w:i/>
          <w:sz w:val="18"/>
          <w:szCs w:val="21"/>
        </w:rPr>
        <w:t xml:space="preserve"> as well </w:t>
      </w:r>
      <w:r w:rsidR="002F6B3B" w:rsidRPr="002F6B3B">
        <w:rPr>
          <w:rFonts w:asciiTheme="minorHAnsi" w:hAnsiTheme="minorHAnsi"/>
          <w:i/>
          <w:sz w:val="18"/>
          <w:szCs w:val="21"/>
        </w:rPr>
        <w:t xml:space="preserve">as </w:t>
      </w:r>
      <w:r w:rsidR="00612479" w:rsidRPr="002F6B3B">
        <w:rPr>
          <w:rFonts w:asciiTheme="minorHAnsi" w:hAnsiTheme="minorHAnsi"/>
          <w:i/>
          <w:sz w:val="18"/>
          <w:szCs w:val="21"/>
        </w:rPr>
        <w:t>Oddschecker</w:t>
      </w:r>
    </w:p>
    <w:p w14:paraId="361B4C73" w14:textId="77777777" w:rsidR="00942D68" w:rsidRDefault="00942D68" w:rsidP="00942D68">
      <w:pPr>
        <w:spacing w:before="120" w:after="120"/>
        <w:jc w:val="both"/>
        <w:rPr>
          <w:rFonts w:asciiTheme="minorHAnsi" w:hAnsiTheme="minorHAnsi"/>
          <w:sz w:val="21"/>
          <w:szCs w:val="21"/>
        </w:rPr>
      </w:pPr>
      <w:r>
        <w:rPr>
          <w:rFonts w:asciiTheme="minorHAnsi" w:hAnsiTheme="minorHAnsi"/>
          <w:sz w:val="21"/>
          <w:szCs w:val="21"/>
        </w:rPr>
        <w:t xml:space="preserve">SBG increased revenue by 32% in H1 to £439m, with strong growth across both sports and gaming. </w:t>
      </w:r>
    </w:p>
    <w:p w14:paraId="505098AA" w14:textId="77777777" w:rsidR="00942D68" w:rsidRDefault="00942D68" w:rsidP="00942D68">
      <w:pPr>
        <w:spacing w:before="120" w:after="120"/>
        <w:jc w:val="both"/>
        <w:rPr>
          <w:rFonts w:asciiTheme="minorHAnsi" w:hAnsiTheme="minorHAnsi"/>
          <w:sz w:val="21"/>
          <w:szCs w:val="21"/>
        </w:rPr>
      </w:pPr>
      <w:r>
        <w:rPr>
          <w:rFonts w:asciiTheme="minorHAnsi" w:hAnsiTheme="minorHAnsi"/>
          <w:sz w:val="21"/>
          <w:szCs w:val="21"/>
        </w:rPr>
        <w:t>Sports revenue grew 36% with Sky</w:t>
      </w:r>
      <w:r w:rsidR="003634C1">
        <w:rPr>
          <w:rFonts w:asciiTheme="minorHAnsi" w:hAnsiTheme="minorHAnsi"/>
          <w:sz w:val="21"/>
          <w:szCs w:val="21"/>
        </w:rPr>
        <w:t xml:space="preserve"> </w:t>
      </w:r>
      <w:r>
        <w:rPr>
          <w:rFonts w:asciiTheme="minorHAnsi" w:hAnsiTheme="minorHAnsi"/>
          <w:sz w:val="21"/>
          <w:szCs w:val="21"/>
        </w:rPr>
        <w:t>Bet’s net revenue margin doubling year-on-year to 14.</w:t>
      </w:r>
      <w:r w:rsidR="00047C0A">
        <w:rPr>
          <w:rFonts w:asciiTheme="minorHAnsi" w:hAnsiTheme="minorHAnsi"/>
          <w:sz w:val="21"/>
          <w:szCs w:val="21"/>
        </w:rPr>
        <w:t>8</w:t>
      </w:r>
      <w:r>
        <w:rPr>
          <w:rFonts w:asciiTheme="minorHAnsi" w:hAnsiTheme="minorHAnsi"/>
          <w:sz w:val="21"/>
          <w:szCs w:val="21"/>
        </w:rPr>
        <w:t>%. This significant increase reflected a number of factors:</w:t>
      </w:r>
    </w:p>
    <w:p w14:paraId="3EFD9723" w14:textId="77777777" w:rsidR="00942D68" w:rsidRDefault="00942D68" w:rsidP="009B6BB8">
      <w:pPr>
        <w:pStyle w:val="ListParagraph"/>
        <w:numPr>
          <w:ilvl w:val="0"/>
          <w:numId w:val="18"/>
        </w:numPr>
        <w:spacing w:before="120" w:after="120"/>
        <w:jc w:val="both"/>
        <w:rPr>
          <w:rFonts w:asciiTheme="minorHAnsi" w:hAnsiTheme="minorHAnsi"/>
          <w:sz w:val="21"/>
          <w:szCs w:val="21"/>
        </w:rPr>
      </w:pPr>
      <w:r>
        <w:rPr>
          <w:rFonts w:asciiTheme="minorHAnsi" w:hAnsiTheme="minorHAnsi"/>
          <w:sz w:val="21"/>
          <w:szCs w:val="21"/>
        </w:rPr>
        <w:t>Sports results were bookmaker friendly in H1, contributing to a 590 basis point improvement in net revenue margin. Sky</w:t>
      </w:r>
      <w:r w:rsidR="003634C1">
        <w:rPr>
          <w:rFonts w:asciiTheme="minorHAnsi" w:hAnsiTheme="minorHAnsi"/>
          <w:sz w:val="21"/>
          <w:szCs w:val="21"/>
        </w:rPr>
        <w:t xml:space="preserve"> </w:t>
      </w:r>
      <w:r>
        <w:rPr>
          <w:rFonts w:asciiTheme="minorHAnsi" w:hAnsiTheme="minorHAnsi"/>
          <w:sz w:val="21"/>
          <w:szCs w:val="21"/>
        </w:rPr>
        <w:t>Bet has a higher mix of UK football, where results were particularly favourable</w:t>
      </w:r>
      <w:r w:rsidR="00612479">
        <w:rPr>
          <w:rFonts w:asciiTheme="minorHAnsi" w:hAnsiTheme="minorHAnsi"/>
          <w:sz w:val="21"/>
          <w:szCs w:val="21"/>
        </w:rPr>
        <w:t>.</w:t>
      </w:r>
    </w:p>
    <w:p w14:paraId="219BEA57" w14:textId="77777777" w:rsidR="00942D68" w:rsidRDefault="00942D68" w:rsidP="009B6BB8">
      <w:pPr>
        <w:pStyle w:val="ListParagraph"/>
        <w:numPr>
          <w:ilvl w:val="0"/>
          <w:numId w:val="18"/>
        </w:numPr>
        <w:spacing w:before="120" w:after="120"/>
        <w:jc w:val="both"/>
        <w:rPr>
          <w:rFonts w:asciiTheme="minorHAnsi" w:hAnsiTheme="minorHAnsi"/>
          <w:sz w:val="21"/>
          <w:szCs w:val="21"/>
        </w:rPr>
      </w:pPr>
      <w:r>
        <w:rPr>
          <w:rFonts w:asciiTheme="minorHAnsi" w:hAnsiTheme="minorHAnsi"/>
          <w:sz w:val="21"/>
          <w:szCs w:val="21"/>
        </w:rPr>
        <w:t>Sky</w:t>
      </w:r>
      <w:r w:rsidR="003634C1">
        <w:rPr>
          <w:rFonts w:asciiTheme="minorHAnsi" w:hAnsiTheme="minorHAnsi"/>
          <w:sz w:val="21"/>
          <w:szCs w:val="21"/>
        </w:rPr>
        <w:t xml:space="preserve"> </w:t>
      </w:r>
      <w:r>
        <w:rPr>
          <w:rFonts w:asciiTheme="minorHAnsi" w:hAnsiTheme="minorHAnsi"/>
          <w:sz w:val="21"/>
          <w:szCs w:val="21"/>
        </w:rPr>
        <w:t>Bet’s expected margin increased by approximately 100 basis points due to customers betting on less mainstream (higher margin) sports. This increase in expected margin was likely a temporary phenomenon, given the postponement of traditional sports during the second quarter</w:t>
      </w:r>
      <w:r w:rsidR="00612479">
        <w:rPr>
          <w:rFonts w:asciiTheme="minorHAnsi" w:hAnsiTheme="minorHAnsi"/>
          <w:sz w:val="21"/>
          <w:szCs w:val="21"/>
        </w:rPr>
        <w:t>.</w:t>
      </w:r>
    </w:p>
    <w:p w14:paraId="7579D029" w14:textId="77777777" w:rsidR="00942D68" w:rsidRDefault="00942D68" w:rsidP="009B6BB8">
      <w:pPr>
        <w:pStyle w:val="ListParagraph"/>
        <w:numPr>
          <w:ilvl w:val="0"/>
          <w:numId w:val="18"/>
        </w:numPr>
        <w:spacing w:before="120" w:after="120"/>
        <w:jc w:val="both"/>
        <w:rPr>
          <w:rFonts w:asciiTheme="minorHAnsi" w:hAnsiTheme="minorHAnsi"/>
          <w:sz w:val="21"/>
          <w:szCs w:val="21"/>
        </w:rPr>
      </w:pPr>
      <w:r>
        <w:rPr>
          <w:rFonts w:asciiTheme="minorHAnsi" w:hAnsiTheme="minorHAnsi"/>
          <w:sz w:val="21"/>
          <w:szCs w:val="21"/>
        </w:rPr>
        <w:t>Reduced investment in promotional activity during the 2020 Cheltenham Festival compared to elevated levels in 2019</w:t>
      </w:r>
      <w:r w:rsidR="00612479">
        <w:rPr>
          <w:rFonts w:asciiTheme="minorHAnsi" w:hAnsiTheme="minorHAnsi"/>
          <w:sz w:val="21"/>
          <w:szCs w:val="21"/>
        </w:rPr>
        <w:t>.</w:t>
      </w:r>
    </w:p>
    <w:p w14:paraId="5D33BCD0" w14:textId="77777777" w:rsidR="00942D68" w:rsidRDefault="00942D68" w:rsidP="00942D68">
      <w:pPr>
        <w:spacing w:before="120" w:after="120"/>
        <w:jc w:val="both"/>
        <w:rPr>
          <w:rFonts w:asciiTheme="minorHAnsi" w:hAnsiTheme="minorHAnsi"/>
          <w:sz w:val="21"/>
          <w:szCs w:val="21"/>
        </w:rPr>
      </w:pPr>
      <w:r w:rsidRPr="00026D28">
        <w:rPr>
          <w:rFonts w:asciiTheme="minorHAnsi" w:hAnsiTheme="minorHAnsi"/>
          <w:sz w:val="21"/>
          <w:szCs w:val="21"/>
        </w:rPr>
        <w:t xml:space="preserve">While net revenue margins doubled, sportsbook stakes declined 30%. This was primarily due to the cancellation of sporting events – stakes </w:t>
      </w:r>
      <w:r w:rsidR="00CD7A63">
        <w:rPr>
          <w:rFonts w:asciiTheme="minorHAnsi" w:hAnsiTheme="minorHAnsi"/>
          <w:sz w:val="21"/>
          <w:szCs w:val="21"/>
        </w:rPr>
        <w:t xml:space="preserve">declined </w:t>
      </w:r>
      <w:r w:rsidR="00026D28" w:rsidRPr="00856AC3">
        <w:rPr>
          <w:rFonts w:asciiTheme="minorHAnsi" w:hAnsiTheme="minorHAnsi"/>
          <w:sz w:val="21"/>
          <w:szCs w:val="21"/>
        </w:rPr>
        <w:t>46</w:t>
      </w:r>
      <w:r w:rsidRPr="00856AC3">
        <w:rPr>
          <w:rFonts w:asciiTheme="minorHAnsi" w:hAnsiTheme="minorHAnsi"/>
          <w:sz w:val="21"/>
          <w:szCs w:val="21"/>
        </w:rPr>
        <w:t>%</w:t>
      </w:r>
      <w:r>
        <w:rPr>
          <w:rFonts w:asciiTheme="minorHAnsi" w:hAnsiTheme="minorHAnsi"/>
          <w:sz w:val="21"/>
          <w:szCs w:val="21"/>
        </w:rPr>
        <w:t xml:space="preserve"> </w:t>
      </w:r>
      <w:r w:rsidR="00CD7A63">
        <w:rPr>
          <w:rFonts w:asciiTheme="minorHAnsi" w:hAnsiTheme="minorHAnsi"/>
          <w:sz w:val="21"/>
          <w:szCs w:val="21"/>
        </w:rPr>
        <w:t xml:space="preserve">year-on-year </w:t>
      </w:r>
      <w:r>
        <w:rPr>
          <w:rFonts w:asciiTheme="minorHAnsi" w:hAnsiTheme="minorHAnsi"/>
          <w:sz w:val="21"/>
          <w:szCs w:val="21"/>
        </w:rPr>
        <w:t xml:space="preserve">in the disrupted period. </w:t>
      </w:r>
    </w:p>
    <w:p w14:paraId="24DF6496" w14:textId="77777777" w:rsidR="00942D68" w:rsidRDefault="00942D68" w:rsidP="00942D68">
      <w:pPr>
        <w:spacing w:before="120" w:after="120"/>
        <w:jc w:val="both"/>
        <w:rPr>
          <w:rFonts w:asciiTheme="minorHAnsi" w:hAnsiTheme="minorHAnsi"/>
          <w:sz w:val="21"/>
          <w:szCs w:val="21"/>
        </w:rPr>
      </w:pPr>
      <w:r>
        <w:rPr>
          <w:rFonts w:asciiTheme="minorHAnsi" w:hAnsiTheme="minorHAnsi"/>
          <w:sz w:val="21"/>
          <w:szCs w:val="21"/>
        </w:rPr>
        <w:t>Gaming revenue increased 27% year-on-year, driven by excellent customer growth; average daily actives were up 59% versus the prior year. This growth highlights the recreational appeal of the Sky Vegas brand which was the UK’s most downloaded casino app in the first half of the year. The app consistently outscores competitors on key metrics such as ease of use, trust and quality of products available.</w:t>
      </w:r>
    </w:p>
    <w:p w14:paraId="29228CFC" w14:textId="77777777" w:rsidR="00942D68" w:rsidRDefault="00612479" w:rsidP="00942D68">
      <w:pPr>
        <w:spacing w:before="120" w:after="120"/>
        <w:jc w:val="both"/>
        <w:rPr>
          <w:rFonts w:asciiTheme="minorHAnsi" w:hAnsiTheme="minorHAnsi"/>
          <w:sz w:val="21"/>
          <w:szCs w:val="21"/>
        </w:rPr>
      </w:pPr>
      <w:r>
        <w:rPr>
          <w:rFonts w:asciiTheme="minorHAnsi" w:hAnsiTheme="minorHAnsi"/>
          <w:sz w:val="21"/>
          <w:szCs w:val="21"/>
        </w:rPr>
        <w:t>While c</w:t>
      </w:r>
      <w:r w:rsidR="00942D68">
        <w:rPr>
          <w:rFonts w:asciiTheme="minorHAnsi" w:hAnsiTheme="minorHAnsi"/>
          <w:sz w:val="21"/>
          <w:szCs w:val="21"/>
        </w:rPr>
        <w:t>ost of sales grew broadly in line with revenue growth</w:t>
      </w:r>
      <w:r>
        <w:rPr>
          <w:rFonts w:asciiTheme="minorHAnsi" w:hAnsiTheme="minorHAnsi"/>
          <w:sz w:val="21"/>
          <w:szCs w:val="21"/>
        </w:rPr>
        <w:t>, s</w:t>
      </w:r>
      <w:r w:rsidR="00942D68" w:rsidRPr="00F34542">
        <w:rPr>
          <w:rFonts w:asciiTheme="minorHAnsi" w:hAnsiTheme="minorHAnsi"/>
          <w:sz w:val="21"/>
          <w:szCs w:val="21"/>
        </w:rPr>
        <w:t xml:space="preserve">ales and marketing declined </w:t>
      </w:r>
      <w:r w:rsidR="007951EC">
        <w:rPr>
          <w:rFonts w:asciiTheme="minorHAnsi" w:hAnsiTheme="minorHAnsi"/>
          <w:sz w:val="21"/>
          <w:szCs w:val="21"/>
        </w:rPr>
        <w:t>4</w:t>
      </w:r>
      <w:r w:rsidR="00942D68" w:rsidRPr="00F34542">
        <w:rPr>
          <w:rFonts w:asciiTheme="minorHAnsi" w:hAnsiTheme="minorHAnsi"/>
          <w:sz w:val="21"/>
          <w:szCs w:val="21"/>
        </w:rPr>
        <w:t>%</w:t>
      </w:r>
      <w:r w:rsidR="00942D68">
        <w:rPr>
          <w:rFonts w:asciiTheme="minorHAnsi" w:hAnsiTheme="minorHAnsi"/>
          <w:sz w:val="21"/>
          <w:szCs w:val="21"/>
        </w:rPr>
        <w:t xml:space="preserve"> </w:t>
      </w:r>
      <w:r w:rsidR="00F569A2">
        <w:rPr>
          <w:rFonts w:asciiTheme="minorHAnsi" w:hAnsiTheme="minorHAnsi"/>
          <w:sz w:val="21"/>
          <w:szCs w:val="21"/>
        </w:rPr>
        <w:t xml:space="preserve">with </w:t>
      </w:r>
      <w:r w:rsidR="00942D68" w:rsidRPr="00F34542">
        <w:rPr>
          <w:rFonts w:asciiTheme="minorHAnsi" w:hAnsiTheme="minorHAnsi"/>
          <w:sz w:val="21"/>
          <w:szCs w:val="21"/>
        </w:rPr>
        <w:t xml:space="preserve">deferral of </w:t>
      </w:r>
      <w:r>
        <w:rPr>
          <w:rFonts w:asciiTheme="minorHAnsi" w:hAnsiTheme="minorHAnsi"/>
          <w:sz w:val="21"/>
          <w:szCs w:val="21"/>
        </w:rPr>
        <w:t xml:space="preserve">some </w:t>
      </w:r>
      <w:r w:rsidR="00942D68" w:rsidRPr="00F34542">
        <w:rPr>
          <w:rFonts w:asciiTheme="minorHAnsi" w:hAnsiTheme="minorHAnsi"/>
          <w:sz w:val="21"/>
          <w:szCs w:val="21"/>
        </w:rPr>
        <w:t xml:space="preserve">non-committed spend </w:t>
      </w:r>
      <w:r w:rsidR="00F569A2">
        <w:rPr>
          <w:rFonts w:asciiTheme="minorHAnsi" w:hAnsiTheme="minorHAnsi"/>
          <w:sz w:val="21"/>
          <w:szCs w:val="21"/>
        </w:rPr>
        <w:t xml:space="preserve">once </w:t>
      </w:r>
      <w:r w:rsidR="00942D68" w:rsidRPr="00F34542">
        <w:rPr>
          <w:rFonts w:asciiTheme="minorHAnsi" w:hAnsiTheme="minorHAnsi"/>
          <w:sz w:val="21"/>
          <w:szCs w:val="21"/>
        </w:rPr>
        <w:t>sports events were cancelled.</w:t>
      </w:r>
      <w:r w:rsidR="00942D68">
        <w:rPr>
          <w:rFonts w:asciiTheme="minorHAnsi" w:hAnsiTheme="minorHAnsi"/>
          <w:sz w:val="21"/>
          <w:szCs w:val="21"/>
        </w:rPr>
        <w:t xml:space="preserve"> </w:t>
      </w:r>
      <w:r w:rsidR="00942D68" w:rsidRPr="001D08C4">
        <w:rPr>
          <w:rFonts w:asciiTheme="minorHAnsi" w:hAnsiTheme="minorHAnsi"/>
          <w:sz w:val="21"/>
          <w:szCs w:val="21"/>
        </w:rPr>
        <w:t xml:space="preserve">Other </w:t>
      </w:r>
      <w:r w:rsidR="00942D68">
        <w:rPr>
          <w:rFonts w:asciiTheme="minorHAnsi" w:hAnsiTheme="minorHAnsi"/>
          <w:sz w:val="21"/>
          <w:szCs w:val="21"/>
        </w:rPr>
        <w:t>o</w:t>
      </w:r>
      <w:r w:rsidR="00942D68" w:rsidRPr="001D08C4">
        <w:rPr>
          <w:rFonts w:asciiTheme="minorHAnsi" w:hAnsiTheme="minorHAnsi"/>
          <w:sz w:val="21"/>
          <w:szCs w:val="21"/>
        </w:rPr>
        <w:t>pe</w:t>
      </w:r>
      <w:r w:rsidR="00942D68">
        <w:rPr>
          <w:rFonts w:asciiTheme="minorHAnsi" w:hAnsiTheme="minorHAnsi"/>
          <w:sz w:val="21"/>
          <w:szCs w:val="21"/>
        </w:rPr>
        <w:t>rating costs</w:t>
      </w:r>
      <w:r w:rsidR="00942D68" w:rsidRPr="001D08C4">
        <w:rPr>
          <w:rFonts w:asciiTheme="minorHAnsi" w:hAnsiTheme="minorHAnsi"/>
          <w:sz w:val="21"/>
          <w:szCs w:val="21"/>
        </w:rPr>
        <w:t xml:space="preserve"> </w:t>
      </w:r>
      <w:r w:rsidR="00942D68">
        <w:rPr>
          <w:rFonts w:asciiTheme="minorHAnsi" w:hAnsiTheme="minorHAnsi"/>
          <w:sz w:val="21"/>
          <w:szCs w:val="21"/>
        </w:rPr>
        <w:t>grew 1</w:t>
      </w:r>
      <w:r w:rsidR="00F80D8F">
        <w:rPr>
          <w:rFonts w:asciiTheme="minorHAnsi" w:hAnsiTheme="minorHAnsi"/>
          <w:sz w:val="21"/>
          <w:szCs w:val="21"/>
        </w:rPr>
        <w:t>7</w:t>
      </w:r>
      <w:r w:rsidR="00942D68">
        <w:rPr>
          <w:rFonts w:asciiTheme="minorHAnsi" w:hAnsiTheme="minorHAnsi"/>
          <w:sz w:val="21"/>
          <w:szCs w:val="21"/>
        </w:rPr>
        <w:t xml:space="preserve">% reflecting the ongoing investment being made within the business. </w:t>
      </w:r>
    </w:p>
    <w:p w14:paraId="2D8765C2" w14:textId="77777777" w:rsidR="00942D68" w:rsidRDefault="00942D68" w:rsidP="00942D68">
      <w:pPr>
        <w:spacing w:before="120" w:after="120"/>
        <w:jc w:val="both"/>
        <w:rPr>
          <w:rFonts w:asciiTheme="minorHAnsi" w:hAnsiTheme="minorHAnsi"/>
          <w:b/>
          <w:sz w:val="22"/>
          <w:szCs w:val="22"/>
          <w:highlight w:val="yellow"/>
        </w:rPr>
      </w:pPr>
      <w:r>
        <w:rPr>
          <w:rFonts w:asciiTheme="minorHAnsi" w:hAnsiTheme="minorHAnsi"/>
          <w:sz w:val="21"/>
          <w:szCs w:val="21"/>
        </w:rPr>
        <w:t>Overall SBG benefitted from strong operating leverage with adjusted EBITDA growth of 66% to £184m.</w:t>
      </w:r>
      <w:r>
        <w:rPr>
          <w:rFonts w:asciiTheme="minorHAnsi" w:hAnsiTheme="minorHAnsi"/>
          <w:b/>
          <w:sz w:val="22"/>
          <w:szCs w:val="22"/>
          <w:highlight w:val="yellow"/>
        </w:rPr>
        <w:br w:type="page"/>
      </w:r>
    </w:p>
    <w:p w14:paraId="3E577E85" w14:textId="77777777" w:rsidR="00942D68" w:rsidRPr="004F09BF" w:rsidRDefault="00942D68" w:rsidP="00942D68">
      <w:pPr>
        <w:spacing w:after="120"/>
        <w:jc w:val="both"/>
        <w:rPr>
          <w:rFonts w:asciiTheme="minorHAnsi" w:hAnsiTheme="minorHAnsi"/>
          <w:b/>
          <w:i/>
          <w:sz w:val="18"/>
          <w:szCs w:val="18"/>
        </w:rPr>
      </w:pPr>
      <w:r>
        <w:rPr>
          <w:rFonts w:asciiTheme="minorHAnsi" w:hAnsiTheme="minorHAnsi"/>
          <w:b/>
          <w:sz w:val="22"/>
          <w:szCs w:val="22"/>
        </w:rPr>
        <w:lastRenderedPageBreak/>
        <w:t>PokerStars</w:t>
      </w:r>
      <w:r w:rsidR="00D176F2">
        <w:rPr>
          <w:rFonts w:asciiTheme="minorHAnsi" w:hAnsiTheme="minorHAnsi"/>
          <w:i/>
          <w:sz w:val="22"/>
          <w:szCs w:val="22"/>
          <w:vertAlign w:val="superscript"/>
        </w:rPr>
        <w:t>4,9</w:t>
      </w:r>
    </w:p>
    <w:tbl>
      <w:tblPr>
        <w:tblW w:w="7444" w:type="dxa"/>
        <w:tblLayout w:type="fixed"/>
        <w:tblCellMar>
          <w:left w:w="57" w:type="dxa"/>
          <w:right w:w="57" w:type="dxa"/>
        </w:tblCellMar>
        <w:tblLook w:val="04A0" w:firstRow="1" w:lastRow="0" w:firstColumn="1" w:lastColumn="0" w:noHBand="0" w:noVBand="1"/>
      </w:tblPr>
      <w:tblGrid>
        <w:gridCol w:w="3068"/>
        <w:gridCol w:w="1094"/>
        <w:gridCol w:w="1094"/>
        <w:gridCol w:w="1094"/>
        <w:gridCol w:w="1094"/>
      </w:tblGrid>
      <w:tr w:rsidR="00D80824" w:rsidRPr="00D80824" w14:paraId="1EF7B5AD" w14:textId="77777777" w:rsidTr="00D80824">
        <w:trPr>
          <w:trHeight w:val="255"/>
        </w:trPr>
        <w:tc>
          <w:tcPr>
            <w:tcW w:w="3068" w:type="dxa"/>
            <w:tcBorders>
              <w:top w:val="single" w:sz="8" w:space="0" w:color="auto"/>
              <w:left w:val="single" w:sz="8" w:space="0" w:color="auto"/>
              <w:bottom w:val="nil"/>
              <w:right w:val="nil"/>
            </w:tcBorders>
            <w:shd w:val="clear" w:color="auto" w:fill="auto"/>
            <w:noWrap/>
            <w:vAlign w:val="center"/>
            <w:hideMark/>
          </w:tcPr>
          <w:p w14:paraId="3D9D9340" w14:textId="77777777" w:rsidR="00D80824" w:rsidRPr="00D80824" w:rsidRDefault="00D80824" w:rsidP="00D80824">
            <w:pPr>
              <w:jc w:val="both"/>
              <w:rPr>
                <w:rFonts w:ascii="Calibri" w:hAnsi="Calibri" w:cs="Calibri"/>
                <w:b/>
                <w:bCs/>
                <w:sz w:val="20"/>
                <w:lang w:eastAsia="en-GB"/>
              </w:rPr>
            </w:pPr>
            <w:r w:rsidRPr="00D80824">
              <w:rPr>
                <w:rFonts w:ascii="Calibri" w:hAnsi="Calibri" w:cs="Calibri"/>
                <w:b/>
                <w:bCs/>
                <w:sz w:val="20"/>
                <w:lang w:eastAsia="en-GB"/>
              </w:rPr>
              <w:t> </w:t>
            </w:r>
          </w:p>
        </w:tc>
        <w:tc>
          <w:tcPr>
            <w:tcW w:w="1094" w:type="dxa"/>
            <w:tcBorders>
              <w:top w:val="single" w:sz="8" w:space="0" w:color="auto"/>
              <w:left w:val="nil"/>
              <w:bottom w:val="nil"/>
              <w:right w:val="nil"/>
            </w:tcBorders>
            <w:shd w:val="clear" w:color="auto" w:fill="auto"/>
            <w:noWrap/>
            <w:vAlign w:val="center"/>
            <w:hideMark/>
          </w:tcPr>
          <w:p w14:paraId="6126DD68"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H1</w:t>
            </w:r>
          </w:p>
        </w:tc>
        <w:tc>
          <w:tcPr>
            <w:tcW w:w="1094" w:type="dxa"/>
            <w:tcBorders>
              <w:top w:val="single" w:sz="8" w:space="0" w:color="auto"/>
              <w:left w:val="nil"/>
              <w:bottom w:val="nil"/>
              <w:right w:val="nil"/>
            </w:tcBorders>
            <w:shd w:val="clear" w:color="auto" w:fill="auto"/>
            <w:noWrap/>
            <w:vAlign w:val="center"/>
            <w:hideMark/>
          </w:tcPr>
          <w:p w14:paraId="2B08D2D9"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H1</w:t>
            </w:r>
          </w:p>
        </w:tc>
        <w:tc>
          <w:tcPr>
            <w:tcW w:w="1094" w:type="dxa"/>
            <w:tcBorders>
              <w:top w:val="single" w:sz="8" w:space="0" w:color="auto"/>
              <w:left w:val="nil"/>
              <w:bottom w:val="nil"/>
              <w:right w:val="nil"/>
            </w:tcBorders>
            <w:shd w:val="clear" w:color="auto" w:fill="auto"/>
            <w:noWrap/>
            <w:vAlign w:val="center"/>
            <w:hideMark/>
          </w:tcPr>
          <w:p w14:paraId="0C8D902C"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 </w:t>
            </w:r>
          </w:p>
        </w:tc>
        <w:tc>
          <w:tcPr>
            <w:tcW w:w="1094" w:type="dxa"/>
            <w:tcBorders>
              <w:top w:val="single" w:sz="8" w:space="0" w:color="auto"/>
              <w:left w:val="nil"/>
              <w:bottom w:val="nil"/>
              <w:right w:val="single" w:sz="8" w:space="0" w:color="auto"/>
            </w:tcBorders>
            <w:shd w:val="clear" w:color="auto" w:fill="auto"/>
            <w:noWrap/>
            <w:vAlign w:val="center"/>
            <w:hideMark/>
          </w:tcPr>
          <w:p w14:paraId="2DE0AA72"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CC</w:t>
            </w:r>
            <w:r w:rsidR="00D176F2" w:rsidRPr="00C9669A">
              <w:rPr>
                <w:rFonts w:ascii="Calibri" w:hAnsi="Calibri" w:cs="Calibri"/>
                <w:b/>
                <w:bCs/>
                <w:color w:val="000000"/>
                <w:sz w:val="20"/>
                <w:vertAlign w:val="superscript"/>
                <w:lang w:eastAsia="en-GB"/>
              </w:rPr>
              <w:t>12</w:t>
            </w:r>
          </w:p>
        </w:tc>
      </w:tr>
      <w:tr w:rsidR="00D80824" w:rsidRPr="00D80824" w14:paraId="20DBDAC0"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200174A8" w14:textId="77777777" w:rsidR="00D80824" w:rsidRPr="00D80824" w:rsidRDefault="00D80824" w:rsidP="00D80824">
            <w:pPr>
              <w:jc w:val="both"/>
              <w:rPr>
                <w:rFonts w:ascii="Calibri" w:hAnsi="Calibri" w:cs="Calibri"/>
                <w:b/>
                <w:bCs/>
                <w:sz w:val="20"/>
                <w:lang w:eastAsia="en-GB"/>
              </w:rPr>
            </w:pPr>
            <w:r w:rsidRPr="00D80824">
              <w:rPr>
                <w:rFonts w:ascii="Calibri" w:hAnsi="Calibri" w:cs="Calibri"/>
                <w:b/>
                <w:bCs/>
                <w:sz w:val="20"/>
                <w:lang w:eastAsia="en-GB"/>
              </w:rPr>
              <w:t> </w:t>
            </w:r>
          </w:p>
        </w:tc>
        <w:tc>
          <w:tcPr>
            <w:tcW w:w="1094" w:type="dxa"/>
            <w:tcBorders>
              <w:top w:val="nil"/>
              <w:left w:val="nil"/>
              <w:bottom w:val="nil"/>
              <w:right w:val="nil"/>
            </w:tcBorders>
            <w:shd w:val="clear" w:color="auto" w:fill="auto"/>
            <w:noWrap/>
            <w:vAlign w:val="center"/>
            <w:hideMark/>
          </w:tcPr>
          <w:p w14:paraId="72E51D75"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2020</w:t>
            </w:r>
          </w:p>
        </w:tc>
        <w:tc>
          <w:tcPr>
            <w:tcW w:w="1094" w:type="dxa"/>
            <w:tcBorders>
              <w:top w:val="nil"/>
              <w:left w:val="nil"/>
              <w:bottom w:val="nil"/>
              <w:right w:val="nil"/>
            </w:tcBorders>
            <w:shd w:val="clear" w:color="auto" w:fill="auto"/>
            <w:noWrap/>
            <w:vAlign w:val="center"/>
            <w:hideMark/>
          </w:tcPr>
          <w:p w14:paraId="5AA7F5D5"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2019</w:t>
            </w:r>
          </w:p>
        </w:tc>
        <w:tc>
          <w:tcPr>
            <w:tcW w:w="1094" w:type="dxa"/>
            <w:tcBorders>
              <w:top w:val="nil"/>
              <w:left w:val="nil"/>
              <w:bottom w:val="nil"/>
              <w:right w:val="nil"/>
            </w:tcBorders>
            <w:shd w:val="clear" w:color="auto" w:fill="auto"/>
            <w:noWrap/>
            <w:vAlign w:val="center"/>
            <w:hideMark/>
          </w:tcPr>
          <w:p w14:paraId="788ECE9B"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Change</w:t>
            </w:r>
          </w:p>
        </w:tc>
        <w:tc>
          <w:tcPr>
            <w:tcW w:w="1094" w:type="dxa"/>
            <w:tcBorders>
              <w:top w:val="nil"/>
              <w:left w:val="nil"/>
              <w:bottom w:val="nil"/>
              <w:right w:val="single" w:sz="8" w:space="0" w:color="auto"/>
            </w:tcBorders>
            <w:shd w:val="clear" w:color="auto" w:fill="auto"/>
            <w:noWrap/>
            <w:vAlign w:val="center"/>
            <w:hideMark/>
          </w:tcPr>
          <w:p w14:paraId="19991589"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Change</w:t>
            </w:r>
          </w:p>
        </w:tc>
      </w:tr>
      <w:tr w:rsidR="00D80824" w:rsidRPr="00D80824" w14:paraId="075D9742" w14:textId="77777777" w:rsidTr="00D80824">
        <w:trPr>
          <w:trHeight w:val="255"/>
        </w:trPr>
        <w:tc>
          <w:tcPr>
            <w:tcW w:w="3068" w:type="dxa"/>
            <w:tcBorders>
              <w:top w:val="nil"/>
              <w:left w:val="single" w:sz="8" w:space="0" w:color="auto"/>
              <w:bottom w:val="single" w:sz="8" w:space="0" w:color="auto"/>
              <w:right w:val="nil"/>
            </w:tcBorders>
            <w:shd w:val="clear" w:color="auto" w:fill="auto"/>
            <w:hideMark/>
          </w:tcPr>
          <w:p w14:paraId="2D63B126" w14:textId="77777777" w:rsidR="00D80824" w:rsidRPr="00D80824" w:rsidRDefault="00D80824" w:rsidP="00D80824">
            <w:pPr>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Pro forma</w:t>
            </w:r>
          </w:p>
        </w:tc>
        <w:tc>
          <w:tcPr>
            <w:tcW w:w="1094" w:type="dxa"/>
            <w:tcBorders>
              <w:top w:val="nil"/>
              <w:left w:val="nil"/>
              <w:bottom w:val="single" w:sz="8" w:space="0" w:color="auto"/>
              <w:right w:val="nil"/>
            </w:tcBorders>
            <w:shd w:val="clear" w:color="auto" w:fill="auto"/>
            <w:noWrap/>
            <w:vAlign w:val="center"/>
            <w:hideMark/>
          </w:tcPr>
          <w:p w14:paraId="648FB786"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£m</w:t>
            </w:r>
          </w:p>
        </w:tc>
        <w:tc>
          <w:tcPr>
            <w:tcW w:w="1094" w:type="dxa"/>
            <w:tcBorders>
              <w:top w:val="nil"/>
              <w:left w:val="nil"/>
              <w:bottom w:val="single" w:sz="8" w:space="0" w:color="auto"/>
              <w:right w:val="nil"/>
            </w:tcBorders>
            <w:shd w:val="clear" w:color="auto" w:fill="auto"/>
            <w:noWrap/>
            <w:vAlign w:val="center"/>
            <w:hideMark/>
          </w:tcPr>
          <w:p w14:paraId="78807CC6"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£m</w:t>
            </w:r>
          </w:p>
        </w:tc>
        <w:tc>
          <w:tcPr>
            <w:tcW w:w="1094" w:type="dxa"/>
            <w:tcBorders>
              <w:top w:val="nil"/>
              <w:left w:val="nil"/>
              <w:bottom w:val="single" w:sz="8" w:space="0" w:color="auto"/>
              <w:right w:val="nil"/>
            </w:tcBorders>
            <w:shd w:val="clear" w:color="auto" w:fill="auto"/>
            <w:noWrap/>
            <w:vAlign w:val="center"/>
            <w:hideMark/>
          </w:tcPr>
          <w:p w14:paraId="743FA3C0"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w:t>
            </w:r>
          </w:p>
        </w:tc>
        <w:tc>
          <w:tcPr>
            <w:tcW w:w="1094" w:type="dxa"/>
            <w:tcBorders>
              <w:top w:val="nil"/>
              <w:left w:val="nil"/>
              <w:bottom w:val="single" w:sz="8" w:space="0" w:color="auto"/>
              <w:right w:val="single" w:sz="8" w:space="0" w:color="auto"/>
            </w:tcBorders>
            <w:shd w:val="clear" w:color="auto" w:fill="auto"/>
            <w:noWrap/>
            <w:vAlign w:val="center"/>
            <w:hideMark/>
          </w:tcPr>
          <w:p w14:paraId="4879E546"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w:t>
            </w:r>
          </w:p>
        </w:tc>
      </w:tr>
      <w:tr w:rsidR="00D80824" w:rsidRPr="00D80824" w14:paraId="52BC85E0"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2C8076E0" w14:textId="77777777" w:rsidR="00D80824" w:rsidRPr="00D80824" w:rsidRDefault="00D80824" w:rsidP="00D80824">
            <w:pPr>
              <w:jc w:val="both"/>
              <w:rPr>
                <w:rFonts w:ascii="Calibri" w:hAnsi="Calibri" w:cs="Calibri"/>
                <w:b/>
                <w:bCs/>
                <w:color w:val="FF0000"/>
                <w:sz w:val="2"/>
                <w:szCs w:val="2"/>
                <w:lang w:eastAsia="en-GB"/>
              </w:rPr>
            </w:pPr>
            <w:r w:rsidRPr="00D80824">
              <w:rPr>
                <w:rFonts w:ascii="Calibri" w:hAnsi="Calibri" w:cs="Calibri"/>
                <w:b/>
                <w:bCs/>
                <w:color w:val="FF0000"/>
                <w:sz w:val="2"/>
                <w:szCs w:val="2"/>
                <w:lang w:eastAsia="en-GB"/>
              </w:rPr>
              <w:t> </w:t>
            </w:r>
          </w:p>
        </w:tc>
        <w:tc>
          <w:tcPr>
            <w:tcW w:w="1094" w:type="dxa"/>
            <w:tcBorders>
              <w:top w:val="nil"/>
              <w:left w:val="nil"/>
              <w:bottom w:val="nil"/>
              <w:right w:val="nil"/>
            </w:tcBorders>
            <w:shd w:val="clear" w:color="auto" w:fill="auto"/>
            <w:noWrap/>
            <w:vAlign w:val="center"/>
            <w:hideMark/>
          </w:tcPr>
          <w:p w14:paraId="575D362E" w14:textId="77777777" w:rsidR="00D80824" w:rsidRPr="00D80824" w:rsidRDefault="00D80824" w:rsidP="00D80824">
            <w:pPr>
              <w:jc w:val="both"/>
              <w:rPr>
                <w:rFonts w:ascii="Calibri" w:hAnsi="Calibri" w:cs="Calibri"/>
                <w:b/>
                <w:bCs/>
                <w:color w:val="FF0000"/>
                <w:sz w:val="2"/>
                <w:szCs w:val="2"/>
                <w:lang w:eastAsia="en-GB"/>
              </w:rPr>
            </w:pPr>
          </w:p>
        </w:tc>
        <w:tc>
          <w:tcPr>
            <w:tcW w:w="1094" w:type="dxa"/>
            <w:tcBorders>
              <w:top w:val="nil"/>
              <w:left w:val="nil"/>
              <w:bottom w:val="nil"/>
              <w:right w:val="nil"/>
            </w:tcBorders>
            <w:shd w:val="clear" w:color="auto" w:fill="auto"/>
            <w:noWrap/>
            <w:vAlign w:val="center"/>
            <w:hideMark/>
          </w:tcPr>
          <w:p w14:paraId="2DF47581"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64C93D5"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2D00E2D" w14:textId="77777777" w:rsidR="00D80824" w:rsidRPr="00D80824" w:rsidRDefault="00D80824" w:rsidP="00D80824">
            <w:pPr>
              <w:jc w:val="right"/>
              <w:rPr>
                <w:rFonts w:ascii="Calibri" w:hAnsi="Calibri" w:cs="Calibri"/>
                <w:b/>
                <w:bCs/>
                <w:color w:val="000000"/>
                <w:sz w:val="2"/>
                <w:szCs w:val="2"/>
                <w:lang w:eastAsia="en-GB"/>
              </w:rPr>
            </w:pPr>
            <w:r w:rsidRPr="00D80824">
              <w:rPr>
                <w:rFonts w:ascii="Calibri" w:hAnsi="Calibri" w:cs="Calibri"/>
                <w:b/>
                <w:bCs/>
                <w:color w:val="000000"/>
                <w:sz w:val="2"/>
                <w:szCs w:val="2"/>
                <w:lang w:eastAsia="en-GB"/>
              </w:rPr>
              <w:t> </w:t>
            </w:r>
          </w:p>
        </w:tc>
      </w:tr>
      <w:tr w:rsidR="00D80824" w:rsidRPr="00D80824" w14:paraId="231B37D6"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2568BEB0" w14:textId="77777777" w:rsidR="00D80824" w:rsidRPr="00D80824" w:rsidRDefault="00D80824" w:rsidP="00D80824">
            <w:pPr>
              <w:jc w:val="both"/>
              <w:rPr>
                <w:rFonts w:ascii="Calibri" w:hAnsi="Calibri" w:cs="Calibri"/>
                <w:b/>
                <w:bCs/>
                <w:color w:val="000000"/>
                <w:sz w:val="20"/>
                <w:lang w:eastAsia="en-GB"/>
              </w:rPr>
            </w:pPr>
            <w:r w:rsidRPr="00D80824">
              <w:rPr>
                <w:rFonts w:ascii="Calibri" w:hAnsi="Calibri" w:cs="Calibri"/>
                <w:b/>
                <w:bCs/>
                <w:color w:val="000000"/>
                <w:sz w:val="20"/>
                <w:lang w:eastAsia="en-GB"/>
              </w:rPr>
              <w:t>Sportsbook stakes</w:t>
            </w:r>
          </w:p>
        </w:tc>
        <w:tc>
          <w:tcPr>
            <w:tcW w:w="1094" w:type="dxa"/>
            <w:tcBorders>
              <w:top w:val="nil"/>
              <w:left w:val="nil"/>
              <w:bottom w:val="nil"/>
              <w:right w:val="nil"/>
            </w:tcBorders>
            <w:shd w:val="clear" w:color="auto" w:fill="auto"/>
            <w:noWrap/>
            <w:vAlign w:val="center"/>
            <w:hideMark/>
          </w:tcPr>
          <w:p w14:paraId="3E683763"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308</w:t>
            </w:r>
          </w:p>
        </w:tc>
        <w:tc>
          <w:tcPr>
            <w:tcW w:w="1094" w:type="dxa"/>
            <w:tcBorders>
              <w:top w:val="nil"/>
              <w:left w:val="nil"/>
              <w:bottom w:val="nil"/>
              <w:right w:val="nil"/>
            </w:tcBorders>
            <w:shd w:val="clear" w:color="auto" w:fill="auto"/>
            <w:noWrap/>
            <w:vAlign w:val="center"/>
            <w:hideMark/>
          </w:tcPr>
          <w:p w14:paraId="3F219573"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389</w:t>
            </w:r>
          </w:p>
        </w:tc>
        <w:tc>
          <w:tcPr>
            <w:tcW w:w="1094" w:type="dxa"/>
            <w:tcBorders>
              <w:top w:val="nil"/>
              <w:left w:val="nil"/>
              <w:bottom w:val="nil"/>
              <w:right w:val="nil"/>
            </w:tcBorders>
            <w:shd w:val="clear" w:color="auto" w:fill="auto"/>
            <w:noWrap/>
            <w:vAlign w:val="center"/>
            <w:hideMark/>
          </w:tcPr>
          <w:p w14:paraId="066F375F"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-21%</w:t>
            </w:r>
          </w:p>
        </w:tc>
        <w:tc>
          <w:tcPr>
            <w:tcW w:w="1094" w:type="dxa"/>
            <w:tcBorders>
              <w:top w:val="nil"/>
              <w:left w:val="nil"/>
              <w:bottom w:val="nil"/>
              <w:right w:val="single" w:sz="8" w:space="0" w:color="auto"/>
            </w:tcBorders>
            <w:shd w:val="clear" w:color="auto" w:fill="auto"/>
            <w:noWrap/>
            <w:vAlign w:val="center"/>
            <w:hideMark/>
          </w:tcPr>
          <w:p w14:paraId="73ABDBC6"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-19%</w:t>
            </w:r>
          </w:p>
        </w:tc>
      </w:tr>
      <w:tr w:rsidR="00D80824" w:rsidRPr="00D80824" w14:paraId="2B06AAAE"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6639DEC9" w14:textId="77777777" w:rsidR="00D80824" w:rsidRPr="00D80824" w:rsidRDefault="00D80824" w:rsidP="00D80824">
            <w:pPr>
              <w:jc w:val="both"/>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Sportsbook net revenue margin</w:t>
            </w:r>
          </w:p>
        </w:tc>
        <w:tc>
          <w:tcPr>
            <w:tcW w:w="1094" w:type="dxa"/>
            <w:tcBorders>
              <w:top w:val="nil"/>
              <w:left w:val="nil"/>
              <w:bottom w:val="nil"/>
              <w:right w:val="nil"/>
            </w:tcBorders>
            <w:shd w:val="clear" w:color="auto" w:fill="auto"/>
            <w:noWrap/>
            <w:vAlign w:val="center"/>
            <w:hideMark/>
          </w:tcPr>
          <w:p w14:paraId="5524C140" w14:textId="77777777" w:rsidR="00D80824" w:rsidRPr="00D80824" w:rsidRDefault="00D80824" w:rsidP="00D80824">
            <w:pPr>
              <w:jc w:val="right"/>
              <w:rPr>
                <w:rFonts w:ascii="Calibri" w:hAnsi="Calibri" w:cs="Calibri"/>
                <w:i/>
                <w:iCs/>
                <w:sz w:val="18"/>
                <w:szCs w:val="18"/>
                <w:lang w:eastAsia="en-GB"/>
              </w:rPr>
            </w:pPr>
            <w:r w:rsidRPr="00D80824">
              <w:rPr>
                <w:rFonts w:ascii="Calibri" w:hAnsi="Calibri" w:cs="Calibri"/>
                <w:i/>
                <w:iCs/>
                <w:sz w:val="18"/>
                <w:szCs w:val="18"/>
                <w:lang w:eastAsia="en-GB"/>
              </w:rPr>
              <w:t>8.6%</w:t>
            </w:r>
          </w:p>
        </w:tc>
        <w:tc>
          <w:tcPr>
            <w:tcW w:w="1094" w:type="dxa"/>
            <w:tcBorders>
              <w:top w:val="nil"/>
              <w:left w:val="nil"/>
              <w:bottom w:val="nil"/>
              <w:right w:val="nil"/>
            </w:tcBorders>
            <w:shd w:val="clear" w:color="auto" w:fill="auto"/>
            <w:noWrap/>
            <w:vAlign w:val="center"/>
            <w:hideMark/>
          </w:tcPr>
          <w:p w14:paraId="7E16943B" w14:textId="77777777" w:rsidR="00D80824" w:rsidRPr="00D80824" w:rsidRDefault="00D80824" w:rsidP="00D80824">
            <w:pPr>
              <w:jc w:val="right"/>
              <w:rPr>
                <w:rFonts w:ascii="Calibri" w:hAnsi="Calibri" w:cs="Calibri"/>
                <w:i/>
                <w:iCs/>
                <w:sz w:val="18"/>
                <w:szCs w:val="18"/>
                <w:lang w:eastAsia="en-GB"/>
              </w:rPr>
            </w:pPr>
            <w:r w:rsidRPr="00D80824">
              <w:rPr>
                <w:rFonts w:ascii="Calibri" w:hAnsi="Calibri" w:cs="Calibri"/>
                <w:i/>
                <w:iCs/>
                <w:sz w:val="18"/>
                <w:szCs w:val="18"/>
                <w:lang w:eastAsia="en-GB"/>
              </w:rPr>
              <w:t>7.6%</w:t>
            </w:r>
          </w:p>
        </w:tc>
        <w:tc>
          <w:tcPr>
            <w:tcW w:w="1094" w:type="dxa"/>
            <w:tcBorders>
              <w:top w:val="nil"/>
              <w:left w:val="nil"/>
              <w:bottom w:val="nil"/>
              <w:right w:val="nil"/>
            </w:tcBorders>
            <w:shd w:val="clear" w:color="auto" w:fill="auto"/>
            <w:noWrap/>
            <w:vAlign w:val="center"/>
            <w:hideMark/>
          </w:tcPr>
          <w:p w14:paraId="43418F6C" w14:textId="77777777" w:rsidR="00D80824" w:rsidRPr="00D80824" w:rsidRDefault="00D80824" w:rsidP="00D80824">
            <w:pPr>
              <w:jc w:val="right"/>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+100bps</w:t>
            </w:r>
          </w:p>
        </w:tc>
        <w:tc>
          <w:tcPr>
            <w:tcW w:w="1094" w:type="dxa"/>
            <w:tcBorders>
              <w:top w:val="nil"/>
              <w:left w:val="nil"/>
              <w:bottom w:val="nil"/>
              <w:right w:val="single" w:sz="8" w:space="0" w:color="auto"/>
            </w:tcBorders>
            <w:shd w:val="clear" w:color="auto" w:fill="auto"/>
            <w:noWrap/>
            <w:vAlign w:val="center"/>
            <w:hideMark/>
          </w:tcPr>
          <w:p w14:paraId="452802F8" w14:textId="77777777" w:rsidR="00D80824" w:rsidRPr="00D80824" w:rsidRDefault="00D80824" w:rsidP="00D80824">
            <w:pPr>
              <w:jc w:val="right"/>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+100bps</w:t>
            </w:r>
          </w:p>
        </w:tc>
      </w:tr>
      <w:tr w:rsidR="00D80824" w:rsidRPr="00D80824" w14:paraId="6B23DCF6"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39CE8CBC"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43F9D2A0"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62122528"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6D2851FC"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3EDE2450" w14:textId="77777777" w:rsidR="00D80824" w:rsidRPr="00D80824" w:rsidRDefault="00D80824" w:rsidP="00D80824">
            <w:pPr>
              <w:jc w:val="right"/>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02200C14"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59E0C9A5" w14:textId="77777777" w:rsidR="00D80824" w:rsidRPr="00D80824" w:rsidRDefault="00D80824" w:rsidP="00D80824">
            <w:pPr>
              <w:jc w:val="both"/>
              <w:rPr>
                <w:rFonts w:ascii="Calibri" w:hAnsi="Calibri" w:cs="Calibri"/>
                <w:color w:val="000000"/>
                <w:sz w:val="20"/>
                <w:lang w:eastAsia="en-GB"/>
              </w:rPr>
            </w:pPr>
            <w:r w:rsidRPr="00D80824">
              <w:rPr>
                <w:rFonts w:ascii="Calibri" w:hAnsi="Calibri" w:cs="Calibri"/>
                <w:color w:val="000000"/>
                <w:sz w:val="20"/>
                <w:lang w:eastAsia="en-GB"/>
              </w:rPr>
              <w:t>Sports revenue</w:t>
            </w:r>
          </w:p>
        </w:tc>
        <w:tc>
          <w:tcPr>
            <w:tcW w:w="1094" w:type="dxa"/>
            <w:tcBorders>
              <w:top w:val="nil"/>
              <w:left w:val="nil"/>
              <w:bottom w:val="nil"/>
              <w:right w:val="nil"/>
            </w:tcBorders>
            <w:shd w:val="clear" w:color="auto" w:fill="auto"/>
            <w:noWrap/>
            <w:vAlign w:val="center"/>
            <w:hideMark/>
          </w:tcPr>
          <w:p w14:paraId="1FA49795"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27</w:t>
            </w:r>
          </w:p>
        </w:tc>
        <w:tc>
          <w:tcPr>
            <w:tcW w:w="1094" w:type="dxa"/>
            <w:tcBorders>
              <w:top w:val="nil"/>
              <w:left w:val="nil"/>
              <w:bottom w:val="nil"/>
              <w:right w:val="nil"/>
            </w:tcBorders>
            <w:shd w:val="clear" w:color="auto" w:fill="auto"/>
            <w:noWrap/>
            <w:vAlign w:val="center"/>
            <w:hideMark/>
          </w:tcPr>
          <w:p w14:paraId="08580467"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30</w:t>
            </w:r>
          </w:p>
        </w:tc>
        <w:tc>
          <w:tcPr>
            <w:tcW w:w="1094" w:type="dxa"/>
            <w:tcBorders>
              <w:top w:val="nil"/>
              <w:left w:val="nil"/>
              <w:bottom w:val="nil"/>
              <w:right w:val="nil"/>
            </w:tcBorders>
            <w:shd w:val="clear" w:color="auto" w:fill="auto"/>
            <w:noWrap/>
            <w:vAlign w:val="center"/>
            <w:hideMark/>
          </w:tcPr>
          <w:p w14:paraId="33AD8BA8"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-10%</w:t>
            </w:r>
          </w:p>
        </w:tc>
        <w:tc>
          <w:tcPr>
            <w:tcW w:w="1094" w:type="dxa"/>
            <w:tcBorders>
              <w:top w:val="nil"/>
              <w:left w:val="nil"/>
              <w:bottom w:val="nil"/>
              <w:right w:val="single" w:sz="8" w:space="0" w:color="auto"/>
            </w:tcBorders>
            <w:shd w:val="clear" w:color="auto" w:fill="auto"/>
            <w:noWrap/>
            <w:vAlign w:val="center"/>
            <w:hideMark/>
          </w:tcPr>
          <w:p w14:paraId="23D37444"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-9%</w:t>
            </w:r>
          </w:p>
        </w:tc>
      </w:tr>
      <w:tr w:rsidR="00D80824" w:rsidRPr="00D80824" w14:paraId="44402AC3"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227C17A9" w14:textId="77777777" w:rsidR="00D80824" w:rsidRPr="00D80824" w:rsidRDefault="00D80824" w:rsidP="00D80824">
            <w:pPr>
              <w:jc w:val="both"/>
              <w:rPr>
                <w:rFonts w:ascii="Calibri" w:hAnsi="Calibri" w:cs="Calibri"/>
                <w:color w:val="000000"/>
                <w:sz w:val="20"/>
                <w:lang w:eastAsia="en-GB"/>
              </w:rPr>
            </w:pPr>
            <w:r w:rsidRPr="00D80824">
              <w:rPr>
                <w:rFonts w:ascii="Calibri" w:hAnsi="Calibri" w:cs="Calibri"/>
                <w:color w:val="000000"/>
                <w:sz w:val="20"/>
                <w:lang w:eastAsia="en-GB"/>
              </w:rPr>
              <w:t>Gaming revenue</w:t>
            </w:r>
          </w:p>
        </w:tc>
        <w:tc>
          <w:tcPr>
            <w:tcW w:w="1094" w:type="dxa"/>
            <w:tcBorders>
              <w:top w:val="nil"/>
              <w:left w:val="nil"/>
              <w:bottom w:val="single" w:sz="8" w:space="0" w:color="auto"/>
              <w:right w:val="nil"/>
            </w:tcBorders>
            <w:shd w:val="clear" w:color="auto" w:fill="auto"/>
            <w:noWrap/>
            <w:vAlign w:val="center"/>
            <w:hideMark/>
          </w:tcPr>
          <w:p w14:paraId="0DA47150"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671</w:t>
            </w:r>
          </w:p>
        </w:tc>
        <w:tc>
          <w:tcPr>
            <w:tcW w:w="1094" w:type="dxa"/>
            <w:tcBorders>
              <w:top w:val="nil"/>
              <w:left w:val="nil"/>
              <w:bottom w:val="single" w:sz="8" w:space="0" w:color="auto"/>
              <w:right w:val="nil"/>
            </w:tcBorders>
            <w:shd w:val="clear" w:color="auto" w:fill="auto"/>
            <w:noWrap/>
            <w:vAlign w:val="center"/>
            <w:hideMark/>
          </w:tcPr>
          <w:p w14:paraId="789BB60B"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479</w:t>
            </w:r>
          </w:p>
        </w:tc>
        <w:tc>
          <w:tcPr>
            <w:tcW w:w="1094" w:type="dxa"/>
            <w:tcBorders>
              <w:top w:val="nil"/>
              <w:left w:val="nil"/>
              <w:bottom w:val="single" w:sz="8" w:space="0" w:color="auto"/>
              <w:right w:val="nil"/>
            </w:tcBorders>
            <w:shd w:val="clear" w:color="auto" w:fill="auto"/>
            <w:noWrap/>
            <w:vAlign w:val="center"/>
            <w:hideMark/>
          </w:tcPr>
          <w:p w14:paraId="08A3B5BE"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+40%</w:t>
            </w:r>
          </w:p>
        </w:tc>
        <w:tc>
          <w:tcPr>
            <w:tcW w:w="1094" w:type="dxa"/>
            <w:tcBorders>
              <w:top w:val="nil"/>
              <w:left w:val="nil"/>
              <w:bottom w:val="single" w:sz="8" w:space="0" w:color="auto"/>
              <w:right w:val="single" w:sz="8" w:space="0" w:color="auto"/>
            </w:tcBorders>
            <w:shd w:val="clear" w:color="auto" w:fill="auto"/>
            <w:noWrap/>
            <w:vAlign w:val="center"/>
            <w:hideMark/>
          </w:tcPr>
          <w:p w14:paraId="0B7FE350"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+43%</w:t>
            </w:r>
          </w:p>
        </w:tc>
      </w:tr>
      <w:tr w:rsidR="00D80824" w:rsidRPr="00D80824" w14:paraId="271D17BB"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6CB5453E" w14:textId="77777777" w:rsidR="00D80824" w:rsidRPr="00D80824" w:rsidRDefault="00D80824" w:rsidP="00D80824">
            <w:pPr>
              <w:jc w:val="both"/>
              <w:rPr>
                <w:rFonts w:ascii="Calibri" w:hAnsi="Calibri" w:cs="Calibri"/>
                <w:b/>
                <w:bCs/>
                <w:color w:val="000000"/>
                <w:sz w:val="20"/>
                <w:lang w:eastAsia="en-GB"/>
              </w:rPr>
            </w:pPr>
            <w:r w:rsidRPr="00D80824">
              <w:rPr>
                <w:rFonts w:ascii="Calibri" w:hAnsi="Calibri" w:cs="Calibri"/>
                <w:b/>
                <w:bCs/>
                <w:color w:val="000000"/>
                <w:sz w:val="20"/>
                <w:lang w:eastAsia="en-GB"/>
              </w:rPr>
              <w:t>Total revenue</w:t>
            </w:r>
          </w:p>
        </w:tc>
        <w:tc>
          <w:tcPr>
            <w:tcW w:w="1094" w:type="dxa"/>
            <w:tcBorders>
              <w:top w:val="nil"/>
              <w:left w:val="nil"/>
              <w:bottom w:val="nil"/>
              <w:right w:val="nil"/>
            </w:tcBorders>
            <w:shd w:val="clear" w:color="auto" w:fill="auto"/>
            <w:noWrap/>
            <w:vAlign w:val="center"/>
            <w:hideMark/>
          </w:tcPr>
          <w:p w14:paraId="012E4387"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697</w:t>
            </w:r>
          </w:p>
        </w:tc>
        <w:tc>
          <w:tcPr>
            <w:tcW w:w="1094" w:type="dxa"/>
            <w:tcBorders>
              <w:top w:val="nil"/>
              <w:left w:val="nil"/>
              <w:bottom w:val="nil"/>
              <w:right w:val="nil"/>
            </w:tcBorders>
            <w:shd w:val="clear" w:color="auto" w:fill="auto"/>
            <w:noWrap/>
            <w:vAlign w:val="center"/>
            <w:hideMark/>
          </w:tcPr>
          <w:p w14:paraId="66E14A03"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509</w:t>
            </w:r>
          </w:p>
        </w:tc>
        <w:tc>
          <w:tcPr>
            <w:tcW w:w="1094" w:type="dxa"/>
            <w:tcBorders>
              <w:top w:val="nil"/>
              <w:left w:val="nil"/>
              <w:bottom w:val="nil"/>
              <w:right w:val="nil"/>
            </w:tcBorders>
            <w:shd w:val="clear" w:color="auto" w:fill="auto"/>
            <w:noWrap/>
            <w:vAlign w:val="center"/>
            <w:hideMark/>
          </w:tcPr>
          <w:p w14:paraId="6BE1493A"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+37%</w:t>
            </w:r>
          </w:p>
        </w:tc>
        <w:tc>
          <w:tcPr>
            <w:tcW w:w="1094" w:type="dxa"/>
            <w:tcBorders>
              <w:top w:val="nil"/>
              <w:left w:val="nil"/>
              <w:bottom w:val="nil"/>
              <w:right w:val="single" w:sz="8" w:space="0" w:color="auto"/>
            </w:tcBorders>
            <w:shd w:val="clear" w:color="auto" w:fill="auto"/>
            <w:noWrap/>
            <w:vAlign w:val="center"/>
            <w:hideMark/>
          </w:tcPr>
          <w:p w14:paraId="3CC33034"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+40%</w:t>
            </w:r>
          </w:p>
        </w:tc>
      </w:tr>
      <w:tr w:rsidR="00D80824" w:rsidRPr="00D80824" w14:paraId="22E704B0"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2224166F"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5D7D6E53"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2FFE435D" w14:textId="77777777" w:rsidR="00D80824" w:rsidRPr="00D80824" w:rsidRDefault="00D80824" w:rsidP="00D80824">
            <w:pPr>
              <w:jc w:val="both"/>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486B1F20" w14:textId="77777777" w:rsidR="00D80824" w:rsidRPr="00D80824" w:rsidRDefault="00D80824" w:rsidP="00D80824">
            <w:pPr>
              <w:jc w:val="both"/>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5095EE62"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2D4F5518"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13AB9AAC" w14:textId="77777777" w:rsidR="00D80824" w:rsidRPr="00D80824" w:rsidRDefault="00D80824" w:rsidP="00D80824">
            <w:pPr>
              <w:jc w:val="both"/>
              <w:rPr>
                <w:rFonts w:ascii="Calibri" w:hAnsi="Calibri" w:cs="Calibri"/>
                <w:color w:val="000000"/>
                <w:sz w:val="20"/>
                <w:lang w:eastAsia="en-GB"/>
              </w:rPr>
            </w:pPr>
            <w:r w:rsidRPr="00D80824">
              <w:rPr>
                <w:rFonts w:ascii="Calibri" w:hAnsi="Calibri" w:cs="Calibri"/>
                <w:color w:val="000000"/>
                <w:sz w:val="20"/>
                <w:lang w:eastAsia="en-GB"/>
              </w:rPr>
              <w:t>Cost of sales</w:t>
            </w:r>
          </w:p>
        </w:tc>
        <w:tc>
          <w:tcPr>
            <w:tcW w:w="1094" w:type="dxa"/>
            <w:tcBorders>
              <w:top w:val="nil"/>
              <w:left w:val="nil"/>
              <w:bottom w:val="nil"/>
              <w:right w:val="nil"/>
            </w:tcBorders>
            <w:shd w:val="clear" w:color="auto" w:fill="auto"/>
            <w:noWrap/>
            <w:vAlign w:val="center"/>
            <w:hideMark/>
          </w:tcPr>
          <w:p w14:paraId="39597DF2"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(147)</w:t>
            </w:r>
          </w:p>
        </w:tc>
        <w:tc>
          <w:tcPr>
            <w:tcW w:w="1094" w:type="dxa"/>
            <w:tcBorders>
              <w:top w:val="nil"/>
              <w:left w:val="nil"/>
              <w:bottom w:val="nil"/>
              <w:right w:val="nil"/>
            </w:tcBorders>
            <w:shd w:val="clear" w:color="auto" w:fill="auto"/>
            <w:noWrap/>
            <w:vAlign w:val="center"/>
            <w:hideMark/>
          </w:tcPr>
          <w:p w14:paraId="39416F00"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(114)</w:t>
            </w:r>
          </w:p>
        </w:tc>
        <w:tc>
          <w:tcPr>
            <w:tcW w:w="1094" w:type="dxa"/>
            <w:tcBorders>
              <w:top w:val="nil"/>
              <w:left w:val="nil"/>
              <w:bottom w:val="nil"/>
              <w:right w:val="nil"/>
            </w:tcBorders>
            <w:shd w:val="clear" w:color="auto" w:fill="auto"/>
            <w:noWrap/>
            <w:vAlign w:val="center"/>
            <w:hideMark/>
          </w:tcPr>
          <w:p w14:paraId="1E4C34C9"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+29%</w:t>
            </w:r>
          </w:p>
        </w:tc>
        <w:tc>
          <w:tcPr>
            <w:tcW w:w="1094" w:type="dxa"/>
            <w:tcBorders>
              <w:top w:val="nil"/>
              <w:left w:val="nil"/>
              <w:bottom w:val="nil"/>
              <w:right w:val="single" w:sz="8" w:space="0" w:color="auto"/>
            </w:tcBorders>
            <w:shd w:val="clear" w:color="auto" w:fill="auto"/>
            <w:noWrap/>
            <w:vAlign w:val="center"/>
            <w:hideMark/>
          </w:tcPr>
          <w:p w14:paraId="6C91B811"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+29%</w:t>
            </w:r>
          </w:p>
        </w:tc>
      </w:tr>
      <w:tr w:rsidR="00D80824" w:rsidRPr="00D80824" w14:paraId="2EAB3302"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5780495E" w14:textId="77777777" w:rsidR="00D80824" w:rsidRPr="00D80824" w:rsidRDefault="00D80824" w:rsidP="00D80824">
            <w:pPr>
              <w:jc w:val="both"/>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Cost of sales as a % of net revenue</w:t>
            </w:r>
          </w:p>
        </w:tc>
        <w:tc>
          <w:tcPr>
            <w:tcW w:w="1094" w:type="dxa"/>
            <w:tcBorders>
              <w:top w:val="nil"/>
              <w:left w:val="nil"/>
              <w:bottom w:val="nil"/>
              <w:right w:val="nil"/>
            </w:tcBorders>
            <w:shd w:val="clear" w:color="auto" w:fill="auto"/>
            <w:noWrap/>
            <w:vAlign w:val="center"/>
            <w:hideMark/>
          </w:tcPr>
          <w:p w14:paraId="6F8B7835" w14:textId="77777777" w:rsidR="00D80824" w:rsidRPr="00D80824" w:rsidRDefault="00D80824" w:rsidP="00D80824">
            <w:pPr>
              <w:jc w:val="right"/>
              <w:rPr>
                <w:rFonts w:ascii="Calibri" w:hAnsi="Calibri" w:cs="Calibri"/>
                <w:i/>
                <w:iCs/>
                <w:sz w:val="18"/>
                <w:szCs w:val="18"/>
                <w:lang w:eastAsia="en-GB"/>
              </w:rPr>
            </w:pPr>
            <w:r w:rsidRPr="00D80824">
              <w:rPr>
                <w:rFonts w:ascii="Calibri" w:hAnsi="Calibri" w:cs="Calibri"/>
                <w:i/>
                <w:iCs/>
                <w:sz w:val="18"/>
                <w:szCs w:val="18"/>
                <w:lang w:eastAsia="en-GB"/>
              </w:rPr>
              <w:t>21.1%</w:t>
            </w:r>
          </w:p>
        </w:tc>
        <w:tc>
          <w:tcPr>
            <w:tcW w:w="1094" w:type="dxa"/>
            <w:tcBorders>
              <w:top w:val="nil"/>
              <w:left w:val="nil"/>
              <w:bottom w:val="nil"/>
              <w:right w:val="nil"/>
            </w:tcBorders>
            <w:shd w:val="clear" w:color="auto" w:fill="auto"/>
            <w:noWrap/>
            <w:vAlign w:val="center"/>
            <w:hideMark/>
          </w:tcPr>
          <w:p w14:paraId="548F7A05" w14:textId="77777777" w:rsidR="00D80824" w:rsidRPr="00D80824" w:rsidRDefault="00D80824" w:rsidP="00D80824">
            <w:pPr>
              <w:jc w:val="right"/>
              <w:rPr>
                <w:rFonts w:ascii="Calibri" w:hAnsi="Calibri" w:cs="Calibri"/>
                <w:i/>
                <w:iCs/>
                <w:sz w:val="18"/>
                <w:szCs w:val="18"/>
                <w:lang w:eastAsia="en-GB"/>
              </w:rPr>
            </w:pPr>
            <w:r w:rsidRPr="00D80824">
              <w:rPr>
                <w:rFonts w:ascii="Calibri" w:hAnsi="Calibri" w:cs="Calibri"/>
                <w:i/>
                <w:iCs/>
                <w:sz w:val="18"/>
                <w:szCs w:val="18"/>
                <w:lang w:eastAsia="en-GB"/>
              </w:rPr>
              <w:t>22.3%</w:t>
            </w:r>
          </w:p>
        </w:tc>
        <w:tc>
          <w:tcPr>
            <w:tcW w:w="1094" w:type="dxa"/>
            <w:tcBorders>
              <w:top w:val="nil"/>
              <w:left w:val="nil"/>
              <w:bottom w:val="nil"/>
              <w:right w:val="nil"/>
            </w:tcBorders>
            <w:shd w:val="clear" w:color="auto" w:fill="auto"/>
            <w:noWrap/>
            <w:vAlign w:val="center"/>
            <w:hideMark/>
          </w:tcPr>
          <w:p w14:paraId="1F48F9E5" w14:textId="77777777" w:rsidR="00D80824" w:rsidRPr="00D80824" w:rsidRDefault="00D80824" w:rsidP="00D80824">
            <w:pPr>
              <w:jc w:val="right"/>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-120bps</w:t>
            </w:r>
          </w:p>
        </w:tc>
        <w:tc>
          <w:tcPr>
            <w:tcW w:w="1094" w:type="dxa"/>
            <w:tcBorders>
              <w:top w:val="nil"/>
              <w:left w:val="nil"/>
              <w:bottom w:val="nil"/>
              <w:right w:val="single" w:sz="8" w:space="0" w:color="auto"/>
            </w:tcBorders>
            <w:shd w:val="clear" w:color="auto" w:fill="auto"/>
            <w:noWrap/>
            <w:vAlign w:val="center"/>
            <w:hideMark/>
          </w:tcPr>
          <w:p w14:paraId="4DA78521" w14:textId="77777777" w:rsidR="00D80824" w:rsidRPr="00D80824" w:rsidRDefault="00D80824" w:rsidP="00D80824">
            <w:pPr>
              <w:jc w:val="right"/>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-180bps</w:t>
            </w:r>
          </w:p>
        </w:tc>
      </w:tr>
      <w:tr w:rsidR="00D80824" w:rsidRPr="00D80824" w14:paraId="6DACE0A1"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78D09C67"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760D22F6"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710327D5"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211C08F2"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4B8FFB6A" w14:textId="77777777" w:rsidR="00D80824" w:rsidRPr="00D80824" w:rsidRDefault="00D80824" w:rsidP="00D80824">
            <w:pPr>
              <w:jc w:val="right"/>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5834D538"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1C327980" w14:textId="77777777" w:rsidR="00D80824" w:rsidRPr="00D80824" w:rsidRDefault="00D80824" w:rsidP="00D80824">
            <w:pPr>
              <w:jc w:val="both"/>
              <w:rPr>
                <w:rFonts w:ascii="Calibri" w:hAnsi="Calibri" w:cs="Calibri"/>
                <w:b/>
                <w:bCs/>
                <w:color w:val="000000"/>
                <w:sz w:val="20"/>
                <w:lang w:eastAsia="en-GB"/>
              </w:rPr>
            </w:pPr>
            <w:r w:rsidRPr="00D80824">
              <w:rPr>
                <w:rFonts w:ascii="Calibri" w:hAnsi="Calibri" w:cs="Calibri"/>
                <w:b/>
                <w:bCs/>
                <w:color w:val="000000"/>
                <w:sz w:val="20"/>
                <w:lang w:eastAsia="en-GB"/>
              </w:rPr>
              <w:t>Gross profit</w:t>
            </w:r>
          </w:p>
        </w:tc>
        <w:tc>
          <w:tcPr>
            <w:tcW w:w="1094" w:type="dxa"/>
            <w:tcBorders>
              <w:top w:val="nil"/>
              <w:left w:val="nil"/>
              <w:bottom w:val="nil"/>
              <w:right w:val="nil"/>
            </w:tcBorders>
            <w:shd w:val="clear" w:color="auto" w:fill="auto"/>
            <w:noWrap/>
            <w:vAlign w:val="center"/>
            <w:hideMark/>
          </w:tcPr>
          <w:p w14:paraId="576BE476"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550</w:t>
            </w:r>
          </w:p>
        </w:tc>
        <w:tc>
          <w:tcPr>
            <w:tcW w:w="1094" w:type="dxa"/>
            <w:tcBorders>
              <w:top w:val="nil"/>
              <w:left w:val="nil"/>
              <w:bottom w:val="nil"/>
              <w:right w:val="nil"/>
            </w:tcBorders>
            <w:shd w:val="clear" w:color="auto" w:fill="auto"/>
            <w:noWrap/>
            <w:vAlign w:val="center"/>
            <w:hideMark/>
          </w:tcPr>
          <w:p w14:paraId="61286F36"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395</w:t>
            </w:r>
          </w:p>
        </w:tc>
        <w:tc>
          <w:tcPr>
            <w:tcW w:w="1094" w:type="dxa"/>
            <w:tcBorders>
              <w:top w:val="nil"/>
              <w:left w:val="nil"/>
              <w:bottom w:val="nil"/>
              <w:right w:val="nil"/>
            </w:tcBorders>
            <w:shd w:val="clear" w:color="auto" w:fill="auto"/>
            <w:noWrap/>
            <w:vAlign w:val="center"/>
            <w:hideMark/>
          </w:tcPr>
          <w:p w14:paraId="673F5D7B"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+39%</w:t>
            </w:r>
          </w:p>
        </w:tc>
        <w:tc>
          <w:tcPr>
            <w:tcW w:w="1094" w:type="dxa"/>
            <w:tcBorders>
              <w:top w:val="nil"/>
              <w:left w:val="nil"/>
              <w:bottom w:val="nil"/>
              <w:right w:val="single" w:sz="8" w:space="0" w:color="auto"/>
            </w:tcBorders>
            <w:shd w:val="clear" w:color="auto" w:fill="auto"/>
            <w:noWrap/>
            <w:vAlign w:val="center"/>
            <w:hideMark/>
          </w:tcPr>
          <w:p w14:paraId="04F222FC"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+43%</w:t>
            </w:r>
          </w:p>
        </w:tc>
      </w:tr>
      <w:tr w:rsidR="00D80824" w:rsidRPr="00D80824" w14:paraId="02C4AAB0"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7DE49D9B"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467F4276"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1B258C26"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0A7E5B22"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2C7AEC36" w14:textId="77777777" w:rsidR="00D80824" w:rsidRPr="00D80824" w:rsidRDefault="00D80824" w:rsidP="00D80824">
            <w:pPr>
              <w:jc w:val="right"/>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1ED14524"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4DD4D7F6" w14:textId="77777777" w:rsidR="00D80824" w:rsidRPr="00D80824" w:rsidRDefault="00D80824" w:rsidP="00D80824">
            <w:pPr>
              <w:jc w:val="both"/>
              <w:rPr>
                <w:rFonts w:ascii="Calibri" w:hAnsi="Calibri" w:cs="Calibri"/>
                <w:color w:val="000000"/>
                <w:sz w:val="20"/>
                <w:lang w:eastAsia="en-GB"/>
              </w:rPr>
            </w:pPr>
            <w:r w:rsidRPr="00D80824">
              <w:rPr>
                <w:rFonts w:ascii="Calibri" w:hAnsi="Calibri" w:cs="Calibri"/>
                <w:color w:val="000000"/>
                <w:sz w:val="20"/>
                <w:lang w:eastAsia="en-GB"/>
              </w:rPr>
              <w:t>Sales and marketing</w:t>
            </w:r>
          </w:p>
        </w:tc>
        <w:tc>
          <w:tcPr>
            <w:tcW w:w="1094" w:type="dxa"/>
            <w:tcBorders>
              <w:top w:val="nil"/>
              <w:left w:val="nil"/>
              <w:bottom w:val="single" w:sz="8" w:space="0" w:color="auto"/>
              <w:right w:val="nil"/>
            </w:tcBorders>
            <w:shd w:val="clear" w:color="auto" w:fill="auto"/>
            <w:noWrap/>
            <w:vAlign w:val="center"/>
            <w:hideMark/>
          </w:tcPr>
          <w:p w14:paraId="796DD0C8"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(82)</w:t>
            </w:r>
          </w:p>
        </w:tc>
        <w:tc>
          <w:tcPr>
            <w:tcW w:w="1094" w:type="dxa"/>
            <w:tcBorders>
              <w:top w:val="nil"/>
              <w:left w:val="nil"/>
              <w:bottom w:val="single" w:sz="8" w:space="0" w:color="auto"/>
              <w:right w:val="nil"/>
            </w:tcBorders>
            <w:shd w:val="clear" w:color="auto" w:fill="auto"/>
            <w:noWrap/>
            <w:vAlign w:val="center"/>
            <w:hideMark/>
          </w:tcPr>
          <w:p w14:paraId="04EF8664"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(74)</w:t>
            </w:r>
          </w:p>
        </w:tc>
        <w:tc>
          <w:tcPr>
            <w:tcW w:w="1094" w:type="dxa"/>
            <w:tcBorders>
              <w:top w:val="nil"/>
              <w:left w:val="nil"/>
              <w:bottom w:val="single" w:sz="8" w:space="0" w:color="auto"/>
              <w:right w:val="nil"/>
            </w:tcBorders>
            <w:shd w:val="clear" w:color="auto" w:fill="auto"/>
            <w:noWrap/>
            <w:vAlign w:val="center"/>
            <w:hideMark/>
          </w:tcPr>
          <w:p w14:paraId="74035602"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+10%</w:t>
            </w:r>
          </w:p>
        </w:tc>
        <w:tc>
          <w:tcPr>
            <w:tcW w:w="1094" w:type="dxa"/>
            <w:tcBorders>
              <w:top w:val="nil"/>
              <w:left w:val="nil"/>
              <w:bottom w:val="single" w:sz="8" w:space="0" w:color="auto"/>
              <w:right w:val="single" w:sz="8" w:space="0" w:color="auto"/>
            </w:tcBorders>
            <w:shd w:val="clear" w:color="auto" w:fill="auto"/>
            <w:noWrap/>
            <w:vAlign w:val="center"/>
            <w:hideMark/>
          </w:tcPr>
          <w:p w14:paraId="3F0786F5"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+10%</w:t>
            </w:r>
          </w:p>
        </w:tc>
      </w:tr>
      <w:tr w:rsidR="00D80824" w:rsidRPr="00D80824" w14:paraId="5A58B850"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5D562B47" w14:textId="77777777" w:rsidR="00D80824" w:rsidRPr="00D80824" w:rsidRDefault="00D80824" w:rsidP="00D80824">
            <w:pPr>
              <w:jc w:val="both"/>
              <w:rPr>
                <w:rFonts w:ascii="Calibri" w:hAnsi="Calibri" w:cs="Calibri"/>
                <w:b/>
                <w:bCs/>
                <w:color w:val="000000"/>
                <w:sz w:val="20"/>
                <w:lang w:eastAsia="en-GB"/>
              </w:rPr>
            </w:pPr>
            <w:r w:rsidRPr="00D80824">
              <w:rPr>
                <w:rFonts w:ascii="Calibri" w:hAnsi="Calibri" w:cs="Calibri"/>
                <w:b/>
                <w:bCs/>
                <w:color w:val="000000"/>
                <w:sz w:val="20"/>
                <w:lang w:eastAsia="en-GB"/>
              </w:rPr>
              <w:t>Contribution</w:t>
            </w:r>
          </w:p>
        </w:tc>
        <w:tc>
          <w:tcPr>
            <w:tcW w:w="1094" w:type="dxa"/>
            <w:tcBorders>
              <w:top w:val="nil"/>
              <w:left w:val="nil"/>
              <w:bottom w:val="nil"/>
              <w:right w:val="nil"/>
            </w:tcBorders>
            <w:shd w:val="clear" w:color="auto" w:fill="auto"/>
            <w:noWrap/>
            <w:vAlign w:val="center"/>
            <w:hideMark/>
          </w:tcPr>
          <w:p w14:paraId="4DC71B48"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469</w:t>
            </w:r>
          </w:p>
        </w:tc>
        <w:tc>
          <w:tcPr>
            <w:tcW w:w="1094" w:type="dxa"/>
            <w:tcBorders>
              <w:top w:val="nil"/>
              <w:left w:val="nil"/>
              <w:bottom w:val="nil"/>
              <w:right w:val="nil"/>
            </w:tcBorders>
            <w:shd w:val="clear" w:color="auto" w:fill="auto"/>
            <w:noWrap/>
            <w:vAlign w:val="center"/>
            <w:hideMark/>
          </w:tcPr>
          <w:p w14:paraId="6A6E86D9"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321</w:t>
            </w:r>
          </w:p>
        </w:tc>
        <w:tc>
          <w:tcPr>
            <w:tcW w:w="1094" w:type="dxa"/>
            <w:tcBorders>
              <w:top w:val="nil"/>
              <w:left w:val="nil"/>
              <w:bottom w:val="nil"/>
              <w:right w:val="nil"/>
            </w:tcBorders>
            <w:shd w:val="clear" w:color="auto" w:fill="auto"/>
            <w:noWrap/>
            <w:vAlign w:val="center"/>
            <w:hideMark/>
          </w:tcPr>
          <w:p w14:paraId="2D38300A"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+46%</w:t>
            </w:r>
          </w:p>
        </w:tc>
        <w:tc>
          <w:tcPr>
            <w:tcW w:w="1094" w:type="dxa"/>
            <w:tcBorders>
              <w:top w:val="nil"/>
              <w:left w:val="nil"/>
              <w:bottom w:val="nil"/>
              <w:right w:val="single" w:sz="8" w:space="0" w:color="auto"/>
            </w:tcBorders>
            <w:shd w:val="clear" w:color="auto" w:fill="auto"/>
            <w:noWrap/>
            <w:vAlign w:val="center"/>
            <w:hideMark/>
          </w:tcPr>
          <w:p w14:paraId="5F97B71D"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+51%</w:t>
            </w:r>
          </w:p>
        </w:tc>
      </w:tr>
      <w:tr w:rsidR="00D80824" w:rsidRPr="00D80824" w14:paraId="500F8D2C"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18A3BAAB"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5C3CF149"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29015C15"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34364DF2"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22591F39" w14:textId="77777777" w:rsidR="00D80824" w:rsidRPr="00D80824" w:rsidRDefault="00D80824" w:rsidP="00D80824">
            <w:pPr>
              <w:jc w:val="right"/>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17FC3EC1"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7FA7A50D" w14:textId="77777777" w:rsidR="00D80824" w:rsidRPr="00D80824" w:rsidRDefault="00D80824" w:rsidP="00D80824">
            <w:pPr>
              <w:jc w:val="both"/>
              <w:rPr>
                <w:rFonts w:ascii="Calibri" w:hAnsi="Calibri" w:cs="Calibri"/>
                <w:color w:val="000000"/>
                <w:sz w:val="20"/>
                <w:lang w:eastAsia="en-GB"/>
              </w:rPr>
            </w:pPr>
            <w:r w:rsidRPr="00D80824">
              <w:rPr>
                <w:rFonts w:ascii="Calibri" w:hAnsi="Calibri" w:cs="Calibri"/>
                <w:color w:val="000000"/>
                <w:sz w:val="20"/>
                <w:lang w:eastAsia="en-GB"/>
              </w:rPr>
              <w:t>Other operating costs</w:t>
            </w:r>
          </w:p>
        </w:tc>
        <w:tc>
          <w:tcPr>
            <w:tcW w:w="1094" w:type="dxa"/>
            <w:tcBorders>
              <w:top w:val="nil"/>
              <w:left w:val="nil"/>
              <w:bottom w:val="single" w:sz="8" w:space="0" w:color="auto"/>
              <w:right w:val="nil"/>
            </w:tcBorders>
            <w:shd w:val="clear" w:color="auto" w:fill="auto"/>
            <w:noWrap/>
            <w:vAlign w:val="center"/>
            <w:hideMark/>
          </w:tcPr>
          <w:p w14:paraId="5D73DC48"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(89)</w:t>
            </w:r>
          </w:p>
        </w:tc>
        <w:tc>
          <w:tcPr>
            <w:tcW w:w="1094" w:type="dxa"/>
            <w:tcBorders>
              <w:top w:val="nil"/>
              <w:left w:val="nil"/>
              <w:bottom w:val="single" w:sz="8" w:space="0" w:color="auto"/>
              <w:right w:val="nil"/>
            </w:tcBorders>
            <w:shd w:val="clear" w:color="auto" w:fill="auto"/>
            <w:noWrap/>
            <w:vAlign w:val="center"/>
            <w:hideMark/>
          </w:tcPr>
          <w:p w14:paraId="40D69A09"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(84)</w:t>
            </w:r>
          </w:p>
        </w:tc>
        <w:tc>
          <w:tcPr>
            <w:tcW w:w="1094" w:type="dxa"/>
            <w:tcBorders>
              <w:top w:val="nil"/>
              <w:left w:val="nil"/>
              <w:bottom w:val="single" w:sz="8" w:space="0" w:color="auto"/>
              <w:right w:val="nil"/>
            </w:tcBorders>
            <w:shd w:val="clear" w:color="auto" w:fill="auto"/>
            <w:noWrap/>
            <w:vAlign w:val="center"/>
            <w:hideMark/>
          </w:tcPr>
          <w:p w14:paraId="03E029FC"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+6%</w:t>
            </w:r>
          </w:p>
        </w:tc>
        <w:tc>
          <w:tcPr>
            <w:tcW w:w="1094" w:type="dxa"/>
            <w:tcBorders>
              <w:top w:val="nil"/>
              <w:left w:val="nil"/>
              <w:bottom w:val="single" w:sz="8" w:space="0" w:color="auto"/>
              <w:right w:val="single" w:sz="8" w:space="0" w:color="auto"/>
            </w:tcBorders>
            <w:shd w:val="clear" w:color="auto" w:fill="auto"/>
            <w:noWrap/>
            <w:vAlign w:val="center"/>
            <w:hideMark/>
          </w:tcPr>
          <w:p w14:paraId="49B74C70"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+6%</w:t>
            </w:r>
          </w:p>
        </w:tc>
      </w:tr>
      <w:tr w:rsidR="00D80824" w:rsidRPr="00D80824" w14:paraId="65EA7DC9"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43003254" w14:textId="77777777" w:rsidR="00D80824" w:rsidRPr="00D80824" w:rsidRDefault="00D80824" w:rsidP="00D80824">
            <w:pPr>
              <w:jc w:val="both"/>
              <w:rPr>
                <w:rFonts w:ascii="Calibri" w:hAnsi="Calibri" w:cs="Calibri"/>
                <w:b/>
                <w:bCs/>
                <w:color w:val="000000"/>
                <w:sz w:val="2"/>
                <w:szCs w:val="2"/>
                <w:lang w:eastAsia="en-GB"/>
              </w:rPr>
            </w:pPr>
            <w:r w:rsidRPr="00D80824">
              <w:rPr>
                <w:rFonts w:ascii="Calibri" w:hAnsi="Calibri" w:cs="Calibri"/>
                <w:b/>
                <w:bCs/>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79978D8A" w14:textId="77777777" w:rsidR="00D80824" w:rsidRPr="00D80824" w:rsidRDefault="00D80824" w:rsidP="00D80824">
            <w:pPr>
              <w:jc w:val="both"/>
              <w:rPr>
                <w:rFonts w:ascii="Calibri" w:hAnsi="Calibri" w:cs="Calibri"/>
                <w:b/>
                <w:bCs/>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461DDCD8"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02AE3219"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6FC4A493" w14:textId="77777777" w:rsidR="00D80824" w:rsidRPr="00D80824" w:rsidRDefault="00D80824" w:rsidP="00D80824">
            <w:pPr>
              <w:jc w:val="right"/>
              <w:rPr>
                <w:rFonts w:ascii="Calibri" w:hAnsi="Calibri" w:cs="Calibri"/>
                <w:b/>
                <w:bCs/>
                <w:color w:val="000000"/>
                <w:sz w:val="2"/>
                <w:szCs w:val="2"/>
                <w:lang w:eastAsia="en-GB"/>
              </w:rPr>
            </w:pPr>
            <w:r w:rsidRPr="00D80824">
              <w:rPr>
                <w:rFonts w:ascii="Calibri" w:hAnsi="Calibri" w:cs="Calibri"/>
                <w:b/>
                <w:bCs/>
                <w:color w:val="000000"/>
                <w:sz w:val="2"/>
                <w:szCs w:val="2"/>
                <w:lang w:eastAsia="en-GB"/>
              </w:rPr>
              <w:t> </w:t>
            </w:r>
          </w:p>
        </w:tc>
      </w:tr>
      <w:tr w:rsidR="00D80824" w:rsidRPr="00D80824" w14:paraId="18A94998"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6FE86574" w14:textId="77777777" w:rsidR="00D80824" w:rsidRPr="00D80824" w:rsidRDefault="00D80824" w:rsidP="00D80824">
            <w:pPr>
              <w:jc w:val="both"/>
              <w:rPr>
                <w:rFonts w:ascii="Calibri" w:hAnsi="Calibri" w:cs="Calibri"/>
                <w:b/>
                <w:bCs/>
                <w:color w:val="000000"/>
                <w:sz w:val="20"/>
                <w:lang w:eastAsia="en-GB"/>
              </w:rPr>
            </w:pPr>
            <w:r w:rsidRPr="00D80824">
              <w:rPr>
                <w:rFonts w:ascii="Calibri" w:hAnsi="Calibri" w:cs="Calibri"/>
                <w:b/>
                <w:bCs/>
                <w:color w:val="000000"/>
                <w:sz w:val="20"/>
                <w:lang w:eastAsia="en-GB"/>
              </w:rPr>
              <w:t>Adjusted EBITDA</w:t>
            </w:r>
            <w:r w:rsidRPr="00D80824">
              <w:rPr>
                <w:rFonts w:ascii="Calibri" w:hAnsi="Calibri" w:cs="Calibri"/>
                <w:i/>
                <w:iCs/>
                <w:color w:val="000000"/>
                <w:sz w:val="20"/>
                <w:vertAlign w:val="superscript"/>
                <w:lang w:eastAsia="en-GB"/>
              </w:rPr>
              <w:t>1,2</w:t>
            </w:r>
          </w:p>
        </w:tc>
        <w:tc>
          <w:tcPr>
            <w:tcW w:w="1094" w:type="dxa"/>
            <w:tcBorders>
              <w:top w:val="nil"/>
              <w:left w:val="nil"/>
              <w:bottom w:val="nil"/>
              <w:right w:val="nil"/>
            </w:tcBorders>
            <w:shd w:val="clear" w:color="auto" w:fill="auto"/>
            <w:noWrap/>
            <w:vAlign w:val="center"/>
            <w:hideMark/>
          </w:tcPr>
          <w:p w14:paraId="41890063"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380</w:t>
            </w:r>
          </w:p>
        </w:tc>
        <w:tc>
          <w:tcPr>
            <w:tcW w:w="1094" w:type="dxa"/>
            <w:tcBorders>
              <w:top w:val="nil"/>
              <w:left w:val="nil"/>
              <w:bottom w:val="nil"/>
              <w:right w:val="nil"/>
            </w:tcBorders>
            <w:shd w:val="clear" w:color="auto" w:fill="auto"/>
            <w:noWrap/>
            <w:vAlign w:val="center"/>
            <w:hideMark/>
          </w:tcPr>
          <w:p w14:paraId="3FE0A983"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237</w:t>
            </w:r>
          </w:p>
        </w:tc>
        <w:tc>
          <w:tcPr>
            <w:tcW w:w="1094" w:type="dxa"/>
            <w:tcBorders>
              <w:top w:val="nil"/>
              <w:left w:val="nil"/>
              <w:bottom w:val="nil"/>
              <w:right w:val="nil"/>
            </w:tcBorders>
            <w:shd w:val="clear" w:color="auto" w:fill="auto"/>
            <w:noWrap/>
            <w:vAlign w:val="center"/>
            <w:hideMark/>
          </w:tcPr>
          <w:p w14:paraId="28D3CE5F"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+60%</w:t>
            </w:r>
          </w:p>
        </w:tc>
        <w:tc>
          <w:tcPr>
            <w:tcW w:w="1094" w:type="dxa"/>
            <w:tcBorders>
              <w:top w:val="nil"/>
              <w:left w:val="nil"/>
              <w:bottom w:val="nil"/>
              <w:right w:val="single" w:sz="8" w:space="0" w:color="auto"/>
            </w:tcBorders>
            <w:shd w:val="clear" w:color="auto" w:fill="auto"/>
            <w:noWrap/>
            <w:vAlign w:val="center"/>
            <w:hideMark/>
          </w:tcPr>
          <w:p w14:paraId="60A0ECCC"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+67%</w:t>
            </w:r>
          </w:p>
        </w:tc>
      </w:tr>
      <w:tr w:rsidR="00D80824" w:rsidRPr="00D80824" w14:paraId="49716454"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31790CE2" w14:textId="77777777" w:rsidR="00D80824" w:rsidRPr="00D80824" w:rsidRDefault="00605352" w:rsidP="00D80824">
            <w:pPr>
              <w:jc w:val="both"/>
              <w:rPr>
                <w:rFonts w:ascii="Calibri" w:hAnsi="Calibri" w:cs="Calibri"/>
                <w:i/>
                <w:iCs/>
                <w:color w:val="000000"/>
                <w:sz w:val="18"/>
                <w:szCs w:val="18"/>
                <w:lang w:eastAsia="en-GB"/>
              </w:rPr>
            </w:pPr>
            <w:r>
              <w:rPr>
                <w:rFonts w:ascii="Calibri" w:hAnsi="Calibri" w:cs="Calibri"/>
                <w:i/>
                <w:iCs/>
                <w:color w:val="000000"/>
                <w:sz w:val="18"/>
                <w:szCs w:val="18"/>
                <w:lang w:eastAsia="en-GB"/>
              </w:rPr>
              <w:t>Adjusted EBITDA margin</w:t>
            </w:r>
          </w:p>
        </w:tc>
        <w:tc>
          <w:tcPr>
            <w:tcW w:w="1094" w:type="dxa"/>
            <w:tcBorders>
              <w:top w:val="nil"/>
              <w:left w:val="nil"/>
              <w:bottom w:val="nil"/>
              <w:right w:val="nil"/>
            </w:tcBorders>
            <w:shd w:val="clear" w:color="auto" w:fill="auto"/>
            <w:noWrap/>
            <w:vAlign w:val="center"/>
            <w:hideMark/>
          </w:tcPr>
          <w:p w14:paraId="0BF00A94" w14:textId="77777777" w:rsidR="00D80824" w:rsidRPr="00D80824" w:rsidRDefault="00D80824" w:rsidP="00D80824">
            <w:pPr>
              <w:jc w:val="right"/>
              <w:rPr>
                <w:rFonts w:ascii="Calibri" w:hAnsi="Calibri" w:cs="Calibri"/>
                <w:i/>
                <w:iCs/>
                <w:sz w:val="18"/>
                <w:szCs w:val="18"/>
                <w:lang w:eastAsia="en-GB"/>
              </w:rPr>
            </w:pPr>
            <w:r w:rsidRPr="00D80824">
              <w:rPr>
                <w:rFonts w:ascii="Calibri" w:hAnsi="Calibri" w:cs="Calibri"/>
                <w:i/>
                <w:iCs/>
                <w:sz w:val="18"/>
                <w:szCs w:val="18"/>
                <w:lang w:eastAsia="en-GB"/>
              </w:rPr>
              <w:t>54.5%</w:t>
            </w:r>
          </w:p>
        </w:tc>
        <w:tc>
          <w:tcPr>
            <w:tcW w:w="1094" w:type="dxa"/>
            <w:tcBorders>
              <w:top w:val="nil"/>
              <w:left w:val="nil"/>
              <w:bottom w:val="nil"/>
              <w:right w:val="nil"/>
            </w:tcBorders>
            <w:shd w:val="clear" w:color="auto" w:fill="auto"/>
            <w:noWrap/>
            <w:vAlign w:val="center"/>
            <w:hideMark/>
          </w:tcPr>
          <w:p w14:paraId="12D28664" w14:textId="77777777" w:rsidR="00D80824" w:rsidRPr="00D80824" w:rsidRDefault="00D80824" w:rsidP="00D80824">
            <w:pPr>
              <w:jc w:val="right"/>
              <w:rPr>
                <w:rFonts w:ascii="Calibri" w:hAnsi="Calibri" w:cs="Calibri"/>
                <w:i/>
                <w:iCs/>
                <w:sz w:val="18"/>
                <w:szCs w:val="18"/>
                <w:lang w:eastAsia="en-GB"/>
              </w:rPr>
            </w:pPr>
            <w:r w:rsidRPr="00D80824">
              <w:rPr>
                <w:rFonts w:ascii="Calibri" w:hAnsi="Calibri" w:cs="Calibri"/>
                <w:i/>
                <w:iCs/>
                <w:sz w:val="18"/>
                <w:szCs w:val="18"/>
                <w:lang w:eastAsia="en-GB"/>
              </w:rPr>
              <w:t>46.6%</w:t>
            </w:r>
          </w:p>
        </w:tc>
        <w:tc>
          <w:tcPr>
            <w:tcW w:w="1094" w:type="dxa"/>
            <w:tcBorders>
              <w:top w:val="nil"/>
              <w:left w:val="nil"/>
              <w:bottom w:val="nil"/>
              <w:right w:val="nil"/>
            </w:tcBorders>
            <w:shd w:val="clear" w:color="auto" w:fill="auto"/>
            <w:noWrap/>
            <w:vAlign w:val="center"/>
            <w:hideMark/>
          </w:tcPr>
          <w:p w14:paraId="317A6DC4" w14:textId="77777777" w:rsidR="00D80824" w:rsidRPr="00D80824" w:rsidRDefault="00D80824" w:rsidP="00D80824">
            <w:pPr>
              <w:jc w:val="right"/>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+780bps</w:t>
            </w:r>
          </w:p>
        </w:tc>
        <w:tc>
          <w:tcPr>
            <w:tcW w:w="1094" w:type="dxa"/>
            <w:tcBorders>
              <w:top w:val="nil"/>
              <w:left w:val="nil"/>
              <w:bottom w:val="nil"/>
              <w:right w:val="single" w:sz="8" w:space="0" w:color="auto"/>
            </w:tcBorders>
            <w:shd w:val="clear" w:color="auto" w:fill="auto"/>
            <w:noWrap/>
            <w:vAlign w:val="center"/>
            <w:hideMark/>
          </w:tcPr>
          <w:p w14:paraId="40D1BDF6" w14:textId="77777777" w:rsidR="00D80824" w:rsidRPr="00D80824" w:rsidRDefault="00D80824" w:rsidP="00D80824">
            <w:pPr>
              <w:jc w:val="right"/>
              <w:rPr>
                <w:rFonts w:ascii="Calibri" w:hAnsi="Calibri" w:cs="Calibri"/>
                <w:i/>
                <w:iCs/>
                <w:color w:val="000000"/>
                <w:sz w:val="18"/>
                <w:szCs w:val="18"/>
                <w:lang w:eastAsia="en-GB"/>
              </w:rPr>
            </w:pPr>
            <w:r w:rsidRPr="00D80824">
              <w:rPr>
                <w:rFonts w:ascii="Calibri" w:hAnsi="Calibri" w:cs="Calibri"/>
                <w:i/>
                <w:iCs/>
                <w:color w:val="000000"/>
                <w:sz w:val="18"/>
                <w:szCs w:val="18"/>
                <w:lang w:eastAsia="en-GB"/>
              </w:rPr>
              <w:t>+900bps</w:t>
            </w:r>
          </w:p>
        </w:tc>
      </w:tr>
      <w:tr w:rsidR="00D80824" w:rsidRPr="00D80824" w14:paraId="1F0EC5EB"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1E22BBD1"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358BF779"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55A1BFC9"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39477243"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04F751EE" w14:textId="77777777" w:rsidR="00D80824" w:rsidRPr="00D80824" w:rsidRDefault="00D80824" w:rsidP="00D80824">
            <w:pPr>
              <w:jc w:val="right"/>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31698F56"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14CB9387" w14:textId="77777777" w:rsidR="00D80824" w:rsidRPr="00D80824" w:rsidRDefault="00D80824" w:rsidP="00D80824">
            <w:pPr>
              <w:jc w:val="both"/>
              <w:rPr>
                <w:rFonts w:ascii="Calibri" w:hAnsi="Calibri" w:cs="Calibri"/>
                <w:color w:val="000000"/>
                <w:sz w:val="20"/>
                <w:lang w:eastAsia="en-GB"/>
              </w:rPr>
            </w:pPr>
            <w:r w:rsidRPr="00D80824">
              <w:rPr>
                <w:rFonts w:ascii="Calibri" w:hAnsi="Calibri" w:cs="Calibri"/>
                <w:color w:val="000000"/>
                <w:sz w:val="20"/>
                <w:lang w:eastAsia="en-GB"/>
              </w:rPr>
              <w:t>Depreciation and amortisation</w:t>
            </w:r>
          </w:p>
        </w:tc>
        <w:tc>
          <w:tcPr>
            <w:tcW w:w="1094" w:type="dxa"/>
            <w:tcBorders>
              <w:top w:val="nil"/>
              <w:left w:val="nil"/>
              <w:bottom w:val="single" w:sz="8" w:space="0" w:color="auto"/>
              <w:right w:val="nil"/>
            </w:tcBorders>
            <w:shd w:val="clear" w:color="auto" w:fill="auto"/>
            <w:noWrap/>
            <w:vAlign w:val="center"/>
            <w:hideMark/>
          </w:tcPr>
          <w:p w14:paraId="60E75CA3"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(23)</w:t>
            </w:r>
          </w:p>
        </w:tc>
        <w:tc>
          <w:tcPr>
            <w:tcW w:w="1094" w:type="dxa"/>
            <w:tcBorders>
              <w:top w:val="nil"/>
              <w:left w:val="nil"/>
              <w:bottom w:val="single" w:sz="8" w:space="0" w:color="auto"/>
              <w:right w:val="nil"/>
            </w:tcBorders>
            <w:shd w:val="clear" w:color="auto" w:fill="auto"/>
            <w:noWrap/>
            <w:vAlign w:val="center"/>
            <w:hideMark/>
          </w:tcPr>
          <w:p w14:paraId="26D9B4B4" w14:textId="77777777" w:rsidR="00D80824" w:rsidRPr="00D80824" w:rsidRDefault="00D80824" w:rsidP="00D80824">
            <w:pPr>
              <w:jc w:val="right"/>
              <w:rPr>
                <w:rFonts w:ascii="Calibri" w:hAnsi="Calibri" w:cs="Calibri"/>
                <w:sz w:val="20"/>
                <w:lang w:eastAsia="en-GB"/>
              </w:rPr>
            </w:pPr>
            <w:r w:rsidRPr="00D80824">
              <w:rPr>
                <w:rFonts w:ascii="Calibri" w:hAnsi="Calibri" w:cs="Calibri"/>
                <w:sz w:val="20"/>
                <w:lang w:eastAsia="en-GB"/>
              </w:rPr>
              <w:t>(18)</w:t>
            </w:r>
          </w:p>
        </w:tc>
        <w:tc>
          <w:tcPr>
            <w:tcW w:w="1094" w:type="dxa"/>
            <w:tcBorders>
              <w:top w:val="nil"/>
              <w:left w:val="nil"/>
              <w:bottom w:val="single" w:sz="8" w:space="0" w:color="auto"/>
              <w:right w:val="nil"/>
            </w:tcBorders>
            <w:shd w:val="clear" w:color="auto" w:fill="auto"/>
            <w:noWrap/>
            <w:vAlign w:val="center"/>
            <w:hideMark/>
          </w:tcPr>
          <w:p w14:paraId="08F62EEB"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+29%</w:t>
            </w:r>
          </w:p>
        </w:tc>
        <w:tc>
          <w:tcPr>
            <w:tcW w:w="1094" w:type="dxa"/>
            <w:tcBorders>
              <w:top w:val="nil"/>
              <w:left w:val="nil"/>
              <w:bottom w:val="single" w:sz="8" w:space="0" w:color="auto"/>
              <w:right w:val="single" w:sz="8" w:space="0" w:color="auto"/>
            </w:tcBorders>
            <w:shd w:val="clear" w:color="auto" w:fill="auto"/>
            <w:noWrap/>
            <w:vAlign w:val="center"/>
            <w:hideMark/>
          </w:tcPr>
          <w:p w14:paraId="67729275" w14:textId="77777777" w:rsidR="00D80824" w:rsidRPr="00D80824" w:rsidRDefault="00D80824" w:rsidP="00D80824">
            <w:pPr>
              <w:jc w:val="right"/>
              <w:rPr>
                <w:rFonts w:ascii="Calibri" w:hAnsi="Calibri" w:cs="Calibri"/>
                <w:color w:val="000000"/>
                <w:sz w:val="20"/>
                <w:lang w:eastAsia="en-GB"/>
              </w:rPr>
            </w:pPr>
            <w:r w:rsidRPr="00D80824">
              <w:rPr>
                <w:rFonts w:ascii="Calibri" w:hAnsi="Calibri" w:cs="Calibri"/>
                <w:color w:val="000000"/>
                <w:sz w:val="20"/>
                <w:lang w:eastAsia="en-GB"/>
              </w:rPr>
              <w:t>+29%</w:t>
            </w:r>
          </w:p>
        </w:tc>
      </w:tr>
      <w:tr w:rsidR="00D80824" w:rsidRPr="00D80824" w14:paraId="17B8A50C" w14:textId="77777777" w:rsidTr="00D80824">
        <w:trPr>
          <w:trHeight w:val="34"/>
        </w:trPr>
        <w:tc>
          <w:tcPr>
            <w:tcW w:w="3068" w:type="dxa"/>
            <w:tcBorders>
              <w:top w:val="nil"/>
              <w:left w:val="single" w:sz="8" w:space="0" w:color="auto"/>
              <w:bottom w:val="nil"/>
              <w:right w:val="nil"/>
            </w:tcBorders>
            <w:shd w:val="clear" w:color="auto" w:fill="auto"/>
            <w:noWrap/>
            <w:vAlign w:val="center"/>
            <w:hideMark/>
          </w:tcPr>
          <w:p w14:paraId="39ACA13F" w14:textId="77777777" w:rsidR="00D80824" w:rsidRPr="00D80824" w:rsidRDefault="00D80824" w:rsidP="00D80824">
            <w:pPr>
              <w:jc w:val="both"/>
              <w:rPr>
                <w:rFonts w:ascii="Calibri" w:hAnsi="Calibri" w:cs="Calibri"/>
                <w:color w:val="000000"/>
                <w:sz w:val="2"/>
                <w:szCs w:val="2"/>
                <w:lang w:eastAsia="en-GB"/>
              </w:rPr>
            </w:pPr>
            <w:r w:rsidRPr="00D80824">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2EB2C0E9" w14:textId="77777777" w:rsidR="00D80824" w:rsidRPr="00D80824" w:rsidRDefault="00D80824" w:rsidP="00D80824">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1A9F6803"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70660BDC" w14:textId="77777777" w:rsidR="00D80824" w:rsidRPr="00D80824" w:rsidRDefault="00D80824" w:rsidP="00D80824">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5E1EFC9" w14:textId="77777777" w:rsidR="00D80824" w:rsidRPr="00D80824" w:rsidRDefault="00D80824" w:rsidP="00D80824">
            <w:pPr>
              <w:jc w:val="right"/>
              <w:rPr>
                <w:rFonts w:ascii="Calibri" w:hAnsi="Calibri" w:cs="Calibri"/>
                <w:color w:val="000000"/>
                <w:sz w:val="2"/>
                <w:szCs w:val="2"/>
                <w:lang w:eastAsia="en-GB"/>
              </w:rPr>
            </w:pPr>
            <w:r w:rsidRPr="00D80824">
              <w:rPr>
                <w:rFonts w:ascii="Calibri" w:hAnsi="Calibri" w:cs="Calibri"/>
                <w:color w:val="000000"/>
                <w:sz w:val="2"/>
                <w:szCs w:val="2"/>
                <w:lang w:eastAsia="en-GB"/>
              </w:rPr>
              <w:t> </w:t>
            </w:r>
          </w:p>
        </w:tc>
      </w:tr>
      <w:tr w:rsidR="00D80824" w:rsidRPr="00D80824" w14:paraId="4FD0E0B8" w14:textId="77777777" w:rsidTr="00D80824">
        <w:trPr>
          <w:trHeight w:val="255"/>
        </w:trPr>
        <w:tc>
          <w:tcPr>
            <w:tcW w:w="3068" w:type="dxa"/>
            <w:tcBorders>
              <w:top w:val="nil"/>
              <w:left w:val="single" w:sz="8" w:space="0" w:color="auto"/>
              <w:bottom w:val="nil"/>
              <w:right w:val="nil"/>
            </w:tcBorders>
            <w:shd w:val="clear" w:color="auto" w:fill="auto"/>
            <w:noWrap/>
            <w:vAlign w:val="center"/>
            <w:hideMark/>
          </w:tcPr>
          <w:p w14:paraId="21A08B96" w14:textId="77777777" w:rsidR="00D80824" w:rsidRPr="00D80824" w:rsidRDefault="00D80824" w:rsidP="00D80824">
            <w:pPr>
              <w:jc w:val="both"/>
              <w:rPr>
                <w:rFonts w:ascii="Calibri" w:hAnsi="Calibri" w:cs="Calibri"/>
                <w:b/>
                <w:bCs/>
                <w:color w:val="000000"/>
                <w:sz w:val="20"/>
                <w:lang w:eastAsia="en-GB"/>
              </w:rPr>
            </w:pPr>
            <w:r w:rsidRPr="00D80824">
              <w:rPr>
                <w:rFonts w:ascii="Calibri" w:hAnsi="Calibri" w:cs="Calibri"/>
                <w:b/>
                <w:bCs/>
                <w:color w:val="000000"/>
                <w:sz w:val="20"/>
                <w:lang w:eastAsia="en-GB"/>
              </w:rPr>
              <w:t>Adjusted</w:t>
            </w:r>
            <w:r w:rsidRPr="00D80824">
              <w:rPr>
                <w:rFonts w:ascii="Calibri" w:hAnsi="Calibri" w:cs="Calibri"/>
                <w:i/>
                <w:iCs/>
                <w:color w:val="000000"/>
                <w:sz w:val="20"/>
                <w:vertAlign w:val="superscript"/>
                <w:lang w:eastAsia="en-GB"/>
              </w:rPr>
              <w:t xml:space="preserve">1 </w:t>
            </w:r>
            <w:r w:rsidRPr="00D80824">
              <w:rPr>
                <w:rFonts w:ascii="Calibri" w:hAnsi="Calibri" w:cs="Calibri"/>
                <w:b/>
                <w:bCs/>
                <w:color w:val="000000"/>
                <w:sz w:val="20"/>
                <w:lang w:eastAsia="en-GB"/>
              </w:rPr>
              <w:t>operating profit</w:t>
            </w:r>
          </w:p>
        </w:tc>
        <w:tc>
          <w:tcPr>
            <w:tcW w:w="1094" w:type="dxa"/>
            <w:tcBorders>
              <w:top w:val="nil"/>
              <w:left w:val="nil"/>
              <w:bottom w:val="nil"/>
              <w:right w:val="nil"/>
            </w:tcBorders>
            <w:shd w:val="clear" w:color="auto" w:fill="auto"/>
            <w:noWrap/>
            <w:vAlign w:val="center"/>
            <w:hideMark/>
          </w:tcPr>
          <w:p w14:paraId="2717C53F"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357</w:t>
            </w:r>
          </w:p>
        </w:tc>
        <w:tc>
          <w:tcPr>
            <w:tcW w:w="1094" w:type="dxa"/>
            <w:tcBorders>
              <w:top w:val="nil"/>
              <w:left w:val="nil"/>
              <w:bottom w:val="nil"/>
              <w:right w:val="nil"/>
            </w:tcBorders>
            <w:shd w:val="clear" w:color="auto" w:fill="auto"/>
            <w:noWrap/>
            <w:vAlign w:val="center"/>
            <w:hideMark/>
          </w:tcPr>
          <w:p w14:paraId="55F6CDDD" w14:textId="77777777" w:rsidR="00D80824" w:rsidRPr="00D80824" w:rsidRDefault="00D80824" w:rsidP="00D80824">
            <w:pPr>
              <w:jc w:val="right"/>
              <w:rPr>
                <w:rFonts w:ascii="Calibri" w:hAnsi="Calibri" w:cs="Calibri"/>
                <w:b/>
                <w:bCs/>
                <w:sz w:val="20"/>
                <w:lang w:eastAsia="en-GB"/>
              </w:rPr>
            </w:pPr>
            <w:r w:rsidRPr="00D80824">
              <w:rPr>
                <w:rFonts w:ascii="Calibri" w:hAnsi="Calibri" w:cs="Calibri"/>
                <w:b/>
                <w:bCs/>
                <w:sz w:val="20"/>
                <w:lang w:eastAsia="en-GB"/>
              </w:rPr>
              <w:t>220</w:t>
            </w:r>
          </w:p>
        </w:tc>
        <w:tc>
          <w:tcPr>
            <w:tcW w:w="1094" w:type="dxa"/>
            <w:tcBorders>
              <w:top w:val="nil"/>
              <w:left w:val="nil"/>
              <w:bottom w:val="nil"/>
              <w:right w:val="nil"/>
            </w:tcBorders>
            <w:shd w:val="clear" w:color="auto" w:fill="auto"/>
            <w:noWrap/>
            <w:vAlign w:val="center"/>
            <w:hideMark/>
          </w:tcPr>
          <w:p w14:paraId="7844782A"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+63%</w:t>
            </w:r>
          </w:p>
        </w:tc>
        <w:tc>
          <w:tcPr>
            <w:tcW w:w="1094" w:type="dxa"/>
            <w:tcBorders>
              <w:top w:val="nil"/>
              <w:left w:val="nil"/>
              <w:bottom w:val="nil"/>
              <w:right w:val="single" w:sz="8" w:space="0" w:color="auto"/>
            </w:tcBorders>
            <w:shd w:val="clear" w:color="auto" w:fill="auto"/>
            <w:noWrap/>
            <w:vAlign w:val="center"/>
            <w:hideMark/>
          </w:tcPr>
          <w:p w14:paraId="75C2DE23" w14:textId="77777777" w:rsidR="00D80824" w:rsidRPr="00D80824" w:rsidRDefault="00D80824" w:rsidP="00D80824">
            <w:pPr>
              <w:jc w:val="right"/>
              <w:rPr>
                <w:rFonts w:ascii="Calibri" w:hAnsi="Calibri" w:cs="Calibri"/>
                <w:b/>
                <w:bCs/>
                <w:color w:val="000000"/>
                <w:sz w:val="20"/>
                <w:lang w:eastAsia="en-GB"/>
              </w:rPr>
            </w:pPr>
            <w:r w:rsidRPr="00D80824">
              <w:rPr>
                <w:rFonts w:ascii="Calibri" w:hAnsi="Calibri" w:cs="Calibri"/>
                <w:b/>
                <w:bCs/>
                <w:color w:val="000000"/>
                <w:sz w:val="20"/>
                <w:lang w:eastAsia="en-GB"/>
              </w:rPr>
              <w:t>+70%</w:t>
            </w:r>
          </w:p>
        </w:tc>
      </w:tr>
      <w:tr w:rsidR="00D80824" w:rsidRPr="00D80824" w14:paraId="2D74D737" w14:textId="77777777" w:rsidTr="00D80824">
        <w:trPr>
          <w:trHeight w:val="34"/>
        </w:trPr>
        <w:tc>
          <w:tcPr>
            <w:tcW w:w="3068" w:type="dxa"/>
            <w:tcBorders>
              <w:top w:val="nil"/>
              <w:left w:val="single" w:sz="8" w:space="0" w:color="auto"/>
              <w:bottom w:val="single" w:sz="8" w:space="0" w:color="auto"/>
              <w:right w:val="nil"/>
            </w:tcBorders>
            <w:shd w:val="clear" w:color="auto" w:fill="auto"/>
            <w:noWrap/>
            <w:vAlign w:val="center"/>
            <w:hideMark/>
          </w:tcPr>
          <w:p w14:paraId="1B49E45D" w14:textId="77777777" w:rsidR="00D80824" w:rsidRPr="00D80824" w:rsidRDefault="00D80824" w:rsidP="00D80824">
            <w:pPr>
              <w:jc w:val="both"/>
              <w:rPr>
                <w:rFonts w:ascii="Calibri" w:hAnsi="Calibri" w:cs="Calibri"/>
                <w:b/>
                <w:bCs/>
                <w:color w:val="FF0000"/>
                <w:sz w:val="2"/>
                <w:szCs w:val="2"/>
                <w:lang w:eastAsia="en-GB"/>
              </w:rPr>
            </w:pPr>
            <w:r w:rsidRPr="00D80824">
              <w:rPr>
                <w:rFonts w:ascii="Calibri" w:hAnsi="Calibri" w:cs="Calibri"/>
                <w:b/>
                <w:bCs/>
                <w:color w:val="FF0000"/>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7CCA7E60" w14:textId="77777777" w:rsidR="00D80824" w:rsidRPr="00D80824" w:rsidRDefault="00D80824" w:rsidP="00D80824">
            <w:pPr>
              <w:jc w:val="right"/>
              <w:rPr>
                <w:rFonts w:ascii="Calibri" w:hAnsi="Calibri" w:cs="Calibri"/>
                <w:b/>
                <w:bCs/>
                <w:color w:val="FF0000"/>
                <w:sz w:val="2"/>
                <w:szCs w:val="2"/>
                <w:lang w:eastAsia="en-GB"/>
              </w:rPr>
            </w:pPr>
            <w:r w:rsidRPr="00D80824">
              <w:rPr>
                <w:rFonts w:ascii="Calibri" w:hAnsi="Calibri" w:cs="Calibri"/>
                <w:b/>
                <w:bCs/>
                <w:color w:val="FF0000"/>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7F5F2AB9" w14:textId="77777777" w:rsidR="00D80824" w:rsidRPr="00D80824" w:rsidRDefault="00D80824" w:rsidP="00D80824">
            <w:pPr>
              <w:jc w:val="right"/>
              <w:rPr>
                <w:rFonts w:ascii="Calibri" w:hAnsi="Calibri" w:cs="Calibri"/>
                <w:b/>
                <w:bCs/>
                <w:sz w:val="2"/>
                <w:szCs w:val="2"/>
                <w:lang w:eastAsia="en-GB"/>
              </w:rPr>
            </w:pPr>
            <w:r w:rsidRPr="00D80824">
              <w:rPr>
                <w:rFonts w:ascii="Calibri" w:hAnsi="Calibri" w:cs="Calibri"/>
                <w:b/>
                <w:bCs/>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00F6F32C" w14:textId="77777777" w:rsidR="00D80824" w:rsidRPr="00D80824" w:rsidRDefault="00D80824" w:rsidP="00D80824">
            <w:pPr>
              <w:jc w:val="right"/>
              <w:rPr>
                <w:rFonts w:ascii="Calibri" w:hAnsi="Calibri" w:cs="Calibri"/>
                <w:b/>
                <w:bCs/>
                <w:color w:val="FF0000"/>
                <w:sz w:val="2"/>
                <w:szCs w:val="2"/>
                <w:lang w:eastAsia="en-GB"/>
              </w:rPr>
            </w:pPr>
            <w:r w:rsidRPr="00D80824">
              <w:rPr>
                <w:rFonts w:ascii="Calibri" w:hAnsi="Calibri" w:cs="Calibri"/>
                <w:b/>
                <w:bCs/>
                <w:color w:val="FF0000"/>
                <w:sz w:val="2"/>
                <w:szCs w:val="2"/>
                <w:lang w:eastAsia="en-GB"/>
              </w:rPr>
              <w:t> </w:t>
            </w:r>
          </w:p>
        </w:tc>
        <w:tc>
          <w:tcPr>
            <w:tcW w:w="1094" w:type="dxa"/>
            <w:tcBorders>
              <w:top w:val="nil"/>
              <w:left w:val="nil"/>
              <w:bottom w:val="single" w:sz="8" w:space="0" w:color="auto"/>
              <w:right w:val="single" w:sz="8" w:space="0" w:color="auto"/>
            </w:tcBorders>
            <w:shd w:val="clear" w:color="auto" w:fill="auto"/>
            <w:noWrap/>
            <w:vAlign w:val="center"/>
            <w:hideMark/>
          </w:tcPr>
          <w:p w14:paraId="1CDB8B1F" w14:textId="77777777" w:rsidR="00D80824" w:rsidRPr="00D80824" w:rsidRDefault="00D80824" w:rsidP="00D80824">
            <w:pPr>
              <w:jc w:val="right"/>
              <w:rPr>
                <w:rFonts w:ascii="Calibri" w:hAnsi="Calibri" w:cs="Calibri"/>
                <w:b/>
                <w:bCs/>
                <w:color w:val="FF0000"/>
                <w:sz w:val="2"/>
                <w:szCs w:val="2"/>
                <w:lang w:eastAsia="en-GB"/>
              </w:rPr>
            </w:pPr>
            <w:r w:rsidRPr="00D80824">
              <w:rPr>
                <w:rFonts w:ascii="Calibri" w:hAnsi="Calibri" w:cs="Calibri"/>
                <w:b/>
                <w:bCs/>
                <w:color w:val="FF0000"/>
                <w:sz w:val="2"/>
                <w:szCs w:val="2"/>
                <w:lang w:eastAsia="en-GB"/>
              </w:rPr>
              <w:t> </w:t>
            </w:r>
          </w:p>
        </w:tc>
      </w:tr>
    </w:tbl>
    <w:p w14:paraId="76712BBC" w14:textId="77777777" w:rsidR="00942D68" w:rsidRPr="004D22B6" w:rsidRDefault="00942D68" w:rsidP="00942D68">
      <w:pPr>
        <w:autoSpaceDE w:val="0"/>
        <w:autoSpaceDN w:val="0"/>
        <w:adjustRightInd w:val="0"/>
        <w:spacing w:before="120"/>
        <w:rPr>
          <w:rFonts w:ascii="Calibri" w:hAnsi="Calibri" w:cs="Calibri"/>
          <w:i/>
          <w:color w:val="000000"/>
          <w:sz w:val="18"/>
          <w:szCs w:val="18"/>
          <w:lang w:val="en-IE" w:eastAsia="en-IE"/>
        </w:rPr>
      </w:pPr>
      <w:r>
        <w:rPr>
          <w:rFonts w:ascii="Calibri" w:hAnsi="Calibri" w:cs="Calibri"/>
          <w:i/>
          <w:color w:val="000000"/>
          <w:sz w:val="18"/>
          <w:szCs w:val="18"/>
          <w:lang w:val="en-IE" w:eastAsia="en-IE"/>
        </w:rPr>
        <w:t xml:space="preserve">PokerStars includes </w:t>
      </w:r>
      <w:r w:rsidRPr="004D22B6">
        <w:rPr>
          <w:rFonts w:ascii="Calibri" w:hAnsi="Calibri" w:cs="Calibri"/>
          <w:i/>
          <w:color w:val="000000"/>
          <w:sz w:val="18"/>
          <w:szCs w:val="18"/>
          <w:lang w:val="en-IE" w:eastAsia="en-IE"/>
        </w:rPr>
        <w:t>the PokerStars</w:t>
      </w:r>
      <w:r>
        <w:rPr>
          <w:rFonts w:ascii="Calibri" w:hAnsi="Calibri" w:cs="Calibri"/>
          <w:i/>
          <w:color w:val="000000"/>
          <w:sz w:val="18"/>
          <w:szCs w:val="18"/>
          <w:lang w:val="en-IE" w:eastAsia="en-IE"/>
        </w:rPr>
        <w:t>, PokerStars Casino, PokerStars</w:t>
      </w:r>
      <w:r w:rsidRPr="004D22B6">
        <w:rPr>
          <w:rFonts w:ascii="Calibri" w:hAnsi="Calibri" w:cs="Calibri"/>
          <w:i/>
          <w:color w:val="000000"/>
          <w:sz w:val="18"/>
          <w:szCs w:val="18"/>
          <w:lang w:val="en-IE" w:eastAsia="en-IE"/>
        </w:rPr>
        <w:t xml:space="preserve"> </w:t>
      </w:r>
      <w:r>
        <w:rPr>
          <w:rFonts w:ascii="Calibri" w:hAnsi="Calibri" w:cs="Calibri"/>
          <w:i/>
          <w:color w:val="000000"/>
          <w:sz w:val="18"/>
          <w:szCs w:val="18"/>
          <w:lang w:val="en-IE" w:eastAsia="en-IE"/>
        </w:rPr>
        <w:t xml:space="preserve">Sports and Full Tilt </w:t>
      </w:r>
      <w:r w:rsidRPr="004D22B6">
        <w:rPr>
          <w:rFonts w:ascii="Calibri" w:hAnsi="Calibri" w:cs="Calibri"/>
          <w:i/>
          <w:color w:val="000000"/>
          <w:sz w:val="18"/>
          <w:szCs w:val="18"/>
          <w:lang w:val="en-IE" w:eastAsia="en-IE"/>
        </w:rPr>
        <w:t>brand</w:t>
      </w:r>
      <w:r>
        <w:rPr>
          <w:rFonts w:ascii="Calibri" w:hAnsi="Calibri" w:cs="Calibri"/>
          <w:i/>
          <w:color w:val="000000"/>
          <w:sz w:val="18"/>
          <w:szCs w:val="18"/>
          <w:lang w:val="en-IE" w:eastAsia="en-IE"/>
        </w:rPr>
        <w:t>s</w:t>
      </w:r>
      <w:r w:rsidRPr="004D22B6">
        <w:rPr>
          <w:rFonts w:ascii="Calibri" w:hAnsi="Calibri" w:cs="Calibri"/>
          <w:i/>
          <w:color w:val="000000"/>
          <w:sz w:val="18"/>
          <w:szCs w:val="18"/>
          <w:lang w:val="en-IE" w:eastAsia="en-IE"/>
        </w:rPr>
        <w:t xml:space="preserve"> </w:t>
      </w:r>
      <w:r w:rsidR="00CD7A63">
        <w:rPr>
          <w:rFonts w:ascii="Calibri" w:hAnsi="Calibri" w:cs="Calibri"/>
          <w:i/>
          <w:color w:val="000000"/>
          <w:sz w:val="18"/>
          <w:szCs w:val="18"/>
          <w:lang w:val="en-IE" w:eastAsia="en-IE"/>
        </w:rPr>
        <w:t xml:space="preserve">which collectively </w:t>
      </w:r>
      <w:r>
        <w:rPr>
          <w:rFonts w:ascii="Calibri" w:hAnsi="Calibri" w:cs="Calibri"/>
          <w:i/>
          <w:color w:val="000000"/>
          <w:sz w:val="18"/>
          <w:szCs w:val="18"/>
          <w:lang w:val="en-IE" w:eastAsia="en-IE"/>
        </w:rPr>
        <w:t>offer online poker, casino and sports</w:t>
      </w:r>
      <w:r w:rsidR="00281E2A">
        <w:rPr>
          <w:rFonts w:ascii="Calibri" w:hAnsi="Calibri" w:cs="Calibri"/>
          <w:i/>
          <w:color w:val="000000"/>
          <w:sz w:val="18"/>
          <w:szCs w:val="18"/>
          <w:lang w:val="en-IE" w:eastAsia="en-IE"/>
        </w:rPr>
        <w:t xml:space="preserve"> </w:t>
      </w:r>
      <w:r>
        <w:rPr>
          <w:rFonts w:ascii="Calibri" w:hAnsi="Calibri" w:cs="Calibri"/>
          <w:i/>
          <w:color w:val="000000"/>
          <w:sz w:val="18"/>
          <w:szCs w:val="18"/>
          <w:lang w:val="en-IE" w:eastAsia="en-IE"/>
        </w:rPr>
        <w:t>betting products</w:t>
      </w:r>
      <w:r w:rsidR="00270B23">
        <w:rPr>
          <w:rFonts w:ascii="Calibri" w:hAnsi="Calibri" w:cs="Calibri"/>
          <w:i/>
          <w:color w:val="000000"/>
          <w:sz w:val="18"/>
          <w:szCs w:val="18"/>
          <w:lang w:val="en-IE" w:eastAsia="en-IE"/>
        </w:rPr>
        <w:t xml:space="preserve">. Excludes PokerStars US business. </w:t>
      </w:r>
    </w:p>
    <w:p w14:paraId="6EA7D02E" w14:textId="77777777" w:rsidR="00942D68" w:rsidRPr="0014357F" w:rsidRDefault="00942D68" w:rsidP="00942D68">
      <w:pPr>
        <w:spacing w:before="120" w:after="120"/>
        <w:jc w:val="both"/>
        <w:rPr>
          <w:rFonts w:asciiTheme="minorHAnsi" w:hAnsiTheme="minorHAnsi" w:cstheme="minorHAnsi"/>
          <w:sz w:val="21"/>
          <w:szCs w:val="21"/>
        </w:rPr>
      </w:pPr>
      <w:r w:rsidRPr="00AB2B80">
        <w:rPr>
          <w:rFonts w:asciiTheme="minorHAnsi" w:hAnsiTheme="minorHAnsi" w:cstheme="minorHAnsi"/>
          <w:sz w:val="21"/>
          <w:szCs w:val="21"/>
        </w:rPr>
        <w:t xml:space="preserve">PokerStars </w:t>
      </w:r>
      <w:r w:rsidR="00612479">
        <w:rPr>
          <w:rFonts w:asciiTheme="minorHAnsi" w:hAnsiTheme="minorHAnsi" w:cstheme="minorHAnsi"/>
          <w:sz w:val="21"/>
          <w:szCs w:val="21"/>
        </w:rPr>
        <w:t>increased</w:t>
      </w:r>
      <w:r w:rsidR="00612479" w:rsidRPr="00986801">
        <w:rPr>
          <w:rFonts w:asciiTheme="minorHAnsi" w:hAnsiTheme="minorHAnsi" w:cstheme="minorHAnsi"/>
          <w:sz w:val="21"/>
          <w:szCs w:val="21"/>
        </w:rPr>
        <w:t xml:space="preserve"> </w:t>
      </w:r>
      <w:r w:rsidRPr="00986801">
        <w:rPr>
          <w:rFonts w:asciiTheme="minorHAnsi" w:hAnsiTheme="minorHAnsi" w:cstheme="minorHAnsi"/>
          <w:sz w:val="21"/>
          <w:szCs w:val="21"/>
        </w:rPr>
        <w:t>revenue by 40% in H1 to £697m</w:t>
      </w:r>
      <w:r w:rsidRPr="002209B4">
        <w:rPr>
          <w:rFonts w:asciiTheme="minorHAnsi" w:hAnsiTheme="minorHAnsi" w:cstheme="minorHAnsi"/>
          <w:sz w:val="21"/>
          <w:szCs w:val="21"/>
        </w:rPr>
        <w:t xml:space="preserve">. </w:t>
      </w:r>
      <w:r w:rsidR="00FA6055">
        <w:rPr>
          <w:rFonts w:asciiTheme="minorHAnsi" w:hAnsiTheme="minorHAnsi" w:cstheme="minorHAnsi"/>
          <w:sz w:val="21"/>
          <w:szCs w:val="21"/>
        </w:rPr>
        <w:t>Gaming grew 43%, with p</w:t>
      </w:r>
      <w:r w:rsidRPr="002209B4">
        <w:rPr>
          <w:rFonts w:asciiTheme="minorHAnsi" w:hAnsiTheme="minorHAnsi" w:cstheme="minorHAnsi"/>
          <w:sz w:val="21"/>
          <w:szCs w:val="21"/>
        </w:rPr>
        <w:t xml:space="preserve">oker revenue </w:t>
      </w:r>
      <w:r w:rsidR="00FA6055">
        <w:rPr>
          <w:rFonts w:asciiTheme="minorHAnsi" w:hAnsiTheme="minorHAnsi" w:cstheme="minorHAnsi"/>
          <w:sz w:val="21"/>
          <w:szCs w:val="21"/>
        </w:rPr>
        <w:t xml:space="preserve">growth of </w:t>
      </w:r>
      <w:r w:rsidRPr="002209B4">
        <w:rPr>
          <w:rFonts w:asciiTheme="minorHAnsi" w:hAnsiTheme="minorHAnsi" w:cstheme="minorHAnsi"/>
          <w:sz w:val="21"/>
          <w:szCs w:val="21"/>
        </w:rPr>
        <w:t xml:space="preserve">38% </w:t>
      </w:r>
      <w:r w:rsidR="00FA6055">
        <w:rPr>
          <w:rFonts w:asciiTheme="minorHAnsi" w:hAnsiTheme="minorHAnsi" w:cstheme="minorHAnsi"/>
          <w:sz w:val="21"/>
          <w:szCs w:val="21"/>
        </w:rPr>
        <w:t xml:space="preserve">and </w:t>
      </w:r>
      <w:r w:rsidRPr="002209B4">
        <w:rPr>
          <w:rFonts w:asciiTheme="minorHAnsi" w:hAnsiTheme="minorHAnsi" w:cstheme="minorHAnsi"/>
          <w:sz w:val="21"/>
          <w:szCs w:val="21"/>
        </w:rPr>
        <w:t xml:space="preserve">casino </w:t>
      </w:r>
      <w:r w:rsidR="00FA6055">
        <w:rPr>
          <w:rFonts w:asciiTheme="minorHAnsi" w:hAnsiTheme="minorHAnsi" w:cstheme="minorHAnsi"/>
          <w:sz w:val="21"/>
          <w:szCs w:val="21"/>
        </w:rPr>
        <w:t xml:space="preserve">growth of </w:t>
      </w:r>
      <w:r w:rsidRPr="002209B4">
        <w:rPr>
          <w:rFonts w:asciiTheme="minorHAnsi" w:hAnsiTheme="minorHAnsi" w:cstheme="minorHAnsi"/>
          <w:sz w:val="21"/>
          <w:szCs w:val="21"/>
        </w:rPr>
        <w:t xml:space="preserve">51%.  </w:t>
      </w:r>
    </w:p>
    <w:p w14:paraId="36EA6721" w14:textId="77777777" w:rsidR="00942D68" w:rsidRPr="00986801" w:rsidRDefault="00942D68" w:rsidP="00942D68">
      <w:pPr>
        <w:spacing w:after="120"/>
        <w:jc w:val="both"/>
        <w:rPr>
          <w:rFonts w:asciiTheme="minorHAnsi" w:hAnsiTheme="minorHAnsi" w:cstheme="minorHAnsi"/>
          <w:sz w:val="21"/>
          <w:szCs w:val="21"/>
        </w:rPr>
      </w:pPr>
      <w:r w:rsidRPr="00FA6055">
        <w:rPr>
          <w:rFonts w:asciiTheme="minorHAnsi" w:hAnsiTheme="minorHAnsi" w:cstheme="minorHAnsi"/>
          <w:sz w:val="21"/>
          <w:szCs w:val="21"/>
        </w:rPr>
        <w:t>In the pre-disrupt</w:t>
      </w:r>
      <w:r w:rsidR="003C44E8">
        <w:rPr>
          <w:rFonts w:asciiTheme="minorHAnsi" w:hAnsiTheme="minorHAnsi" w:cstheme="minorHAnsi"/>
          <w:sz w:val="21"/>
          <w:szCs w:val="21"/>
        </w:rPr>
        <w:t>ed</w:t>
      </w:r>
      <w:r w:rsidRPr="00FA6055">
        <w:rPr>
          <w:rFonts w:asciiTheme="minorHAnsi" w:hAnsiTheme="minorHAnsi" w:cstheme="minorHAnsi"/>
          <w:sz w:val="21"/>
          <w:szCs w:val="21"/>
        </w:rPr>
        <w:t xml:space="preserve"> period, total gaming revenues declined 3%, with a continuation of the </w:t>
      </w:r>
      <w:r w:rsidR="00FA6055" w:rsidRPr="00FA6055">
        <w:rPr>
          <w:rFonts w:asciiTheme="minorHAnsi" w:hAnsiTheme="minorHAnsi" w:cstheme="minorHAnsi"/>
          <w:sz w:val="21"/>
          <w:szCs w:val="21"/>
        </w:rPr>
        <w:t xml:space="preserve">declining </w:t>
      </w:r>
      <w:r w:rsidRPr="00FA6055">
        <w:rPr>
          <w:rFonts w:asciiTheme="minorHAnsi" w:hAnsiTheme="minorHAnsi" w:cstheme="minorHAnsi"/>
          <w:sz w:val="21"/>
          <w:szCs w:val="21"/>
        </w:rPr>
        <w:t xml:space="preserve">poker trend reported in the fourth quarter of 2019. </w:t>
      </w:r>
      <w:r w:rsidRPr="00856AC3">
        <w:rPr>
          <w:rFonts w:asciiTheme="minorHAnsi" w:hAnsiTheme="minorHAnsi" w:cstheme="minorHAnsi"/>
          <w:sz w:val="21"/>
          <w:szCs w:val="21"/>
        </w:rPr>
        <w:t>Had th</w:t>
      </w:r>
      <w:r w:rsidR="00F569A2">
        <w:rPr>
          <w:rFonts w:asciiTheme="minorHAnsi" w:hAnsiTheme="minorHAnsi" w:cstheme="minorHAnsi"/>
          <w:sz w:val="21"/>
          <w:szCs w:val="21"/>
        </w:rPr>
        <w:t>e overall</w:t>
      </w:r>
      <w:r w:rsidRPr="00856AC3">
        <w:rPr>
          <w:rFonts w:asciiTheme="minorHAnsi" w:hAnsiTheme="minorHAnsi" w:cstheme="minorHAnsi"/>
          <w:sz w:val="21"/>
          <w:szCs w:val="21"/>
        </w:rPr>
        <w:t xml:space="preserve"> gaming trend continued for the entire first half, we estimate PokerStars’ revenue would have been approximately </w:t>
      </w:r>
      <w:r w:rsidRPr="0006187D">
        <w:rPr>
          <w:rFonts w:asciiTheme="minorHAnsi" w:hAnsiTheme="minorHAnsi" w:cstheme="minorHAnsi"/>
          <w:sz w:val="21"/>
          <w:szCs w:val="21"/>
        </w:rPr>
        <w:t>£205m lower.</w:t>
      </w:r>
    </w:p>
    <w:p w14:paraId="59831E8D" w14:textId="77777777" w:rsidR="00942D68" w:rsidRDefault="002415EB" w:rsidP="00942D68">
      <w:pPr>
        <w:spacing w:after="120"/>
        <w:jc w:val="both"/>
        <w:rPr>
          <w:rFonts w:asciiTheme="minorHAnsi" w:hAnsiTheme="minorHAnsi" w:cstheme="minorHAnsi"/>
          <w:sz w:val="21"/>
          <w:szCs w:val="21"/>
        </w:rPr>
      </w:pPr>
      <w:r w:rsidRPr="002415EB">
        <w:rPr>
          <w:rFonts w:asciiTheme="minorHAnsi" w:hAnsiTheme="minorHAnsi" w:cstheme="minorHAnsi"/>
          <w:sz w:val="21"/>
          <w:szCs w:val="21"/>
        </w:rPr>
        <w:t>Post disruption, PokerStars experienced elevated customer numbers across both its poker and casino platforms as people sought alternative forms of home entertainment. In Q2, average daily customers increased by 70% leading to revenue growth of 75%</w:t>
      </w:r>
      <w:r w:rsidR="00942D68" w:rsidRPr="00986801">
        <w:rPr>
          <w:rFonts w:asciiTheme="minorHAnsi" w:hAnsiTheme="minorHAnsi" w:cstheme="minorHAnsi"/>
          <w:sz w:val="21"/>
          <w:szCs w:val="21"/>
        </w:rPr>
        <w:t xml:space="preserve">. </w:t>
      </w:r>
    </w:p>
    <w:p w14:paraId="1637DE98" w14:textId="77777777" w:rsidR="00942D68" w:rsidRPr="002209B4" w:rsidRDefault="00942D68" w:rsidP="00942D68">
      <w:pPr>
        <w:spacing w:after="120"/>
        <w:jc w:val="both"/>
        <w:rPr>
          <w:rFonts w:asciiTheme="minorHAnsi" w:hAnsiTheme="minorHAnsi" w:cstheme="minorHAnsi"/>
          <w:sz w:val="21"/>
          <w:szCs w:val="21"/>
        </w:rPr>
      </w:pPr>
      <w:r w:rsidRPr="0014357F">
        <w:rPr>
          <w:rFonts w:asciiTheme="minorHAnsi" w:hAnsiTheme="minorHAnsi" w:cstheme="minorHAnsi"/>
          <w:sz w:val="21"/>
          <w:szCs w:val="21"/>
        </w:rPr>
        <w:t xml:space="preserve">While the absolute level of marketing spend increased by £8m year-on-year in H1, it reduced as a percentage of revenue from 14.9% to just 11.7%. This reflected </w:t>
      </w:r>
      <w:r>
        <w:rPr>
          <w:rFonts w:asciiTheme="minorHAnsi" w:hAnsiTheme="minorHAnsi" w:cstheme="minorHAnsi"/>
          <w:sz w:val="21"/>
          <w:szCs w:val="21"/>
        </w:rPr>
        <w:t xml:space="preserve">good </w:t>
      </w:r>
      <w:r w:rsidRPr="00986801">
        <w:rPr>
          <w:rFonts w:asciiTheme="minorHAnsi" w:hAnsiTheme="minorHAnsi" w:cstheme="minorHAnsi"/>
          <w:sz w:val="21"/>
          <w:szCs w:val="21"/>
        </w:rPr>
        <w:t xml:space="preserve">organic </w:t>
      </w:r>
      <w:r>
        <w:rPr>
          <w:rFonts w:asciiTheme="minorHAnsi" w:hAnsiTheme="minorHAnsi" w:cstheme="minorHAnsi"/>
          <w:sz w:val="21"/>
          <w:szCs w:val="21"/>
        </w:rPr>
        <w:t xml:space="preserve">customer </w:t>
      </w:r>
      <w:r w:rsidRPr="00986801">
        <w:rPr>
          <w:rFonts w:asciiTheme="minorHAnsi" w:hAnsiTheme="minorHAnsi" w:cstheme="minorHAnsi"/>
          <w:sz w:val="21"/>
          <w:szCs w:val="21"/>
        </w:rPr>
        <w:t>growth from mid-March despite low levels of marketing investment</w:t>
      </w:r>
      <w:r w:rsidR="009D52DC">
        <w:rPr>
          <w:rFonts w:asciiTheme="minorHAnsi" w:hAnsiTheme="minorHAnsi" w:cstheme="minorHAnsi"/>
          <w:sz w:val="21"/>
          <w:szCs w:val="21"/>
        </w:rPr>
        <w:t xml:space="preserve"> and highlights the resilience of the PokerStars brand</w:t>
      </w:r>
      <w:r w:rsidRPr="00986801">
        <w:rPr>
          <w:rFonts w:asciiTheme="minorHAnsi" w:hAnsiTheme="minorHAnsi" w:cstheme="minorHAnsi"/>
          <w:sz w:val="21"/>
          <w:szCs w:val="21"/>
        </w:rPr>
        <w:t>. Other operating costs increased by 6%</w:t>
      </w:r>
      <w:r>
        <w:rPr>
          <w:rFonts w:asciiTheme="minorHAnsi" w:hAnsiTheme="minorHAnsi" w:cstheme="minorHAnsi"/>
          <w:sz w:val="21"/>
          <w:szCs w:val="21"/>
        </w:rPr>
        <w:t>,</w:t>
      </w:r>
      <w:r w:rsidRPr="00986801">
        <w:rPr>
          <w:rFonts w:asciiTheme="minorHAnsi" w:hAnsiTheme="minorHAnsi" w:cstheme="minorHAnsi"/>
          <w:sz w:val="21"/>
          <w:szCs w:val="21"/>
        </w:rPr>
        <w:t xml:space="preserve"> primarily reflecting</w:t>
      </w:r>
      <w:r w:rsidRPr="002209B4">
        <w:rPr>
          <w:rFonts w:asciiTheme="minorHAnsi" w:hAnsiTheme="minorHAnsi" w:cstheme="minorHAnsi"/>
          <w:sz w:val="21"/>
          <w:szCs w:val="21"/>
        </w:rPr>
        <w:t xml:space="preserve"> </w:t>
      </w:r>
      <w:r>
        <w:rPr>
          <w:rFonts w:asciiTheme="minorHAnsi" w:hAnsiTheme="minorHAnsi" w:cstheme="minorHAnsi"/>
          <w:sz w:val="21"/>
          <w:szCs w:val="21"/>
        </w:rPr>
        <w:t xml:space="preserve">increased </w:t>
      </w:r>
      <w:r w:rsidRPr="00F34542">
        <w:rPr>
          <w:rFonts w:asciiTheme="minorHAnsi" w:hAnsiTheme="minorHAnsi" w:cstheme="minorHAnsi"/>
          <w:sz w:val="21"/>
          <w:szCs w:val="21"/>
        </w:rPr>
        <w:t xml:space="preserve">investment in </w:t>
      </w:r>
      <w:r w:rsidRPr="00986801">
        <w:rPr>
          <w:rFonts w:asciiTheme="minorHAnsi" w:hAnsiTheme="minorHAnsi" w:cstheme="minorHAnsi"/>
          <w:sz w:val="21"/>
          <w:szCs w:val="21"/>
        </w:rPr>
        <w:t>product and technology. Th</w:t>
      </w:r>
      <w:r>
        <w:rPr>
          <w:rFonts w:asciiTheme="minorHAnsi" w:hAnsiTheme="minorHAnsi" w:cstheme="minorHAnsi"/>
          <w:sz w:val="21"/>
          <w:szCs w:val="21"/>
        </w:rPr>
        <w:t xml:space="preserve">is was </w:t>
      </w:r>
      <w:r w:rsidRPr="00986801">
        <w:rPr>
          <w:rFonts w:asciiTheme="minorHAnsi" w:hAnsiTheme="minorHAnsi" w:cstheme="minorHAnsi"/>
          <w:sz w:val="21"/>
          <w:szCs w:val="21"/>
        </w:rPr>
        <w:t>partially offset by cost saving initiatives</w:t>
      </w:r>
      <w:r w:rsidRPr="008F4F7C">
        <w:rPr>
          <w:rFonts w:asciiTheme="minorHAnsi" w:hAnsiTheme="minorHAnsi" w:cstheme="minorHAnsi"/>
          <w:sz w:val="21"/>
          <w:szCs w:val="21"/>
        </w:rPr>
        <w:t xml:space="preserve"> </w:t>
      </w:r>
      <w:r>
        <w:rPr>
          <w:rFonts w:asciiTheme="minorHAnsi" w:hAnsiTheme="minorHAnsi" w:cstheme="minorHAnsi"/>
          <w:sz w:val="21"/>
          <w:szCs w:val="21"/>
        </w:rPr>
        <w:t xml:space="preserve">rolled out </w:t>
      </w:r>
      <w:r w:rsidRPr="00F34542">
        <w:rPr>
          <w:rFonts w:asciiTheme="minorHAnsi" w:hAnsiTheme="minorHAnsi" w:cstheme="minorHAnsi"/>
          <w:sz w:val="21"/>
          <w:szCs w:val="21"/>
        </w:rPr>
        <w:t xml:space="preserve">in the </w:t>
      </w:r>
      <w:r>
        <w:rPr>
          <w:rFonts w:asciiTheme="minorHAnsi" w:hAnsiTheme="minorHAnsi" w:cstheme="minorHAnsi"/>
          <w:sz w:val="21"/>
          <w:szCs w:val="21"/>
        </w:rPr>
        <w:t xml:space="preserve">second half </w:t>
      </w:r>
      <w:r w:rsidRPr="00F34542">
        <w:rPr>
          <w:rFonts w:asciiTheme="minorHAnsi" w:hAnsiTheme="minorHAnsi" w:cstheme="minorHAnsi"/>
          <w:sz w:val="21"/>
          <w:szCs w:val="21"/>
        </w:rPr>
        <w:t>of 2019</w:t>
      </w:r>
      <w:r>
        <w:rPr>
          <w:rFonts w:asciiTheme="minorHAnsi" w:hAnsiTheme="minorHAnsi" w:cstheme="minorHAnsi"/>
          <w:sz w:val="21"/>
          <w:szCs w:val="21"/>
        </w:rPr>
        <w:t>.</w:t>
      </w:r>
      <w:r w:rsidRPr="00986801">
        <w:rPr>
          <w:rFonts w:asciiTheme="minorHAnsi" w:hAnsiTheme="minorHAnsi" w:cstheme="minorHAnsi"/>
          <w:sz w:val="21"/>
          <w:szCs w:val="21"/>
        </w:rPr>
        <w:t xml:space="preserve">  </w:t>
      </w:r>
    </w:p>
    <w:p w14:paraId="786318C0" w14:textId="77777777" w:rsidR="00942D68" w:rsidRPr="0014357F" w:rsidRDefault="00942D68" w:rsidP="00942D68">
      <w:pPr>
        <w:spacing w:after="120"/>
        <w:jc w:val="both"/>
        <w:rPr>
          <w:rFonts w:asciiTheme="minorHAnsi" w:hAnsiTheme="minorHAnsi" w:cstheme="minorHAnsi"/>
          <w:sz w:val="21"/>
          <w:szCs w:val="21"/>
        </w:rPr>
      </w:pPr>
      <w:r w:rsidRPr="0014357F">
        <w:rPr>
          <w:rFonts w:asciiTheme="minorHAnsi" w:hAnsiTheme="minorHAnsi" w:cstheme="minorHAnsi"/>
          <w:sz w:val="21"/>
          <w:szCs w:val="21"/>
        </w:rPr>
        <w:t>Adjusted EBITDA for the division was £380m, an increase of 67% on the prior year.</w:t>
      </w:r>
    </w:p>
    <w:p w14:paraId="0CB96C0C" w14:textId="77777777" w:rsidR="00942D68" w:rsidRDefault="00942D68" w:rsidP="00942D68">
      <w:pPr>
        <w:rPr>
          <w:rFonts w:asciiTheme="minorHAnsi" w:hAnsiTheme="minorHAnsi"/>
          <w:b/>
          <w:sz w:val="22"/>
          <w:szCs w:val="22"/>
        </w:rPr>
      </w:pPr>
      <w:r>
        <w:rPr>
          <w:rFonts w:asciiTheme="minorHAnsi" w:hAnsiTheme="minorHAnsi"/>
          <w:b/>
          <w:sz w:val="22"/>
          <w:szCs w:val="22"/>
        </w:rPr>
        <w:br w:type="page"/>
      </w:r>
    </w:p>
    <w:p w14:paraId="4072CA39" w14:textId="77777777" w:rsidR="00942D68" w:rsidRPr="00C9669A" w:rsidRDefault="00942D68" w:rsidP="00942D68">
      <w:pPr>
        <w:spacing w:after="120"/>
        <w:rPr>
          <w:rFonts w:asciiTheme="minorHAnsi" w:hAnsiTheme="minorHAnsi"/>
          <w:b/>
          <w:i/>
          <w:color w:val="FF0000"/>
          <w:sz w:val="22"/>
          <w:szCs w:val="22"/>
        </w:rPr>
      </w:pPr>
      <w:r w:rsidRPr="001E6AB6">
        <w:rPr>
          <w:rFonts w:asciiTheme="minorHAnsi" w:hAnsiTheme="minorHAnsi"/>
          <w:b/>
          <w:sz w:val="22"/>
          <w:szCs w:val="22"/>
        </w:rPr>
        <w:lastRenderedPageBreak/>
        <w:t>Australia</w:t>
      </w:r>
      <w:r w:rsidR="00D176F2" w:rsidRPr="00C9669A">
        <w:rPr>
          <w:rFonts w:asciiTheme="minorHAnsi" w:hAnsiTheme="minorHAnsi"/>
          <w:b/>
          <w:sz w:val="22"/>
          <w:szCs w:val="22"/>
          <w:vertAlign w:val="superscript"/>
        </w:rPr>
        <w:t>4,9</w:t>
      </w:r>
      <w:r w:rsidRPr="00C9669A">
        <w:rPr>
          <w:rFonts w:asciiTheme="minorHAnsi" w:hAnsiTheme="minorHAnsi"/>
          <w:b/>
          <w:sz w:val="22"/>
          <w:szCs w:val="22"/>
          <w:vertAlign w:val="superscript"/>
        </w:rPr>
        <w:t xml:space="preserve"> </w:t>
      </w:r>
    </w:p>
    <w:tbl>
      <w:tblPr>
        <w:tblW w:w="7444" w:type="dxa"/>
        <w:tblLayout w:type="fixed"/>
        <w:tblCellMar>
          <w:left w:w="57" w:type="dxa"/>
          <w:right w:w="57" w:type="dxa"/>
        </w:tblCellMar>
        <w:tblLook w:val="04A0" w:firstRow="1" w:lastRow="0" w:firstColumn="1" w:lastColumn="0" w:noHBand="0" w:noVBand="1"/>
      </w:tblPr>
      <w:tblGrid>
        <w:gridCol w:w="3068"/>
        <w:gridCol w:w="1094"/>
        <w:gridCol w:w="1094"/>
        <w:gridCol w:w="1094"/>
        <w:gridCol w:w="1094"/>
      </w:tblGrid>
      <w:tr w:rsidR="00DD6F46" w:rsidRPr="00DD6F46" w14:paraId="1D635DCD" w14:textId="77777777" w:rsidTr="00DD6F46">
        <w:trPr>
          <w:trHeight w:val="255"/>
        </w:trPr>
        <w:tc>
          <w:tcPr>
            <w:tcW w:w="3068" w:type="dxa"/>
            <w:tcBorders>
              <w:top w:val="single" w:sz="8" w:space="0" w:color="auto"/>
              <w:left w:val="single" w:sz="8" w:space="0" w:color="auto"/>
              <w:bottom w:val="nil"/>
              <w:right w:val="nil"/>
            </w:tcBorders>
            <w:shd w:val="clear" w:color="auto" w:fill="auto"/>
            <w:noWrap/>
            <w:vAlign w:val="center"/>
            <w:hideMark/>
          </w:tcPr>
          <w:p w14:paraId="0EC4B996" w14:textId="77777777" w:rsidR="00DD6F46" w:rsidRPr="00DD6F46" w:rsidRDefault="00DD6F46" w:rsidP="00DD6F46">
            <w:pPr>
              <w:jc w:val="both"/>
              <w:rPr>
                <w:rFonts w:ascii="Calibri" w:hAnsi="Calibri" w:cs="Calibri"/>
                <w:b/>
                <w:bCs/>
                <w:sz w:val="20"/>
                <w:lang w:eastAsia="en-GB"/>
              </w:rPr>
            </w:pPr>
            <w:r w:rsidRPr="00DD6F46">
              <w:rPr>
                <w:rFonts w:ascii="Calibri" w:hAnsi="Calibri" w:cs="Calibri"/>
                <w:b/>
                <w:bCs/>
                <w:sz w:val="20"/>
                <w:lang w:eastAsia="en-GB"/>
              </w:rPr>
              <w:t> </w:t>
            </w:r>
          </w:p>
        </w:tc>
        <w:tc>
          <w:tcPr>
            <w:tcW w:w="1094" w:type="dxa"/>
            <w:tcBorders>
              <w:top w:val="single" w:sz="8" w:space="0" w:color="auto"/>
              <w:left w:val="nil"/>
              <w:bottom w:val="nil"/>
              <w:right w:val="nil"/>
            </w:tcBorders>
            <w:shd w:val="clear" w:color="auto" w:fill="auto"/>
            <w:noWrap/>
            <w:vAlign w:val="center"/>
            <w:hideMark/>
          </w:tcPr>
          <w:p w14:paraId="2C1070E8"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H1</w:t>
            </w:r>
          </w:p>
        </w:tc>
        <w:tc>
          <w:tcPr>
            <w:tcW w:w="1094" w:type="dxa"/>
            <w:tcBorders>
              <w:top w:val="single" w:sz="8" w:space="0" w:color="auto"/>
              <w:left w:val="nil"/>
              <w:bottom w:val="nil"/>
              <w:right w:val="nil"/>
            </w:tcBorders>
            <w:shd w:val="clear" w:color="auto" w:fill="auto"/>
            <w:noWrap/>
            <w:vAlign w:val="center"/>
            <w:hideMark/>
          </w:tcPr>
          <w:p w14:paraId="0DC83DB7"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H1</w:t>
            </w:r>
          </w:p>
        </w:tc>
        <w:tc>
          <w:tcPr>
            <w:tcW w:w="1094" w:type="dxa"/>
            <w:tcBorders>
              <w:top w:val="single" w:sz="8" w:space="0" w:color="auto"/>
              <w:left w:val="nil"/>
              <w:bottom w:val="nil"/>
              <w:right w:val="nil"/>
            </w:tcBorders>
            <w:shd w:val="clear" w:color="auto" w:fill="auto"/>
            <w:noWrap/>
            <w:vAlign w:val="center"/>
            <w:hideMark/>
          </w:tcPr>
          <w:p w14:paraId="55F44941"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 </w:t>
            </w:r>
          </w:p>
        </w:tc>
        <w:tc>
          <w:tcPr>
            <w:tcW w:w="1094" w:type="dxa"/>
            <w:tcBorders>
              <w:top w:val="single" w:sz="8" w:space="0" w:color="auto"/>
              <w:left w:val="nil"/>
              <w:bottom w:val="nil"/>
              <w:right w:val="single" w:sz="8" w:space="0" w:color="auto"/>
            </w:tcBorders>
            <w:shd w:val="clear" w:color="auto" w:fill="auto"/>
            <w:noWrap/>
            <w:vAlign w:val="center"/>
            <w:hideMark/>
          </w:tcPr>
          <w:p w14:paraId="17AB3029"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CC</w:t>
            </w:r>
          </w:p>
        </w:tc>
      </w:tr>
      <w:tr w:rsidR="00DD6F46" w:rsidRPr="00DD6F46" w14:paraId="03DBF5B4"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08125133" w14:textId="77777777" w:rsidR="00DD6F46" w:rsidRPr="00DD6F46" w:rsidRDefault="00DD6F46" w:rsidP="00DD6F46">
            <w:pPr>
              <w:jc w:val="both"/>
              <w:rPr>
                <w:rFonts w:ascii="Calibri" w:hAnsi="Calibri" w:cs="Calibri"/>
                <w:b/>
                <w:bCs/>
                <w:sz w:val="20"/>
                <w:lang w:eastAsia="en-GB"/>
              </w:rPr>
            </w:pPr>
            <w:r w:rsidRPr="00DD6F46">
              <w:rPr>
                <w:rFonts w:ascii="Calibri" w:hAnsi="Calibri" w:cs="Calibri"/>
                <w:b/>
                <w:bCs/>
                <w:sz w:val="20"/>
                <w:lang w:eastAsia="en-GB"/>
              </w:rPr>
              <w:t> </w:t>
            </w:r>
          </w:p>
        </w:tc>
        <w:tc>
          <w:tcPr>
            <w:tcW w:w="1094" w:type="dxa"/>
            <w:tcBorders>
              <w:top w:val="nil"/>
              <w:left w:val="nil"/>
              <w:bottom w:val="nil"/>
              <w:right w:val="nil"/>
            </w:tcBorders>
            <w:shd w:val="clear" w:color="auto" w:fill="auto"/>
            <w:noWrap/>
            <w:vAlign w:val="center"/>
            <w:hideMark/>
          </w:tcPr>
          <w:p w14:paraId="41C1CF32"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2020</w:t>
            </w:r>
          </w:p>
        </w:tc>
        <w:tc>
          <w:tcPr>
            <w:tcW w:w="1094" w:type="dxa"/>
            <w:tcBorders>
              <w:top w:val="nil"/>
              <w:left w:val="nil"/>
              <w:bottom w:val="nil"/>
              <w:right w:val="nil"/>
            </w:tcBorders>
            <w:shd w:val="clear" w:color="auto" w:fill="auto"/>
            <w:noWrap/>
            <w:vAlign w:val="center"/>
            <w:hideMark/>
          </w:tcPr>
          <w:p w14:paraId="43367772"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2019</w:t>
            </w:r>
          </w:p>
        </w:tc>
        <w:tc>
          <w:tcPr>
            <w:tcW w:w="1094" w:type="dxa"/>
            <w:tcBorders>
              <w:top w:val="nil"/>
              <w:left w:val="nil"/>
              <w:bottom w:val="nil"/>
              <w:right w:val="nil"/>
            </w:tcBorders>
            <w:shd w:val="clear" w:color="auto" w:fill="auto"/>
            <w:noWrap/>
            <w:vAlign w:val="center"/>
            <w:hideMark/>
          </w:tcPr>
          <w:p w14:paraId="1B9138CB"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Change</w:t>
            </w:r>
          </w:p>
        </w:tc>
        <w:tc>
          <w:tcPr>
            <w:tcW w:w="1094" w:type="dxa"/>
            <w:tcBorders>
              <w:top w:val="nil"/>
              <w:left w:val="nil"/>
              <w:bottom w:val="nil"/>
              <w:right w:val="single" w:sz="8" w:space="0" w:color="auto"/>
            </w:tcBorders>
            <w:shd w:val="clear" w:color="auto" w:fill="auto"/>
            <w:noWrap/>
            <w:vAlign w:val="center"/>
            <w:hideMark/>
          </w:tcPr>
          <w:p w14:paraId="2D3C7833"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Change</w:t>
            </w:r>
          </w:p>
        </w:tc>
      </w:tr>
      <w:tr w:rsidR="00DD6F46" w:rsidRPr="00DD6F46" w14:paraId="45FC5415" w14:textId="77777777" w:rsidTr="00DD6F46">
        <w:trPr>
          <w:trHeight w:val="255"/>
        </w:trPr>
        <w:tc>
          <w:tcPr>
            <w:tcW w:w="3068" w:type="dxa"/>
            <w:tcBorders>
              <w:top w:val="nil"/>
              <w:left w:val="single" w:sz="8" w:space="0" w:color="auto"/>
              <w:bottom w:val="single" w:sz="8" w:space="0" w:color="auto"/>
              <w:right w:val="nil"/>
            </w:tcBorders>
            <w:shd w:val="clear" w:color="auto" w:fill="auto"/>
            <w:hideMark/>
          </w:tcPr>
          <w:p w14:paraId="286D9E35" w14:textId="77777777" w:rsidR="00DD6F46" w:rsidRPr="00DD6F46" w:rsidRDefault="00DD6F46" w:rsidP="00DD6F46">
            <w:pPr>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Pro forma</w:t>
            </w:r>
          </w:p>
        </w:tc>
        <w:tc>
          <w:tcPr>
            <w:tcW w:w="1094" w:type="dxa"/>
            <w:tcBorders>
              <w:top w:val="nil"/>
              <w:left w:val="nil"/>
              <w:bottom w:val="single" w:sz="8" w:space="0" w:color="auto"/>
              <w:right w:val="nil"/>
            </w:tcBorders>
            <w:shd w:val="clear" w:color="auto" w:fill="auto"/>
            <w:noWrap/>
            <w:vAlign w:val="center"/>
            <w:hideMark/>
          </w:tcPr>
          <w:p w14:paraId="105B2A5A"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£m</w:t>
            </w:r>
          </w:p>
        </w:tc>
        <w:tc>
          <w:tcPr>
            <w:tcW w:w="1094" w:type="dxa"/>
            <w:tcBorders>
              <w:top w:val="nil"/>
              <w:left w:val="nil"/>
              <w:bottom w:val="single" w:sz="8" w:space="0" w:color="auto"/>
              <w:right w:val="nil"/>
            </w:tcBorders>
            <w:shd w:val="clear" w:color="auto" w:fill="auto"/>
            <w:noWrap/>
            <w:vAlign w:val="center"/>
            <w:hideMark/>
          </w:tcPr>
          <w:p w14:paraId="14748308"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£m</w:t>
            </w:r>
          </w:p>
        </w:tc>
        <w:tc>
          <w:tcPr>
            <w:tcW w:w="1094" w:type="dxa"/>
            <w:tcBorders>
              <w:top w:val="nil"/>
              <w:left w:val="nil"/>
              <w:bottom w:val="single" w:sz="8" w:space="0" w:color="auto"/>
              <w:right w:val="nil"/>
            </w:tcBorders>
            <w:shd w:val="clear" w:color="auto" w:fill="auto"/>
            <w:noWrap/>
            <w:vAlign w:val="center"/>
            <w:hideMark/>
          </w:tcPr>
          <w:p w14:paraId="54D3968F"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w:t>
            </w:r>
          </w:p>
        </w:tc>
        <w:tc>
          <w:tcPr>
            <w:tcW w:w="1094" w:type="dxa"/>
            <w:tcBorders>
              <w:top w:val="nil"/>
              <w:left w:val="nil"/>
              <w:bottom w:val="single" w:sz="8" w:space="0" w:color="auto"/>
              <w:right w:val="single" w:sz="8" w:space="0" w:color="auto"/>
            </w:tcBorders>
            <w:shd w:val="clear" w:color="auto" w:fill="auto"/>
            <w:noWrap/>
            <w:vAlign w:val="center"/>
            <w:hideMark/>
          </w:tcPr>
          <w:p w14:paraId="5443BED2"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A$</w:t>
            </w:r>
          </w:p>
        </w:tc>
      </w:tr>
      <w:tr w:rsidR="00DD6F46" w:rsidRPr="00DD6F46" w14:paraId="2B233B55"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7C3282A4" w14:textId="77777777" w:rsidR="00DD6F46" w:rsidRPr="00DD6F46" w:rsidRDefault="00DD6F46" w:rsidP="00DD6F46">
            <w:pPr>
              <w:jc w:val="both"/>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c>
          <w:tcPr>
            <w:tcW w:w="1094" w:type="dxa"/>
            <w:tcBorders>
              <w:top w:val="nil"/>
              <w:left w:val="nil"/>
              <w:bottom w:val="nil"/>
              <w:right w:val="nil"/>
            </w:tcBorders>
            <w:shd w:val="clear" w:color="auto" w:fill="auto"/>
            <w:noWrap/>
            <w:vAlign w:val="center"/>
            <w:hideMark/>
          </w:tcPr>
          <w:p w14:paraId="38CAC5B0" w14:textId="77777777" w:rsidR="00DD6F46" w:rsidRPr="00DD6F46" w:rsidRDefault="00DD6F46" w:rsidP="00DD6F46">
            <w:pPr>
              <w:jc w:val="both"/>
              <w:rPr>
                <w:rFonts w:ascii="Calibri" w:hAnsi="Calibri" w:cs="Calibri"/>
                <w:b/>
                <w:bCs/>
                <w:color w:val="FF0000"/>
                <w:sz w:val="2"/>
                <w:szCs w:val="2"/>
                <w:lang w:eastAsia="en-GB"/>
              </w:rPr>
            </w:pPr>
          </w:p>
        </w:tc>
        <w:tc>
          <w:tcPr>
            <w:tcW w:w="1094" w:type="dxa"/>
            <w:tcBorders>
              <w:top w:val="nil"/>
              <w:left w:val="nil"/>
              <w:bottom w:val="nil"/>
              <w:right w:val="nil"/>
            </w:tcBorders>
            <w:shd w:val="clear" w:color="auto" w:fill="auto"/>
            <w:noWrap/>
            <w:vAlign w:val="center"/>
            <w:hideMark/>
          </w:tcPr>
          <w:p w14:paraId="560ED15F"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182FA96"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68D4147F" w14:textId="77777777" w:rsidR="00DD6F46" w:rsidRPr="00DD6F46" w:rsidRDefault="00DD6F46" w:rsidP="00DD6F46">
            <w:pPr>
              <w:jc w:val="right"/>
              <w:rPr>
                <w:rFonts w:ascii="Calibri" w:hAnsi="Calibri" w:cs="Calibri"/>
                <w:b/>
                <w:bCs/>
                <w:color w:val="000000"/>
                <w:sz w:val="2"/>
                <w:szCs w:val="2"/>
                <w:lang w:eastAsia="en-GB"/>
              </w:rPr>
            </w:pPr>
            <w:r w:rsidRPr="00DD6F46">
              <w:rPr>
                <w:rFonts w:ascii="Calibri" w:hAnsi="Calibri" w:cs="Calibri"/>
                <w:b/>
                <w:bCs/>
                <w:color w:val="000000"/>
                <w:sz w:val="2"/>
                <w:szCs w:val="2"/>
                <w:lang w:eastAsia="en-GB"/>
              </w:rPr>
              <w:t> </w:t>
            </w:r>
          </w:p>
        </w:tc>
      </w:tr>
      <w:tr w:rsidR="00DD6F46" w:rsidRPr="00DD6F46" w14:paraId="094FD7F7"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01A7F4A3"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Sportsbook stakes</w:t>
            </w:r>
          </w:p>
        </w:tc>
        <w:tc>
          <w:tcPr>
            <w:tcW w:w="1094" w:type="dxa"/>
            <w:tcBorders>
              <w:top w:val="nil"/>
              <w:left w:val="nil"/>
              <w:bottom w:val="nil"/>
              <w:right w:val="nil"/>
            </w:tcBorders>
            <w:shd w:val="clear" w:color="auto" w:fill="auto"/>
            <w:noWrap/>
            <w:vAlign w:val="center"/>
            <w:hideMark/>
          </w:tcPr>
          <w:p w14:paraId="2360D301"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3,723</w:t>
            </w:r>
          </w:p>
        </w:tc>
        <w:tc>
          <w:tcPr>
            <w:tcW w:w="1094" w:type="dxa"/>
            <w:tcBorders>
              <w:top w:val="nil"/>
              <w:left w:val="nil"/>
              <w:bottom w:val="nil"/>
              <w:right w:val="nil"/>
            </w:tcBorders>
            <w:shd w:val="clear" w:color="auto" w:fill="auto"/>
            <w:noWrap/>
            <w:vAlign w:val="center"/>
            <w:hideMark/>
          </w:tcPr>
          <w:p w14:paraId="548B9346"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3,312</w:t>
            </w:r>
          </w:p>
        </w:tc>
        <w:tc>
          <w:tcPr>
            <w:tcW w:w="1094" w:type="dxa"/>
            <w:tcBorders>
              <w:top w:val="nil"/>
              <w:left w:val="nil"/>
              <w:bottom w:val="nil"/>
              <w:right w:val="nil"/>
            </w:tcBorders>
            <w:shd w:val="clear" w:color="auto" w:fill="auto"/>
            <w:noWrap/>
            <w:vAlign w:val="center"/>
            <w:hideMark/>
          </w:tcPr>
          <w:p w14:paraId="099DB57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+12%</w:t>
            </w:r>
          </w:p>
        </w:tc>
        <w:tc>
          <w:tcPr>
            <w:tcW w:w="1094" w:type="dxa"/>
            <w:tcBorders>
              <w:top w:val="nil"/>
              <w:left w:val="nil"/>
              <w:bottom w:val="nil"/>
              <w:right w:val="single" w:sz="8" w:space="0" w:color="auto"/>
            </w:tcBorders>
            <w:shd w:val="clear" w:color="auto" w:fill="auto"/>
            <w:noWrap/>
            <w:vAlign w:val="center"/>
            <w:hideMark/>
          </w:tcPr>
          <w:p w14:paraId="02476DE7"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+18%</w:t>
            </w:r>
          </w:p>
        </w:tc>
      </w:tr>
      <w:tr w:rsidR="00DD6F46" w:rsidRPr="00DD6F46" w14:paraId="206CE366"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571CD62E" w14:textId="77777777" w:rsidR="00DD6F46" w:rsidRPr="00DD6F46" w:rsidRDefault="00DD6F46" w:rsidP="00DD6F46">
            <w:pPr>
              <w:jc w:val="both"/>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Sportsbook net revenue margin</w:t>
            </w:r>
          </w:p>
        </w:tc>
        <w:tc>
          <w:tcPr>
            <w:tcW w:w="1094" w:type="dxa"/>
            <w:tcBorders>
              <w:top w:val="nil"/>
              <w:left w:val="nil"/>
              <w:bottom w:val="nil"/>
              <w:right w:val="nil"/>
            </w:tcBorders>
            <w:shd w:val="clear" w:color="auto" w:fill="auto"/>
            <w:noWrap/>
            <w:vAlign w:val="center"/>
            <w:hideMark/>
          </w:tcPr>
          <w:p w14:paraId="08517D12"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11.7%</w:t>
            </w:r>
          </w:p>
        </w:tc>
        <w:tc>
          <w:tcPr>
            <w:tcW w:w="1094" w:type="dxa"/>
            <w:tcBorders>
              <w:top w:val="nil"/>
              <w:left w:val="nil"/>
              <w:bottom w:val="nil"/>
              <w:right w:val="nil"/>
            </w:tcBorders>
            <w:shd w:val="clear" w:color="auto" w:fill="auto"/>
            <w:noWrap/>
            <w:vAlign w:val="center"/>
            <w:hideMark/>
          </w:tcPr>
          <w:p w14:paraId="3937C1FA"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9.5%</w:t>
            </w:r>
          </w:p>
        </w:tc>
        <w:tc>
          <w:tcPr>
            <w:tcW w:w="1094" w:type="dxa"/>
            <w:tcBorders>
              <w:top w:val="nil"/>
              <w:left w:val="nil"/>
              <w:bottom w:val="nil"/>
              <w:right w:val="nil"/>
            </w:tcBorders>
            <w:shd w:val="clear" w:color="auto" w:fill="auto"/>
            <w:noWrap/>
            <w:vAlign w:val="center"/>
            <w:hideMark/>
          </w:tcPr>
          <w:p w14:paraId="2B1974A1"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+220bps</w:t>
            </w:r>
          </w:p>
        </w:tc>
        <w:tc>
          <w:tcPr>
            <w:tcW w:w="1094" w:type="dxa"/>
            <w:tcBorders>
              <w:top w:val="nil"/>
              <w:left w:val="nil"/>
              <w:bottom w:val="nil"/>
              <w:right w:val="single" w:sz="8" w:space="0" w:color="auto"/>
            </w:tcBorders>
            <w:shd w:val="clear" w:color="auto" w:fill="auto"/>
            <w:noWrap/>
            <w:vAlign w:val="center"/>
            <w:hideMark/>
          </w:tcPr>
          <w:p w14:paraId="0A9C120B"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+220bps</w:t>
            </w:r>
          </w:p>
        </w:tc>
      </w:tr>
      <w:tr w:rsidR="00DD6F46" w:rsidRPr="00DD6F46" w14:paraId="6E0FCEE8"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0C5C8AC3"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554411FC"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2F72E4C3"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65BEDC1D"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660F251E"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60FD3DEE"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6F818068"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Revenue</w:t>
            </w:r>
          </w:p>
        </w:tc>
        <w:tc>
          <w:tcPr>
            <w:tcW w:w="1094" w:type="dxa"/>
            <w:tcBorders>
              <w:top w:val="nil"/>
              <w:left w:val="nil"/>
              <w:bottom w:val="nil"/>
              <w:right w:val="nil"/>
            </w:tcBorders>
            <w:shd w:val="clear" w:color="auto" w:fill="auto"/>
            <w:noWrap/>
            <w:vAlign w:val="center"/>
            <w:hideMark/>
          </w:tcPr>
          <w:p w14:paraId="562805CC"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435</w:t>
            </w:r>
          </w:p>
        </w:tc>
        <w:tc>
          <w:tcPr>
            <w:tcW w:w="1094" w:type="dxa"/>
            <w:tcBorders>
              <w:top w:val="nil"/>
              <w:left w:val="nil"/>
              <w:bottom w:val="nil"/>
              <w:right w:val="nil"/>
            </w:tcBorders>
            <w:shd w:val="clear" w:color="auto" w:fill="auto"/>
            <w:noWrap/>
            <w:vAlign w:val="center"/>
            <w:hideMark/>
          </w:tcPr>
          <w:p w14:paraId="5873523A"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314</w:t>
            </w:r>
          </w:p>
        </w:tc>
        <w:tc>
          <w:tcPr>
            <w:tcW w:w="1094" w:type="dxa"/>
            <w:tcBorders>
              <w:top w:val="nil"/>
              <w:left w:val="nil"/>
              <w:bottom w:val="nil"/>
              <w:right w:val="nil"/>
            </w:tcBorders>
            <w:shd w:val="clear" w:color="auto" w:fill="auto"/>
            <w:noWrap/>
            <w:vAlign w:val="center"/>
            <w:hideMark/>
          </w:tcPr>
          <w:p w14:paraId="5B26633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+39%</w:t>
            </w:r>
          </w:p>
        </w:tc>
        <w:tc>
          <w:tcPr>
            <w:tcW w:w="1094" w:type="dxa"/>
            <w:tcBorders>
              <w:top w:val="nil"/>
              <w:left w:val="nil"/>
              <w:bottom w:val="nil"/>
              <w:right w:val="single" w:sz="8" w:space="0" w:color="auto"/>
            </w:tcBorders>
            <w:shd w:val="clear" w:color="auto" w:fill="auto"/>
            <w:noWrap/>
            <w:vAlign w:val="center"/>
            <w:hideMark/>
          </w:tcPr>
          <w:p w14:paraId="6AB9479D"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+45%</w:t>
            </w:r>
          </w:p>
        </w:tc>
      </w:tr>
      <w:tr w:rsidR="00DD6F46" w:rsidRPr="00DD6F46" w14:paraId="08B3D6C1"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6E3DC2E0"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526A0F66"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49DD97FE" w14:textId="77777777" w:rsidR="00DD6F46" w:rsidRPr="00DD6F46" w:rsidRDefault="00DD6F46" w:rsidP="00DD6F46">
            <w:pPr>
              <w:jc w:val="both"/>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551CC03E" w14:textId="77777777" w:rsidR="00DD6F46" w:rsidRPr="00DD6F46" w:rsidRDefault="00DD6F46" w:rsidP="00DD6F46">
            <w:pPr>
              <w:jc w:val="both"/>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4B07E39D"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0AD0E51A"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76425FFC"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Cost of sales</w:t>
            </w:r>
          </w:p>
        </w:tc>
        <w:tc>
          <w:tcPr>
            <w:tcW w:w="1094" w:type="dxa"/>
            <w:tcBorders>
              <w:top w:val="nil"/>
              <w:left w:val="nil"/>
              <w:bottom w:val="nil"/>
              <w:right w:val="nil"/>
            </w:tcBorders>
            <w:shd w:val="clear" w:color="auto" w:fill="auto"/>
            <w:noWrap/>
            <w:vAlign w:val="center"/>
            <w:hideMark/>
          </w:tcPr>
          <w:p w14:paraId="6B693763"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(200)</w:t>
            </w:r>
          </w:p>
        </w:tc>
        <w:tc>
          <w:tcPr>
            <w:tcW w:w="1094" w:type="dxa"/>
            <w:tcBorders>
              <w:top w:val="nil"/>
              <w:left w:val="nil"/>
              <w:bottom w:val="nil"/>
              <w:right w:val="nil"/>
            </w:tcBorders>
            <w:shd w:val="clear" w:color="auto" w:fill="auto"/>
            <w:noWrap/>
            <w:vAlign w:val="center"/>
            <w:hideMark/>
          </w:tcPr>
          <w:p w14:paraId="3E7EC015"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(140)</w:t>
            </w:r>
          </w:p>
        </w:tc>
        <w:tc>
          <w:tcPr>
            <w:tcW w:w="1094" w:type="dxa"/>
            <w:tcBorders>
              <w:top w:val="nil"/>
              <w:left w:val="nil"/>
              <w:bottom w:val="nil"/>
              <w:right w:val="nil"/>
            </w:tcBorders>
            <w:shd w:val="clear" w:color="auto" w:fill="auto"/>
            <w:noWrap/>
            <w:vAlign w:val="center"/>
            <w:hideMark/>
          </w:tcPr>
          <w:p w14:paraId="1F9BCDDB"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+43%</w:t>
            </w:r>
          </w:p>
        </w:tc>
        <w:tc>
          <w:tcPr>
            <w:tcW w:w="1094" w:type="dxa"/>
            <w:tcBorders>
              <w:top w:val="nil"/>
              <w:left w:val="nil"/>
              <w:bottom w:val="nil"/>
              <w:right w:val="single" w:sz="8" w:space="0" w:color="auto"/>
            </w:tcBorders>
            <w:shd w:val="clear" w:color="auto" w:fill="auto"/>
            <w:noWrap/>
            <w:vAlign w:val="center"/>
            <w:hideMark/>
          </w:tcPr>
          <w:p w14:paraId="37351770"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+50%</w:t>
            </w:r>
          </w:p>
        </w:tc>
      </w:tr>
      <w:tr w:rsidR="00DD6F46" w:rsidRPr="00DD6F46" w14:paraId="737C9BDB"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0AF1DFE1" w14:textId="77777777" w:rsidR="00DD6F46" w:rsidRPr="00DD6F46" w:rsidRDefault="00DD6F46" w:rsidP="00DD6F46">
            <w:pPr>
              <w:jc w:val="both"/>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Cost of sales as a % of net revenue</w:t>
            </w:r>
          </w:p>
        </w:tc>
        <w:tc>
          <w:tcPr>
            <w:tcW w:w="1094" w:type="dxa"/>
            <w:tcBorders>
              <w:top w:val="nil"/>
              <w:left w:val="nil"/>
              <w:bottom w:val="nil"/>
              <w:right w:val="nil"/>
            </w:tcBorders>
            <w:shd w:val="clear" w:color="auto" w:fill="auto"/>
            <w:noWrap/>
            <w:vAlign w:val="center"/>
            <w:hideMark/>
          </w:tcPr>
          <w:p w14:paraId="7C266E83"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45.9%</w:t>
            </w:r>
          </w:p>
        </w:tc>
        <w:tc>
          <w:tcPr>
            <w:tcW w:w="1094" w:type="dxa"/>
            <w:tcBorders>
              <w:top w:val="nil"/>
              <w:left w:val="nil"/>
              <w:bottom w:val="nil"/>
              <w:right w:val="nil"/>
            </w:tcBorders>
            <w:shd w:val="clear" w:color="auto" w:fill="auto"/>
            <w:noWrap/>
            <w:vAlign w:val="center"/>
            <w:hideMark/>
          </w:tcPr>
          <w:p w14:paraId="696A8522"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44.5%</w:t>
            </w:r>
          </w:p>
        </w:tc>
        <w:tc>
          <w:tcPr>
            <w:tcW w:w="1094" w:type="dxa"/>
            <w:tcBorders>
              <w:top w:val="nil"/>
              <w:left w:val="nil"/>
              <w:bottom w:val="nil"/>
              <w:right w:val="nil"/>
            </w:tcBorders>
            <w:shd w:val="clear" w:color="auto" w:fill="auto"/>
            <w:noWrap/>
            <w:vAlign w:val="center"/>
            <w:hideMark/>
          </w:tcPr>
          <w:p w14:paraId="368258C5"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+140bps</w:t>
            </w:r>
          </w:p>
        </w:tc>
        <w:tc>
          <w:tcPr>
            <w:tcW w:w="1094" w:type="dxa"/>
            <w:tcBorders>
              <w:top w:val="nil"/>
              <w:left w:val="nil"/>
              <w:bottom w:val="nil"/>
              <w:right w:val="single" w:sz="8" w:space="0" w:color="auto"/>
            </w:tcBorders>
            <w:shd w:val="clear" w:color="auto" w:fill="auto"/>
            <w:noWrap/>
            <w:vAlign w:val="center"/>
            <w:hideMark/>
          </w:tcPr>
          <w:p w14:paraId="41945B3A"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+150bps</w:t>
            </w:r>
          </w:p>
        </w:tc>
      </w:tr>
      <w:tr w:rsidR="00DD6F46" w:rsidRPr="00DD6F46" w14:paraId="5233E404"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0E740DF5"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15482AFA"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0CA56A6D"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40F09484"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687E5947"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5EFE5E0C"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2BBF4485"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Gross profit</w:t>
            </w:r>
          </w:p>
        </w:tc>
        <w:tc>
          <w:tcPr>
            <w:tcW w:w="1094" w:type="dxa"/>
            <w:tcBorders>
              <w:top w:val="nil"/>
              <w:left w:val="nil"/>
              <w:bottom w:val="nil"/>
              <w:right w:val="nil"/>
            </w:tcBorders>
            <w:shd w:val="clear" w:color="auto" w:fill="auto"/>
            <w:noWrap/>
            <w:vAlign w:val="center"/>
            <w:hideMark/>
          </w:tcPr>
          <w:p w14:paraId="63B47EB3"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235</w:t>
            </w:r>
          </w:p>
        </w:tc>
        <w:tc>
          <w:tcPr>
            <w:tcW w:w="1094" w:type="dxa"/>
            <w:tcBorders>
              <w:top w:val="nil"/>
              <w:left w:val="nil"/>
              <w:bottom w:val="nil"/>
              <w:right w:val="nil"/>
            </w:tcBorders>
            <w:shd w:val="clear" w:color="auto" w:fill="auto"/>
            <w:noWrap/>
            <w:vAlign w:val="center"/>
            <w:hideMark/>
          </w:tcPr>
          <w:p w14:paraId="1E6D97CF"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174</w:t>
            </w:r>
          </w:p>
        </w:tc>
        <w:tc>
          <w:tcPr>
            <w:tcW w:w="1094" w:type="dxa"/>
            <w:tcBorders>
              <w:top w:val="nil"/>
              <w:left w:val="nil"/>
              <w:bottom w:val="nil"/>
              <w:right w:val="nil"/>
            </w:tcBorders>
            <w:shd w:val="clear" w:color="auto" w:fill="auto"/>
            <w:noWrap/>
            <w:vAlign w:val="center"/>
            <w:hideMark/>
          </w:tcPr>
          <w:p w14:paraId="6D65A08F"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+35%</w:t>
            </w:r>
          </w:p>
        </w:tc>
        <w:tc>
          <w:tcPr>
            <w:tcW w:w="1094" w:type="dxa"/>
            <w:tcBorders>
              <w:top w:val="nil"/>
              <w:left w:val="nil"/>
              <w:bottom w:val="nil"/>
              <w:right w:val="single" w:sz="8" w:space="0" w:color="auto"/>
            </w:tcBorders>
            <w:shd w:val="clear" w:color="auto" w:fill="auto"/>
            <w:noWrap/>
            <w:vAlign w:val="center"/>
            <w:hideMark/>
          </w:tcPr>
          <w:p w14:paraId="6ECD8F46"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+41%</w:t>
            </w:r>
          </w:p>
        </w:tc>
      </w:tr>
      <w:tr w:rsidR="00DD6F46" w:rsidRPr="00DD6F46" w14:paraId="56A5C4AA"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5F6AE8AB"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236CE10F"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2302B65F"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3A1B1DA6"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3D4D398E"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30A8A449"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3076A3EC"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Sales and marketing</w:t>
            </w:r>
          </w:p>
        </w:tc>
        <w:tc>
          <w:tcPr>
            <w:tcW w:w="1094" w:type="dxa"/>
            <w:tcBorders>
              <w:top w:val="nil"/>
              <w:left w:val="nil"/>
              <w:bottom w:val="single" w:sz="8" w:space="0" w:color="auto"/>
              <w:right w:val="nil"/>
            </w:tcBorders>
            <w:shd w:val="clear" w:color="auto" w:fill="auto"/>
            <w:noWrap/>
            <w:vAlign w:val="center"/>
            <w:hideMark/>
          </w:tcPr>
          <w:p w14:paraId="527B595E"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(59)</w:t>
            </w:r>
          </w:p>
        </w:tc>
        <w:tc>
          <w:tcPr>
            <w:tcW w:w="1094" w:type="dxa"/>
            <w:tcBorders>
              <w:top w:val="nil"/>
              <w:left w:val="nil"/>
              <w:bottom w:val="single" w:sz="8" w:space="0" w:color="auto"/>
              <w:right w:val="nil"/>
            </w:tcBorders>
            <w:shd w:val="clear" w:color="auto" w:fill="auto"/>
            <w:noWrap/>
            <w:vAlign w:val="center"/>
            <w:hideMark/>
          </w:tcPr>
          <w:p w14:paraId="612053AC"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(56)</w:t>
            </w:r>
          </w:p>
        </w:tc>
        <w:tc>
          <w:tcPr>
            <w:tcW w:w="1094" w:type="dxa"/>
            <w:tcBorders>
              <w:top w:val="nil"/>
              <w:left w:val="nil"/>
              <w:bottom w:val="single" w:sz="8" w:space="0" w:color="auto"/>
              <w:right w:val="nil"/>
            </w:tcBorders>
            <w:shd w:val="clear" w:color="auto" w:fill="auto"/>
            <w:noWrap/>
            <w:vAlign w:val="center"/>
            <w:hideMark/>
          </w:tcPr>
          <w:p w14:paraId="3036D63C"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+5%</w:t>
            </w:r>
          </w:p>
        </w:tc>
        <w:tc>
          <w:tcPr>
            <w:tcW w:w="1094" w:type="dxa"/>
            <w:tcBorders>
              <w:top w:val="nil"/>
              <w:left w:val="nil"/>
              <w:bottom w:val="single" w:sz="8" w:space="0" w:color="auto"/>
              <w:right w:val="single" w:sz="8" w:space="0" w:color="auto"/>
            </w:tcBorders>
            <w:shd w:val="clear" w:color="auto" w:fill="auto"/>
            <w:noWrap/>
            <w:vAlign w:val="center"/>
            <w:hideMark/>
          </w:tcPr>
          <w:p w14:paraId="42C59317"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+10%</w:t>
            </w:r>
          </w:p>
        </w:tc>
      </w:tr>
      <w:tr w:rsidR="00DD6F46" w:rsidRPr="00DD6F46" w14:paraId="41BDC964"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50B35092"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Contribution</w:t>
            </w:r>
          </w:p>
        </w:tc>
        <w:tc>
          <w:tcPr>
            <w:tcW w:w="1094" w:type="dxa"/>
            <w:tcBorders>
              <w:top w:val="nil"/>
              <w:left w:val="nil"/>
              <w:bottom w:val="nil"/>
              <w:right w:val="nil"/>
            </w:tcBorders>
            <w:shd w:val="clear" w:color="auto" w:fill="auto"/>
            <w:noWrap/>
            <w:vAlign w:val="center"/>
            <w:hideMark/>
          </w:tcPr>
          <w:p w14:paraId="0A26D8E5"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176</w:t>
            </w:r>
          </w:p>
        </w:tc>
        <w:tc>
          <w:tcPr>
            <w:tcW w:w="1094" w:type="dxa"/>
            <w:tcBorders>
              <w:top w:val="nil"/>
              <w:left w:val="nil"/>
              <w:bottom w:val="nil"/>
              <w:right w:val="nil"/>
            </w:tcBorders>
            <w:shd w:val="clear" w:color="auto" w:fill="auto"/>
            <w:noWrap/>
            <w:vAlign w:val="center"/>
            <w:hideMark/>
          </w:tcPr>
          <w:p w14:paraId="0F5B733B"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118</w:t>
            </w:r>
          </w:p>
        </w:tc>
        <w:tc>
          <w:tcPr>
            <w:tcW w:w="1094" w:type="dxa"/>
            <w:tcBorders>
              <w:top w:val="nil"/>
              <w:left w:val="nil"/>
              <w:bottom w:val="nil"/>
              <w:right w:val="nil"/>
            </w:tcBorders>
            <w:shd w:val="clear" w:color="auto" w:fill="auto"/>
            <w:noWrap/>
            <w:vAlign w:val="center"/>
            <w:hideMark/>
          </w:tcPr>
          <w:p w14:paraId="42604E17"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+49%</w:t>
            </w:r>
          </w:p>
        </w:tc>
        <w:tc>
          <w:tcPr>
            <w:tcW w:w="1094" w:type="dxa"/>
            <w:tcBorders>
              <w:top w:val="nil"/>
              <w:left w:val="nil"/>
              <w:bottom w:val="nil"/>
              <w:right w:val="single" w:sz="8" w:space="0" w:color="auto"/>
            </w:tcBorders>
            <w:shd w:val="clear" w:color="auto" w:fill="auto"/>
            <w:noWrap/>
            <w:vAlign w:val="center"/>
            <w:hideMark/>
          </w:tcPr>
          <w:p w14:paraId="03A08FEA"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+56%</w:t>
            </w:r>
          </w:p>
        </w:tc>
      </w:tr>
      <w:tr w:rsidR="00DD6F46" w:rsidRPr="00DD6F46" w14:paraId="483FD803"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28E3E2D0"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4981051A"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75AD917B"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EB31020"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567E5997"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1E8EABAB"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544EC2FB"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Other operating costs</w:t>
            </w:r>
          </w:p>
        </w:tc>
        <w:tc>
          <w:tcPr>
            <w:tcW w:w="1094" w:type="dxa"/>
            <w:tcBorders>
              <w:top w:val="nil"/>
              <w:left w:val="nil"/>
              <w:bottom w:val="single" w:sz="8" w:space="0" w:color="auto"/>
              <w:right w:val="nil"/>
            </w:tcBorders>
            <w:shd w:val="clear" w:color="auto" w:fill="auto"/>
            <w:noWrap/>
            <w:vAlign w:val="center"/>
            <w:hideMark/>
          </w:tcPr>
          <w:p w14:paraId="6C9AF37E"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(55)</w:t>
            </w:r>
          </w:p>
        </w:tc>
        <w:tc>
          <w:tcPr>
            <w:tcW w:w="1094" w:type="dxa"/>
            <w:tcBorders>
              <w:top w:val="nil"/>
              <w:left w:val="nil"/>
              <w:bottom w:val="single" w:sz="8" w:space="0" w:color="auto"/>
              <w:right w:val="nil"/>
            </w:tcBorders>
            <w:shd w:val="clear" w:color="auto" w:fill="auto"/>
            <w:noWrap/>
            <w:vAlign w:val="center"/>
            <w:hideMark/>
          </w:tcPr>
          <w:p w14:paraId="0F7C2096"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(49)</w:t>
            </w:r>
          </w:p>
        </w:tc>
        <w:tc>
          <w:tcPr>
            <w:tcW w:w="1094" w:type="dxa"/>
            <w:tcBorders>
              <w:top w:val="nil"/>
              <w:left w:val="nil"/>
              <w:bottom w:val="single" w:sz="8" w:space="0" w:color="auto"/>
              <w:right w:val="nil"/>
            </w:tcBorders>
            <w:shd w:val="clear" w:color="auto" w:fill="auto"/>
            <w:noWrap/>
            <w:vAlign w:val="center"/>
            <w:hideMark/>
          </w:tcPr>
          <w:p w14:paraId="27FADF0E"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+11%</w:t>
            </w:r>
          </w:p>
        </w:tc>
        <w:tc>
          <w:tcPr>
            <w:tcW w:w="1094" w:type="dxa"/>
            <w:tcBorders>
              <w:top w:val="nil"/>
              <w:left w:val="nil"/>
              <w:bottom w:val="single" w:sz="8" w:space="0" w:color="auto"/>
              <w:right w:val="single" w:sz="8" w:space="0" w:color="auto"/>
            </w:tcBorders>
            <w:shd w:val="clear" w:color="auto" w:fill="auto"/>
            <w:noWrap/>
            <w:vAlign w:val="center"/>
            <w:hideMark/>
          </w:tcPr>
          <w:p w14:paraId="5E4BD747"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+16%</w:t>
            </w:r>
          </w:p>
        </w:tc>
      </w:tr>
      <w:tr w:rsidR="00DD6F46" w:rsidRPr="00DD6F46" w14:paraId="068442CE"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625C6FAC" w14:textId="77777777" w:rsidR="00DD6F46" w:rsidRPr="00DD6F46" w:rsidRDefault="00DD6F46" w:rsidP="00DD6F46">
            <w:pPr>
              <w:jc w:val="both"/>
              <w:rPr>
                <w:rFonts w:ascii="Calibri" w:hAnsi="Calibri" w:cs="Calibri"/>
                <w:b/>
                <w:bCs/>
                <w:color w:val="000000"/>
                <w:sz w:val="2"/>
                <w:szCs w:val="2"/>
                <w:lang w:eastAsia="en-GB"/>
              </w:rPr>
            </w:pPr>
            <w:r w:rsidRPr="00DD6F46">
              <w:rPr>
                <w:rFonts w:ascii="Calibri" w:hAnsi="Calibri" w:cs="Calibri"/>
                <w:b/>
                <w:bCs/>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0F350E4D" w14:textId="77777777" w:rsidR="00DD6F46" w:rsidRPr="00DD6F46" w:rsidRDefault="00DD6F46" w:rsidP="00DD6F46">
            <w:pPr>
              <w:jc w:val="both"/>
              <w:rPr>
                <w:rFonts w:ascii="Calibri" w:hAnsi="Calibri" w:cs="Calibri"/>
                <w:b/>
                <w:bCs/>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01725A45"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AFDC8AF"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5089D39" w14:textId="77777777" w:rsidR="00DD6F46" w:rsidRPr="00DD6F46" w:rsidRDefault="00DD6F46" w:rsidP="00DD6F46">
            <w:pPr>
              <w:jc w:val="right"/>
              <w:rPr>
                <w:rFonts w:ascii="Calibri" w:hAnsi="Calibri" w:cs="Calibri"/>
                <w:b/>
                <w:bCs/>
                <w:color w:val="000000"/>
                <w:sz w:val="2"/>
                <w:szCs w:val="2"/>
                <w:lang w:eastAsia="en-GB"/>
              </w:rPr>
            </w:pPr>
            <w:r w:rsidRPr="00DD6F46">
              <w:rPr>
                <w:rFonts w:ascii="Calibri" w:hAnsi="Calibri" w:cs="Calibri"/>
                <w:b/>
                <w:bCs/>
                <w:color w:val="000000"/>
                <w:sz w:val="2"/>
                <w:szCs w:val="2"/>
                <w:lang w:eastAsia="en-GB"/>
              </w:rPr>
              <w:t> </w:t>
            </w:r>
          </w:p>
        </w:tc>
      </w:tr>
      <w:tr w:rsidR="00DD6F46" w:rsidRPr="00DD6F46" w14:paraId="4EE477BF"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1B037F50"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Adjusted EBITDA</w:t>
            </w:r>
            <w:r w:rsidRPr="00DD6F46">
              <w:rPr>
                <w:rFonts w:ascii="Calibri" w:hAnsi="Calibri" w:cs="Calibri"/>
                <w:i/>
                <w:iCs/>
                <w:color w:val="000000"/>
                <w:sz w:val="18"/>
                <w:szCs w:val="18"/>
                <w:vertAlign w:val="superscript"/>
                <w:lang w:eastAsia="en-GB"/>
              </w:rPr>
              <w:t>1,2</w:t>
            </w:r>
          </w:p>
        </w:tc>
        <w:tc>
          <w:tcPr>
            <w:tcW w:w="1094" w:type="dxa"/>
            <w:tcBorders>
              <w:top w:val="nil"/>
              <w:left w:val="nil"/>
              <w:bottom w:val="nil"/>
              <w:right w:val="nil"/>
            </w:tcBorders>
            <w:shd w:val="clear" w:color="auto" w:fill="auto"/>
            <w:noWrap/>
            <w:vAlign w:val="center"/>
            <w:hideMark/>
          </w:tcPr>
          <w:p w14:paraId="7037F12B"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121</w:t>
            </w:r>
          </w:p>
        </w:tc>
        <w:tc>
          <w:tcPr>
            <w:tcW w:w="1094" w:type="dxa"/>
            <w:tcBorders>
              <w:top w:val="nil"/>
              <w:left w:val="nil"/>
              <w:bottom w:val="nil"/>
              <w:right w:val="nil"/>
            </w:tcBorders>
            <w:shd w:val="clear" w:color="auto" w:fill="auto"/>
            <w:noWrap/>
            <w:vAlign w:val="center"/>
            <w:hideMark/>
          </w:tcPr>
          <w:p w14:paraId="2D2C03A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69</w:t>
            </w:r>
          </w:p>
        </w:tc>
        <w:tc>
          <w:tcPr>
            <w:tcW w:w="1094" w:type="dxa"/>
            <w:tcBorders>
              <w:top w:val="nil"/>
              <w:left w:val="nil"/>
              <w:bottom w:val="nil"/>
              <w:right w:val="nil"/>
            </w:tcBorders>
            <w:shd w:val="clear" w:color="auto" w:fill="auto"/>
            <w:noWrap/>
            <w:vAlign w:val="center"/>
            <w:hideMark/>
          </w:tcPr>
          <w:p w14:paraId="0C951E06"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+76%</w:t>
            </w:r>
          </w:p>
        </w:tc>
        <w:tc>
          <w:tcPr>
            <w:tcW w:w="1094" w:type="dxa"/>
            <w:tcBorders>
              <w:top w:val="nil"/>
              <w:left w:val="nil"/>
              <w:bottom w:val="nil"/>
              <w:right w:val="single" w:sz="8" w:space="0" w:color="auto"/>
            </w:tcBorders>
            <w:shd w:val="clear" w:color="auto" w:fill="auto"/>
            <w:noWrap/>
            <w:vAlign w:val="center"/>
            <w:hideMark/>
          </w:tcPr>
          <w:p w14:paraId="4FAD856D"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+84%</w:t>
            </w:r>
          </w:p>
        </w:tc>
      </w:tr>
      <w:tr w:rsidR="00DD6F46" w:rsidRPr="00DD6F46" w14:paraId="3D479845"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2DD2A95D" w14:textId="77777777" w:rsidR="00DD6F46" w:rsidRPr="00DD6F46" w:rsidRDefault="00DD6F46" w:rsidP="00DD6F46">
            <w:pPr>
              <w:jc w:val="both"/>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Adjusted EBITDA margin</w:t>
            </w:r>
          </w:p>
        </w:tc>
        <w:tc>
          <w:tcPr>
            <w:tcW w:w="1094" w:type="dxa"/>
            <w:tcBorders>
              <w:top w:val="nil"/>
              <w:left w:val="nil"/>
              <w:bottom w:val="nil"/>
              <w:right w:val="nil"/>
            </w:tcBorders>
            <w:shd w:val="clear" w:color="auto" w:fill="auto"/>
            <w:noWrap/>
            <w:vAlign w:val="center"/>
            <w:hideMark/>
          </w:tcPr>
          <w:p w14:paraId="05B81980"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27.9%</w:t>
            </w:r>
          </w:p>
        </w:tc>
        <w:tc>
          <w:tcPr>
            <w:tcW w:w="1094" w:type="dxa"/>
            <w:tcBorders>
              <w:top w:val="nil"/>
              <w:left w:val="nil"/>
              <w:bottom w:val="nil"/>
              <w:right w:val="nil"/>
            </w:tcBorders>
            <w:shd w:val="clear" w:color="auto" w:fill="auto"/>
            <w:noWrap/>
            <w:vAlign w:val="center"/>
            <w:hideMark/>
          </w:tcPr>
          <w:p w14:paraId="02B6E645"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21.9%</w:t>
            </w:r>
          </w:p>
        </w:tc>
        <w:tc>
          <w:tcPr>
            <w:tcW w:w="1094" w:type="dxa"/>
            <w:tcBorders>
              <w:top w:val="nil"/>
              <w:left w:val="nil"/>
              <w:bottom w:val="nil"/>
              <w:right w:val="nil"/>
            </w:tcBorders>
            <w:shd w:val="clear" w:color="auto" w:fill="auto"/>
            <w:noWrap/>
            <w:vAlign w:val="center"/>
            <w:hideMark/>
          </w:tcPr>
          <w:p w14:paraId="3DACA355"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+600bps</w:t>
            </w:r>
          </w:p>
        </w:tc>
        <w:tc>
          <w:tcPr>
            <w:tcW w:w="1094" w:type="dxa"/>
            <w:tcBorders>
              <w:top w:val="nil"/>
              <w:left w:val="nil"/>
              <w:bottom w:val="nil"/>
              <w:right w:val="single" w:sz="8" w:space="0" w:color="auto"/>
            </w:tcBorders>
            <w:shd w:val="clear" w:color="auto" w:fill="auto"/>
            <w:noWrap/>
            <w:vAlign w:val="center"/>
            <w:hideMark/>
          </w:tcPr>
          <w:p w14:paraId="2302CB8D"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+600bps</w:t>
            </w:r>
          </w:p>
        </w:tc>
      </w:tr>
      <w:tr w:rsidR="00DD6F46" w:rsidRPr="00DD6F46" w14:paraId="0A5B4E8F"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7EA963CF"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4366E6BF"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5DAF129D"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2069FA16"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CABEACC"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4EF754AA"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6BE16B22"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Depreciation and amortisation</w:t>
            </w:r>
          </w:p>
        </w:tc>
        <w:tc>
          <w:tcPr>
            <w:tcW w:w="1094" w:type="dxa"/>
            <w:tcBorders>
              <w:top w:val="nil"/>
              <w:left w:val="nil"/>
              <w:bottom w:val="single" w:sz="8" w:space="0" w:color="auto"/>
              <w:right w:val="nil"/>
            </w:tcBorders>
            <w:shd w:val="clear" w:color="auto" w:fill="auto"/>
            <w:noWrap/>
            <w:vAlign w:val="center"/>
            <w:hideMark/>
          </w:tcPr>
          <w:p w14:paraId="41D7F77B"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(14)</w:t>
            </w:r>
          </w:p>
        </w:tc>
        <w:tc>
          <w:tcPr>
            <w:tcW w:w="1094" w:type="dxa"/>
            <w:tcBorders>
              <w:top w:val="nil"/>
              <w:left w:val="nil"/>
              <w:bottom w:val="single" w:sz="8" w:space="0" w:color="auto"/>
              <w:right w:val="nil"/>
            </w:tcBorders>
            <w:shd w:val="clear" w:color="auto" w:fill="auto"/>
            <w:noWrap/>
            <w:vAlign w:val="center"/>
            <w:hideMark/>
          </w:tcPr>
          <w:p w14:paraId="153DF48A"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(15)</w:t>
            </w:r>
          </w:p>
        </w:tc>
        <w:tc>
          <w:tcPr>
            <w:tcW w:w="1094" w:type="dxa"/>
            <w:tcBorders>
              <w:top w:val="nil"/>
              <w:left w:val="nil"/>
              <w:bottom w:val="single" w:sz="8" w:space="0" w:color="auto"/>
              <w:right w:val="nil"/>
            </w:tcBorders>
            <w:shd w:val="clear" w:color="auto" w:fill="auto"/>
            <w:noWrap/>
            <w:vAlign w:val="center"/>
            <w:hideMark/>
          </w:tcPr>
          <w:p w14:paraId="04DB1738"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-3%</w:t>
            </w:r>
          </w:p>
        </w:tc>
        <w:tc>
          <w:tcPr>
            <w:tcW w:w="1094" w:type="dxa"/>
            <w:tcBorders>
              <w:top w:val="nil"/>
              <w:left w:val="nil"/>
              <w:bottom w:val="single" w:sz="8" w:space="0" w:color="auto"/>
              <w:right w:val="single" w:sz="8" w:space="0" w:color="auto"/>
            </w:tcBorders>
            <w:shd w:val="clear" w:color="auto" w:fill="auto"/>
            <w:noWrap/>
            <w:vAlign w:val="center"/>
            <w:hideMark/>
          </w:tcPr>
          <w:p w14:paraId="641684F3"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+1%</w:t>
            </w:r>
          </w:p>
        </w:tc>
      </w:tr>
      <w:tr w:rsidR="00DD6F46" w:rsidRPr="00DD6F46" w14:paraId="41A9FB14"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0177D74D"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6D8B5AC5"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16262172"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4FDDC464"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09C41017"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487EA4DC"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3111F500"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Adjusted</w:t>
            </w:r>
            <w:r w:rsidRPr="00DD6F46">
              <w:rPr>
                <w:rFonts w:ascii="Calibri" w:hAnsi="Calibri" w:cs="Calibri"/>
                <w:i/>
                <w:iCs/>
                <w:color w:val="000000"/>
                <w:sz w:val="20"/>
                <w:vertAlign w:val="superscript"/>
                <w:lang w:eastAsia="en-GB"/>
              </w:rPr>
              <w:t xml:space="preserve">1 </w:t>
            </w:r>
            <w:r w:rsidRPr="00DD6F46">
              <w:rPr>
                <w:rFonts w:ascii="Calibri" w:hAnsi="Calibri" w:cs="Calibri"/>
                <w:b/>
                <w:bCs/>
                <w:color w:val="000000"/>
                <w:sz w:val="20"/>
                <w:lang w:eastAsia="en-GB"/>
              </w:rPr>
              <w:t>operating profit</w:t>
            </w:r>
          </w:p>
        </w:tc>
        <w:tc>
          <w:tcPr>
            <w:tcW w:w="1094" w:type="dxa"/>
            <w:tcBorders>
              <w:top w:val="nil"/>
              <w:left w:val="nil"/>
              <w:bottom w:val="nil"/>
              <w:right w:val="nil"/>
            </w:tcBorders>
            <w:shd w:val="clear" w:color="auto" w:fill="auto"/>
            <w:noWrap/>
            <w:vAlign w:val="center"/>
            <w:hideMark/>
          </w:tcPr>
          <w:p w14:paraId="18F0C676"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107</w:t>
            </w:r>
          </w:p>
        </w:tc>
        <w:tc>
          <w:tcPr>
            <w:tcW w:w="1094" w:type="dxa"/>
            <w:tcBorders>
              <w:top w:val="nil"/>
              <w:left w:val="nil"/>
              <w:bottom w:val="nil"/>
              <w:right w:val="nil"/>
            </w:tcBorders>
            <w:shd w:val="clear" w:color="auto" w:fill="auto"/>
            <w:noWrap/>
            <w:vAlign w:val="center"/>
            <w:hideMark/>
          </w:tcPr>
          <w:p w14:paraId="67FA5EF4"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54</w:t>
            </w:r>
          </w:p>
        </w:tc>
        <w:tc>
          <w:tcPr>
            <w:tcW w:w="1094" w:type="dxa"/>
            <w:tcBorders>
              <w:top w:val="nil"/>
              <w:left w:val="nil"/>
              <w:bottom w:val="nil"/>
              <w:right w:val="nil"/>
            </w:tcBorders>
            <w:shd w:val="clear" w:color="auto" w:fill="auto"/>
            <w:noWrap/>
            <w:vAlign w:val="center"/>
            <w:hideMark/>
          </w:tcPr>
          <w:p w14:paraId="0B19986D"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+98%</w:t>
            </w:r>
          </w:p>
        </w:tc>
        <w:tc>
          <w:tcPr>
            <w:tcW w:w="1094" w:type="dxa"/>
            <w:tcBorders>
              <w:top w:val="nil"/>
              <w:left w:val="nil"/>
              <w:bottom w:val="nil"/>
              <w:right w:val="single" w:sz="8" w:space="0" w:color="auto"/>
            </w:tcBorders>
            <w:shd w:val="clear" w:color="auto" w:fill="auto"/>
            <w:noWrap/>
            <w:vAlign w:val="center"/>
            <w:hideMark/>
          </w:tcPr>
          <w:p w14:paraId="6FF942A5"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+108%</w:t>
            </w:r>
          </w:p>
        </w:tc>
      </w:tr>
      <w:tr w:rsidR="00DD6F46" w:rsidRPr="00DD6F46" w14:paraId="79A6D341" w14:textId="77777777" w:rsidTr="00DD6F46">
        <w:trPr>
          <w:trHeight w:val="34"/>
        </w:trPr>
        <w:tc>
          <w:tcPr>
            <w:tcW w:w="3068" w:type="dxa"/>
            <w:tcBorders>
              <w:top w:val="nil"/>
              <w:left w:val="single" w:sz="8" w:space="0" w:color="auto"/>
              <w:bottom w:val="single" w:sz="8" w:space="0" w:color="auto"/>
              <w:right w:val="nil"/>
            </w:tcBorders>
            <w:shd w:val="clear" w:color="auto" w:fill="auto"/>
            <w:noWrap/>
            <w:vAlign w:val="center"/>
            <w:hideMark/>
          </w:tcPr>
          <w:p w14:paraId="3D875B92" w14:textId="77777777" w:rsidR="00DD6F46" w:rsidRPr="00DD6F46" w:rsidRDefault="00DD6F46" w:rsidP="00DD6F46">
            <w:pPr>
              <w:jc w:val="both"/>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0CD0CD1A" w14:textId="77777777" w:rsidR="00DD6F46" w:rsidRPr="00DD6F46" w:rsidRDefault="00DD6F46" w:rsidP="00DD6F46">
            <w:pPr>
              <w:jc w:val="right"/>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415928D9" w14:textId="77777777" w:rsidR="00DD6F46" w:rsidRPr="00DD6F46" w:rsidRDefault="00DD6F46" w:rsidP="00DD6F46">
            <w:pPr>
              <w:jc w:val="right"/>
              <w:rPr>
                <w:rFonts w:ascii="Calibri" w:hAnsi="Calibri" w:cs="Calibri"/>
                <w:b/>
                <w:bCs/>
                <w:sz w:val="2"/>
                <w:szCs w:val="2"/>
                <w:lang w:eastAsia="en-GB"/>
              </w:rPr>
            </w:pPr>
            <w:r w:rsidRPr="00DD6F46">
              <w:rPr>
                <w:rFonts w:ascii="Calibri" w:hAnsi="Calibri" w:cs="Calibri"/>
                <w:b/>
                <w:bCs/>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1480F4D6" w14:textId="77777777" w:rsidR="00DD6F46" w:rsidRPr="00DD6F46" w:rsidRDefault="00DD6F46" w:rsidP="00DD6F46">
            <w:pPr>
              <w:jc w:val="right"/>
              <w:rPr>
                <w:rFonts w:ascii="Calibri" w:hAnsi="Calibri" w:cs="Calibri"/>
                <w:b/>
                <w:bCs/>
                <w:sz w:val="2"/>
                <w:szCs w:val="2"/>
                <w:lang w:eastAsia="en-GB"/>
              </w:rPr>
            </w:pPr>
            <w:r w:rsidRPr="00DD6F46">
              <w:rPr>
                <w:rFonts w:ascii="Calibri" w:hAnsi="Calibri" w:cs="Calibri"/>
                <w:b/>
                <w:bCs/>
                <w:sz w:val="2"/>
                <w:szCs w:val="2"/>
                <w:lang w:eastAsia="en-GB"/>
              </w:rPr>
              <w:t> </w:t>
            </w:r>
          </w:p>
        </w:tc>
        <w:tc>
          <w:tcPr>
            <w:tcW w:w="1094" w:type="dxa"/>
            <w:tcBorders>
              <w:top w:val="nil"/>
              <w:left w:val="nil"/>
              <w:bottom w:val="single" w:sz="8" w:space="0" w:color="auto"/>
              <w:right w:val="single" w:sz="8" w:space="0" w:color="auto"/>
            </w:tcBorders>
            <w:shd w:val="clear" w:color="auto" w:fill="auto"/>
            <w:noWrap/>
            <w:vAlign w:val="center"/>
            <w:hideMark/>
          </w:tcPr>
          <w:p w14:paraId="323D6DB7" w14:textId="77777777" w:rsidR="00DD6F46" w:rsidRPr="00DD6F46" w:rsidRDefault="00DD6F46" w:rsidP="00DD6F46">
            <w:pPr>
              <w:jc w:val="right"/>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r>
    </w:tbl>
    <w:p w14:paraId="10035349" w14:textId="77777777" w:rsidR="00942D68" w:rsidRPr="007C27AF" w:rsidRDefault="00942D68" w:rsidP="00942D68">
      <w:pPr>
        <w:spacing w:before="120" w:after="120"/>
        <w:jc w:val="both"/>
        <w:rPr>
          <w:rFonts w:asciiTheme="minorHAnsi" w:hAnsiTheme="minorHAnsi"/>
          <w:i/>
          <w:sz w:val="18"/>
          <w:szCs w:val="21"/>
        </w:rPr>
      </w:pPr>
      <w:r w:rsidRPr="007C27AF">
        <w:rPr>
          <w:rFonts w:asciiTheme="minorHAnsi" w:hAnsiTheme="minorHAnsi"/>
          <w:i/>
          <w:sz w:val="18"/>
          <w:szCs w:val="21"/>
        </w:rPr>
        <w:t>The Australian division encompasse</w:t>
      </w:r>
      <w:r>
        <w:rPr>
          <w:rFonts w:asciiTheme="minorHAnsi" w:hAnsiTheme="minorHAnsi"/>
          <w:i/>
          <w:sz w:val="18"/>
          <w:szCs w:val="21"/>
        </w:rPr>
        <w:t>d</w:t>
      </w:r>
      <w:r w:rsidRPr="007C27AF">
        <w:rPr>
          <w:rFonts w:asciiTheme="minorHAnsi" w:hAnsiTheme="minorHAnsi"/>
          <w:i/>
          <w:sz w:val="18"/>
          <w:szCs w:val="21"/>
        </w:rPr>
        <w:t xml:space="preserve"> the Sportsbet and BetEasy online sports betting brands</w:t>
      </w:r>
      <w:r>
        <w:rPr>
          <w:rFonts w:asciiTheme="minorHAnsi" w:hAnsiTheme="minorHAnsi"/>
          <w:i/>
          <w:sz w:val="18"/>
          <w:szCs w:val="21"/>
        </w:rPr>
        <w:t xml:space="preserve"> during H1</w:t>
      </w:r>
      <w:r w:rsidRPr="007C27AF">
        <w:rPr>
          <w:rFonts w:asciiTheme="minorHAnsi" w:hAnsiTheme="minorHAnsi"/>
          <w:i/>
          <w:sz w:val="18"/>
          <w:szCs w:val="21"/>
        </w:rPr>
        <w:t>.</w:t>
      </w:r>
      <w:r>
        <w:rPr>
          <w:rFonts w:asciiTheme="minorHAnsi" w:hAnsiTheme="minorHAnsi"/>
          <w:i/>
          <w:sz w:val="18"/>
          <w:szCs w:val="21"/>
        </w:rPr>
        <w:t xml:space="preserve"> </w:t>
      </w:r>
      <w:r w:rsidRPr="007C27AF">
        <w:rPr>
          <w:rFonts w:asciiTheme="minorHAnsi" w:hAnsiTheme="minorHAnsi"/>
          <w:i/>
          <w:sz w:val="18"/>
          <w:szCs w:val="21"/>
        </w:rPr>
        <w:t xml:space="preserve">  </w:t>
      </w:r>
    </w:p>
    <w:p w14:paraId="6A9ED5EF" w14:textId="77777777" w:rsidR="00942D68" w:rsidRDefault="009E68F5" w:rsidP="00942D68">
      <w:pPr>
        <w:spacing w:before="120" w:after="120"/>
        <w:jc w:val="both"/>
        <w:rPr>
          <w:rFonts w:asciiTheme="minorHAnsi" w:hAnsiTheme="minorHAnsi"/>
          <w:sz w:val="21"/>
          <w:szCs w:val="21"/>
        </w:rPr>
      </w:pPr>
      <w:r>
        <w:rPr>
          <w:rFonts w:asciiTheme="minorHAnsi" w:hAnsiTheme="minorHAnsi"/>
          <w:sz w:val="21"/>
          <w:szCs w:val="21"/>
        </w:rPr>
        <w:t>Pro forma n</w:t>
      </w:r>
      <w:r w:rsidR="00942D68">
        <w:rPr>
          <w:rFonts w:asciiTheme="minorHAnsi" w:hAnsiTheme="minorHAnsi"/>
          <w:sz w:val="21"/>
          <w:szCs w:val="21"/>
        </w:rPr>
        <w:t xml:space="preserve">et revenue in </w:t>
      </w:r>
      <w:r w:rsidR="00F569A2">
        <w:rPr>
          <w:rFonts w:asciiTheme="minorHAnsi" w:hAnsiTheme="minorHAnsi"/>
          <w:sz w:val="21"/>
          <w:szCs w:val="21"/>
        </w:rPr>
        <w:t xml:space="preserve">our </w:t>
      </w:r>
      <w:r w:rsidR="00942D68">
        <w:rPr>
          <w:rFonts w:asciiTheme="minorHAnsi" w:hAnsiTheme="minorHAnsi"/>
          <w:sz w:val="21"/>
          <w:szCs w:val="21"/>
        </w:rPr>
        <w:t>Australia</w:t>
      </w:r>
      <w:r w:rsidR="00270B23">
        <w:rPr>
          <w:rFonts w:asciiTheme="minorHAnsi" w:hAnsiTheme="minorHAnsi"/>
          <w:sz w:val="21"/>
          <w:szCs w:val="21"/>
        </w:rPr>
        <w:t xml:space="preserve">n online business </w:t>
      </w:r>
      <w:r w:rsidR="00942D68">
        <w:rPr>
          <w:rFonts w:asciiTheme="minorHAnsi" w:hAnsiTheme="minorHAnsi"/>
          <w:sz w:val="21"/>
          <w:szCs w:val="21"/>
        </w:rPr>
        <w:t xml:space="preserve">grew </w:t>
      </w:r>
      <w:r>
        <w:rPr>
          <w:rFonts w:asciiTheme="minorHAnsi" w:hAnsiTheme="minorHAnsi"/>
          <w:sz w:val="21"/>
          <w:szCs w:val="21"/>
        </w:rPr>
        <w:t xml:space="preserve">by </w:t>
      </w:r>
      <w:r w:rsidR="00942D68">
        <w:rPr>
          <w:rFonts w:asciiTheme="minorHAnsi" w:hAnsiTheme="minorHAnsi"/>
          <w:sz w:val="21"/>
          <w:szCs w:val="21"/>
        </w:rPr>
        <w:t xml:space="preserve">45% in H1 to £435m as </w:t>
      </w:r>
      <w:r w:rsidR="00270B23">
        <w:rPr>
          <w:rFonts w:asciiTheme="minorHAnsi" w:hAnsiTheme="minorHAnsi"/>
          <w:sz w:val="21"/>
          <w:szCs w:val="21"/>
        </w:rPr>
        <w:t xml:space="preserve">it </w:t>
      </w:r>
      <w:r w:rsidR="00942D68">
        <w:rPr>
          <w:rFonts w:asciiTheme="minorHAnsi" w:hAnsiTheme="minorHAnsi"/>
          <w:sz w:val="21"/>
          <w:szCs w:val="21"/>
        </w:rPr>
        <w:t xml:space="preserve">benefitted from the temporary closure of retail betting outlets </w:t>
      </w:r>
      <w:r>
        <w:rPr>
          <w:rFonts w:asciiTheme="minorHAnsi" w:hAnsiTheme="minorHAnsi"/>
          <w:sz w:val="21"/>
          <w:szCs w:val="21"/>
        </w:rPr>
        <w:t xml:space="preserve">nationwide </w:t>
      </w:r>
      <w:r w:rsidR="00942D68">
        <w:rPr>
          <w:rFonts w:asciiTheme="minorHAnsi" w:hAnsiTheme="minorHAnsi"/>
          <w:sz w:val="21"/>
          <w:szCs w:val="21"/>
        </w:rPr>
        <w:t xml:space="preserve">in Q2. </w:t>
      </w:r>
    </w:p>
    <w:p w14:paraId="6A82176D" w14:textId="77777777" w:rsidR="00942D68" w:rsidRDefault="00942D68" w:rsidP="00942D68">
      <w:pPr>
        <w:spacing w:before="120" w:after="120"/>
        <w:jc w:val="both"/>
        <w:rPr>
          <w:rFonts w:asciiTheme="minorHAnsi" w:hAnsiTheme="minorHAnsi"/>
          <w:sz w:val="21"/>
          <w:szCs w:val="21"/>
        </w:rPr>
      </w:pPr>
      <w:r>
        <w:rPr>
          <w:rFonts w:asciiTheme="minorHAnsi" w:hAnsiTheme="minorHAnsi"/>
          <w:sz w:val="21"/>
          <w:szCs w:val="21"/>
        </w:rPr>
        <w:t xml:space="preserve">While most major sports were postponed/cancelled from mid-March on, horse racing crucially continued behind closed doors, </w:t>
      </w:r>
      <w:r w:rsidR="009E68F5">
        <w:rPr>
          <w:rFonts w:asciiTheme="minorHAnsi" w:hAnsiTheme="minorHAnsi"/>
          <w:sz w:val="21"/>
          <w:szCs w:val="21"/>
        </w:rPr>
        <w:t xml:space="preserve">resulting in </w:t>
      </w:r>
      <w:r>
        <w:rPr>
          <w:rFonts w:asciiTheme="minorHAnsi" w:hAnsiTheme="minorHAnsi"/>
          <w:sz w:val="21"/>
          <w:szCs w:val="21"/>
        </w:rPr>
        <w:t>our combined Australian business experienc</w:t>
      </w:r>
      <w:r w:rsidR="009E68F5">
        <w:rPr>
          <w:rFonts w:asciiTheme="minorHAnsi" w:hAnsiTheme="minorHAnsi"/>
          <w:sz w:val="21"/>
          <w:szCs w:val="21"/>
        </w:rPr>
        <w:t>ing</w:t>
      </w:r>
      <w:r>
        <w:rPr>
          <w:rFonts w:asciiTheme="minorHAnsi" w:hAnsiTheme="minorHAnsi"/>
          <w:sz w:val="21"/>
          <w:szCs w:val="21"/>
        </w:rPr>
        <w:t xml:space="preserve"> growth in daily active racing customers of </w:t>
      </w:r>
      <w:r w:rsidR="00520DB7">
        <w:rPr>
          <w:rFonts w:asciiTheme="minorHAnsi" w:hAnsiTheme="minorHAnsi"/>
          <w:sz w:val="21"/>
          <w:szCs w:val="21"/>
        </w:rPr>
        <w:t>more than 30%</w:t>
      </w:r>
      <w:r>
        <w:rPr>
          <w:rFonts w:asciiTheme="minorHAnsi" w:hAnsiTheme="minorHAnsi"/>
          <w:sz w:val="21"/>
          <w:szCs w:val="21"/>
        </w:rPr>
        <w:t xml:space="preserve"> in the half. The increased prominence of racing, coupled with the temporary closure of retail, led to an acceleration in the migration of retail customers online. As a result, pro forma Australian revenues grew 57% y</w:t>
      </w:r>
      <w:r w:rsidR="00F569A2">
        <w:rPr>
          <w:rFonts w:asciiTheme="minorHAnsi" w:hAnsiTheme="minorHAnsi"/>
          <w:sz w:val="21"/>
          <w:szCs w:val="21"/>
        </w:rPr>
        <w:t xml:space="preserve">ear </w:t>
      </w:r>
      <w:r>
        <w:rPr>
          <w:rFonts w:asciiTheme="minorHAnsi" w:hAnsiTheme="minorHAnsi"/>
          <w:sz w:val="21"/>
          <w:szCs w:val="21"/>
        </w:rPr>
        <w:t>o</w:t>
      </w:r>
      <w:r w:rsidR="00F569A2">
        <w:rPr>
          <w:rFonts w:asciiTheme="minorHAnsi" w:hAnsiTheme="minorHAnsi"/>
          <w:sz w:val="21"/>
          <w:szCs w:val="21"/>
        </w:rPr>
        <w:t xml:space="preserve">n </w:t>
      </w:r>
      <w:r>
        <w:rPr>
          <w:rFonts w:asciiTheme="minorHAnsi" w:hAnsiTheme="minorHAnsi"/>
          <w:sz w:val="21"/>
          <w:szCs w:val="21"/>
        </w:rPr>
        <w:t>y</w:t>
      </w:r>
      <w:r w:rsidR="00F569A2">
        <w:rPr>
          <w:rFonts w:asciiTheme="minorHAnsi" w:hAnsiTheme="minorHAnsi"/>
          <w:sz w:val="21"/>
          <w:szCs w:val="21"/>
        </w:rPr>
        <w:t>ear</w:t>
      </w:r>
      <w:r>
        <w:rPr>
          <w:rFonts w:asciiTheme="minorHAnsi" w:hAnsiTheme="minorHAnsi"/>
          <w:sz w:val="21"/>
          <w:szCs w:val="21"/>
        </w:rPr>
        <w:t xml:space="preserve"> during the disrupted period. </w:t>
      </w:r>
    </w:p>
    <w:p w14:paraId="1BC99621" w14:textId="77777777" w:rsidR="00942D68" w:rsidRDefault="00942D68" w:rsidP="00942D68">
      <w:pPr>
        <w:spacing w:before="120" w:after="120"/>
        <w:jc w:val="both"/>
        <w:rPr>
          <w:rFonts w:asciiTheme="minorHAnsi" w:hAnsiTheme="minorHAnsi"/>
          <w:sz w:val="21"/>
          <w:szCs w:val="21"/>
        </w:rPr>
      </w:pPr>
      <w:r>
        <w:rPr>
          <w:rFonts w:asciiTheme="minorHAnsi" w:hAnsiTheme="minorHAnsi"/>
          <w:sz w:val="21"/>
          <w:szCs w:val="21"/>
        </w:rPr>
        <w:t>Overall stakes grew 18% in the</w:t>
      </w:r>
      <w:r w:rsidR="009E68F5">
        <w:rPr>
          <w:rFonts w:asciiTheme="minorHAnsi" w:hAnsiTheme="minorHAnsi"/>
          <w:sz w:val="21"/>
          <w:szCs w:val="21"/>
        </w:rPr>
        <w:t xml:space="preserve"> half, notwithstanding a 220 basis point improvement in the </w:t>
      </w:r>
      <w:r>
        <w:rPr>
          <w:rFonts w:asciiTheme="minorHAnsi" w:hAnsiTheme="minorHAnsi"/>
          <w:sz w:val="21"/>
          <w:szCs w:val="21"/>
        </w:rPr>
        <w:t xml:space="preserve">sportsbook net revenue margin. There were a number of different factors </w:t>
      </w:r>
      <w:r w:rsidR="009E68F5">
        <w:rPr>
          <w:rFonts w:asciiTheme="minorHAnsi" w:hAnsiTheme="minorHAnsi"/>
          <w:sz w:val="21"/>
          <w:szCs w:val="21"/>
        </w:rPr>
        <w:t xml:space="preserve">that </w:t>
      </w:r>
      <w:r>
        <w:rPr>
          <w:rFonts w:asciiTheme="minorHAnsi" w:hAnsiTheme="minorHAnsi"/>
          <w:sz w:val="21"/>
          <w:szCs w:val="21"/>
        </w:rPr>
        <w:t>contribut</w:t>
      </w:r>
      <w:r w:rsidR="009E68F5">
        <w:rPr>
          <w:rFonts w:asciiTheme="minorHAnsi" w:hAnsiTheme="minorHAnsi"/>
          <w:sz w:val="21"/>
          <w:szCs w:val="21"/>
        </w:rPr>
        <w:t>ed</w:t>
      </w:r>
      <w:r>
        <w:rPr>
          <w:rFonts w:asciiTheme="minorHAnsi" w:hAnsiTheme="minorHAnsi"/>
          <w:sz w:val="21"/>
          <w:szCs w:val="21"/>
        </w:rPr>
        <w:t xml:space="preserve"> to these increases:</w:t>
      </w:r>
    </w:p>
    <w:p w14:paraId="1F912830" w14:textId="77777777" w:rsidR="00520DB7" w:rsidRPr="00FB599C" w:rsidRDefault="00520DB7" w:rsidP="009B6BB8">
      <w:pPr>
        <w:pStyle w:val="ListParagraph"/>
        <w:numPr>
          <w:ilvl w:val="0"/>
          <w:numId w:val="17"/>
        </w:numPr>
        <w:spacing w:before="120" w:after="120"/>
        <w:jc w:val="both"/>
        <w:rPr>
          <w:rFonts w:asciiTheme="minorHAnsi" w:hAnsiTheme="minorHAnsi"/>
          <w:sz w:val="21"/>
          <w:szCs w:val="21"/>
        </w:rPr>
      </w:pPr>
      <w:r>
        <w:rPr>
          <w:rFonts w:asciiTheme="minorHAnsi" w:hAnsiTheme="minorHAnsi"/>
          <w:sz w:val="21"/>
          <w:szCs w:val="21"/>
        </w:rPr>
        <w:t xml:space="preserve">Results were favourable during </w:t>
      </w:r>
      <w:r w:rsidR="00304E49">
        <w:rPr>
          <w:rFonts w:asciiTheme="minorHAnsi" w:hAnsiTheme="minorHAnsi"/>
          <w:sz w:val="21"/>
          <w:szCs w:val="21"/>
        </w:rPr>
        <w:t>H1</w:t>
      </w:r>
      <w:r>
        <w:rPr>
          <w:rFonts w:asciiTheme="minorHAnsi" w:hAnsiTheme="minorHAnsi"/>
          <w:sz w:val="21"/>
          <w:szCs w:val="21"/>
        </w:rPr>
        <w:t xml:space="preserve"> and we estimate this added 120 basis points to the net revenue margin</w:t>
      </w:r>
      <w:r w:rsidR="00612479">
        <w:rPr>
          <w:rFonts w:asciiTheme="minorHAnsi" w:hAnsiTheme="minorHAnsi"/>
          <w:sz w:val="21"/>
          <w:szCs w:val="21"/>
        </w:rPr>
        <w:t>.</w:t>
      </w:r>
    </w:p>
    <w:p w14:paraId="1EBF75C2" w14:textId="77777777" w:rsidR="00942D68" w:rsidRPr="006B47B3" w:rsidRDefault="00942D68" w:rsidP="009B6BB8">
      <w:pPr>
        <w:pStyle w:val="ListParagraph"/>
        <w:numPr>
          <w:ilvl w:val="0"/>
          <w:numId w:val="17"/>
        </w:numPr>
        <w:spacing w:before="120" w:after="120"/>
        <w:jc w:val="both"/>
        <w:rPr>
          <w:rFonts w:asciiTheme="minorHAnsi" w:hAnsiTheme="minorHAnsi"/>
          <w:sz w:val="21"/>
          <w:szCs w:val="21"/>
        </w:rPr>
      </w:pPr>
      <w:r>
        <w:rPr>
          <w:rFonts w:asciiTheme="minorHAnsi" w:hAnsiTheme="minorHAnsi"/>
          <w:sz w:val="21"/>
          <w:szCs w:val="21"/>
        </w:rPr>
        <w:t xml:space="preserve">The increased prominence of racing, with more racing content being televised on primetime free-to-air television. </w:t>
      </w:r>
      <w:r w:rsidRPr="006B47B3">
        <w:rPr>
          <w:rFonts w:asciiTheme="minorHAnsi" w:hAnsiTheme="minorHAnsi"/>
          <w:sz w:val="21"/>
          <w:szCs w:val="21"/>
        </w:rPr>
        <w:t xml:space="preserve"> Racing is a structurally higher margin product </w:t>
      </w:r>
      <w:r>
        <w:rPr>
          <w:rFonts w:asciiTheme="minorHAnsi" w:hAnsiTheme="minorHAnsi"/>
          <w:sz w:val="21"/>
          <w:szCs w:val="21"/>
        </w:rPr>
        <w:t>than other sports</w:t>
      </w:r>
      <w:r w:rsidR="00612479">
        <w:rPr>
          <w:rFonts w:asciiTheme="minorHAnsi" w:hAnsiTheme="minorHAnsi"/>
          <w:sz w:val="21"/>
          <w:szCs w:val="21"/>
        </w:rPr>
        <w:t>.</w:t>
      </w:r>
    </w:p>
    <w:p w14:paraId="32154F6C" w14:textId="77777777" w:rsidR="00942D68" w:rsidRDefault="009E68F5" w:rsidP="009B6BB8">
      <w:pPr>
        <w:pStyle w:val="ListParagraph"/>
        <w:numPr>
          <w:ilvl w:val="0"/>
          <w:numId w:val="17"/>
        </w:numPr>
        <w:spacing w:before="120" w:after="120"/>
        <w:jc w:val="both"/>
        <w:rPr>
          <w:rFonts w:asciiTheme="minorHAnsi" w:hAnsiTheme="minorHAnsi"/>
          <w:sz w:val="21"/>
          <w:szCs w:val="21"/>
        </w:rPr>
      </w:pPr>
      <w:r>
        <w:rPr>
          <w:rFonts w:asciiTheme="minorHAnsi" w:hAnsiTheme="minorHAnsi"/>
          <w:sz w:val="21"/>
          <w:szCs w:val="21"/>
        </w:rPr>
        <w:t>The addition of some t</w:t>
      </w:r>
      <w:r w:rsidR="00942D68">
        <w:rPr>
          <w:rFonts w:asciiTheme="minorHAnsi" w:hAnsiTheme="minorHAnsi"/>
          <w:sz w:val="21"/>
          <w:szCs w:val="21"/>
        </w:rPr>
        <w:t xml:space="preserve">raditional retail customers </w:t>
      </w:r>
      <w:r>
        <w:rPr>
          <w:rFonts w:asciiTheme="minorHAnsi" w:hAnsiTheme="minorHAnsi"/>
          <w:sz w:val="21"/>
          <w:szCs w:val="21"/>
        </w:rPr>
        <w:t xml:space="preserve">who </w:t>
      </w:r>
      <w:r w:rsidR="00942D68">
        <w:rPr>
          <w:rFonts w:asciiTheme="minorHAnsi" w:hAnsiTheme="minorHAnsi"/>
          <w:sz w:val="21"/>
          <w:szCs w:val="21"/>
        </w:rPr>
        <w:t>tend to bet on higher margin racing products</w:t>
      </w:r>
      <w:r w:rsidR="00612479">
        <w:rPr>
          <w:rFonts w:asciiTheme="minorHAnsi" w:hAnsiTheme="minorHAnsi"/>
          <w:sz w:val="21"/>
          <w:szCs w:val="21"/>
        </w:rPr>
        <w:t>.</w:t>
      </w:r>
    </w:p>
    <w:p w14:paraId="7694A1B2" w14:textId="77777777" w:rsidR="00942D68" w:rsidRPr="00FB599C" w:rsidRDefault="00A55850" w:rsidP="009B6BB8">
      <w:pPr>
        <w:pStyle w:val="ListParagraph"/>
        <w:numPr>
          <w:ilvl w:val="0"/>
          <w:numId w:val="17"/>
        </w:numPr>
        <w:spacing w:before="120" w:after="120"/>
        <w:jc w:val="both"/>
        <w:rPr>
          <w:rFonts w:asciiTheme="minorHAnsi" w:hAnsiTheme="minorHAnsi"/>
          <w:sz w:val="21"/>
          <w:szCs w:val="21"/>
        </w:rPr>
      </w:pPr>
      <w:r>
        <w:rPr>
          <w:rFonts w:asciiTheme="minorHAnsi" w:hAnsiTheme="minorHAnsi"/>
          <w:sz w:val="21"/>
          <w:szCs w:val="21"/>
        </w:rPr>
        <w:t>I</w:t>
      </w:r>
      <w:r w:rsidR="00942D68" w:rsidRPr="00FB599C">
        <w:rPr>
          <w:rFonts w:asciiTheme="minorHAnsi" w:hAnsiTheme="minorHAnsi"/>
          <w:sz w:val="21"/>
          <w:szCs w:val="21"/>
        </w:rPr>
        <w:t xml:space="preserve">ncreased investment in </w:t>
      </w:r>
      <w:r w:rsidR="00270B23">
        <w:rPr>
          <w:rFonts w:asciiTheme="minorHAnsi" w:hAnsiTheme="minorHAnsi"/>
          <w:sz w:val="21"/>
          <w:szCs w:val="21"/>
        </w:rPr>
        <w:t xml:space="preserve">Australian </w:t>
      </w:r>
      <w:r w:rsidR="00942D68" w:rsidRPr="00FB599C">
        <w:rPr>
          <w:rFonts w:asciiTheme="minorHAnsi" w:hAnsiTheme="minorHAnsi"/>
          <w:sz w:val="21"/>
          <w:szCs w:val="21"/>
        </w:rPr>
        <w:t>racing customer generosity in the</w:t>
      </w:r>
      <w:r w:rsidR="009E68F5" w:rsidRPr="00FB599C">
        <w:rPr>
          <w:rFonts w:asciiTheme="minorHAnsi" w:hAnsiTheme="minorHAnsi"/>
          <w:sz w:val="21"/>
          <w:szCs w:val="21"/>
        </w:rPr>
        <w:t xml:space="preserve"> half</w:t>
      </w:r>
      <w:r w:rsidR="00942D68" w:rsidRPr="00FB599C">
        <w:rPr>
          <w:rFonts w:asciiTheme="minorHAnsi" w:hAnsiTheme="minorHAnsi"/>
          <w:sz w:val="21"/>
          <w:szCs w:val="21"/>
        </w:rPr>
        <w:t>. This reduced net revenue margin by 110bps versus the prior year</w:t>
      </w:r>
      <w:r w:rsidR="00612479">
        <w:rPr>
          <w:rFonts w:asciiTheme="minorHAnsi" w:hAnsiTheme="minorHAnsi"/>
          <w:sz w:val="21"/>
          <w:szCs w:val="21"/>
        </w:rPr>
        <w:t>.</w:t>
      </w:r>
    </w:p>
    <w:p w14:paraId="3F0C2419" w14:textId="77777777" w:rsidR="00942D68" w:rsidRPr="00DF7434" w:rsidRDefault="00942D68" w:rsidP="00942D68">
      <w:pPr>
        <w:spacing w:after="120"/>
        <w:jc w:val="both"/>
        <w:rPr>
          <w:rFonts w:asciiTheme="minorHAnsi" w:hAnsiTheme="minorHAnsi"/>
          <w:sz w:val="21"/>
          <w:szCs w:val="21"/>
        </w:rPr>
      </w:pPr>
      <w:r>
        <w:rPr>
          <w:rFonts w:asciiTheme="minorHAnsi" w:hAnsiTheme="minorHAnsi"/>
          <w:sz w:val="21"/>
          <w:szCs w:val="21"/>
        </w:rPr>
        <w:t>While s</w:t>
      </w:r>
      <w:r w:rsidRPr="00DF7434">
        <w:rPr>
          <w:rFonts w:asciiTheme="minorHAnsi" w:hAnsiTheme="minorHAnsi"/>
          <w:sz w:val="21"/>
          <w:szCs w:val="21"/>
        </w:rPr>
        <w:t xml:space="preserve">ales and marketing </w:t>
      </w:r>
      <w:r>
        <w:rPr>
          <w:rFonts w:asciiTheme="minorHAnsi" w:hAnsiTheme="minorHAnsi"/>
          <w:sz w:val="21"/>
          <w:szCs w:val="21"/>
        </w:rPr>
        <w:t>costs increased</w:t>
      </w:r>
      <w:r w:rsidRPr="00BE2849">
        <w:rPr>
          <w:rFonts w:asciiTheme="minorHAnsi" w:hAnsiTheme="minorHAnsi"/>
          <w:sz w:val="21"/>
          <w:szCs w:val="21"/>
        </w:rPr>
        <w:t xml:space="preserve"> 10%</w:t>
      </w:r>
      <w:r w:rsidRPr="00DF7434">
        <w:rPr>
          <w:rFonts w:asciiTheme="minorHAnsi" w:hAnsiTheme="minorHAnsi"/>
          <w:sz w:val="21"/>
          <w:szCs w:val="21"/>
        </w:rPr>
        <w:t xml:space="preserve"> </w:t>
      </w:r>
      <w:r>
        <w:rPr>
          <w:rFonts w:asciiTheme="minorHAnsi" w:hAnsiTheme="minorHAnsi"/>
          <w:sz w:val="21"/>
          <w:szCs w:val="21"/>
        </w:rPr>
        <w:t xml:space="preserve">year-on-year, they </w:t>
      </w:r>
      <w:r w:rsidR="00612479">
        <w:rPr>
          <w:rFonts w:asciiTheme="minorHAnsi" w:hAnsiTheme="minorHAnsi"/>
          <w:sz w:val="21"/>
          <w:szCs w:val="21"/>
        </w:rPr>
        <w:t>reduced</w:t>
      </w:r>
      <w:r w:rsidR="009E68F5">
        <w:rPr>
          <w:rFonts w:asciiTheme="minorHAnsi" w:hAnsiTheme="minorHAnsi"/>
          <w:sz w:val="21"/>
          <w:szCs w:val="21"/>
        </w:rPr>
        <w:t xml:space="preserve"> </w:t>
      </w:r>
      <w:r>
        <w:rPr>
          <w:rFonts w:asciiTheme="minorHAnsi" w:hAnsiTheme="minorHAnsi"/>
          <w:sz w:val="21"/>
          <w:szCs w:val="21"/>
        </w:rPr>
        <w:t>as a percentage of revenue by 430bps. O</w:t>
      </w:r>
      <w:r w:rsidRPr="00DF7434">
        <w:rPr>
          <w:rFonts w:asciiTheme="minorHAnsi" w:hAnsiTheme="minorHAnsi"/>
          <w:sz w:val="21"/>
          <w:szCs w:val="21"/>
        </w:rPr>
        <w:t>ther operating costs increased £</w:t>
      </w:r>
      <w:r>
        <w:rPr>
          <w:rFonts w:asciiTheme="minorHAnsi" w:hAnsiTheme="minorHAnsi"/>
          <w:sz w:val="21"/>
          <w:szCs w:val="21"/>
        </w:rPr>
        <w:t>6</w:t>
      </w:r>
      <w:r w:rsidRPr="00DF7434">
        <w:rPr>
          <w:rFonts w:asciiTheme="minorHAnsi" w:hAnsiTheme="minorHAnsi"/>
          <w:sz w:val="21"/>
          <w:szCs w:val="21"/>
        </w:rPr>
        <w:t>m</w:t>
      </w:r>
      <w:r>
        <w:rPr>
          <w:rFonts w:asciiTheme="minorHAnsi" w:hAnsiTheme="minorHAnsi"/>
          <w:sz w:val="21"/>
          <w:szCs w:val="21"/>
        </w:rPr>
        <w:t xml:space="preserve">, reflecting ongoing investment in </w:t>
      </w:r>
      <w:r w:rsidRPr="00DF7434">
        <w:rPr>
          <w:rFonts w:asciiTheme="minorHAnsi" w:hAnsiTheme="minorHAnsi"/>
          <w:sz w:val="21"/>
          <w:szCs w:val="21"/>
        </w:rPr>
        <w:t>our platforms</w:t>
      </w:r>
      <w:r>
        <w:rPr>
          <w:rFonts w:asciiTheme="minorHAnsi" w:hAnsiTheme="minorHAnsi"/>
          <w:sz w:val="21"/>
          <w:szCs w:val="21"/>
        </w:rPr>
        <w:t xml:space="preserve">. </w:t>
      </w:r>
    </w:p>
    <w:p w14:paraId="4FD1A56D" w14:textId="77777777" w:rsidR="00942D68" w:rsidRPr="00A96702" w:rsidRDefault="00942D68" w:rsidP="00942D68">
      <w:pPr>
        <w:rPr>
          <w:rFonts w:asciiTheme="minorHAnsi" w:hAnsiTheme="minorHAnsi"/>
          <w:b/>
          <w:sz w:val="22"/>
          <w:szCs w:val="22"/>
          <w:highlight w:val="yellow"/>
        </w:rPr>
      </w:pPr>
      <w:r>
        <w:rPr>
          <w:rFonts w:asciiTheme="minorHAnsi" w:hAnsiTheme="minorHAnsi"/>
          <w:sz w:val="21"/>
          <w:szCs w:val="21"/>
        </w:rPr>
        <w:t xml:space="preserve">Adjusted </w:t>
      </w:r>
      <w:r w:rsidRPr="00DF7434">
        <w:rPr>
          <w:rFonts w:asciiTheme="minorHAnsi" w:hAnsiTheme="minorHAnsi"/>
          <w:sz w:val="21"/>
          <w:szCs w:val="21"/>
        </w:rPr>
        <w:t>EBITDA grew 8</w:t>
      </w:r>
      <w:r w:rsidR="00CA6EA3">
        <w:rPr>
          <w:rFonts w:asciiTheme="minorHAnsi" w:hAnsiTheme="minorHAnsi"/>
          <w:sz w:val="21"/>
          <w:szCs w:val="21"/>
        </w:rPr>
        <w:t>4</w:t>
      </w:r>
      <w:r w:rsidRPr="00DF7434">
        <w:rPr>
          <w:rFonts w:asciiTheme="minorHAnsi" w:hAnsiTheme="minorHAnsi"/>
          <w:sz w:val="21"/>
          <w:szCs w:val="21"/>
        </w:rPr>
        <w:t>% to £121m in the half</w:t>
      </w:r>
      <w:r>
        <w:rPr>
          <w:rFonts w:asciiTheme="minorHAnsi" w:hAnsiTheme="minorHAnsi"/>
          <w:sz w:val="21"/>
          <w:szCs w:val="21"/>
        </w:rPr>
        <w:t>, reflecting excellent operational leverage</w:t>
      </w:r>
      <w:r w:rsidRPr="00DF7434">
        <w:rPr>
          <w:rFonts w:asciiTheme="minorHAnsi" w:hAnsiTheme="minorHAnsi"/>
          <w:sz w:val="21"/>
          <w:szCs w:val="21"/>
        </w:rPr>
        <w:t xml:space="preserve">. </w:t>
      </w:r>
      <w:r w:rsidRPr="00A96702">
        <w:rPr>
          <w:rFonts w:asciiTheme="minorHAnsi" w:hAnsiTheme="minorHAnsi"/>
          <w:b/>
          <w:sz w:val="22"/>
          <w:szCs w:val="22"/>
          <w:highlight w:val="yellow"/>
        </w:rPr>
        <w:br w:type="page"/>
      </w:r>
    </w:p>
    <w:p w14:paraId="38C43857" w14:textId="77777777" w:rsidR="00942D68" w:rsidRPr="0001653A" w:rsidRDefault="00942D68" w:rsidP="00942D68">
      <w:pPr>
        <w:spacing w:after="120"/>
        <w:rPr>
          <w:rFonts w:asciiTheme="minorHAnsi" w:hAnsiTheme="minorHAnsi"/>
          <w:b/>
          <w:i/>
          <w:color w:val="FF0000"/>
          <w:sz w:val="22"/>
          <w:szCs w:val="22"/>
        </w:rPr>
      </w:pPr>
      <w:r w:rsidRPr="0001653A">
        <w:rPr>
          <w:rFonts w:asciiTheme="minorHAnsi" w:hAnsiTheme="minorHAnsi"/>
          <w:b/>
          <w:sz w:val="22"/>
          <w:szCs w:val="22"/>
        </w:rPr>
        <w:lastRenderedPageBreak/>
        <w:t>US</w:t>
      </w:r>
      <w:r w:rsidR="00D176F2">
        <w:rPr>
          <w:rFonts w:asciiTheme="minorHAnsi" w:hAnsiTheme="minorHAnsi"/>
          <w:b/>
          <w:sz w:val="22"/>
          <w:szCs w:val="22"/>
          <w:vertAlign w:val="superscript"/>
        </w:rPr>
        <w:t>4,9</w:t>
      </w:r>
    </w:p>
    <w:tbl>
      <w:tblPr>
        <w:tblW w:w="7444" w:type="dxa"/>
        <w:tblLayout w:type="fixed"/>
        <w:tblCellMar>
          <w:left w:w="57" w:type="dxa"/>
          <w:right w:w="57" w:type="dxa"/>
        </w:tblCellMar>
        <w:tblLook w:val="04A0" w:firstRow="1" w:lastRow="0" w:firstColumn="1" w:lastColumn="0" w:noHBand="0" w:noVBand="1"/>
      </w:tblPr>
      <w:tblGrid>
        <w:gridCol w:w="3068"/>
        <w:gridCol w:w="1094"/>
        <w:gridCol w:w="1094"/>
        <w:gridCol w:w="1094"/>
        <w:gridCol w:w="1094"/>
      </w:tblGrid>
      <w:tr w:rsidR="00DD6F46" w:rsidRPr="00DD6F46" w14:paraId="0C1870AC" w14:textId="77777777" w:rsidTr="00DD6F46">
        <w:trPr>
          <w:trHeight w:val="255"/>
        </w:trPr>
        <w:tc>
          <w:tcPr>
            <w:tcW w:w="3068" w:type="dxa"/>
            <w:tcBorders>
              <w:top w:val="single" w:sz="8" w:space="0" w:color="auto"/>
              <w:left w:val="single" w:sz="8" w:space="0" w:color="auto"/>
              <w:bottom w:val="nil"/>
              <w:right w:val="nil"/>
            </w:tcBorders>
            <w:shd w:val="clear" w:color="auto" w:fill="auto"/>
            <w:noWrap/>
            <w:vAlign w:val="center"/>
            <w:hideMark/>
          </w:tcPr>
          <w:p w14:paraId="5AB2311A" w14:textId="77777777" w:rsidR="00DD6F46" w:rsidRPr="00DD6F46" w:rsidRDefault="00DD6F46" w:rsidP="00DD6F46">
            <w:pPr>
              <w:jc w:val="both"/>
              <w:rPr>
                <w:rFonts w:ascii="Calibri" w:hAnsi="Calibri" w:cs="Calibri"/>
                <w:b/>
                <w:bCs/>
                <w:sz w:val="20"/>
                <w:lang w:eastAsia="en-GB"/>
              </w:rPr>
            </w:pPr>
            <w:r w:rsidRPr="00DD6F46">
              <w:rPr>
                <w:rFonts w:ascii="Calibri" w:hAnsi="Calibri" w:cs="Calibri"/>
                <w:b/>
                <w:bCs/>
                <w:sz w:val="20"/>
                <w:lang w:eastAsia="en-GB"/>
              </w:rPr>
              <w:t> </w:t>
            </w:r>
          </w:p>
        </w:tc>
        <w:tc>
          <w:tcPr>
            <w:tcW w:w="1094" w:type="dxa"/>
            <w:tcBorders>
              <w:top w:val="single" w:sz="8" w:space="0" w:color="auto"/>
              <w:left w:val="nil"/>
              <w:bottom w:val="nil"/>
              <w:right w:val="nil"/>
            </w:tcBorders>
            <w:shd w:val="clear" w:color="auto" w:fill="auto"/>
            <w:noWrap/>
            <w:vAlign w:val="center"/>
            <w:hideMark/>
          </w:tcPr>
          <w:p w14:paraId="0112A7F0"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H1</w:t>
            </w:r>
          </w:p>
        </w:tc>
        <w:tc>
          <w:tcPr>
            <w:tcW w:w="1094" w:type="dxa"/>
            <w:tcBorders>
              <w:top w:val="single" w:sz="8" w:space="0" w:color="auto"/>
              <w:left w:val="nil"/>
              <w:bottom w:val="nil"/>
              <w:right w:val="nil"/>
            </w:tcBorders>
            <w:shd w:val="clear" w:color="auto" w:fill="auto"/>
            <w:noWrap/>
            <w:vAlign w:val="center"/>
            <w:hideMark/>
          </w:tcPr>
          <w:p w14:paraId="43C14E78"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H1</w:t>
            </w:r>
          </w:p>
        </w:tc>
        <w:tc>
          <w:tcPr>
            <w:tcW w:w="1094" w:type="dxa"/>
            <w:tcBorders>
              <w:top w:val="single" w:sz="8" w:space="0" w:color="auto"/>
              <w:left w:val="nil"/>
              <w:bottom w:val="nil"/>
              <w:right w:val="nil"/>
            </w:tcBorders>
            <w:shd w:val="clear" w:color="auto" w:fill="auto"/>
            <w:noWrap/>
            <w:vAlign w:val="center"/>
            <w:hideMark/>
          </w:tcPr>
          <w:p w14:paraId="69EC38D8"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 </w:t>
            </w:r>
          </w:p>
        </w:tc>
        <w:tc>
          <w:tcPr>
            <w:tcW w:w="1094" w:type="dxa"/>
            <w:tcBorders>
              <w:top w:val="single" w:sz="8" w:space="0" w:color="auto"/>
              <w:left w:val="nil"/>
              <w:bottom w:val="nil"/>
              <w:right w:val="single" w:sz="8" w:space="0" w:color="auto"/>
            </w:tcBorders>
            <w:shd w:val="clear" w:color="auto" w:fill="auto"/>
            <w:noWrap/>
            <w:vAlign w:val="center"/>
            <w:hideMark/>
          </w:tcPr>
          <w:p w14:paraId="264DA750"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CC</w:t>
            </w:r>
          </w:p>
        </w:tc>
      </w:tr>
      <w:tr w:rsidR="00DD6F46" w:rsidRPr="00DD6F46" w14:paraId="4021C448"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20A72A56" w14:textId="77777777" w:rsidR="00DD6F46" w:rsidRPr="00DD6F46" w:rsidRDefault="00DD6F46" w:rsidP="00DD6F46">
            <w:pPr>
              <w:jc w:val="both"/>
              <w:rPr>
                <w:rFonts w:ascii="Calibri" w:hAnsi="Calibri" w:cs="Calibri"/>
                <w:b/>
                <w:bCs/>
                <w:sz w:val="20"/>
                <w:lang w:eastAsia="en-GB"/>
              </w:rPr>
            </w:pPr>
            <w:r w:rsidRPr="00DD6F46">
              <w:rPr>
                <w:rFonts w:ascii="Calibri" w:hAnsi="Calibri" w:cs="Calibri"/>
                <w:b/>
                <w:bCs/>
                <w:sz w:val="20"/>
                <w:lang w:eastAsia="en-GB"/>
              </w:rPr>
              <w:t> </w:t>
            </w:r>
          </w:p>
        </w:tc>
        <w:tc>
          <w:tcPr>
            <w:tcW w:w="1094" w:type="dxa"/>
            <w:tcBorders>
              <w:top w:val="nil"/>
              <w:left w:val="nil"/>
              <w:bottom w:val="nil"/>
              <w:right w:val="nil"/>
            </w:tcBorders>
            <w:shd w:val="clear" w:color="auto" w:fill="auto"/>
            <w:noWrap/>
            <w:vAlign w:val="center"/>
            <w:hideMark/>
          </w:tcPr>
          <w:p w14:paraId="480FF364"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2020</w:t>
            </w:r>
          </w:p>
        </w:tc>
        <w:tc>
          <w:tcPr>
            <w:tcW w:w="1094" w:type="dxa"/>
            <w:tcBorders>
              <w:top w:val="nil"/>
              <w:left w:val="nil"/>
              <w:bottom w:val="nil"/>
              <w:right w:val="nil"/>
            </w:tcBorders>
            <w:shd w:val="clear" w:color="auto" w:fill="auto"/>
            <w:noWrap/>
            <w:vAlign w:val="center"/>
            <w:hideMark/>
          </w:tcPr>
          <w:p w14:paraId="26F92E7A"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2019</w:t>
            </w:r>
          </w:p>
        </w:tc>
        <w:tc>
          <w:tcPr>
            <w:tcW w:w="1094" w:type="dxa"/>
            <w:tcBorders>
              <w:top w:val="nil"/>
              <w:left w:val="nil"/>
              <w:bottom w:val="nil"/>
              <w:right w:val="nil"/>
            </w:tcBorders>
            <w:shd w:val="clear" w:color="auto" w:fill="auto"/>
            <w:noWrap/>
            <w:vAlign w:val="center"/>
            <w:hideMark/>
          </w:tcPr>
          <w:p w14:paraId="4078CE6B"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Change</w:t>
            </w:r>
          </w:p>
        </w:tc>
        <w:tc>
          <w:tcPr>
            <w:tcW w:w="1094" w:type="dxa"/>
            <w:tcBorders>
              <w:top w:val="nil"/>
              <w:left w:val="nil"/>
              <w:bottom w:val="nil"/>
              <w:right w:val="single" w:sz="8" w:space="0" w:color="auto"/>
            </w:tcBorders>
            <w:shd w:val="clear" w:color="auto" w:fill="auto"/>
            <w:noWrap/>
            <w:vAlign w:val="center"/>
            <w:hideMark/>
          </w:tcPr>
          <w:p w14:paraId="7593BF60"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Change</w:t>
            </w:r>
          </w:p>
        </w:tc>
      </w:tr>
      <w:tr w:rsidR="00DD6F46" w:rsidRPr="00DD6F46" w14:paraId="652E4949" w14:textId="77777777" w:rsidTr="00DD6F46">
        <w:trPr>
          <w:trHeight w:val="255"/>
        </w:trPr>
        <w:tc>
          <w:tcPr>
            <w:tcW w:w="3068" w:type="dxa"/>
            <w:tcBorders>
              <w:top w:val="nil"/>
              <w:left w:val="single" w:sz="8" w:space="0" w:color="auto"/>
              <w:bottom w:val="single" w:sz="8" w:space="0" w:color="auto"/>
              <w:right w:val="nil"/>
            </w:tcBorders>
            <w:shd w:val="clear" w:color="auto" w:fill="auto"/>
            <w:hideMark/>
          </w:tcPr>
          <w:p w14:paraId="6A73C21D" w14:textId="77777777" w:rsidR="00DD6F46" w:rsidRPr="00DD6F46" w:rsidRDefault="00DD6F46" w:rsidP="00DD6F46">
            <w:pPr>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Pro forma</w:t>
            </w:r>
          </w:p>
        </w:tc>
        <w:tc>
          <w:tcPr>
            <w:tcW w:w="1094" w:type="dxa"/>
            <w:tcBorders>
              <w:top w:val="nil"/>
              <w:left w:val="nil"/>
              <w:bottom w:val="single" w:sz="8" w:space="0" w:color="auto"/>
              <w:right w:val="nil"/>
            </w:tcBorders>
            <w:shd w:val="clear" w:color="auto" w:fill="auto"/>
            <w:noWrap/>
            <w:vAlign w:val="center"/>
            <w:hideMark/>
          </w:tcPr>
          <w:p w14:paraId="75EAC912"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£m</w:t>
            </w:r>
          </w:p>
        </w:tc>
        <w:tc>
          <w:tcPr>
            <w:tcW w:w="1094" w:type="dxa"/>
            <w:tcBorders>
              <w:top w:val="nil"/>
              <w:left w:val="nil"/>
              <w:bottom w:val="single" w:sz="8" w:space="0" w:color="auto"/>
              <w:right w:val="nil"/>
            </w:tcBorders>
            <w:shd w:val="clear" w:color="auto" w:fill="auto"/>
            <w:noWrap/>
            <w:vAlign w:val="center"/>
            <w:hideMark/>
          </w:tcPr>
          <w:p w14:paraId="4B309F04"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£m</w:t>
            </w:r>
          </w:p>
        </w:tc>
        <w:tc>
          <w:tcPr>
            <w:tcW w:w="1094" w:type="dxa"/>
            <w:tcBorders>
              <w:top w:val="nil"/>
              <w:left w:val="nil"/>
              <w:bottom w:val="single" w:sz="8" w:space="0" w:color="auto"/>
              <w:right w:val="nil"/>
            </w:tcBorders>
            <w:shd w:val="clear" w:color="auto" w:fill="auto"/>
            <w:noWrap/>
            <w:vAlign w:val="center"/>
            <w:hideMark/>
          </w:tcPr>
          <w:p w14:paraId="23513073"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w:t>
            </w:r>
          </w:p>
        </w:tc>
        <w:tc>
          <w:tcPr>
            <w:tcW w:w="1094" w:type="dxa"/>
            <w:tcBorders>
              <w:top w:val="nil"/>
              <w:left w:val="nil"/>
              <w:bottom w:val="single" w:sz="8" w:space="0" w:color="auto"/>
              <w:right w:val="single" w:sz="8" w:space="0" w:color="auto"/>
            </w:tcBorders>
            <w:shd w:val="clear" w:color="auto" w:fill="auto"/>
            <w:noWrap/>
            <w:vAlign w:val="center"/>
            <w:hideMark/>
          </w:tcPr>
          <w:p w14:paraId="7CBC7701"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US$</w:t>
            </w:r>
          </w:p>
        </w:tc>
      </w:tr>
      <w:tr w:rsidR="00DD6F46" w:rsidRPr="00DD6F46" w14:paraId="7B187044"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3BBE7353" w14:textId="77777777" w:rsidR="00DD6F46" w:rsidRPr="00DD6F46" w:rsidRDefault="00DD6F46" w:rsidP="00DD6F46">
            <w:pPr>
              <w:jc w:val="both"/>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c>
          <w:tcPr>
            <w:tcW w:w="1094" w:type="dxa"/>
            <w:tcBorders>
              <w:top w:val="nil"/>
              <w:left w:val="nil"/>
              <w:bottom w:val="nil"/>
              <w:right w:val="nil"/>
            </w:tcBorders>
            <w:shd w:val="clear" w:color="auto" w:fill="auto"/>
            <w:noWrap/>
            <w:vAlign w:val="center"/>
            <w:hideMark/>
          </w:tcPr>
          <w:p w14:paraId="145B1005" w14:textId="77777777" w:rsidR="00DD6F46" w:rsidRPr="00DD6F46" w:rsidRDefault="00DD6F46" w:rsidP="00DD6F46">
            <w:pPr>
              <w:jc w:val="both"/>
              <w:rPr>
                <w:rFonts w:ascii="Calibri" w:hAnsi="Calibri" w:cs="Calibri"/>
                <w:b/>
                <w:bCs/>
                <w:color w:val="FF0000"/>
                <w:sz w:val="2"/>
                <w:szCs w:val="2"/>
                <w:lang w:eastAsia="en-GB"/>
              </w:rPr>
            </w:pPr>
          </w:p>
        </w:tc>
        <w:tc>
          <w:tcPr>
            <w:tcW w:w="1094" w:type="dxa"/>
            <w:tcBorders>
              <w:top w:val="nil"/>
              <w:left w:val="nil"/>
              <w:bottom w:val="nil"/>
              <w:right w:val="nil"/>
            </w:tcBorders>
            <w:shd w:val="clear" w:color="auto" w:fill="auto"/>
            <w:noWrap/>
            <w:vAlign w:val="center"/>
            <w:hideMark/>
          </w:tcPr>
          <w:p w14:paraId="048253A1"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6CF09BA"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FB4EDED" w14:textId="77777777" w:rsidR="00DD6F46" w:rsidRPr="00DD6F46" w:rsidRDefault="00DD6F46" w:rsidP="00DD6F46">
            <w:pPr>
              <w:jc w:val="right"/>
              <w:rPr>
                <w:rFonts w:ascii="Calibri" w:hAnsi="Calibri" w:cs="Calibri"/>
                <w:b/>
                <w:bCs/>
                <w:color w:val="000000"/>
                <w:sz w:val="2"/>
                <w:szCs w:val="2"/>
                <w:lang w:eastAsia="en-GB"/>
              </w:rPr>
            </w:pPr>
            <w:r w:rsidRPr="00DD6F46">
              <w:rPr>
                <w:rFonts w:ascii="Calibri" w:hAnsi="Calibri" w:cs="Calibri"/>
                <w:b/>
                <w:bCs/>
                <w:color w:val="000000"/>
                <w:sz w:val="2"/>
                <w:szCs w:val="2"/>
                <w:lang w:eastAsia="en-GB"/>
              </w:rPr>
              <w:t> </w:t>
            </w:r>
          </w:p>
        </w:tc>
      </w:tr>
      <w:tr w:rsidR="00DD6F46" w:rsidRPr="00DD6F46" w14:paraId="5C3FFF95"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7397D25E"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Sportsbook stakes</w:t>
            </w:r>
          </w:p>
        </w:tc>
        <w:tc>
          <w:tcPr>
            <w:tcW w:w="1094" w:type="dxa"/>
            <w:tcBorders>
              <w:top w:val="nil"/>
              <w:left w:val="nil"/>
              <w:bottom w:val="nil"/>
              <w:right w:val="nil"/>
            </w:tcBorders>
            <w:shd w:val="clear" w:color="auto" w:fill="auto"/>
            <w:noWrap/>
            <w:vAlign w:val="center"/>
            <w:hideMark/>
          </w:tcPr>
          <w:p w14:paraId="226E4F1F"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1,090</w:t>
            </w:r>
          </w:p>
        </w:tc>
        <w:tc>
          <w:tcPr>
            <w:tcW w:w="1094" w:type="dxa"/>
            <w:tcBorders>
              <w:top w:val="nil"/>
              <w:left w:val="nil"/>
              <w:bottom w:val="nil"/>
              <w:right w:val="nil"/>
            </w:tcBorders>
            <w:shd w:val="clear" w:color="auto" w:fill="auto"/>
            <w:noWrap/>
            <w:vAlign w:val="center"/>
            <w:hideMark/>
          </w:tcPr>
          <w:p w14:paraId="7CDE0C2F"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862</w:t>
            </w:r>
          </w:p>
        </w:tc>
        <w:tc>
          <w:tcPr>
            <w:tcW w:w="1094" w:type="dxa"/>
            <w:tcBorders>
              <w:top w:val="nil"/>
              <w:left w:val="nil"/>
              <w:bottom w:val="nil"/>
              <w:right w:val="nil"/>
            </w:tcBorders>
            <w:shd w:val="clear" w:color="auto" w:fill="auto"/>
            <w:noWrap/>
            <w:vAlign w:val="center"/>
            <w:hideMark/>
          </w:tcPr>
          <w:p w14:paraId="6D86628E"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+26%</w:t>
            </w:r>
          </w:p>
        </w:tc>
        <w:tc>
          <w:tcPr>
            <w:tcW w:w="1094" w:type="dxa"/>
            <w:tcBorders>
              <w:top w:val="nil"/>
              <w:left w:val="nil"/>
              <w:bottom w:val="nil"/>
              <w:right w:val="single" w:sz="8" w:space="0" w:color="auto"/>
            </w:tcBorders>
            <w:shd w:val="clear" w:color="auto" w:fill="auto"/>
            <w:noWrap/>
            <w:vAlign w:val="center"/>
            <w:hideMark/>
          </w:tcPr>
          <w:p w14:paraId="577FC89C"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+23%</w:t>
            </w:r>
          </w:p>
        </w:tc>
      </w:tr>
      <w:tr w:rsidR="00DD6F46" w:rsidRPr="00DD6F46" w14:paraId="339CD2F8"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1E3CDB16" w14:textId="77777777" w:rsidR="00DD6F46" w:rsidRPr="00DD6F46" w:rsidRDefault="00DD6F46" w:rsidP="00DD6F46">
            <w:pPr>
              <w:jc w:val="both"/>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Sportsbook net revenue margin</w:t>
            </w:r>
          </w:p>
        </w:tc>
        <w:tc>
          <w:tcPr>
            <w:tcW w:w="1094" w:type="dxa"/>
            <w:tcBorders>
              <w:top w:val="nil"/>
              <w:left w:val="nil"/>
              <w:bottom w:val="nil"/>
              <w:right w:val="nil"/>
            </w:tcBorders>
            <w:shd w:val="clear" w:color="auto" w:fill="auto"/>
            <w:noWrap/>
            <w:vAlign w:val="center"/>
            <w:hideMark/>
          </w:tcPr>
          <w:p w14:paraId="1FAD9A4F"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4.9%</w:t>
            </w:r>
          </w:p>
        </w:tc>
        <w:tc>
          <w:tcPr>
            <w:tcW w:w="1094" w:type="dxa"/>
            <w:tcBorders>
              <w:top w:val="nil"/>
              <w:left w:val="nil"/>
              <w:bottom w:val="nil"/>
              <w:right w:val="nil"/>
            </w:tcBorders>
            <w:shd w:val="clear" w:color="auto" w:fill="auto"/>
            <w:noWrap/>
            <w:vAlign w:val="center"/>
            <w:hideMark/>
          </w:tcPr>
          <w:p w14:paraId="62058ED5"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4.0%</w:t>
            </w:r>
          </w:p>
        </w:tc>
        <w:tc>
          <w:tcPr>
            <w:tcW w:w="1094" w:type="dxa"/>
            <w:tcBorders>
              <w:top w:val="nil"/>
              <w:left w:val="nil"/>
              <w:bottom w:val="nil"/>
              <w:right w:val="nil"/>
            </w:tcBorders>
            <w:shd w:val="clear" w:color="auto" w:fill="auto"/>
            <w:noWrap/>
            <w:vAlign w:val="center"/>
            <w:hideMark/>
          </w:tcPr>
          <w:p w14:paraId="0A455BD2"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+90bps</w:t>
            </w:r>
          </w:p>
        </w:tc>
        <w:tc>
          <w:tcPr>
            <w:tcW w:w="1094" w:type="dxa"/>
            <w:tcBorders>
              <w:top w:val="nil"/>
              <w:left w:val="nil"/>
              <w:bottom w:val="nil"/>
              <w:right w:val="single" w:sz="8" w:space="0" w:color="auto"/>
            </w:tcBorders>
            <w:shd w:val="clear" w:color="auto" w:fill="auto"/>
            <w:noWrap/>
            <w:vAlign w:val="center"/>
            <w:hideMark/>
          </w:tcPr>
          <w:p w14:paraId="21E043FC"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+90bps</w:t>
            </w:r>
          </w:p>
        </w:tc>
      </w:tr>
      <w:tr w:rsidR="00DD6F46" w:rsidRPr="00DD6F46" w14:paraId="29FF9107"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22564551"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62AE0A5E"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49D09F1A"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637471F3"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05445863"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2B867C48"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4C6B82D3"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Sports revenue</w:t>
            </w:r>
          </w:p>
        </w:tc>
        <w:tc>
          <w:tcPr>
            <w:tcW w:w="1094" w:type="dxa"/>
            <w:tcBorders>
              <w:top w:val="nil"/>
              <w:left w:val="nil"/>
              <w:bottom w:val="nil"/>
              <w:right w:val="nil"/>
            </w:tcBorders>
            <w:shd w:val="clear" w:color="auto" w:fill="auto"/>
            <w:noWrap/>
            <w:vAlign w:val="center"/>
            <w:hideMark/>
          </w:tcPr>
          <w:p w14:paraId="5386A4DB"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164</w:t>
            </w:r>
          </w:p>
        </w:tc>
        <w:tc>
          <w:tcPr>
            <w:tcW w:w="1094" w:type="dxa"/>
            <w:tcBorders>
              <w:top w:val="nil"/>
              <w:left w:val="nil"/>
              <w:bottom w:val="nil"/>
              <w:right w:val="nil"/>
            </w:tcBorders>
            <w:shd w:val="clear" w:color="auto" w:fill="auto"/>
            <w:noWrap/>
            <w:vAlign w:val="center"/>
            <w:hideMark/>
          </w:tcPr>
          <w:p w14:paraId="6F6F34FB"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140</w:t>
            </w:r>
          </w:p>
        </w:tc>
        <w:tc>
          <w:tcPr>
            <w:tcW w:w="1094" w:type="dxa"/>
            <w:tcBorders>
              <w:top w:val="nil"/>
              <w:left w:val="nil"/>
              <w:bottom w:val="nil"/>
              <w:right w:val="nil"/>
            </w:tcBorders>
            <w:shd w:val="clear" w:color="auto" w:fill="auto"/>
            <w:noWrap/>
            <w:vAlign w:val="center"/>
            <w:hideMark/>
          </w:tcPr>
          <w:p w14:paraId="18506FB5"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+18%</w:t>
            </w:r>
          </w:p>
        </w:tc>
        <w:tc>
          <w:tcPr>
            <w:tcW w:w="1094" w:type="dxa"/>
            <w:tcBorders>
              <w:top w:val="nil"/>
              <w:left w:val="nil"/>
              <w:bottom w:val="nil"/>
              <w:right w:val="single" w:sz="8" w:space="0" w:color="auto"/>
            </w:tcBorders>
            <w:shd w:val="clear" w:color="auto" w:fill="auto"/>
            <w:noWrap/>
            <w:vAlign w:val="center"/>
            <w:hideMark/>
          </w:tcPr>
          <w:p w14:paraId="60DA233B"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+14%</w:t>
            </w:r>
          </w:p>
        </w:tc>
      </w:tr>
      <w:tr w:rsidR="00DD6F46" w:rsidRPr="00DD6F46" w14:paraId="61F4EA36"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615A9492"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Gaming revenue</w:t>
            </w:r>
          </w:p>
        </w:tc>
        <w:tc>
          <w:tcPr>
            <w:tcW w:w="1094" w:type="dxa"/>
            <w:tcBorders>
              <w:top w:val="nil"/>
              <w:left w:val="nil"/>
              <w:bottom w:val="single" w:sz="8" w:space="0" w:color="auto"/>
              <w:right w:val="nil"/>
            </w:tcBorders>
            <w:shd w:val="clear" w:color="auto" w:fill="auto"/>
            <w:noWrap/>
            <w:vAlign w:val="center"/>
            <w:hideMark/>
          </w:tcPr>
          <w:p w14:paraId="6B028AA4"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113</w:t>
            </w:r>
          </w:p>
        </w:tc>
        <w:tc>
          <w:tcPr>
            <w:tcW w:w="1094" w:type="dxa"/>
            <w:tcBorders>
              <w:top w:val="nil"/>
              <w:left w:val="nil"/>
              <w:bottom w:val="single" w:sz="8" w:space="0" w:color="auto"/>
              <w:right w:val="nil"/>
            </w:tcBorders>
            <w:shd w:val="clear" w:color="auto" w:fill="auto"/>
            <w:noWrap/>
            <w:vAlign w:val="center"/>
            <w:hideMark/>
          </w:tcPr>
          <w:p w14:paraId="5B8D9B1B"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23</w:t>
            </w:r>
          </w:p>
        </w:tc>
        <w:tc>
          <w:tcPr>
            <w:tcW w:w="1094" w:type="dxa"/>
            <w:tcBorders>
              <w:top w:val="nil"/>
              <w:left w:val="nil"/>
              <w:bottom w:val="single" w:sz="8" w:space="0" w:color="auto"/>
              <w:right w:val="nil"/>
            </w:tcBorders>
            <w:shd w:val="clear" w:color="auto" w:fill="auto"/>
            <w:noWrap/>
            <w:vAlign w:val="center"/>
            <w:hideMark/>
          </w:tcPr>
          <w:p w14:paraId="62843971"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+394%</w:t>
            </w:r>
          </w:p>
        </w:tc>
        <w:tc>
          <w:tcPr>
            <w:tcW w:w="1094" w:type="dxa"/>
            <w:tcBorders>
              <w:top w:val="nil"/>
              <w:left w:val="nil"/>
              <w:bottom w:val="single" w:sz="8" w:space="0" w:color="auto"/>
              <w:right w:val="single" w:sz="8" w:space="0" w:color="auto"/>
            </w:tcBorders>
            <w:shd w:val="clear" w:color="auto" w:fill="auto"/>
            <w:noWrap/>
            <w:vAlign w:val="center"/>
            <w:hideMark/>
          </w:tcPr>
          <w:p w14:paraId="059C8DB4"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+380%</w:t>
            </w:r>
          </w:p>
        </w:tc>
      </w:tr>
      <w:tr w:rsidR="00DD6F46" w:rsidRPr="00DD6F46" w14:paraId="6E8B63E2"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0BC9FFD3"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Total revenue</w:t>
            </w:r>
          </w:p>
        </w:tc>
        <w:tc>
          <w:tcPr>
            <w:tcW w:w="1094" w:type="dxa"/>
            <w:tcBorders>
              <w:top w:val="nil"/>
              <w:left w:val="nil"/>
              <w:bottom w:val="nil"/>
              <w:right w:val="nil"/>
            </w:tcBorders>
            <w:shd w:val="clear" w:color="auto" w:fill="auto"/>
            <w:noWrap/>
            <w:vAlign w:val="center"/>
            <w:hideMark/>
          </w:tcPr>
          <w:p w14:paraId="5F67EBD6"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278</w:t>
            </w:r>
          </w:p>
        </w:tc>
        <w:tc>
          <w:tcPr>
            <w:tcW w:w="1094" w:type="dxa"/>
            <w:tcBorders>
              <w:top w:val="nil"/>
              <w:left w:val="nil"/>
              <w:bottom w:val="nil"/>
              <w:right w:val="nil"/>
            </w:tcBorders>
            <w:shd w:val="clear" w:color="auto" w:fill="auto"/>
            <w:noWrap/>
            <w:vAlign w:val="center"/>
            <w:hideMark/>
          </w:tcPr>
          <w:p w14:paraId="30CF54B3"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163</w:t>
            </w:r>
          </w:p>
        </w:tc>
        <w:tc>
          <w:tcPr>
            <w:tcW w:w="1094" w:type="dxa"/>
            <w:tcBorders>
              <w:top w:val="nil"/>
              <w:left w:val="nil"/>
              <w:bottom w:val="nil"/>
              <w:right w:val="nil"/>
            </w:tcBorders>
            <w:shd w:val="clear" w:color="auto" w:fill="auto"/>
            <w:noWrap/>
            <w:vAlign w:val="center"/>
            <w:hideMark/>
          </w:tcPr>
          <w:p w14:paraId="1CF1165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+71%</w:t>
            </w:r>
          </w:p>
        </w:tc>
        <w:tc>
          <w:tcPr>
            <w:tcW w:w="1094" w:type="dxa"/>
            <w:tcBorders>
              <w:top w:val="nil"/>
              <w:left w:val="nil"/>
              <w:bottom w:val="nil"/>
              <w:right w:val="single" w:sz="8" w:space="0" w:color="auto"/>
            </w:tcBorders>
            <w:shd w:val="clear" w:color="auto" w:fill="auto"/>
            <w:noWrap/>
            <w:vAlign w:val="center"/>
            <w:hideMark/>
          </w:tcPr>
          <w:p w14:paraId="67F2F419"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+66%</w:t>
            </w:r>
          </w:p>
        </w:tc>
      </w:tr>
      <w:tr w:rsidR="00DD6F46" w:rsidRPr="00DD6F46" w14:paraId="50827497"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7483B827"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7C3CB576"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400A7577" w14:textId="77777777" w:rsidR="00DD6F46" w:rsidRPr="00DD6F46" w:rsidRDefault="00DD6F46" w:rsidP="00DD6F46">
            <w:pPr>
              <w:jc w:val="both"/>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6C492AF9" w14:textId="77777777" w:rsidR="00DD6F46" w:rsidRPr="00DD6F46" w:rsidRDefault="00DD6F46" w:rsidP="00DD6F46">
            <w:pPr>
              <w:jc w:val="both"/>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4E027D01"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2A5FA5CE"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37BFADE8"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Cost of sales</w:t>
            </w:r>
          </w:p>
        </w:tc>
        <w:tc>
          <w:tcPr>
            <w:tcW w:w="1094" w:type="dxa"/>
            <w:tcBorders>
              <w:top w:val="nil"/>
              <w:left w:val="nil"/>
              <w:bottom w:val="nil"/>
              <w:right w:val="nil"/>
            </w:tcBorders>
            <w:shd w:val="clear" w:color="auto" w:fill="auto"/>
            <w:noWrap/>
            <w:vAlign w:val="center"/>
            <w:hideMark/>
          </w:tcPr>
          <w:p w14:paraId="4F7F6A15"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(116)</w:t>
            </w:r>
          </w:p>
        </w:tc>
        <w:tc>
          <w:tcPr>
            <w:tcW w:w="1094" w:type="dxa"/>
            <w:tcBorders>
              <w:top w:val="nil"/>
              <w:left w:val="nil"/>
              <w:bottom w:val="nil"/>
              <w:right w:val="nil"/>
            </w:tcBorders>
            <w:shd w:val="clear" w:color="auto" w:fill="auto"/>
            <w:noWrap/>
            <w:vAlign w:val="center"/>
            <w:hideMark/>
          </w:tcPr>
          <w:p w14:paraId="6615886F"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(46)</w:t>
            </w:r>
          </w:p>
        </w:tc>
        <w:tc>
          <w:tcPr>
            <w:tcW w:w="1094" w:type="dxa"/>
            <w:tcBorders>
              <w:top w:val="nil"/>
              <w:left w:val="nil"/>
              <w:bottom w:val="nil"/>
              <w:right w:val="nil"/>
            </w:tcBorders>
            <w:shd w:val="clear" w:color="auto" w:fill="auto"/>
            <w:noWrap/>
            <w:vAlign w:val="center"/>
            <w:hideMark/>
          </w:tcPr>
          <w:p w14:paraId="631FFE3D"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+153%</w:t>
            </w:r>
          </w:p>
        </w:tc>
        <w:tc>
          <w:tcPr>
            <w:tcW w:w="1094" w:type="dxa"/>
            <w:tcBorders>
              <w:top w:val="nil"/>
              <w:left w:val="nil"/>
              <w:bottom w:val="nil"/>
              <w:right w:val="single" w:sz="8" w:space="0" w:color="auto"/>
            </w:tcBorders>
            <w:shd w:val="clear" w:color="auto" w:fill="auto"/>
            <w:noWrap/>
            <w:vAlign w:val="center"/>
            <w:hideMark/>
          </w:tcPr>
          <w:p w14:paraId="5D6943EC"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+145%</w:t>
            </w:r>
          </w:p>
        </w:tc>
      </w:tr>
      <w:tr w:rsidR="00DD6F46" w:rsidRPr="00DD6F46" w14:paraId="110BE844"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326886FC" w14:textId="77777777" w:rsidR="00DD6F46" w:rsidRPr="00DD6F46" w:rsidRDefault="00DD6F46" w:rsidP="00DD6F46">
            <w:pPr>
              <w:jc w:val="both"/>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Cost of sales as a % of net revenue</w:t>
            </w:r>
          </w:p>
        </w:tc>
        <w:tc>
          <w:tcPr>
            <w:tcW w:w="1094" w:type="dxa"/>
            <w:tcBorders>
              <w:top w:val="nil"/>
              <w:left w:val="nil"/>
              <w:bottom w:val="nil"/>
              <w:right w:val="nil"/>
            </w:tcBorders>
            <w:shd w:val="clear" w:color="auto" w:fill="auto"/>
            <w:noWrap/>
            <w:vAlign w:val="center"/>
            <w:hideMark/>
          </w:tcPr>
          <w:p w14:paraId="6F0F3F65"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41.9%</w:t>
            </w:r>
          </w:p>
        </w:tc>
        <w:tc>
          <w:tcPr>
            <w:tcW w:w="1094" w:type="dxa"/>
            <w:tcBorders>
              <w:top w:val="nil"/>
              <w:left w:val="nil"/>
              <w:bottom w:val="nil"/>
              <w:right w:val="nil"/>
            </w:tcBorders>
            <w:shd w:val="clear" w:color="auto" w:fill="auto"/>
            <w:noWrap/>
            <w:vAlign w:val="center"/>
            <w:hideMark/>
          </w:tcPr>
          <w:p w14:paraId="36FFFB54"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28.3%</w:t>
            </w:r>
          </w:p>
        </w:tc>
        <w:tc>
          <w:tcPr>
            <w:tcW w:w="1094" w:type="dxa"/>
            <w:tcBorders>
              <w:top w:val="nil"/>
              <w:left w:val="nil"/>
              <w:bottom w:val="nil"/>
              <w:right w:val="nil"/>
            </w:tcBorders>
            <w:shd w:val="clear" w:color="auto" w:fill="auto"/>
            <w:noWrap/>
            <w:vAlign w:val="center"/>
            <w:hideMark/>
          </w:tcPr>
          <w:p w14:paraId="1559A640"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+1,360bps</w:t>
            </w:r>
          </w:p>
        </w:tc>
        <w:tc>
          <w:tcPr>
            <w:tcW w:w="1094" w:type="dxa"/>
            <w:tcBorders>
              <w:top w:val="nil"/>
              <w:left w:val="nil"/>
              <w:bottom w:val="nil"/>
              <w:right w:val="single" w:sz="8" w:space="0" w:color="auto"/>
            </w:tcBorders>
            <w:shd w:val="clear" w:color="auto" w:fill="auto"/>
            <w:noWrap/>
            <w:vAlign w:val="center"/>
            <w:hideMark/>
          </w:tcPr>
          <w:p w14:paraId="2B4BABD6"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+1,360bps</w:t>
            </w:r>
          </w:p>
        </w:tc>
      </w:tr>
      <w:tr w:rsidR="00DD6F46" w:rsidRPr="00DD6F46" w14:paraId="26E25A0F"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10DA4309"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204A6AF1"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61F55BA4"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CC99658"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7C9979CB"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642D6E82"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54A5A7EC"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Gross profit</w:t>
            </w:r>
          </w:p>
        </w:tc>
        <w:tc>
          <w:tcPr>
            <w:tcW w:w="1094" w:type="dxa"/>
            <w:tcBorders>
              <w:top w:val="nil"/>
              <w:left w:val="nil"/>
              <w:bottom w:val="nil"/>
              <w:right w:val="nil"/>
            </w:tcBorders>
            <w:shd w:val="clear" w:color="auto" w:fill="auto"/>
            <w:noWrap/>
            <w:vAlign w:val="center"/>
            <w:hideMark/>
          </w:tcPr>
          <w:p w14:paraId="7227E49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162</w:t>
            </w:r>
          </w:p>
        </w:tc>
        <w:tc>
          <w:tcPr>
            <w:tcW w:w="1094" w:type="dxa"/>
            <w:tcBorders>
              <w:top w:val="nil"/>
              <w:left w:val="nil"/>
              <w:bottom w:val="nil"/>
              <w:right w:val="nil"/>
            </w:tcBorders>
            <w:shd w:val="clear" w:color="auto" w:fill="auto"/>
            <w:noWrap/>
            <w:vAlign w:val="center"/>
            <w:hideMark/>
          </w:tcPr>
          <w:p w14:paraId="7F798F94"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117</w:t>
            </w:r>
          </w:p>
        </w:tc>
        <w:tc>
          <w:tcPr>
            <w:tcW w:w="1094" w:type="dxa"/>
            <w:tcBorders>
              <w:top w:val="nil"/>
              <w:left w:val="nil"/>
              <w:bottom w:val="nil"/>
              <w:right w:val="nil"/>
            </w:tcBorders>
            <w:shd w:val="clear" w:color="auto" w:fill="auto"/>
            <w:noWrap/>
            <w:vAlign w:val="center"/>
            <w:hideMark/>
          </w:tcPr>
          <w:p w14:paraId="75862469"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+38%</w:t>
            </w:r>
          </w:p>
        </w:tc>
        <w:tc>
          <w:tcPr>
            <w:tcW w:w="1094" w:type="dxa"/>
            <w:tcBorders>
              <w:top w:val="nil"/>
              <w:left w:val="nil"/>
              <w:bottom w:val="nil"/>
              <w:right w:val="single" w:sz="8" w:space="0" w:color="auto"/>
            </w:tcBorders>
            <w:shd w:val="clear" w:color="auto" w:fill="auto"/>
            <w:noWrap/>
            <w:vAlign w:val="center"/>
            <w:hideMark/>
          </w:tcPr>
          <w:p w14:paraId="362FD5E4"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+34%</w:t>
            </w:r>
          </w:p>
        </w:tc>
      </w:tr>
      <w:tr w:rsidR="00DD6F46" w:rsidRPr="00DD6F46" w14:paraId="2844782C"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3DF55388"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07926E3D"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179BC7DF"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4E4F61D8"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56697F46"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496F04A9"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65C2FE5B"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Sales and marketing</w:t>
            </w:r>
          </w:p>
        </w:tc>
        <w:tc>
          <w:tcPr>
            <w:tcW w:w="1094" w:type="dxa"/>
            <w:tcBorders>
              <w:top w:val="nil"/>
              <w:left w:val="nil"/>
              <w:bottom w:val="single" w:sz="8" w:space="0" w:color="auto"/>
              <w:right w:val="nil"/>
            </w:tcBorders>
            <w:shd w:val="clear" w:color="auto" w:fill="auto"/>
            <w:noWrap/>
            <w:vAlign w:val="center"/>
            <w:hideMark/>
          </w:tcPr>
          <w:p w14:paraId="04A4E91D"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(88)</w:t>
            </w:r>
          </w:p>
        </w:tc>
        <w:tc>
          <w:tcPr>
            <w:tcW w:w="1094" w:type="dxa"/>
            <w:tcBorders>
              <w:top w:val="nil"/>
              <w:left w:val="nil"/>
              <w:bottom w:val="single" w:sz="8" w:space="0" w:color="auto"/>
              <w:right w:val="nil"/>
            </w:tcBorders>
            <w:shd w:val="clear" w:color="auto" w:fill="auto"/>
            <w:noWrap/>
            <w:vAlign w:val="center"/>
            <w:hideMark/>
          </w:tcPr>
          <w:p w14:paraId="458FC145"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(53)</w:t>
            </w:r>
          </w:p>
        </w:tc>
        <w:tc>
          <w:tcPr>
            <w:tcW w:w="1094" w:type="dxa"/>
            <w:tcBorders>
              <w:top w:val="nil"/>
              <w:left w:val="nil"/>
              <w:bottom w:val="single" w:sz="8" w:space="0" w:color="auto"/>
              <w:right w:val="nil"/>
            </w:tcBorders>
            <w:shd w:val="clear" w:color="auto" w:fill="auto"/>
            <w:noWrap/>
            <w:vAlign w:val="center"/>
            <w:hideMark/>
          </w:tcPr>
          <w:p w14:paraId="36F655B3"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+67%</w:t>
            </w:r>
          </w:p>
        </w:tc>
        <w:tc>
          <w:tcPr>
            <w:tcW w:w="1094" w:type="dxa"/>
            <w:tcBorders>
              <w:top w:val="nil"/>
              <w:left w:val="nil"/>
              <w:bottom w:val="single" w:sz="8" w:space="0" w:color="auto"/>
              <w:right w:val="single" w:sz="8" w:space="0" w:color="auto"/>
            </w:tcBorders>
            <w:shd w:val="clear" w:color="auto" w:fill="auto"/>
            <w:noWrap/>
            <w:vAlign w:val="center"/>
            <w:hideMark/>
          </w:tcPr>
          <w:p w14:paraId="23428181"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+63%</w:t>
            </w:r>
          </w:p>
        </w:tc>
      </w:tr>
      <w:tr w:rsidR="00DD6F46" w:rsidRPr="00DD6F46" w14:paraId="6412DE4E"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43129638"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Contribution</w:t>
            </w:r>
          </w:p>
        </w:tc>
        <w:tc>
          <w:tcPr>
            <w:tcW w:w="1094" w:type="dxa"/>
            <w:tcBorders>
              <w:top w:val="nil"/>
              <w:left w:val="nil"/>
              <w:bottom w:val="nil"/>
              <w:right w:val="nil"/>
            </w:tcBorders>
            <w:shd w:val="clear" w:color="auto" w:fill="auto"/>
            <w:noWrap/>
            <w:vAlign w:val="center"/>
            <w:hideMark/>
          </w:tcPr>
          <w:p w14:paraId="3B19BF7B"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73</w:t>
            </w:r>
          </w:p>
        </w:tc>
        <w:tc>
          <w:tcPr>
            <w:tcW w:w="1094" w:type="dxa"/>
            <w:tcBorders>
              <w:top w:val="nil"/>
              <w:left w:val="nil"/>
              <w:bottom w:val="nil"/>
              <w:right w:val="nil"/>
            </w:tcBorders>
            <w:shd w:val="clear" w:color="auto" w:fill="auto"/>
            <w:noWrap/>
            <w:vAlign w:val="center"/>
            <w:hideMark/>
          </w:tcPr>
          <w:p w14:paraId="65D3A30E"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64</w:t>
            </w:r>
          </w:p>
        </w:tc>
        <w:tc>
          <w:tcPr>
            <w:tcW w:w="1094" w:type="dxa"/>
            <w:tcBorders>
              <w:top w:val="nil"/>
              <w:left w:val="nil"/>
              <w:bottom w:val="nil"/>
              <w:right w:val="nil"/>
            </w:tcBorders>
            <w:shd w:val="clear" w:color="auto" w:fill="auto"/>
            <w:noWrap/>
            <w:vAlign w:val="center"/>
            <w:hideMark/>
          </w:tcPr>
          <w:p w14:paraId="032333F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+14%</w:t>
            </w:r>
          </w:p>
        </w:tc>
        <w:tc>
          <w:tcPr>
            <w:tcW w:w="1094" w:type="dxa"/>
            <w:tcBorders>
              <w:top w:val="nil"/>
              <w:left w:val="nil"/>
              <w:bottom w:val="nil"/>
              <w:right w:val="single" w:sz="8" w:space="0" w:color="auto"/>
            </w:tcBorders>
            <w:shd w:val="clear" w:color="auto" w:fill="auto"/>
            <w:noWrap/>
            <w:vAlign w:val="center"/>
            <w:hideMark/>
          </w:tcPr>
          <w:p w14:paraId="788D6970"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+11%</w:t>
            </w:r>
          </w:p>
        </w:tc>
      </w:tr>
      <w:tr w:rsidR="00DD6F46" w:rsidRPr="00DD6F46" w14:paraId="6C2F9FA9"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42E74767"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3DAB17EE"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67C1D34F"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11D47357"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E598AD4"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4BFA70C7"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7A0CFC85"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Other operating costs</w:t>
            </w:r>
          </w:p>
        </w:tc>
        <w:tc>
          <w:tcPr>
            <w:tcW w:w="1094" w:type="dxa"/>
            <w:tcBorders>
              <w:top w:val="nil"/>
              <w:left w:val="nil"/>
              <w:bottom w:val="single" w:sz="8" w:space="0" w:color="auto"/>
              <w:right w:val="nil"/>
            </w:tcBorders>
            <w:shd w:val="clear" w:color="auto" w:fill="auto"/>
            <w:noWrap/>
            <w:vAlign w:val="center"/>
            <w:hideMark/>
          </w:tcPr>
          <w:p w14:paraId="5F406A55"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(92)</w:t>
            </w:r>
          </w:p>
        </w:tc>
        <w:tc>
          <w:tcPr>
            <w:tcW w:w="1094" w:type="dxa"/>
            <w:tcBorders>
              <w:top w:val="nil"/>
              <w:left w:val="nil"/>
              <w:bottom w:val="single" w:sz="8" w:space="0" w:color="auto"/>
              <w:right w:val="nil"/>
            </w:tcBorders>
            <w:shd w:val="clear" w:color="auto" w:fill="auto"/>
            <w:noWrap/>
            <w:vAlign w:val="center"/>
            <w:hideMark/>
          </w:tcPr>
          <w:p w14:paraId="453C2DFF"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(75)</w:t>
            </w:r>
          </w:p>
        </w:tc>
        <w:tc>
          <w:tcPr>
            <w:tcW w:w="1094" w:type="dxa"/>
            <w:tcBorders>
              <w:top w:val="nil"/>
              <w:left w:val="nil"/>
              <w:bottom w:val="single" w:sz="8" w:space="0" w:color="auto"/>
              <w:right w:val="nil"/>
            </w:tcBorders>
            <w:shd w:val="clear" w:color="auto" w:fill="auto"/>
            <w:noWrap/>
            <w:vAlign w:val="center"/>
            <w:hideMark/>
          </w:tcPr>
          <w:p w14:paraId="30BD77CA"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+23%</w:t>
            </w:r>
          </w:p>
        </w:tc>
        <w:tc>
          <w:tcPr>
            <w:tcW w:w="1094" w:type="dxa"/>
            <w:tcBorders>
              <w:top w:val="nil"/>
              <w:left w:val="nil"/>
              <w:bottom w:val="single" w:sz="8" w:space="0" w:color="auto"/>
              <w:right w:val="single" w:sz="8" w:space="0" w:color="auto"/>
            </w:tcBorders>
            <w:shd w:val="clear" w:color="auto" w:fill="auto"/>
            <w:noWrap/>
            <w:vAlign w:val="center"/>
            <w:hideMark/>
          </w:tcPr>
          <w:p w14:paraId="6FA9464A"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+19%</w:t>
            </w:r>
          </w:p>
        </w:tc>
      </w:tr>
      <w:tr w:rsidR="00DD6F46" w:rsidRPr="00DD6F46" w14:paraId="7328E76D"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61C571B6" w14:textId="77777777" w:rsidR="00DD6F46" w:rsidRPr="00DD6F46" w:rsidRDefault="00DD6F46" w:rsidP="00DD6F46">
            <w:pPr>
              <w:jc w:val="both"/>
              <w:rPr>
                <w:rFonts w:ascii="Calibri" w:hAnsi="Calibri" w:cs="Calibri"/>
                <w:b/>
                <w:bCs/>
                <w:color w:val="000000"/>
                <w:sz w:val="2"/>
                <w:szCs w:val="2"/>
                <w:lang w:eastAsia="en-GB"/>
              </w:rPr>
            </w:pPr>
            <w:r w:rsidRPr="00DD6F46">
              <w:rPr>
                <w:rFonts w:ascii="Calibri" w:hAnsi="Calibri" w:cs="Calibri"/>
                <w:b/>
                <w:bCs/>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6EA830C6" w14:textId="77777777" w:rsidR="00DD6F46" w:rsidRPr="00DD6F46" w:rsidRDefault="00DD6F46" w:rsidP="00DD6F46">
            <w:pPr>
              <w:jc w:val="both"/>
              <w:rPr>
                <w:rFonts w:ascii="Calibri" w:hAnsi="Calibri" w:cs="Calibri"/>
                <w:b/>
                <w:bCs/>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45641E15"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2CE2D2BD"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4BB5E9A" w14:textId="77777777" w:rsidR="00DD6F46" w:rsidRPr="00DD6F46" w:rsidRDefault="00DD6F46" w:rsidP="00DD6F46">
            <w:pPr>
              <w:jc w:val="right"/>
              <w:rPr>
                <w:rFonts w:ascii="Calibri" w:hAnsi="Calibri" w:cs="Calibri"/>
                <w:b/>
                <w:bCs/>
                <w:color w:val="000000"/>
                <w:sz w:val="2"/>
                <w:szCs w:val="2"/>
                <w:lang w:eastAsia="en-GB"/>
              </w:rPr>
            </w:pPr>
            <w:r w:rsidRPr="00DD6F46">
              <w:rPr>
                <w:rFonts w:ascii="Calibri" w:hAnsi="Calibri" w:cs="Calibri"/>
                <w:b/>
                <w:bCs/>
                <w:color w:val="000000"/>
                <w:sz w:val="2"/>
                <w:szCs w:val="2"/>
                <w:lang w:eastAsia="en-GB"/>
              </w:rPr>
              <w:t> </w:t>
            </w:r>
          </w:p>
        </w:tc>
      </w:tr>
      <w:tr w:rsidR="00DD6F46" w:rsidRPr="00DD6F46" w14:paraId="6A0C969B"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03432442"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Adjusted EBITDA</w:t>
            </w:r>
            <w:r w:rsidRPr="00DD6F46">
              <w:rPr>
                <w:rFonts w:ascii="Calibri" w:hAnsi="Calibri" w:cs="Calibri"/>
                <w:i/>
                <w:iCs/>
                <w:color w:val="000000"/>
                <w:sz w:val="20"/>
                <w:vertAlign w:val="superscript"/>
                <w:lang w:eastAsia="en-GB"/>
              </w:rPr>
              <w:t>1,2</w:t>
            </w:r>
          </w:p>
        </w:tc>
        <w:tc>
          <w:tcPr>
            <w:tcW w:w="1094" w:type="dxa"/>
            <w:tcBorders>
              <w:top w:val="nil"/>
              <w:left w:val="nil"/>
              <w:bottom w:val="nil"/>
              <w:right w:val="nil"/>
            </w:tcBorders>
            <w:shd w:val="clear" w:color="auto" w:fill="auto"/>
            <w:noWrap/>
            <w:vAlign w:val="center"/>
            <w:hideMark/>
          </w:tcPr>
          <w:p w14:paraId="41D29B91"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(19)</w:t>
            </w:r>
          </w:p>
        </w:tc>
        <w:tc>
          <w:tcPr>
            <w:tcW w:w="1094" w:type="dxa"/>
            <w:tcBorders>
              <w:top w:val="nil"/>
              <w:left w:val="nil"/>
              <w:bottom w:val="nil"/>
              <w:right w:val="nil"/>
            </w:tcBorders>
            <w:shd w:val="clear" w:color="auto" w:fill="auto"/>
            <w:noWrap/>
            <w:vAlign w:val="center"/>
            <w:hideMark/>
          </w:tcPr>
          <w:p w14:paraId="47A6EE3B"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(11)</w:t>
            </w:r>
          </w:p>
        </w:tc>
        <w:tc>
          <w:tcPr>
            <w:tcW w:w="1094" w:type="dxa"/>
            <w:tcBorders>
              <w:top w:val="nil"/>
              <w:left w:val="nil"/>
              <w:bottom w:val="nil"/>
              <w:right w:val="nil"/>
            </w:tcBorders>
            <w:shd w:val="clear" w:color="auto" w:fill="auto"/>
            <w:noWrap/>
            <w:vAlign w:val="center"/>
            <w:hideMark/>
          </w:tcPr>
          <w:p w14:paraId="6A0E3522"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+69%</w:t>
            </w:r>
          </w:p>
        </w:tc>
        <w:tc>
          <w:tcPr>
            <w:tcW w:w="1094" w:type="dxa"/>
            <w:tcBorders>
              <w:top w:val="nil"/>
              <w:left w:val="nil"/>
              <w:bottom w:val="nil"/>
              <w:right w:val="single" w:sz="8" w:space="0" w:color="auto"/>
            </w:tcBorders>
            <w:shd w:val="clear" w:color="auto" w:fill="auto"/>
            <w:noWrap/>
            <w:vAlign w:val="center"/>
            <w:hideMark/>
          </w:tcPr>
          <w:p w14:paraId="3E19422D"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+68%</w:t>
            </w:r>
          </w:p>
        </w:tc>
      </w:tr>
      <w:tr w:rsidR="00DD6F46" w:rsidRPr="00DD6F46" w14:paraId="4E8C980C"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7FFAA57A" w14:textId="77777777" w:rsidR="00DD6F46" w:rsidRPr="00DD6F46" w:rsidRDefault="00605352" w:rsidP="00DD6F46">
            <w:pPr>
              <w:jc w:val="both"/>
              <w:rPr>
                <w:rFonts w:ascii="Calibri" w:hAnsi="Calibri" w:cs="Calibri"/>
                <w:i/>
                <w:iCs/>
                <w:color w:val="000000"/>
                <w:sz w:val="18"/>
                <w:szCs w:val="18"/>
                <w:lang w:eastAsia="en-GB"/>
              </w:rPr>
            </w:pPr>
            <w:r>
              <w:rPr>
                <w:rFonts w:ascii="Calibri" w:hAnsi="Calibri" w:cs="Calibri"/>
                <w:i/>
                <w:iCs/>
                <w:color w:val="000000"/>
                <w:sz w:val="18"/>
                <w:szCs w:val="18"/>
                <w:lang w:eastAsia="en-GB"/>
              </w:rPr>
              <w:t>Adjusted EBITDA margin</w:t>
            </w:r>
          </w:p>
        </w:tc>
        <w:tc>
          <w:tcPr>
            <w:tcW w:w="1094" w:type="dxa"/>
            <w:tcBorders>
              <w:top w:val="nil"/>
              <w:left w:val="nil"/>
              <w:bottom w:val="nil"/>
              <w:right w:val="nil"/>
            </w:tcBorders>
            <w:shd w:val="clear" w:color="auto" w:fill="auto"/>
            <w:noWrap/>
            <w:vAlign w:val="center"/>
            <w:hideMark/>
          </w:tcPr>
          <w:p w14:paraId="4DAB2C1C"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-6.9%</w:t>
            </w:r>
          </w:p>
        </w:tc>
        <w:tc>
          <w:tcPr>
            <w:tcW w:w="1094" w:type="dxa"/>
            <w:tcBorders>
              <w:top w:val="nil"/>
              <w:left w:val="nil"/>
              <w:bottom w:val="nil"/>
              <w:right w:val="nil"/>
            </w:tcBorders>
            <w:shd w:val="clear" w:color="auto" w:fill="auto"/>
            <w:noWrap/>
            <w:vAlign w:val="center"/>
            <w:hideMark/>
          </w:tcPr>
          <w:p w14:paraId="3AC81280" w14:textId="77777777" w:rsidR="00DD6F46" w:rsidRPr="00DD6F46" w:rsidRDefault="00DD6F46" w:rsidP="00DD6F46">
            <w:pPr>
              <w:jc w:val="right"/>
              <w:rPr>
                <w:rFonts w:ascii="Calibri" w:hAnsi="Calibri" w:cs="Calibri"/>
                <w:i/>
                <w:iCs/>
                <w:sz w:val="18"/>
                <w:szCs w:val="18"/>
                <w:lang w:eastAsia="en-GB"/>
              </w:rPr>
            </w:pPr>
            <w:r w:rsidRPr="00DD6F46">
              <w:rPr>
                <w:rFonts w:ascii="Calibri" w:hAnsi="Calibri" w:cs="Calibri"/>
                <w:i/>
                <w:iCs/>
                <w:sz w:val="18"/>
                <w:szCs w:val="18"/>
                <w:lang w:eastAsia="en-GB"/>
              </w:rPr>
              <w:t>-7.0%</w:t>
            </w:r>
          </w:p>
        </w:tc>
        <w:tc>
          <w:tcPr>
            <w:tcW w:w="1094" w:type="dxa"/>
            <w:tcBorders>
              <w:top w:val="nil"/>
              <w:left w:val="nil"/>
              <w:bottom w:val="nil"/>
              <w:right w:val="nil"/>
            </w:tcBorders>
            <w:shd w:val="clear" w:color="auto" w:fill="auto"/>
            <w:noWrap/>
            <w:vAlign w:val="center"/>
            <w:hideMark/>
          </w:tcPr>
          <w:p w14:paraId="287A9AA8"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+10bps</w:t>
            </w:r>
          </w:p>
        </w:tc>
        <w:tc>
          <w:tcPr>
            <w:tcW w:w="1094" w:type="dxa"/>
            <w:tcBorders>
              <w:top w:val="nil"/>
              <w:left w:val="nil"/>
              <w:bottom w:val="nil"/>
              <w:right w:val="single" w:sz="8" w:space="0" w:color="auto"/>
            </w:tcBorders>
            <w:shd w:val="clear" w:color="auto" w:fill="auto"/>
            <w:noWrap/>
            <w:vAlign w:val="center"/>
            <w:hideMark/>
          </w:tcPr>
          <w:p w14:paraId="028BF6ED" w14:textId="77777777" w:rsidR="00DD6F46" w:rsidRPr="00DD6F46" w:rsidRDefault="00DD6F46" w:rsidP="00DD6F46">
            <w:pPr>
              <w:jc w:val="right"/>
              <w:rPr>
                <w:rFonts w:ascii="Calibri" w:hAnsi="Calibri" w:cs="Calibri"/>
                <w:i/>
                <w:iCs/>
                <w:color w:val="000000"/>
                <w:sz w:val="18"/>
                <w:szCs w:val="18"/>
                <w:lang w:eastAsia="en-GB"/>
              </w:rPr>
            </w:pPr>
            <w:r w:rsidRPr="00DD6F46">
              <w:rPr>
                <w:rFonts w:ascii="Calibri" w:hAnsi="Calibri" w:cs="Calibri"/>
                <w:i/>
                <w:iCs/>
                <w:color w:val="000000"/>
                <w:sz w:val="18"/>
                <w:szCs w:val="18"/>
                <w:lang w:eastAsia="en-GB"/>
              </w:rPr>
              <w:t>-10bps</w:t>
            </w:r>
          </w:p>
        </w:tc>
      </w:tr>
      <w:tr w:rsidR="00DD6F46" w:rsidRPr="00DD6F46" w14:paraId="67BA854D"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02B1D5D0"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7B6441AF"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5038CE76"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2E556766"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1D6C886D"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6D3BE6E5"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7998D4A7" w14:textId="77777777" w:rsidR="00DD6F46" w:rsidRPr="00DD6F46" w:rsidRDefault="00DD6F46" w:rsidP="00DD6F46">
            <w:pPr>
              <w:jc w:val="both"/>
              <w:rPr>
                <w:rFonts w:ascii="Calibri" w:hAnsi="Calibri" w:cs="Calibri"/>
                <w:color w:val="000000"/>
                <w:sz w:val="20"/>
                <w:lang w:eastAsia="en-GB"/>
              </w:rPr>
            </w:pPr>
            <w:r w:rsidRPr="00DD6F46">
              <w:rPr>
                <w:rFonts w:ascii="Calibri" w:hAnsi="Calibri" w:cs="Calibri"/>
                <w:color w:val="000000"/>
                <w:sz w:val="20"/>
                <w:lang w:eastAsia="en-GB"/>
              </w:rPr>
              <w:t>Depreciation and amortisation</w:t>
            </w:r>
          </w:p>
        </w:tc>
        <w:tc>
          <w:tcPr>
            <w:tcW w:w="1094" w:type="dxa"/>
            <w:tcBorders>
              <w:top w:val="nil"/>
              <w:left w:val="nil"/>
              <w:bottom w:val="single" w:sz="8" w:space="0" w:color="auto"/>
              <w:right w:val="nil"/>
            </w:tcBorders>
            <w:shd w:val="clear" w:color="auto" w:fill="auto"/>
            <w:noWrap/>
            <w:vAlign w:val="center"/>
            <w:hideMark/>
          </w:tcPr>
          <w:p w14:paraId="77230A45"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(18)</w:t>
            </w:r>
          </w:p>
        </w:tc>
        <w:tc>
          <w:tcPr>
            <w:tcW w:w="1094" w:type="dxa"/>
            <w:tcBorders>
              <w:top w:val="nil"/>
              <w:left w:val="nil"/>
              <w:bottom w:val="single" w:sz="8" w:space="0" w:color="auto"/>
              <w:right w:val="nil"/>
            </w:tcBorders>
            <w:shd w:val="clear" w:color="auto" w:fill="auto"/>
            <w:noWrap/>
            <w:vAlign w:val="center"/>
            <w:hideMark/>
          </w:tcPr>
          <w:p w14:paraId="164DDFCC"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(11)</w:t>
            </w:r>
          </w:p>
        </w:tc>
        <w:tc>
          <w:tcPr>
            <w:tcW w:w="1094" w:type="dxa"/>
            <w:tcBorders>
              <w:top w:val="nil"/>
              <w:left w:val="nil"/>
              <w:bottom w:val="single" w:sz="8" w:space="0" w:color="auto"/>
              <w:right w:val="nil"/>
            </w:tcBorders>
            <w:shd w:val="clear" w:color="auto" w:fill="auto"/>
            <w:noWrap/>
            <w:vAlign w:val="center"/>
            <w:hideMark/>
          </w:tcPr>
          <w:p w14:paraId="448F49C9" w14:textId="77777777" w:rsidR="00DD6F46" w:rsidRPr="00DD6F46" w:rsidRDefault="00DD6F46" w:rsidP="00DD6F46">
            <w:pPr>
              <w:jc w:val="right"/>
              <w:rPr>
                <w:rFonts w:ascii="Calibri" w:hAnsi="Calibri" w:cs="Calibri"/>
                <w:sz w:val="20"/>
                <w:lang w:eastAsia="en-GB"/>
              </w:rPr>
            </w:pPr>
            <w:r w:rsidRPr="00DD6F46">
              <w:rPr>
                <w:rFonts w:ascii="Calibri" w:hAnsi="Calibri" w:cs="Calibri"/>
                <w:sz w:val="20"/>
                <w:lang w:eastAsia="en-GB"/>
              </w:rPr>
              <w:t>+61%</w:t>
            </w:r>
          </w:p>
        </w:tc>
        <w:tc>
          <w:tcPr>
            <w:tcW w:w="1094" w:type="dxa"/>
            <w:tcBorders>
              <w:top w:val="nil"/>
              <w:left w:val="nil"/>
              <w:bottom w:val="single" w:sz="8" w:space="0" w:color="auto"/>
              <w:right w:val="single" w:sz="8" w:space="0" w:color="auto"/>
            </w:tcBorders>
            <w:shd w:val="clear" w:color="auto" w:fill="auto"/>
            <w:noWrap/>
            <w:vAlign w:val="center"/>
            <w:hideMark/>
          </w:tcPr>
          <w:p w14:paraId="480E7218" w14:textId="77777777" w:rsidR="00DD6F46" w:rsidRPr="00DD6F46" w:rsidRDefault="00DD6F46" w:rsidP="00DD6F46">
            <w:pPr>
              <w:jc w:val="right"/>
              <w:rPr>
                <w:rFonts w:ascii="Calibri" w:hAnsi="Calibri" w:cs="Calibri"/>
                <w:color w:val="000000"/>
                <w:sz w:val="20"/>
                <w:lang w:eastAsia="en-GB"/>
              </w:rPr>
            </w:pPr>
            <w:r w:rsidRPr="00DD6F46">
              <w:rPr>
                <w:rFonts w:ascii="Calibri" w:hAnsi="Calibri" w:cs="Calibri"/>
                <w:color w:val="000000"/>
                <w:sz w:val="20"/>
                <w:lang w:eastAsia="en-GB"/>
              </w:rPr>
              <w:t>+57%</w:t>
            </w:r>
          </w:p>
        </w:tc>
      </w:tr>
      <w:tr w:rsidR="00DD6F46" w:rsidRPr="00DD6F46" w14:paraId="5D5A62FD" w14:textId="77777777" w:rsidTr="00DD6F46">
        <w:trPr>
          <w:trHeight w:val="34"/>
        </w:trPr>
        <w:tc>
          <w:tcPr>
            <w:tcW w:w="3068" w:type="dxa"/>
            <w:tcBorders>
              <w:top w:val="nil"/>
              <w:left w:val="single" w:sz="8" w:space="0" w:color="auto"/>
              <w:bottom w:val="nil"/>
              <w:right w:val="nil"/>
            </w:tcBorders>
            <w:shd w:val="clear" w:color="auto" w:fill="auto"/>
            <w:noWrap/>
            <w:vAlign w:val="center"/>
            <w:hideMark/>
          </w:tcPr>
          <w:p w14:paraId="2E15D9C7" w14:textId="77777777" w:rsidR="00DD6F46" w:rsidRPr="00DD6F46" w:rsidRDefault="00DD6F46" w:rsidP="00DD6F46">
            <w:pPr>
              <w:jc w:val="both"/>
              <w:rPr>
                <w:rFonts w:ascii="Calibri" w:hAnsi="Calibri" w:cs="Calibri"/>
                <w:color w:val="000000"/>
                <w:sz w:val="2"/>
                <w:szCs w:val="2"/>
                <w:lang w:eastAsia="en-GB"/>
              </w:rPr>
            </w:pPr>
            <w:r w:rsidRPr="00DD6F46">
              <w:rPr>
                <w:rFonts w:ascii="Calibri" w:hAnsi="Calibri" w:cs="Calibri"/>
                <w:color w:val="000000"/>
                <w:sz w:val="2"/>
                <w:szCs w:val="2"/>
                <w:lang w:eastAsia="en-GB"/>
              </w:rPr>
              <w:t> </w:t>
            </w:r>
          </w:p>
        </w:tc>
        <w:tc>
          <w:tcPr>
            <w:tcW w:w="1094" w:type="dxa"/>
            <w:tcBorders>
              <w:top w:val="nil"/>
              <w:left w:val="nil"/>
              <w:bottom w:val="nil"/>
              <w:right w:val="nil"/>
            </w:tcBorders>
            <w:shd w:val="clear" w:color="auto" w:fill="auto"/>
            <w:noWrap/>
            <w:vAlign w:val="center"/>
            <w:hideMark/>
          </w:tcPr>
          <w:p w14:paraId="17506111" w14:textId="77777777" w:rsidR="00DD6F46" w:rsidRPr="00DD6F46" w:rsidRDefault="00DD6F46" w:rsidP="00DD6F46">
            <w:pPr>
              <w:jc w:val="both"/>
              <w:rPr>
                <w:rFonts w:ascii="Calibri" w:hAnsi="Calibri" w:cs="Calibri"/>
                <w:color w:val="000000"/>
                <w:sz w:val="2"/>
                <w:szCs w:val="2"/>
                <w:lang w:eastAsia="en-GB"/>
              </w:rPr>
            </w:pPr>
          </w:p>
        </w:tc>
        <w:tc>
          <w:tcPr>
            <w:tcW w:w="1094" w:type="dxa"/>
            <w:tcBorders>
              <w:top w:val="nil"/>
              <w:left w:val="nil"/>
              <w:bottom w:val="nil"/>
              <w:right w:val="nil"/>
            </w:tcBorders>
            <w:shd w:val="clear" w:color="auto" w:fill="auto"/>
            <w:noWrap/>
            <w:vAlign w:val="center"/>
            <w:hideMark/>
          </w:tcPr>
          <w:p w14:paraId="01A87E61"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nil"/>
            </w:tcBorders>
            <w:shd w:val="clear" w:color="auto" w:fill="auto"/>
            <w:noWrap/>
            <w:vAlign w:val="center"/>
            <w:hideMark/>
          </w:tcPr>
          <w:p w14:paraId="3805015E" w14:textId="77777777" w:rsidR="00DD6F46" w:rsidRPr="00DD6F46" w:rsidRDefault="00DD6F46" w:rsidP="00DD6F46">
            <w:pPr>
              <w:jc w:val="right"/>
              <w:rPr>
                <w:rFonts w:ascii="Times New Roman" w:hAnsi="Times New Roman"/>
                <w:sz w:val="20"/>
                <w:lang w:eastAsia="en-GB"/>
              </w:rPr>
            </w:pPr>
          </w:p>
        </w:tc>
        <w:tc>
          <w:tcPr>
            <w:tcW w:w="1094" w:type="dxa"/>
            <w:tcBorders>
              <w:top w:val="nil"/>
              <w:left w:val="nil"/>
              <w:bottom w:val="nil"/>
              <w:right w:val="single" w:sz="8" w:space="0" w:color="auto"/>
            </w:tcBorders>
            <w:shd w:val="clear" w:color="auto" w:fill="auto"/>
            <w:noWrap/>
            <w:vAlign w:val="center"/>
            <w:hideMark/>
          </w:tcPr>
          <w:p w14:paraId="33123A7C" w14:textId="77777777" w:rsidR="00DD6F46" w:rsidRPr="00DD6F46" w:rsidRDefault="00DD6F46" w:rsidP="00DD6F46">
            <w:pPr>
              <w:jc w:val="right"/>
              <w:rPr>
                <w:rFonts w:ascii="Calibri" w:hAnsi="Calibri" w:cs="Calibri"/>
                <w:color w:val="000000"/>
                <w:sz w:val="2"/>
                <w:szCs w:val="2"/>
                <w:lang w:eastAsia="en-GB"/>
              </w:rPr>
            </w:pPr>
            <w:r w:rsidRPr="00DD6F46">
              <w:rPr>
                <w:rFonts w:ascii="Calibri" w:hAnsi="Calibri" w:cs="Calibri"/>
                <w:color w:val="000000"/>
                <w:sz w:val="2"/>
                <w:szCs w:val="2"/>
                <w:lang w:eastAsia="en-GB"/>
              </w:rPr>
              <w:t> </w:t>
            </w:r>
          </w:p>
        </w:tc>
      </w:tr>
      <w:tr w:rsidR="00DD6F46" w:rsidRPr="00DD6F46" w14:paraId="5D923130" w14:textId="77777777" w:rsidTr="00DD6F46">
        <w:trPr>
          <w:trHeight w:val="255"/>
        </w:trPr>
        <w:tc>
          <w:tcPr>
            <w:tcW w:w="3068" w:type="dxa"/>
            <w:tcBorders>
              <w:top w:val="nil"/>
              <w:left w:val="single" w:sz="8" w:space="0" w:color="auto"/>
              <w:bottom w:val="nil"/>
              <w:right w:val="nil"/>
            </w:tcBorders>
            <w:shd w:val="clear" w:color="auto" w:fill="auto"/>
            <w:noWrap/>
            <w:vAlign w:val="center"/>
            <w:hideMark/>
          </w:tcPr>
          <w:p w14:paraId="6F9469BC" w14:textId="77777777" w:rsidR="00DD6F46" w:rsidRPr="00DD6F46" w:rsidRDefault="00DD6F46" w:rsidP="00DD6F46">
            <w:pPr>
              <w:jc w:val="both"/>
              <w:rPr>
                <w:rFonts w:ascii="Calibri" w:hAnsi="Calibri" w:cs="Calibri"/>
                <w:b/>
                <w:bCs/>
                <w:color w:val="000000"/>
                <w:sz w:val="20"/>
                <w:lang w:eastAsia="en-GB"/>
              </w:rPr>
            </w:pPr>
            <w:r w:rsidRPr="00DD6F46">
              <w:rPr>
                <w:rFonts w:ascii="Calibri" w:hAnsi="Calibri" w:cs="Calibri"/>
                <w:b/>
                <w:bCs/>
                <w:color w:val="000000"/>
                <w:sz w:val="20"/>
                <w:lang w:eastAsia="en-GB"/>
              </w:rPr>
              <w:t>Adjusted</w:t>
            </w:r>
            <w:r w:rsidRPr="00DD6F46">
              <w:rPr>
                <w:rFonts w:ascii="Calibri" w:hAnsi="Calibri" w:cs="Calibri"/>
                <w:i/>
                <w:iCs/>
                <w:color w:val="000000"/>
                <w:sz w:val="20"/>
                <w:vertAlign w:val="superscript"/>
                <w:lang w:eastAsia="en-GB"/>
              </w:rPr>
              <w:t xml:space="preserve">1 </w:t>
            </w:r>
            <w:r w:rsidRPr="00DD6F46">
              <w:rPr>
                <w:rFonts w:ascii="Calibri" w:hAnsi="Calibri" w:cs="Calibri"/>
                <w:b/>
                <w:bCs/>
                <w:color w:val="000000"/>
                <w:sz w:val="20"/>
                <w:lang w:eastAsia="en-GB"/>
              </w:rPr>
              <w:t>operating profit</w:t>
            </w:r>
          </w:p>
        </w:tc>
        <w:tc>
          <w:tcPr>
            <w:tcW w:w="1094" w:type="dxa"/>
            <w:tcBorders>
              <w:top w:val="nil"/>
              <w:left w:val="nil"/>
              <w:bottom w:val="nil"/>
              <w:right w:val="nil"/>
            </w:tcBorders>
            <w:shd w:val="clear" w:color="auto" w:fill="auto"/>
            <w:noWrap/>
            <w:vAlign w:val="center"/>
            <w:hideMark/>
          </w:tcPr>
          <w:p w14:paraId="2BA94BBB"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(38)</w:t>
            </w:r>
          </w:p>
        </w:tc>
        <w:tc>
          <w:tcPr>
            <w:tcW w:w="1094" w:type="dxa"/>
            <w:tcBorders>
              <w:top w:val="nil"/>
              <w:left w:val="nil"/>
              <w:bottom w:val="nil"/>
              <w:right w:val="nil"/>
            </w:tcBorders>
            <w:shd w:val="clear" w:color="auto" w:fill="auto"/>
            <w:noWrap/>
            <w:vAlign w:val="center"/>
            <w:hideMark/>
          </w:tcPr>
          <w:p w14:paraId="18CB1748"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(23)</w:t>
            </w:r>
          </w:p>
        </w:tc>
        <w:tc>
          <w:tcPr>
            <w:tcW w:w="1094" w:type="dxa"/>
            <w:tcBorders>
              <w:top w:val="nil"/>
              <w:left w:val="nil"/>
              <w:bottom w:val="nil"/>
              <w:right w:val="nil"/>
            </w:tcBorders>
            <w:shd w:val="clear" w:color="auto" w:fill="auto"/>
            <w:noWrap/>
            <w:vAlign w:val="center"/>
            <w:hideMark/>
          </w:tcPr>
          <w:p w14:paraId="4248F089" w14:textId="77777777" w:rsidR="00DD6F46" w:rsidRPr="00DD6F46" w:rsidRDefault="00DD6F46" w:rsidP="00DD6F46">
            <w:pPr>
              <w:jc w:val="right"/>
              <w:rPr>
                <w:rFonts w:ascii="Calibri" w:hAnsi="Calibri" w:cs="Calibri"/>
                <w:b/>
                <w:bCs/>
                <w:sz w:val="20"/>
                <w:lang w:eastAsia="en-GB"/>
              </w:rPr>
            </w:pPr>
            <w:r w:rsidRPr="00DD6F46">
              <w:rPr>
                <w:rFonts w:ascii="Calibri" w:hAnsi="Calibri" w:cs="Calibri"/>
                <w:b/>
                <w:bCs/>
                <w:sz w:val="20"/>
                <w:lang w:eastAsia="en-GB"/>
              </w:rPr>
              <w:t>+65%</w:t>
            </w:r>
          </w:p>
        </w:tc>
        <w:tc>
          <w:tcPr>
            <w:tcW w:w="1094" w:type="dxa"/>
            <w:tcBorders>
              <w:top w:val="nil"/>
              <w:left w:val="nil"/>
              <w:bottom w:val="nil"/>
              <w:right w:val="single" w:sz="8" w:space="0" w:color="auto"/>
            </w:tcBorders>
            <w:shd w:val="clear" w:color="auto" w:fill="auto"/>
            <w:noWrap/>
            <w:vAlign w:val="center"/>
            <w:hideMark/>
          </w:tcPr>
          <w:p w14:paraId="03408746" w14:textId="77777777" w:rsidR="00DD6F46" w:rsidRPr="00DD6F46" w:rsidRDefault="00DD6F46" w:rsidP="00DD6F46">
            <w:pPr>
              <w:jc w:val="right"/>
              <w:rPr>
                <w:rFonts w:ascii="Calibri" w:hAnsi="Calibri" w:cs="Calibri"/>
                <w:b/>
                <w:bCs/>
                <w:color w:val="000000"/>
                <w:sz w:val="20"/>
                <w:lang w:eastAsia="en-GB"/>
              </w:rPr>
            </w:pPr>
            <w:r w:rsidRPr="00DD6F46">
              <w:rPr>
                <w:rFonts w:ascii="Calibri" w:hAnsi="Calibri" w:cs="Calibri"/>
                <w:b/>
                <w:bCs/>
                <w:color w:val="000000"/>
                <w:sz w:val="20"/>
                <w:lang w:eastAsia="en-GB"/>
              </w:rPr>
              <w:t>+62%</w:t>
            </w:r>
          </w:p>
        </w:tc>
      </w:tr>
      <w:tr w:rsidR="00DD6F46" w:rsidRPr="00DD6F46" w14:paraId="519A5218" w14:textId="77777777" w:rsidTr="00DD6F46">
        <w:trPr>
          <w:trHeight w:val="34"/>
        </w:trPr>
        <w:tc>
          <w:tcPr>
            <w:tcW w:w="3068" w:type="dxa"/>
            <w:tcBorders>
              <w:top w:val="nil"/>
              <w:left w:val="single" w:sz="8" w:space="0" w:color="auto"/>
              <w:bottom w:val="single" w:sz="8" w:space="0" w:color="auto"/>
              <w:right w:val="nil"/>
            </w:tcBorders>
            <w:shd w:val="clear" w:color="auto" w:fill="auto"/>
            <w:noWrap/>
            <w:vAlign w:val="center"/>
            <w:hideMark/>
          </w:tcPr>
          <w:p w14:paraId="4C75F773" w14:textId="77777777" w:rsidR="00DD6F46" w:rsidRPr="00DD6F46" w:rsidRDefault="00DD6F46" w:rsidP="00DD6F46">
            <w:pPr>
              <w:jc w:val="both"/>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64A2CEAB" w14:textId="77777777" w:rsidR="00DD6F46" w:rsidRPr="00DD6F46" w:rsidRDefault="00DD6F46" w:rsidP="00DD6F46">
            <w:pPr>
              <w:jc w:val="right"/>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54DF526F" w14:textId="77777777" w:rsidR="00DD6F46" w:rsidRPr="00DD6F46" w:rsidRDefault="00DD6F46" w:rsidP="00DD6F46">
            <w:pPr>
              <w:jc w:val="right"/>
              <w:rPr>
                <w:rFonts w:ascii="Calibri" w:hAnsi="Calibri" w:cs="Calibri"/>
                <w:b/>
                <w:bCs/>
                <w:sz w:val="2"/>
                <w:szCs w:val="2"/>
                <w:lang w:eastAsia="en-GB"/>
              </w:rPr>
            </w:pPr>
            <w:r w:rsidRPr="00DD6F46">
              <w:rPr>
                <w:rFonts w:ascii="Calibri" w:hAnsi="Calibri" w:cs="Calibri"/>
                <w:b/>
                <w:bCs/>
                <w:sz w:val="2"/>
                <w:szCs w:val="2"/>
                <w:lang w:eastAsia="en-GB"/>
              </w:rPr>
              <w:t> </w:t>
            </w:r>
          </w:p>
        </w:tc>
        <w:tc>
          <w:tcPr>
            <w:tcW w:w="1094" w:type="dxa"/>
            <w:tcBorders>
              <w:top w:val="nil"/>
              <w:left w:val="nil"/>
              <w:bottom w:val="single" w:sz="8" w:space="0" w:color="auto"/>
              <w:right w:val="nil"/>
            </w:tcBorders>
            <w:shd w:val="clear" w:color="auto" w:fill="auto"/>
            <w:noWrap/>
            <w:vAlign w:val="center"/>
            <w:hideMark/>
          </w:tcPr>
          <w:p w14:paraId="166A3DC6" w14:textId="77777777" w:rsidR="00DD6F46" w:rsidRPr="00DD6F46" w:rsidRDefault="00DD6F46" w:rsidP="00DD6F46">
            <w:pPr>
              <w:jc w:val="right"/>
              <w:rPr>
                <w:rFonts w:ascii="Calibri" w:hAnsi="Calibri" w:cs="Calibri"/>
                <w:b/>
                <w:bCs/>
                <w:sz w:val="2"/>
                <w:szCs w:val="2"/>
                <w:lang w:eastAsia="en-GB"/>
              </w:rPr>
            </w:pPr>
            <w:r w:rsidRPr="00DD6F46">
              <w:rPr>
                <w:rFonts w:ascii="Calibri" w:hAnsi="Calibri" w:cs="Calibri"/>
                <w:b/>
                <w:bCs/>
                <w:sz w:val="2"/>
                <w:szCs w:val="2"/>
                <w:lang w:eastAsia="en-GB"/>
              </w:rPr>
              <w:t> </w:t>
            </w:r>
          </w:p>
        </w:tc>
        <w:tc>
          <w:tcPr>
            <w:tcW w:w="1094" w:type="dxa"/>
            <w:tcBorders>
              <w:top w:val="nil"/>
              <w:left w:val="nil"/>
              <w:bottom w:val="single" w:sz="8" w:space="0" w:color="auto"/>
              <w:right w:val="single" w:sz="8" w:space="0" w:color="auto"/>
            </w:tcBorders>
            <w:shd w:val="clear" w:color="auto" w:fill="auto"/>
            <w:noWrap/>
            <w:vAlign w:val="center"/>
            <w:hideMark/>
          </w:tcPr>
          <w:p w14:paraId="04D0996B" w14:textId="77777777" w:rsidR="00DD6F46" w:rsidRPr="00DD6F46" w:rsidRDefault="00DD6F46" w:rsidP="00DD6F46">
            <w:pPr>
              <w:jc w:val="right"/>
              <w:rPr>
                <w:rFonts w:ascii="Calibri" w:hAnsi="Calibri" w:cs="Calibri"/>
                <w:b/>
                <w:bCs/>
                <w:color w:val="FF0000"/>
                <w:sz w:val="2"/>
                <w:szCs w:val="2"/>
                <w:lang w:eastAsia="en-GB"/>
              </w:rPr>
            </w:pPr>
            <w:r w:rsidRPr="00DD6F46">
              <w:rPr>
                <w:rFonts w:ascii="Calibri" w:hAnsi="Calibri" w:cs="Calibri"/>
                <w:b/>
                <w:bCs/>
                <w:color w:val="FF0000"/>
                <w:sz w:val="2"/>
                <w:szCs w:val="2"/>
                <w:lang w:eastAsia="en-GB"/>
              </w:rPr>
              <w:t> </w:t>
            </w:r>
          </w:p>
        </w:tc>
      </w:tr>
    </w:tbl>
    <w:p w14:paraId="284C53B6" w14:textId="77777777" w:rsidR="00942D68" w:rsidRPr="006B47B3" w:rsidRDefault="00942D68" w:rsidP="000D108A">
      <w:pPr>
        <w:autoSpaceDE w:val="0"/>
        <w:autoSpaceDN w:val="0"/>
        <w:adjustRightInd w:val="0"/>
        <w:spacing w:before="120"/>
        <w:jc w:val="both"/>
        <w:rPr>
          <w:rFonts w:ascii="Calibri" w:hAnsi="Calibri" w:cs="Calibri"/>
          <w:i/>
          <w:color w:val="000000"/>
          <w:sz w:val="18"/>
          <w:szCs w:val="18"/>
          <w:lang w:val="en-IE" w:eastAsia="en-IE"/>
        </w:rPr>
      </w:pPr>
      <w:r w:rsidRPr="006B47B3">
        <w:rPr>
          <w:rFonts w:ascii="Calibri" w:hAnsi="Calibri" w:cs="Calibri"/>
          <w:i/>
          <w:color w:val="000000"/>
          <w:sz w:val="18"/>
          <w:szCs w:val="18"/>
          <w:lang w:val="en-IE" w:eastAsia="en-IE"/>
        </w:rPr>
        <w:t>The US includes FanDuel, FoxBet, TVG, Poker</w:t>
      </w:r>
      <w:r>
        <w:rPr>
          <w:rFonts w:ascii="Calibri" w:hAnsi="Calibri" w:cs="Calibri"/>
          <w:i/>
          <w:color w:val="000000"/>
          <w:sz w:val="18"/>
          <w:szCs w:val="18"/>
          <w:lang w:val="en-IE" w:eastAsia="en-IE"/>
        </w:rPr>
        <w:t>S</w:t>
      </w:r>
      <w:r w:rsidRPr="006B47B3">
        <w:rPr>
          <w:rFonts w:ascii="Calibri" w:hAnsi="Calibri" w:cs="Calibri"/>
          <w:i/>
          <w:color w:val="000000"/>
          <w:sz w:val="18"/>
          <w:szCs w:val="18"/>
          <w:lang w:val="en-IE" w:eastAsia="en-IE"/>
        </w:rPr>
        <w:t>tars and Betfair brands</w:t>
      </w:r>
      <w:r>
        <w:rPr>
          <w:rFonts w:ascii="Calibri" w:hAnsi="Calibri" w:cs="Calibri"/>
          <w:i/>
          <w:color w:val="000000"/>
          <w:sz w:val="18"/>
          <w:szCs w:val="18"/>
          <w:lang w:val="en-IE" w:eastAsia="en-IE"/>
        </w:rPr>
        <w:t>,</w:t>
      </w:r>
      <w:r w:rsidRPr="006B47B3">
        <w:rPr>
          <w:rFonts w:ascii="Calibri" w:hAnsi="Calibri" w:cs="Calibri"/>
          <w:i/>
          <w:color w:val="000000"/>
          <w:sz w:val="18"/>
          <w:szCs w:val="18"/>
          <w:lang w:val="en-IE" w:eastAsia="en-IE"/>
        </w:rPr>
        <w:t xml:space="preserve"> offering </w:t>
      </w:r>
      <w:r>
        <w:rPr>
          <w:rFonts w:ascii="Calibri" w:hAnsi="Calibri" w:cs="Calibri"/>
          <w:i/>
          <w:color w:val="000000"/>
          <w:sz w:val="18"/>
          <w:szCs w:val="18"/>
          <w:lang w:val="en-IE" w:eastAsia="en-IE"/>
        </w:rPr>
        <w:t xml:space="preserve">regulated real money </w:t>
      </w:r>
      <w:r w:rsidRPr="006B47B3">
        <w:rPr>
          <w:rFonts w:ascii="Calibri" w:hAnsi="Calibri" w:cs="Calibri"/>
          <w:i/>
          <w:color w:val="000000"/>
          <w:sz w:val="18"/>
          <w:szCs w:val="18"/>
          <w:lang w:val="en-IE" w:eastAsia="en-IE"/>
        </w:rPr>
        <w:t>and free</w:t>
      </w:r>
      <w:r>
        <w:rPr>
          <w:rFonts w:ascii="Calibri" w:hAnsi="Calibri" w:cs="Calibri"/>
          <w:i/>
          <w:color w:val="000000"/>
          <w:sz w:val="18"/>
          <w:szCs w:val="18"/>
          <w:lang w:val="en-IE" w:eastAsia="en-IE"/>
        </w:rPr>
        <w:t>-</w:t>
      </w:r>
      <w:r w:rsidRPr="006B47B3">
        <w:rPr>
          <w:rFonts w:ascii="Calibri" w:hAnsi="Calibri" w:cs="Calibri"/>
          <w:i/>
          <w:color w:val="000000"/>
          <w:sz w:val="18"/>
          <w:szCs w:val="18"/>
          <w:lang w:val="en-IE" w:eastAsia="en-IE"/>
        </w:rPr>
        <w:t>to</w:t>
      </w:r>
      <w:r>
        <w:rPr>
          <w:rFonts w:ascii="Calibri" w:hAnsi="Calibri" w:cs="Calibri"/>
          <w:i/>
          <w:color w:val="000000"/>
          <w:sz w:val="18"/>
          <w:szCs w:val="18"/>
          <w:lang w:val="en-IE" w:eastAsia="en-IE"/>
        </w:rPr>
        <w:t>-</w:t>
      </w:r>
      <w:r w:rsidRPr="006B47B3">
        <w:rPr>
          <w:rFonts w:ascii="Calibri" w:hAnsi="Calibri" w:cs="Calibri"/>
          <w:i/>
          <w:color w:val="000000"/>
          <w:sz w:val="18"/>
          <w:szCs w:val="18"/>
          <w:lang w:val="en-IE" w:eastAsia="en-IE"/>
        </w:rPr>
        <w:t xml:space="preserve">play sports betting, online gaming, daily fantasy sports and </w:t>
      </w:r>
      <w:r w:rsidR="00B16890">
        <w:rPr>
          <w:rFonts w:ascii="Calibri" w:hAnsi="Calibri" w:cs="Calibri"/>
          <w:i/>
          <w:color w:val="000000"/>
          <w:sz w:val="18"/>
          <w:szCs w:val="18"/>
          <w:lang w:val="en-IE" w:eastAsia="en-IE"/>
        </w:rPr>
        <w:t>online racing</w:t>
      </w:r>
      <w:r w:rsidR="00B16890" w:rsidRPr="006B47B3">
        <w:rPr>
          <w:rFonts w:ascii="Calibri" w:hAnsi="Calibri" w:cs="Calibri"/>
          <w:i/>
          <w:color w:val="000000"/>
          <w:sz w:val="18"/>
          <w:szCs w:val="18"/>
          <w:lang w:val="en-IE" w:eastAsia="en-IE"/>
        </w:rPr>
        <w:t xml:space="preserve"> </w:t>
      </w:r>
      <w:r w:rsidRPr="006B47B3">
        <w:rPr>
          <w:rFonts w:ascii="Calibri" w:hAnsi="Calibri" w:cs="Calibri"/>
          <w:i/>
          <w:color w:val="000000"/>
          <w:sz w:val="18"/>
          <w:szCs w:val="18"/>
          <w:lang w:val="en-IE" w:eastAsia="en-IE"/>
        </w:rPr>
        <w:t>wagering products to customers across various states in the US</w:t>
      </w:r>
    </w:p>
    <w:p w14:paraId="133443AA" w14:textId="77777777" w:rsidR="00942D68" w:rsidRPr="0018475B" w:rsidRDefault="00304E49" w:rsidP="00942D68">
      <w:p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R</w:t>
      </w:r>
      <w:r w:rsidR="00942D68" w:rsidRPr="0018475B">
        <w:rPr>
          <w:rFonts w:asciiTheme="minorHAnsi" w:hAnsiTheme="minorHAnsi" w:cstheme="minorHAnsi"/>
          <w:sz w:val="21"/>
          <w:szCs w:val="21"/>
        </w:rPr>
        <w:t>evenue grew 66% in H1</w:t>
      </w:r>
      <w:r w:rsidR="0082495A" w:rsidRPr="0018475B">
        <w:rPr>
          <w:rFonts w:asciiTheme="minorHAnsi" w:hAnsiTheme="minorHAnsi" w:cstheme="minorHAnsi"/>
          <w:sz w:val="21"/>
          <w:szCs w:val="21"/>
        </w:rPr>
        <w:t>,</w:t>
      </w:r>
      <w:r w:rsidR="00942D68" w:rsidRPr="0018475B">
        <w:rPr>
          <w:rFonts w:asciiTheme="minorHAnsi" w:hAnsiTheme="minorHAnsi" w:cstheme="minorHAnsi"/>
          <w:sz w:val="21"/>
          <w:szCs w:val="21"/>
        </w:rPr>
        <w:t xml:space="preserve"> benefitt</w:t>
      </w:r>
      <w:r w:rsidR="0082495A" w:rsidRPr="0018475B">
        <w:rPr>
          <w:rFonts w:asciiTheme="minorHAnsi" w:hAnsiTheme="minorHAnsi" w:cstheme="minorHAnsi"/>
          <w:sz w:val="21"/>
          <w:szCs w:val="21"/>
        </w:rPr>
        <w:t>ing</w:t>
      </w:r>
      <w:r w:rsidR="00942D68" w:rsidRPr="0018475B">
        <w:rPr>
          <w:rFonts w:asciiTheme="minorHAnsi" w:hAnsiTheme="minorHAnsi" w:cstheme="minorHAnsi"/>
          <w:sz w:val="21"/>
          <w:szCs w:val="21"/>
        </w:rPr>
        <w:t xml:space="preserve"> from </w:t>
      </w:r>
      <w:r w:rsidRPr="0018475B">
        <w:rPr>
          <w:rFonts w:asciiTheme="minorHAnsi" w:hAnsiTheme="minorHAnsi" w:cstheme="minorHAnsi"/>
          <w:sz w:val="21"/>
          <w:szCs w:val="21"/>
        </w:rPr>
        <w:t xml:space="preserve">our </w:t>
      </w:r>
      <w:r w:rsidR="00942D68" w:rsidRPr="0018475B">
        <w:rPr>
          <w:rFonts w:asciiTheme="minorHAnsi" w:hAnsiTheme="minorHAnsi" w:cstheme="minorHAnsi"/>
          <w:sz w:val="21"/>
          <w:szCs w:val="21"/>
        </w:rPr>
        <w:t>diversifi</w:t>
      </w:r>
      <w:r w:rsidRPr="0018475B">
        <w:rPr>
          <w:rFonts w:asciiTheme="minorHAnsi" w:hAnsiTheme="minorHAnsi" w:cstheme="minorHAnsi"/>
          <w:sz w:val="21"/>
          <w:szCs w:val="21"/>
        </w:rPr>
        <w:t>ed</w:t>
      </w:r>
      <w:r w:rsidR="0082495A" w:rsidRPr="0018475B">
        <w:rPr>
          <w:rFonts w:asciiTheme="minorHAnsi" w:hAnsiTheme="minorHAnsi" w:cstheme="minorHAnsi"/>
          <w:sz w:val="21"/>
          <w:szCs w:val="21"/>
        </w:rPr>
        <w:t xml:space="preserve"> </w:t>
      </w:r>
      <w:r w:rsidR="00B923D0" w:rsidRPr="0018475B">
        <w:rPr>
          <w:rFonts w:asciiTheme="minorHAnsi" w:hAnsiTheme="minorHAnsi" w:cstheme="minorHAnsi"/>
          <w:sz w:val="21"/>
          <w:szCs w:val="21"/>
        </w:rPr>
        <w:t xml:space="preserve">US </w:t>
      </w:r>
      <w:r w:rsidR="00942D68" w:rsidRPr="0018475B">
        <w:rPr>
          <w:rFonts w:asciiTheme="minorHAnsi" w:hAnsiTheme="minorHAnsi" w:cstheme="minorHAnsi"/>
          <w:sz w:val="21"/>
          <w:szCs w:val="21"/>
        </w:rPr>
        <w:t>product offering</w:t>
      </w:r>
      <w:r w:rsidR="0082495A" w:rsidRPr="0018475B">
        <w:rPr>
          <w:rFonts w:asciiTheme="minorHAnsi" w:hAnsiTheme="minorHAnsi" w:cstheme="minorHAnsi"/>
          <w:sz w:val="21"/>
          <w:szCs w:val="21"/>
        </w:rPr>
        <w:t>. We are the only operator offer</w:t>
      </w:r>
      <w:r w:rsidR="00B923D0" w:rsidRPr="0018475B">
        <w:rPr>
          <w:rFonts w:asciiTheme="minorHAnsi" w:hAnsiTheme="minorHAnsi" w:cstheme="minorHAnsi"/>
          <w:sz w:val="21"/>
          <w:szCs w:val="21"/>
        </w:rPr>
        <w:t xml:space="preserve">ing </w:t>
      </w:r>
      <w:r w:rsidR="0082495A" w:rsidRPr="0018475B">
        <w:rPr>
          <w:rFonts w:asciiTheme="minorHAnsi" w:hAnsiTheme="minorHAnsi" w:cstheme="minorHAnsi"/>
          <w:sz w:val="21"/>
          <w:szCs w:val="21"/>
        </w:rPr>
        <w:t>sports betting, daily fantasy sports, casino</w:t>
      </w:r>
      <w:r w:rsidR="00B16890" w:rsidRPr="0018475B">
        <w:rPr>
          <w:rFonts w:asciiTheme="minorHAnsi" w:hAnsiTheme="minorHAnsi" w:cstheme="minorHAnsi"/>
          <w:sz w:val="21"/>
          <w:szCs w:val="21"/>
        </w:rPr>
        <w:t>, poker</w:t>
      </w:r>
      <w:r w:rsidR="0082495A" w:rsidRPr="0018475B">
        <w:rPr>
          <w:rFonts w:asciiTheme="minorHAnsi" w:hAnsiTheme="minorHAnsi" w:cstheme="minorHAnsi"/>
          <w:sz w:val="21"/>
          <w:szCs w:val="21"/>
        </w:rPr>
        <w:t xml:space="preserve"> and horse racing wagering. T</w:t>
      </w:r>
      <w:r w:rsidR="00942D68" w:rsidRPr="0018475B">
        <w:rPr>
          <w:rFonts w:asciiTheme="minorHAnsi" w:hAnsiTheme="minorHAnsi" w:cstheme="minorHAnsi"/>
          <w:sz w:val="21"/>
          <w:szCs w:val="21"/>
        </w:rPr>
        <w:t xml:space="preserve">he key drivers of </w:t>
      </w:r>
      <w:r w:rsidR="0082495A" w:rsidRPr="0018475B">
        <w:rPr>
          <w:rFonts w:asciiTheme="minorHAnsi" w:hAnsiTheme="minorHAnsi" w:cstheme="minorHAnsi"/>
          <w:sz w:val="21"/>
          <w:szCs w:val="21"/>
        </w:rPr>
        <w:t xml:space="preserve">our </w:t>
      </w:r>
      <w:r w:rsidR="00942D68" w:rsidRPr="0018475B">
        <w:rPr>
          <w:rFonts w:asciiTheme="minorHAnsi" w:hAnsiTheme="minorHAnsi" w:cstheme="minorHAnsi"/>
          <w:sz w:val="21"/>
          <w:szCs w:val="21"/>
        </w:rPr>
        <w:t>growth were</w:t>
      </w:r>
      <w:r w:rsidRPr="0018475B">
        <w:rPr>
          <w:rFonts w:asciiTheme="minorHAnsi" w:hAnsiTheme="minorHAnsi" w:cstheme="minorHAnsi"/>
          <w:sz w:val="21"/>
          <w:szCs w:val="21"/>
        </w:rPr>
        <w:t>:</w:t>
      </w:r>
      <w:r w:rsidR="00942D68" w:rsidRPr="0018475B">
        <w:rPr>
          <w:rFonts w:asciiTheme="minorHAnsi" w:hAnsiTheme="minorHAnsi" w:cstheme="minorHAnsi"/>
          <w:sz w:val="21"/>
          <w:szCs w:val="21"/>
        </w:rPr>
        <w:t xml:space="preserve">  </w:t>
      </w:r>
    </w:p>
    <w:p w14:paraId="57147C5D" w14:textId="77777777" w:rsidR="00942D68" w:rsidRPr="0018475B" w:rsidRDefault="00942D68" w:rsidP="009B6BB8">
      <w:pPr>
        <w:pStyle w:val="ListParagraph"/>
        <w:numPr>
          <w:ilvl w:val="0"/>
          <w:numId w:val="19"/>
        </w:num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 xml:space="preserve">Online sportsbook </w:t>
      </w:r>
      <w:r w:rsidR="00B923D0" w:rsidRPr="0018475B">
        <w:rPr>
          <w:rFonts w:asciiTheme="minorHAnsi" w:hAnsiTheme="minorHAnsi" w:cstheme="minorHAnsi"/>
          <w:sz w:val="21"/>
          <w:szCs w:val="21"/>
        </w:rPr>
        <w:t xml:space="preserve">was </w:t>
      </w:r>
      <w:r w:rsidRPr="0018475B">
        <w:rPr>
          <w:rFonts w:asciiTheme="minorHAnsi" w:hAnsiTheme="minorHAnsi" w:cstheme="minorHAnsi"/>
          <w:sz w:val="21"/>
          <w:szCs w:val="21"/>
        </w:rPr>
        <w:t xml:space="preserve">live in 5 states compared with 2 the prior year (Pennsylvania, Indiana and Colorado launched since H1 2019) </w:t>
      </w:r>
      <w:r w:rsidR="00B923D0" w:rsidRPr="0018475B">
        <w:rPr>
          <w:rFonts w:asciiTheme="minorHAnsi" w:hAnsiTheme="minorHAnsi" w:cstheme="minorHAnsi"/>
          <w:sz w:val="21"/>
          <w:szCs w:val="21"/>
        </w:rPr>
        <w:t xml:space="preserve">while we </w:t>
      </w:r>
      <w:r w:rsidRPr="0018475B">
        <w:rPr>
          <w:rFonts w:asciiTheme="minorHAnsi" w:hAnsiTheme="minorHAnsi" w:cstheme="minorHAnsi"/>
          <w:sz w:val="21"/>
          <w:szCs w:val="21"/>
        </w:rPr>
        <w:t>launch</w:t>
      </w:r>
      <w:r w:rsidR="00B923D0" w:rsidRPr="0018475B">
        <w:rPr>
          <w:rFonts w:asciiTheme="minorHAnsi" w:hAnsiTheme="minorHAnsi" w:cstheme="minorHAnsi"/>
          <w:sz w:val="21"/>
          <w:szCs w:val="21"/>
        </w:rPr>
        <w:t>ed</w:t>
      </w:r>
      <w:r w:rsidRPr="0018475B">
        <w:rPr>
          <w:rFonts w:asciiTheme="minorHAnsi" w:hAnsiTheme="minorHAnsi" w:cstheme="minorHAnsi"/>
          <w:sz w:val="21"/>
          <w:szCs w:val="21"/>
        </w:rPr>
        <w:t xml:space="preserve"> our online casino in Pennsylvania in January</w:t>
      </w:r>
      <w:r w:rsidR="00B923D0" w:rsidRPr="0018475B">
        <w:rPr>
          <w:rFonts w:asciiTheme="minorHAnsi" w:hAnsiTheme="minorHAnsi" w:cstheme="minorHAnsi"/>
          <w:sz w:val="21"/>
          <w:szCs w:val="21"/>
        </w:rPr>
        <w:t xml:space="preserve"> 2020</w:t>
      </w:r>
      <w:r w:rsidR="00612479" w:rsidRPr="0018475B">
        <w:rPr>
          <w:rFonts w:asciiTheme="minorHAnsi" w:hAnsiTheme="minorHAnsi" w:cstheme="minorHAnsi"/>
          <w:sz w:val="21"/>
          <w:szCs w:val="21"/>
        </w:rPr>
        <w:t>.</w:t>
      </w:r>
    </w:p>
    <w:p w14:paraId="47F3F10C" w14:textId="77777777" w:rsidR="00942D68" w:rsidRPr="0018475B" w:rsidRDefault="00742A34" w:rsidP="009B6BB8">
      <w:pPr>
        <w:pStyle w:val="ListParagraph"/>
        <w:numPr>
          <w:ilvl w:val="0"/>
          <w:numId w:val="19"/>
        </w:num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 xml:space="preserve">Strong growth in TVG </w:t>
      </w:r>
      <w:r w:rsidR="00F71F04">
        <w:rPr>
          <w:rFonts w:asciiTheme="minorHAnsi" w:hAnsiTheme="minorHAnsi" w:cstheme="minorHAnsi"/>
          <w:sz w:val="21"/>
          <w:szCs w:val="21"/>
        </w:rPr>
        <w:t xml:space="preserve">thanks to </w:t>
      </w:r>
      <w:r w:rsidRPr="0018475B">
        <w:rPr>
          <w:rFonts w:asciiTheme="minorHAnsi" w:hAnsiTheme="minorHAnsi" w:cstheme="minorHAnsi"/>
          <w:sz w:val="21"/>
          <w:szCs w:val="21"/>
        </w:rPr>
        <w:t>t</w:t>
      </w:r>
      <w:r w:rsidR="00942D68" w:rsidRPr="0018475B">
        <w:rPr>
          <w:rFonts w:asciiTheme="minorHAnsi" w:hAnsiTheme="minorHAnsi" w:cstheme="minorHAnsi"/>
          <w:sz w:val="21"/>
          <w:szCs w:val="21"/>
        </w:rPr>
        <w:t>he continuation of US horse racing, with racing enjoying greater prominence on mainstream television</w:t>
      </w:r>
      <w:r w:rsidR="00612479" w:rsidRPr="0018475B">
        <w:rPr>
          <w:rFonts w:asciiTheme="minorHAnsi" w:hAnsiTheme="minorHAnsi" w:cstheme="minorHAnsi"/>
          <w:sz w:val="21"/>
          <w:szCs w:val="21"/>
        </w:rPr>
        <w:t xml:space="preserve">, leading to a year on year growth </w:t>
      </w:r>
      <w:r w:rsidR="00A12120">
        <w:rPr>
          <w:rFonts w:asciiTheme="minorHAnsi" w:hAnsiTheme="minorHAnsi" w:cstheme="minorHAnsi"/>
          <w:sz w:val="21"/>
          <w:szCs w:val="21"/>
        </w:rPr>
        <w:t>in average daily actives of 79</w:t>
      </w:r>
      <w:r w:rsidR="00612479" w:rsidRPr="0018475B">
        <w:rPr>
          <w:rFonts w:asciiTheme="minorHAnsi" w:hAnsiTheme="minorHAnsi" w:cstheme="minorHAnsi"/>
          <w:sz w:val="21"/>
          <w:szCs w:val="21"/>
        </w:rPr>
        <w:t>% in Q2</w:t>
      </w:r>
    </w:p>
    <w:p w14:paraId="74733D76" w14:textId="77777777" w:rsidR="00997974" w:rsidRPr="0018475B" w:rsidRDefault="00942D68" w:rsidP="009B6BB8">
      <w:pPr>
        <w:pStyle w:val="ListParagraph"/>
        <w:numPr>
          <w:ilvl w:val="0"/>
          <w:numId w:val="19"/>
        </w:num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Substitution of spend from sports betting to gaming following widespread disruption to global sports</w:t>
      </w:r>
    </w:p>
    <w:p w14:paraId="0409CB7C" w14:textId="77777777" w:rsidR="008C0C8D" w:rsidRPr="0018475B" w:rsidRDefault="0082495A" w:rsidP="009B6BB8">
      <w:pPr>
        <w:pStyle w:val="ListParagraph"/>
        <w:numPr>
          <w:ilvl w:val="0"/>
          <w:numId w:val="19"/>
        </w:num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 xml:space="preserve">In the first half </w:t>
      </w:r>
      <w:r w:rsidR="00B923D0" w:rsidRPr="0018475B">
        <w:rPr>
          <w:rFonts w:asciiTheme="minorHAnsi" w:hAnsiTheme="minorHAnsi" w:cstheme="minorHAnsi"/>
          <w:sz w:val="21"/>
          <w:szCs w:val="21"/>
        </w:rPr>
        <w:t xml:space="preserve">alone, </w:t>
      </w:r>
      <w:r w:rsidRPr="0018475B">
        <w:rPr>
          <w:rFonts w:asciiTheme="minorHAnsi" w:hAnsiTheme="minorHAnsi" w:cstheme="minorHAnsi"/>
          <w:sz w:val="21"/>
          <w:szCs w:val="21"/>
        </w:rPr>
        <w:t xml:space="preserve">we added </w:t>
      </w:r>
      <w:r w:rsidR="00D00933" w:rsidRPr="0018475B">
        <w:rPr>
          <w:rFonts w:asciiTheme="minorHAnsi" w:hAnsiTheme="minorHAnsi" w:cstheme="minorHAnsi"/>
          <w:sz w:val="21"/>
          <w:szCs w:val="21"/>
        </w:rPr>
        <w:t>more than 350,000</w:t>
      </w:r>
      <w:r w:rsidRPr="0018475B">
        <w:rPr>
          <w:rFonts w:asciiTheme="minorHAnsi" w:hAnsiTheme="minorHAnsi" w:cstheme="minorHAnsi"/>
          <w:sz w:val="21"/>
          <w:szCs w:val="21"/>
        </w:rPr>
        <w:t xml:space="preserve"> customers across our US business </w:t>
      </w:r>
      <w:r w:rsidR="00942D68" w:rsidRPr="0018475B">
        <w:rPr>
          <w:rFonts w:asciiTheme="minorHAnsi" w:hAnsiTheme="minorHAnsi" w:cstheme="minorHAnsi"/>
          <w:sz w:val="21"/>
          <w:szCs w:val="21"/>
        </w:rPr>
        <w:t xml:space="preserve"> </w:t>
      </w:r>
    </w:p>
    <w:p w14:paraId="06D01204" w14:textId="77777777" w:rsidR="00942D68" w:rsidRPr="0018475B" w:rsidRDefault="008C0C8D" w:rsidP="00942D68">
      <w:p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Sportsbook s</w:t>
      </w:r>
      <w:r w:rsidR="00942D68" w:rsidRPr="0018475B">
        <w:rPr>
          <w:rFonts w:asciiTheme="minorHAnsi" w:hAnsiTheme="minorHAnsi" w:cstheme="minorHAnsi"/>
          <w:sz w:val="21"/>
          <w:szCs w:val="21"/>
        </w:rPr>
        <w:t xml:space="preserve">takes </w:t>
      </w:r>
      <w:r w:rsidR="00612479" w:rsidRPr="0018475B">
        <w:rPr>
          <w:rFonts w:asciiTheme="minorHAnsi" w:hAnsiTheme="minorHAnsi" w:cstheme="minorHAnsi"/>
          <w:sz w:val="21"/>
          <w:szCs w:val="21"/>
        </w:rPr>
        <w:t xml:space="preserve">increased </w:t>
      </w:r>
      <w:r w:rsidR="00942D68" w:rsidRPr="0018475B">
        <w:rPr>
          <w:rFonts w:asciiTheme="minorHAnsi" w:hAnsiTheme="minorHAnsi" w:cstheme="minorHAnsi"/>
          <w:sz w:val="21"/>
          <w:szCs w:val="21"/>
        </w:rPr>
        <w:t xml:space="preserve">by 23% in the half with growth of 81% in Q1 partly offset by a 44% reduction in Q2. Net revenue margin increased by 90bps reflecting a combination of favourable sports results, an uplift from changes in sports mix and further </w:t>
      </w:r>
      <w:r w:rsidR="00270B23" w:rsidRPr="0018475B">
        <w:rPr>
          <w:rFonts w:asciiTheme="minorHAnsi" w:hAnsiTheme="minorHAnsi" w:cstheme="minorHAnsi"/>
          <w:sz w:val="21"/>
          <w:szCs w:val="21"/>
        </w:rPr>
        <w:t xml:space="preserve">enhancement </w:t>
      </w:r>
      <w:r w:rsidR="00942D68" w:rsidRPr="0018475B">
        <w:rPr>
          <w:rFonts w:asciiTheme="minorHAnsi" w:hAnsiTheme="minorHAnsi" w:cstheme="minorHAnsi"/>
          <w:sz w:val="21"/>
          <w:szCs w:val="21"/>
        </w:rPr>
        <w:t xml:space="preserve">of our </w:t>
      </w:r>
      <w:r w:rsidR="00270B23" w:rsidRPr="0018475B">
        <w:rPr>
          <w:rFonts w:asciiTheme="minorHAnsi" w:hAnsiTheme="minorHAnsi" w:cstheme="minorHAnsi"/>
          <w:sz w:val="21"/>
          <w:szCs w:val="21"/>
        </w:rPr>
        <w:t xml:space="preserve">risk and trading </w:t>
      </w:r>
      <w:r w:rsidR="00942D68" w:rsidRPr="0018475B">
        <w:rPr>
          <w:rFonts w:asciiTheme="minorHAnsi" w:hAnsiTheme="minorHAnsi" w:cstheme="minorHAnsi"/>
          <w:sz w:val="21"/>
          <w:szCs w:val="21"/>
        </w:rPr>
        <w:t xml:space="preserve">capabilities. </w:t>
      </w:r>
    </w:p>
    <w:p w14:paraId="774FDF3E" w14:textId="77777777" w:rsidR="00942D68" w:rsidRPr="0018475B" w:rsidRDefault="00942D68" w:rsidP="00942D68">
      <w:p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 xml:space="preserve">During Q2, when most US sports were postponed or cancelled, </w:t>
      </w:r>
      <w:r w:rsidR="007B54F9" w:rsidRPr="0018475B">
        <w:rPr>
          <w:rFonts w:asciiTheme="minorHAnsi" w:hAnsiTheme="minorHAnsi" w:cstheme="minorHAnsi"/>
          <w:sz w:val="21"/>
          <w:szCs w:val="21"/>
        </w:rPr>
        <w:t>the combination of strong performance in our TVG horse racing business, coupled with better-than-anticipated sportsbook staking</w:t>
      </w:r>
      <w:r w:rsidR="00B923D0" w:rsidRPr="0018475B">
        <w:rPr>
          <w:rFonts w:asciiTheme="minorHAnsi" w:hAnsiTheme="minorHAnsi" w:cstheme="minorHAnsi"/>
          <w:sz w:val="21"/>
          <w:szCs w:val="21"/>
        </w:rPr>
        <w:t>,</w:t>
      </w:r>
      <w:r w:rsidR="007B54F9" w:rsidRPr="0018475B">
        <w:rPr>
          <w:rFonts w:asciiTheme="minorHAnsi" w:hAnsiTheme="minorHAnsi" w:cstheme="minorHAnsi"/>
          <w:sz w:val="21"/>
          <w:szCs w:val="21"/>
        </w:rPr>
        <w:t xml:space="preserve"> meant that Q2 sports revenues still grew 4%. </w:t>
      </w:r>
      <w:r w:rsidR="00B923D0" w:rsidRPr="0018475B">
        <w:rPr>
          <w:rFonts w:asciiTheme="minorHAnsi" w:hAnsiTheme="minorHAnsi" w:cstheme="minorHAnsi"/>
          <w:sz w:val="21"/>
          <w:szCs w:val="21"/>
        </w:rPr>
        <w:t xml:space="preserve">This </w:t>
      </w:r>
      <w:r w:rsidR="00604202">
        <w:rPr>
          <w:rFonts w:asciiTheme="minorHAnsi" w:hAnsiTheme="minorHAnsi" w:cstheme="minorHAnsi"/>
          <w:sz w:val="21"/>
          <w:szCs w:val="21"/>
        </w:rPr>
        <w:t xml:space="preserve">was </w:t>
      </w:r>
      <w:r w:rsidR="00B923D0" w:rsidRPr="0018475B">
        <w:rPr>
          <w:rFonts w:asciiTheme="minorHAnsi" w:hAnsiTheme="minorHAnsi" w:cstheme="minorHAnsi"/>
          <w:sz w:val="21"/>
          <w:szCs w:val="21"/>
        </w:rPr>
        <w:t xml:space="preserve">despite the </w:t>
      </w:r>
      <w:r w:rsidRPr="0018475B">
        <w:rPr>
          <w:rFonts w:asciiTheme="minorHAnsi" w:hAnsiTheme="minorHAnsi" w:cstheme="minorHAnsi"/>
          <w:sz w:val="21"/>
          <w:szCs w:val="21"/>
        </w:rPr>
        <w:t xml:space="preserve">decline in </w:t>
      </w:r>
      <w:r w:rsidR="00B923D0" w:rsidRPr="0018475B">
        <w:rPr>
          <w:rFonts w:asciiTheme="minorHAnsi" w:hAnsiTheme="minorHAnsi" w:cstheme="minorHAnsi"/>
          <w:sz w:val="21"/>
          <w:szCs w:val="21"/>
        </w:rPr>
        <w:t xml:space="preserve">daily fantasy </w:t>
      </w:r>
      <w:r w:rsidRPr="0018475B">
        <w:rPr>
          <w:rFonts w:asciiTheme="minorHAnsi" w:hAnsiTheme="minorHAnsi" w:cstheme="minorHAnsi"/>
          <w:sz w:val="21"/>
          <w:szCs w:val="21"/>
        </w:rPr>
        <w:t xml:space="preserve">revenue </w:t>
      </w:r>
      <w:r w:rsidR="00B923D0" w:rsidRPr="0018475B">
        <w:rPr>
          <w:rFonts w:asciiTheme="minorHAnsi" w:hAnsiTheme="minorHAnsi" w:cstheme="minorHAnsi"/>
          <w:sz w:val="21"/>
          <w:szCs w:val="21"/>
        </w:rPr>
        <w:t xml:space="preserve">which </w:t>
      </w:r>
      <w:r w:rsidRPr="0018475B">
        <w:rPr>
          <w:rFonts w:asciiTheme="minorHAnsi" w:hAnsiTheme="minorHAnsi" w:cstheme="minorHAnsi"/>
          <w:sz w:val="21"/>
          <w:szCs w:val="21"/>
        </w:rPr>
        <w:t>was particularly pronounced</w:t>
      </w:r>
      <w:r w:rsidR="008C0C8D" w:rsidRPr="0018475B">
        <w:rPr>
          <w:rFonts w:asciiTheme="minorHAnsi" w:hAnsiTheme="minorHAnsi" w:cstheme="minorHAnsi"/>
          <w:sz w:val="21"/>
          <w:szCs w:val="21"/>
        </w:rPr>
        <w:t xml:space="preserve"> given its </w:t>
      </w:r>
      <w:r w:rsidR="00760BEB" w:rsidRPr="0018475B">
        <w:rPr>
          <w:rFonts w:asciiTheme="minorHAnsi" w:hAnsiTheme="minorHAnsi" w:cstheme="minorHAnsi"/>
          <w:sz w:val="21"/>
          <w:szCs w:val="21"/>
        </w:rPr>
        <w:t xml:space="preserve">high </w:t>
      </w:r>
      <w:r w:rsidR="008C0C8D" w:rsidRPr="0018475B">
        <w:rPr>
          <w:rFonts w:asciiTheme="minorHAnsi" w:hAnsiTheme="minorHAnsi" w:cstheme="minorHAnsi"/>
          <w:sz w:val="21"/>
          <w:szCs w:val="21"/>
        </w:rPr>
        <w:t>correlation with the number of sporting events</w:t>
      </w:r>
      <w:r w:rsidR="00760BEB" w:rsidRPr="0018475B">
        <w:rPr>
          <w:rFonts w:asciiTheme="minorHAnsi" w:hAnsiTheme="minorHAnsi" w:cstheme="minorHAnsi"/>
          <w:sz w:val="21"/>
          <w:szCs w:val="21"/>
        </w:rPr>
        <w:t xml:space="preserve"> that take place</w:t>
      </w:r>
      <w:r w:rsidRPr="0018475B">
        <w:rPr>
          <w:rFonts w:asciiTheme="minorHAnsi" w:hAnsiTheme="minorHAnsi" w:cstheme="minorHAnsi"/>
          <w:sz w:val="21"/>
          <w:szCs w:val="21"/>
        </w:rPr>
        <w:t xml:space="preserve">. </w:t>
      </w:r>
    </w:p>
    <w:p w14:paraId="4E344BC7" w14:textId="77777777" w:rsidR="00942D68" w:rsidRPr="0018475B" w:rsidRDefault="00942D68" w:rsidP="00942D68">
      <w:p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Gaming revenue grew 380%</w:t>
      </w:r>
      <w:r w:rsidR="00304E49" w:rsidRPr="0018475B">
        <w:rPr>
          <w:rFonts w:asciiTheme="minorHAnsi" w:hAnsiTheme="minorHAnsi" w:cstheme="minorHAnsi"/>
          <w:sz w:val="21"/>
          <w:szCs w:val="21"/>
        </w:rPr>
        <w:t>,</w:t>
      </w:r>
      <w:r w:rsidRPr="0018475B">
        <w:rPr>
          <w:rFonts w:asciiTheme="minorHAnsi" w:hAnsiTheme="minorHAnsi" w:cstheme="minorHAnsi"/>
          <w:sz w:val="21"/>
          <w:szCs w:val="21"/>
        </w:rPr>
        <w:t xml:space="preserve"> </w:t>
      </w:r>
      <w:r w:rsidR="008C0C8D" w:rsidRPr="0018475B">
        <w:rPr>
          <w:rFonts w:asciiTheme="minorHAnsi" w:hAnsiTheme="minorHAnsi" w:cstheme="minorHAnsi"/>
          <w:color w:val="000000"/>
          <w:sz w:val="21"/>
          <w:szCs w:val="21"/>
          <w:lang w:val="en-IE" w:eastAsia="en-IE"/>
        </w:rPr>
        <w:t xml:space="preserve">with continued strong growth in New Jersey boosted by the launch in Pennsylvania of the FanDuel Casino </w:t>
      </w:r>
      <w:r w:rsidR="00612479" w:rsidRPr="0018475B">
        <w:rPr>
          <w:rFonts w:asciiTheme="minorHAnsi" w:hAnsiTheme="minorHAnsi" w:cstheme="minorHAnsi"/>
          <w:color w:val="000000"/>
          <w:sz w:val="21"/>
          <w:szCs w:val="21"/>
          <w:lang w:val="en-IE" w:eastAsia="en-IE"/>
        </w:rPr>
        <w:t xml:space="preserve">in </w:t>
      </w:r>
      <w:r w:rsidR="008C0C8D" w:rsidRPr="0018475B">
        <w:rPr>
          <w:rFonts w:asciiTheme="minorHAnsi" w:hAnsiTheme="minorHAnsi" w:cstheme="minorHAnsi"/>
          <w:color w:val="000000"/>
          <w:sz w:val="21"/>
          <w:szCs w:val="21"/>
          <w:lang w:val="en-IE" w:eastAsia="en-IE"/>
        </w:rPr>
        <w:t>Jan</w:t>
      </w:r>
      <w:r w:rsidR="00612479" w:rsidRPr="0018475B">
        <w:rPr>
          <w:rFonts w:asciiTheme="minorHAnsi" w:hAnsiTheme="minorHAnsi" w:cstheme="minorHAnsi"/>
          <w:color w:val="000000"/>
          <w:sz w:val="21"/>
          <w:szCs w:val="21"/>
          <w:lang w:val="en-IE" w:eastAsia="en-IE"/>
        </w:rPr>
        <w:t>uary</w:t>
      </w:r>
      <w:r w:rsidR="008C0C8D" w:rsidRPr="0018475B">
        <w:rPr>
          <w:rFonts w:asciiTheme="minorHAnsi" w:hAnsiTheme="minorHAnsi" w:cstheme="minorHAnsi"/>
          <w:color w:val="000000"/>
          <w:sz w:val="21"/>
          <w:szCs w:val="21"/>
          <w:lang w:val="en-IE" w:eastAsia="en-IE"/>
        </w:rPr>
        <w:t xml:space="preserve"> and PokerStars </w:t>
      </w:r>
      <w:r w:rsidR="00612479" w:rsidRPr="0018475B">
        <w:rPr>
          <w:rFonts w:asciiTheme="minorHAnsi" w:hAnsiTheme="minorHAnsi" w:cstheme="minorHAnsi"/>
          <w:color w:val="000000"/>
          <w:sz w:val="21"/>
          <w:szCs w:val="21"/>
          <w:lang w:val="en-IE" w:eastAsia="en-IE"/>
        </w:rPr>
        <w:t xml:space="preserve">in </w:t>
      </w:r>
      <w:r w:rsidR="008C0C8D" w:rsidRPr="0018475B">
        <w:rPr>
          <w:rFonts w:asciiTheme="minorHAnsi" w:hAnsiTheme="minorHAnsi" w:cstheme="minorHAnsi"/>
          <w:color w:val="000000"/>
          <w:sz w:val="21"/>
          <w:szCs w:val="21"/>
          <w:lang w:val="en-IE" w:eastAsia="en-IE"/>
        </w:rPr>
        <w:t>Nov</w:t>
      </w:r>
      <w:r w:rsidR="00612479" w:rsidRPr="0018475B">
        <w:rPr>
          <w:rFonts w:asciiTheme="minorHAnsi" w:hAnsiTheme="minorHAnsi" w:cstheme="minorHAnsi"/>
          <w:color w:val="000000"/>
          <w:sz w:val="21"/>
          <w:szCs w:val="21"/>
          <w:lang w:val="en-IE" w:eastAsia="en-IE"/>
        </w:rPr>
        <w:t>ember 20</w:t>
      </w:r>
      <w:r w:rsidR="008C0C8D" w:rsidRPr="0018475B">
        <w:rPr>
          <w:rFonts w:asciiTheme="minorHAnsi" w:hAnsiTheme="minorHAnsi" w:cstheme="minorHAnsi"/>
          <w:color w:val="000000"/>
          <w:sz w:val="21"/>
          <w:szCs w:val="21"/>
          <w:lang w:val="en-IE" w:eastAsia="en-IE"/>
        </w:rPr>
        <w:t xml:space="preserve">19. </w:t>
      </w:r>
      <w:r w:rsidRPr="0018475B">
        <w:rPr>
          <w:rFonts w:asciiTheme="minorHAnsi" w:hAnsiTheme="minorHAnsi" w:cstheme="minorHAnsi"/>
          <w:sz w:val="21"/>
          <w:szCs w:val="21"/>
        </w:rPr>
        <w:t xml:space="preserve">Q2 benefitted from substitution of customer activity to </w:t>
      </w:r>
      <w:r w:rsidR="008C0C8D" w:rsidRPr="0018475B">
        <w:rPr>
          <w:rFonts w:asciiTheme="minorHAnsi" w:hAnsiTheme="minorHAnsi" w:cstheme="minorHAnsi"/>
          <w:sz w:val="21"/>
          <w:szCs w:val="21"/>
        </w:rPr>
        <w:t>gaming</w:t>
      </w:r>
      <w:r w:rsidR="00304E49" w:rsidRPr="0018475B">
        <w:rPr>
          <w:rFonts w:asciiTheme="minorHAnsi" w:hAnsiTheme="minorHAnsi" w:cstheme="minorHAnsi"/>
          <w:sz w:val="21"/>
          <w:szCs w:val="21"/>
        </w:rPr>
        <w:t xml:space="preserve">, with </w:t>
      </w:r>
      <w:r w:rsidRPr="0018475B">
        <w:rPr>
          <w:rFonts w:asciiTheme="minorHAnsi" w:hAnsiTheme="minorHAnsi" w:cstheme="minorHAnsi"/>
          <w:sz w:val="21"/>
          <w:szCs w:val="21"/>
        </w:rPr>
        <w:t>revenue</w:t>
      </w:r>
      <w:r w:rsidR="00B923D0" w:rsidRPr="0018475B">
        <w:rPr>
          <w:rFonts w:asciiTheme="minorHAnsi" w:hAnsiTheme="minorHAnsi" w:cstheme="minorHAnsi"/>
          <w:sz w:val="21"/>
          <w:szCs w:val="21"/>
        </w:rPr>
        <w:t>s</w:t>
      </w:r>
      <w:r w:rsidRPr="0018475B">
        <w:rPr>
          <w:rFonts w:asciiTheme="minorHAnsi" w:hAnsiTheme="minorHAnsi" w:cstheme="minorHAnsi"/>
          <w:sz w:val="21"/>
          <w:szCs w:val="21"/>
        </w:rPr>
        <w:t xml:space="preserve"> </w:t>
      </w:r>
      <w:r w:rsidR="00B923D0" w:rsidRPr="0018475B">
        <w:rPr>
          <w:rFonts w:asciiTheme="minorHAnsi" w:hAnsiTheme="minorHAnsi" w:cstheme="minorHAnsi"/>
          <w:sz w:val="21"/>
          <w:szCs w:val="21"/>
        </w:rPr>
        <w:t>increas</w:t>
      </w:r>
      <w:r w:rsidR="00304E49" w:rsidRPr="0018475B">
        <w:rPr>
          <w:rFonts w:asciiTheme="minorHAnsi" w:hAnsiTheme="minorHAnsi" w:cstheme="minorHAnsi"/>
          <w:sz w:val="21"/>
          <w:szCs w:val="21"/>
        </w:rPr>
        <w:t>ing</w:t>
      </w:r>
      <w:r w:rsidR="00B923D0" w:rsidRPr="0018475B">
        <w:rPr>
          <w:rFonts w:asciiTheme="minorHAnsi" w:hAnsiTheme="minorHAnsi" w:cstheme="minorHAnsi"/>
          <w:sz w:val="21"/>
          <w:szCs w:val="21"/>
        </w:rPr>
        <w:t xml:space="preserve"> </w:t>
      </w:r>
      <w:r w:rsidRPr="0018475B">
        <w:rPr>
          <w:rFonts w:asciiTheme="minorHAnsi" w:hAnsiTheme="minorHAnsi" w:cstheme="minorHAnsi"/>
          <w:sz w:val="21"/>
          <w:szCs w:val="21"/>
        </w:rPr>
        <w:t xml:space="preserve">more than fourfold. Cross-sell exceeded our expectations and direct gaming revenues more than doubled quarter on quarter, partly benefitting from redirection of marketing investment away from sports to gaming. </w:t>
      </w:r>
    </w:p>
    <w:p w14:paraId="474BEDAE" w14:textId="77777777" w:rsidR="00A55850" w:rsidRPr="0018475B" w:rsidRDefault="00A55850" w:rsidP="00942D68">
      <w:pPr>
        <w:spacing w:before="120" w:after="120"/>
        <w:jc w:val="both"/>
        <w:rPr>
          <w:rFonts w:asciiTheme="minorHAnsi" w:hAnsiTheme="minorHAnsi" w:cstheme="minorHAnsi"/>
          <w:sz w:val="21"/>
          <w:szCs w:val="21"/>
        </w:rPr>
      </w:pPr>
      <w:r w:rsidRPr="0018475B">
        <w:rPr>
          <w:rFonts w:asciiTheme="minorHAnsi" w:hAnsiTheme="minorHAnsi" w:cstheme="minorHAnsi"/>
          <w:sz w:val="21"/>
          <w:szCs w:val="21"/>
        </w:rPr>
        <w:t>Cost of sales as a percentage of revenue increased materially year-on-year to 4</w:t>
      </w:r>
      <w:r w:rsidR="00304E49" w:rsidRPr="0018475B">
        <w:rPr>
          <w:rFonts w:asciiTheme="minorHAnsi" w:hAnsiTheme="minorHAnsi" w:cstheme="minorHAnsi"/>
          <w:sz w:val="21"/>
          <w:szCs w:val="21"/>
        </w:rPr>
        <w:t>2</w:t>
      </w:r>
      <w:r w:rsidRPr="0018475B">
        <w:rPr>
          <w:rFonts w:asciiTheme="minorHAnsi" w:hAnsiTheme="minorHAnsi" w:cstheme="minorHAnsi"/>
          <w:sz w:val="21"/>
          <w:szCs w:val="21"/>
        </w:rPr>
        <w:t xml:space="preserve">%. </w:t>
      </w:r>
      <w:r w:rsidR="00997974" w:rsidRPr="0018475B">
        <w:rPr>
          <w:rFonts w:asciiTheme="minorHAnsi" w:hAnsiTheme="minorHAnsi" w:cstheme="minorHAnsi"/>
          <w:sz w:val="21"/>
          <w:szCs w:val="21"/>
        </w:rPr>
        <w:t>Approximately half of the increase reflect</w:t>
      </w:r>
      <w:r w:rsidR="00304E49" w:rsidRPr="0018475B">
        <w:rPr>
          <w:rFonts w:asciiTheme="minorHAnsi" w:hAnsiTheme="minorHAnsi" w:cstheme="minorHAnsi"/>
          <w:sz w:val="21"/>
          <w:szCs w:val="21"/>
        </w:rPr>
        <w:t>ed</w:t>
      </w:r>
      <w:r w:rsidR="00997974" w:rsidRPr="0018475B">
        <w:rPr>
          <w:rFonts w:asciiTheme="minorHAnsi" w:hAnsiTheme="minorHAnsi" w:cstheme="minorHAnsi"/>
          <w:sz w:val="21"/>
          <w:szCs w:val="21"/>
        </w:rPr>
        <w:t xml:space="preserve"> changing product mix with daily fantasy sports revenues </w:t>
      </w:r>
      <w:r w:rsidR="00304E49" w:rsidRPr="0018475B">
        <w:rPr>
          <w:rFonts w:asciiTheme="minorHAnsi" w:hAnsiTheme="minorHAnsi" w:cstheme="minorHAnsi"/>
          <w:sz w:val="21"/>
          <w:szCs w:val="21"/>
        </w:rPr>
        <w:t>significantly reduced</w:t>
      </w:r>
      <w:r w:rsidR="00997974" w:rsidRPr="0018475B">
        <w:rPr>
          <w:rFonts w:asciiTheme="minorHAnsi" w:hAnsiTheme="minorHAnsi" w:cstheme="minorHAnsi"/>
          <w:sz w:val="21"/>
          <w:szCs w:val="21"/>
        </w:rPr>
        <w:t xml:space="preserve"> </w:t>
      </w:r>
      <w:r w:rsidR="00304E49" w:rsidRPr="0018475B">
        <w:rPr>
          <w:rFonts w:asciiTheme="minorHAnsi" w:hAnsiTheme="minorHAnsi" w:cstheme="minorHAnsi"/>
          <w:sz w:val="21"/>
          <w:szCs w:val="21"/>
        </w:rPr>
        <w:t>d</w:t>
      </w:r>
      <w:r w:rsidR="00997974" w:rsidRPr="0018475B">
        <w:rPr>
          <w:rFonts w:asciiTheme="minorHAnsi" w:hAnsiTheme="minorHAnsi" w:cstheme="minorHAnsi"/>
          <w:sz w:val="21"/>
          <w:szCs w:val="21"/>
        </w:rPr>
        <w:t xml:space="preserve">ue to the cancellation of sports. DFS revenues have lower cost of sales associated with them. The remainder of the increase reflects changing state mix and some content cost appreciation. </w:t>
      </w:r>
    </w:p>
    <w:p w14:paraId="46EA04A0" w14:textId="77777777" w:rsidR="00942D68" w:rsidRDefault="00942D68" w:rsidP="00942D68">
      <w:pPr>
        <w:spacing w:before="120" w:after="120"/>
        <w:jc w:val="both"/>
        <w:rPr>
          <w:rFonts w:asciiTheme="minorHAnsi" w:hAnsiTheme="minorHAnsi"/>
          <w:sz w:val="21"/>
          <w:szCs w:val="21"/>
        </w:rPr>
      </w:pPr>
      <w:r>
        <w:rPr>
          <w:rFonts w:asciiTheme="minorHAnsi" w:hAnsiTheme="minorHAnsi"/>
          <w:sz w:val="21"/>
          <w:szCs w:val="21"/>
        </w:rPr>
        <w:lastRenderedPageBreak/>
        <w:t xml:space="preserve">Sales and Marketing grew in line with revenues. Other operating costs </w:t>
      </w:r>
      <w:r w:rsidR="00304E49">
        <w:rPr>
          <w:rFonts w:asciiTheme="minorHAnsi" w:hAnsiTheme="minorHAnsi"/>
          <w:sz w:val="21"/>
          <w:szCs w:val="21"/>
        </w:rPr>
        <w:t xml:space="preserve">increased </w:t>
      </w:r>
      <w:r>
        <w:rPr>
          <w:rFonts w:asciiTheme="minorHAnsi" w:hAnsiTheme="minorHAnsi"/>
          <w:sz w:val="21"/>
          <w:szCs w:val="21"/>
        </w:rPr>
        <w:t xml:space="preserve">19% in </w:t>
      </w:r>
      <w:r w:rsidR="008C0C8D">
        <w:rPr>
          <w:rFonts w:asciiTheme="minorHAnsi" w:hAnsiTheme="minorHAnsi"/>
          <w:sz w:val="21"/>
          <w:szCs w:val="21"/>
        </w:rPr>
        <w:t xml:space="preserve">H1 </w:t>
      </w:r>
      <w:r>
        <w:rPr>
          <w:rFonts w:asciiTheme="minorHAnsi" w:hAnsiTheme="minorHAnsi"/>
          <w:sz w:val="21"/>
          <w:szCs w:val="21"/>
        </w:rPr>
        <w:t xml:space="preserve">as we continued to invest in </w:t>
      </w:r>
      <w:r w:rsidR="008C0C8D">
        <w:rPr>
          <w:rFonts w:asciiTheme="minorHAnsi" w:hAnsiTheme="minorHAnsi"/>
          <w:sz w:val="21"/>
          <w:szCs w:val="21"/>
        </w:rPr>
        <w:t xml:space="preserve">our </w:t>
      </w:r>
      <w:r>
        <w:rPr>
          <w:rFonts w:asciiTheme="minorHAnsi" w:hAnsiTheme="minorHAnsi"/>
          <w:sz w:val="21"/>
          <w:szCs w:val="21"/>
        </w:rPr>
        <w:t xml:space="preserve">team and technology, with both the FanDuel and FoxBet online sportsbooks launching in Colorado in May. </w:t>
      </w:r>
      <w:r w:rsidR="00304E49">
        <w:rPr>
          <w:rFonts w:asciiTheme="minorHAnsi" w:hAnsiTheme="minorHAnsi"/>
          <w:sz w:val="21"/>
          <w:szCs w:val="21"/>
        </w:rPr>
        <w:t xml:space="preserve">The </w:t>
      </w:r>
      <w:r>
        <w:rPr>
          <w:rFonts w:asciiTheme="minorHAnsi" w:hAnsiTheme="minorHAnsi"/>
          <w:sz w:val="21"/>
          <w:szCs w:val="21"/>
        </w:rPr>
        <w:t xml:space="preserve">US generated an </w:t>
      </w:r>
      <w:r w:rsidR="008D3E34">
        <w:rPr>
          <w:rFonts w:asciiTheme="minorHAnsi" w:hAnsiTheme="minorHAnsi"/>
          <w:sz w:val="21"/>
          <w:szCs w:val="21"/>
        </w:rPr>
        <w:t>A</w:t>
      </w:r>
      <w:r>
        <w:rPr>
          <w:rFonts w:asciiTheme="minorHAnsi" w:hAnsiTheme="minorHAnsi"/>
          <w:sz w:val="21"/>
          <w:szCs w:val="21"/>
        </w:rPr>
        <w:t>djusted EBITDA loss of £19m in the half.</w:t>
      </w:r>
    </w:p>
    <w:p w14:paraId="1AC054DB" w14:textId="77777777" w:rsidR="00590AA3" w:rsidRPr="00BE61B4" w:rsidRDefault="00590AA3" w:rsidP="00590AA3">
      <w:pPr>
        <w:spacing w:after="120"/>
        <w:jc w:val="both"/>
        <w:rPr>
          <w:rFonts w:asciiTheme="minorHAnsi" w:hAnsiTheme="minorHAnsi"/>
          <w:b/>
          <w:color w:val="FF0000"/>
          <w:sz w:val="22"/>
          <w:szCs w:val="22"/>
        </w:rPr>
      </w:pPr>
      <w:r>
        <w:rPr>
          <w:rFonts w:asciiTheme="minorHAnsi" w:hAnsiTheme="minorHAnsi"/>
          <w:b/>
          <w:sz w:val="22"/>
          <w:szCs w:val="22"/>
        </w:rPr>
        <w:t>Separately disclosed items</w:t>
      </w:r>
    </w:p>
    <w:tbl>
      <w:tblPr>
        <w:tblW w:w="6880" w:type="dxa"/>
        <w:tblInd w:w="-10" w:type="dxa"/>
        <w:tblLook w:val="04A0" w:firstRow="1" w:lastRow="0" w:firstColumn="1" w:lastColumn="0" w:noHBand="0" w:noVBand="1"/>
      </w:tblPr>
      <w:tblGrid>
        <w:gridCol w:w="4960"/>
        <w:gridCol w:w="960"/>
        <w:gridCol w:w="960"/>
      </w:tblGrid>
      <w:tr w:rsidR="00590AA3" w:rsidRPr="00590AA3" w14:paraId="6AB423D1" w14:textId="77777777" w:rsidTr="00590AA3">
        <w:trPr>
          <w:trHeight w:val="255"/>
        </w:trPr>
        <w:tc>
          <w:tcPr>
            <w:tcW w:w="4960" w:type="dxa"/>
            <w:tcBorders>
              <w:top w:val="single" w:sz="8" w:space="0" w:color="auto"/>
              <w:left w:val="single" w:sz="8" w:space="0" w:color="auto"/>
              <w:bottom w:val="nil"/>
              <w:right w:val="nil"/>
            </w:tcBorders>
            <w:shd w:val="clear" w:color="auto" w:fill="auto"/>
            <w:noWrap/>
            <w:vAlign w:val="center"/>
            <w:hideMark/>
          </w:tcPr>
          <w:p w14:paraId="5F840A28" w14:textId="77777777" w:rsidR="00590AA3" w:rsidRPr="00590AA3" w:rsidRDefault="00590AA3" w:rsidP="00590AA3">
            <w:pPr>
              <w:jc w:val="both"/>
              <w:rPr>
                <w:rFonts w:ascii="Calibri" w:hAnsi="Calibri" w:cs="Calibri"/>
                <w:b/>
                <w:bCs/>
                <w:sz w:val="20"/>
                <w:lang w:eastAsia="en-GB"/>
              </w:rPr>
            </w:pPr>
            <w:r w:rsidRPr="00590AA3">
              <w:rPr>
                <w:rFonts w:ascii="Calibri" w:hAnsi="Calibri" w:cs="Calibri"/>
                <w:b/>
                <w:bCs/>
                <w:sz w:val="20"/>
                <w:lang w:eastAsia="en-GB"/>
              </w:rPr>
              <w:t> </w:t>
            </w:r>
          </w:p>
        </w:tc>
        <w:tc>
          <w:tcPr>
            <w:tcW w:w="960" w:type="dxa"/>
            <w:tcBorders>
              <w:top w:val="single" w:sz="8" w:space="0" w:color="auto"/>
              <w:left w:val="nil"/>
              <w:bottom w:val="nil"/>
              <w:right w:val="nil"/>
            </w:tcBorders>
            <w:shd w:val="clear" w:color="auto" w:fill="auto"/>
            <w:noWrap/>
            <w:vAlign w:val="center"/>
            <w:hideMark/>
          </w:tcPr>
          <w:p w14:paraId="67868E00" w14:textId="77777777" w:rsidR="00590AA3" w:rsidRPr="00590AA3" w:rsidRDefault="00590AA3" w:rsidP="00590AA3">
            <w:pPr>
              <w:jc w:val="right"/>
              <w:rPr>
                <w:rFonts w:ascii="Calibri" w:hAnsi="Calibri" w:cs="Calibri"/>
                <w:b/>
                <w:bCs/>
                <w:color w:val="000000"/>
                <w:sz w:val="20"/>
                <w:lang w:eastAsia="en-GB"/>
              </w:rPr>
            </w:pPr>
            <w:r w:rsidRPr="00590AA3">
              <w:rPr>
                <w:rFonts w:ascii="Calibri" w:hAnsi="Calibri" w:cs="Calibri"/>
                <w:b/>
                <w:bCs/>
                <w:color w:val="000000"/>
                <w:sz w:val="20"/>
                <w:lang w:eastAsia="en-GB"/>
              </w:rPr>
              <w:t>H1</w:t>
            </w:r>
          </w:p>
        </w:tc>
        <w:tc>
          <w:tcPr>
            <w:tcW w:w="960" w:type="dxa"/>
            <w:tcBorders>
              <w:top w:val="single" w:sz="8" w:space="0" w:color="auto"/>
              <w:left w:val="nil"/>
              <w:bottom w:val="nil"/>
              <w:right w:val="single" w:sz="8" w:space="0" w:color="auto"/>
            </w:tcBorders>
            <w:shd w:val="clear" w:color="auto" w:fill="auto"/>
            <w:noWrap/>
            <w:vAlign w:val="center"/>
            <w:hideMark/>
          </w:tcPr>
          <w:p w14:paraId="30027E4D" w14:textId="77777777" w:rsidR="00590AA3" w:rsidRPr="00590AA3" w:rsidRDefault="00590AA3" w:rsidP="00590AA3">
            <w:pPr>
              <w:jc w:val="right"/>
              <w:rPr>
                <w:rFonts w:ascii="Calibri" w:hAnsi="Calibri" w:cs="Calibri"/>
                <w:b/>
                <w:bCs/>
                <w:color w:val="000000"/>
                <w:sz w:val="20"/>
                <w:lang w:eastAsia="en-GB"/>
              </w:rPr>
            </w:pPr>
            <w:r w:rsidRPr="00590AA3">
              <w:rPr>
                <w:rFonts w:ascii="Calibri" w:hAnsi="Calibri" w:cs="Calibri"/>
                <w:b/>
                <w:bCs/>
                <w:color w:val="000000"/>
                <w:sz w:val="20"/>
                <w:lang w:eastAsia="en-GB"/>
              </w:rPr>
              <w:t>H1</w:t>
            </w:r>
          </w:p>
        </w:tc>
      </w:tr>
      <w:tr w:rsidR="00590AA3" w:rsidRPr="00590AA3" w14:paraId="49F9D3FE"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1BCEEC95" w14:textId="77777777" w:rsidR="00590AA3" w:rsidRPr="00590AA3" w:rsidRDefault="00590AA3" w:rsidP="00590AA3">
            <w:pPr>
              <w:jc w:val="both"/>
              <w:rPr>
                <w:rFonts w:ascii="Calibri" w:hAnsi="Calibri" w:cs="Calibri"/>
                <w:b/>
                <w:bCs/>
                <w:sz w:val="20"/>
                <w:lang w:eastAsia="en-GB"/>
              </w:rPr>
            </w:pPr>
            <w:r w:rsidRPr="00590AA3">
              <w:rPr>
                <w:rFonts w:ascii="Calibri" w:hAnsi="Calibri" w:cs="Calibri"/>
                <w:b/>
                <w:bCs/>
                <w:sz w:val="20"/>
                <w:lang w:eastAsia="en-GB"/>
              </w:rPr>
              <w:t> </w:t>
            </w:r>
          </w:p>
        </w:tc>
        <w:tc>
          <w:tcPr>
            <w:tcW w:w="960" w:type="dxa"/>
            <w:tcBorders>
              <w:top w:val="nil"/>
              <w:left w:val="nil"/>
              <w:bottom w:val="nil"/>
              <w:right w:val="nil"/>
            </w:tcBorders>
            <w:shd w:val="clear" w:color="auto" w:fill="auto"/>
            <w:noWrap/>
            <w:vAlign w:val="center"/>
            <w:hideMark/>
          </w:tcPr>
          <w:p w14:paraId="6C56D9EE" w14:textId="77777777" w:rsidR="00590AA3" w:rsidRPr="00590AA3" w:rsidRDefault="00590AA3" w:rsidP="00590AA3">
            <w:pPr>
              <w:jc w:val="right"/>
              <w:rPr>
                <w:rFonts w:ascii="Calibri" w:hAnsi="Calibri" w:cs="Calibri"/>
                <w:b/>
                <w:bCs/>
                <w:color w:val="000000"/>
                <w:sz w:val="20"/>
                <w:lang w:eastAsia="en-GB"/>
              </w:rPr>
            </w:pPr>
            <w:r w:rsidRPr="00590AA3">
              <w:rPr>
                <w:rFonts w:ascii="Calibri" w:hAnsi="Calibri" w:cs="Calibri"/>
                <w:b/>
                <w:bCs/>
                <w:color w:val="000000"/>
                <w:sz w:val="20"/>
                <w:lang w:eastAsia="en-GB"/>
              </w:rPr>
              <w:t>2020</w:t>
            </w:r>
          </w:p>
        </w:tc>
        <w:tc>
          <w:tcPr>
            <w:tcW w:w="960" w:type="dxa"/>
            <w:tcBorders>
              <w:top w:val="nil"/>
              <w:left w:val="nil"/>
              <w:bottom w:val="nil"/>
              <w:right w:val="single" w:sz="8" w:space="0" w:color="auto"/>
            </w:tcBorders>
            <w:shd w:val="clear" w:color="auto" w:fill="auto"/>
            <w:noWrap/>
            <w:vAlign w:val="center"/>
            <w:hideMark/>
          </w:tcPr>
          <w:p w14:paraId="5AF37C71" w14:textId="77777777" w:rsidR="00590AA3" w:rsidRPr="00590AA3" w:rsidRDefault="00590AA3" w:rsidP="00590AA3">
            <w:pPr>
              <w:jc w:val="right"/>
              <w:rPr>
                <w:rFonts w:ascii="Calibri" w:hAnsi="Calibri" w:cs="Calibri"/>
                <w:b/>
                <w:bCs/>
                <w:color w:val="000000"/>
                <w:sz w:val="20"/>
                <w:lang w:eastAsia="en-GB"/>
              </w:rPr>
            </w:pPr>
            <w:r w:rsidRPr="00590AA3">
              <w:rPr>
                <w:rFonts w:ascii="Calibri" w:hAnsi="Calibri" w:cs="Calibri"/>
                <w:b/>
                <w:bCs/>
                <w:color w:val="000000"/>
                <w:sz w:val="20"/>
                <w:lang w:eastAsia="en-GB"/>
              </w:rPr>
              <w:t>2019</w:t>
            </w:r>
          </w:p>
        </w:tc>
      </w:tr>
      <w:tr w:rsidR="00590AA3" w:rsidRPr="00590AA3" w14:paraId="28E8C06A" w14:textId="77777777" w:rsidTr="00590AA3">
        <w:trPr>
          <w:trHeight w:val="255"/>
        </w:trPr>
        <w:tc>
          <w:tcPr>
            <w:tcW w:w="4960" w:type="dxa"/>
            <w:tcBorders>
              <w:top w:val="nil"/>
              <w:left w:val="single" w:sz="8" w:space="0" w:color="auto"/>
              <w:bottom w:val="single" w:sz="8" w:space="0" w:color="auto"/>
              <w:right w:val="nil"/>
            </w:tcBorders>
            <w:shd w:val="clear" w:color="auto" w:fill="auto"/>
            <w:hideMark/>
          </w:tcPr>
          <w:p w14:paraId="1046820E" w14:textId="77777777" w:rsidR="00590AA3" w:rsidRPr="00590AA3" w:rsidRDefault="00590AA3" w:rsidP="00590AA3">
            <w:pPr>
              <w:rPr>
                <w:rFonts w:ascii="Calibri" w:hAnsi="Calibri" w:cs="Calibri"/>
                <w:i/>
                <w:iCs/>
                <w:color w:val="000000"/>
                <w:sz w:val="20"/>
                <w:lang w:eastAsia="en-GB"/>
              </w:rPr>
            </w:pPr>
            <w:r w:rsidRPr="00590AA3">
              <w:rPr>
                <w:rFonts w:ascii="Calibri" w:hAnsi="Calibri" w:cs="Calibri"/>
                <w:i/>
                <w:iCs/>
                <w:color w:val="000000"/>
                <w:sz w:val="20"/>
                <w:lang w:eastAsia="en-GB"/>
              </w:rPr>
              <w:t> </w:t>
            </w:r>
          </w:p>
        </w:tc>
        <w:tc>
          <w:tcPr>
            <w:tcW w:w="960" w:type="dxa"/>
            <w:tcBorders>
              <w:top w:val="nil"/>
              <w:left w:val="nil"/>
              <w:bottom w:val="single" w:sz="8" w:space="0" w:color="auto"/>
              <w:right w:val="nil"/>
            </w:tcBorders>
            <w:shd w:val="clear" w:color="auto" w:fill="auto"/>
            <w:noWrap/>
            <w:vAlign w:val="center"/>
            <w:hideMark/>
          </w:tcPr>
          <w:p w14:paraId="7BF81133" w14:textId="77777777" w:rsidR="00590AA3" w:rsidRPr="00590AA3" w:rsidRDefault="00590AA3" w:rsidP="00590AA3">
            <w:pPr>
              <w:jc w:val="right"/>
              <w:rPr>
                <w:rFonts w:ascii="Calibri" w:hAnsi="Calibri" w:cs="Calibri"/>
                <w:b/>
                <w:bCs/>
                <w:color w:val="000000"/>
                <w:sz w:val="20"/>
                <w:lang w:eastAsia="en-GB"/>
              </w:rPr>
            </w:pPr>
            <w:r w:rsidRPr="00590AA3">
              <w:rPr>
                <w:rFonts w:ascii="Calibri" w:hAnsi="Calibri" w:cs="Calibri"/>
                <w:b/>
                <w:bCs/>
                <w:color w:val="000000"/>
                <w:sz w:val="20"/>
                <w:lang w:eastAsia="en-GB"/>
              </w:rPr>
              <w:t>£m</w:t>
            </w:r>
          </w:p>
        </w:tc>
        <w:tc>
          <w:tcPr>
            <w:tcW w:w="960" w:type="dxa"/>
            <w:tcBorders>
              <w:top w:val="nil"/>
              <w:left w:val="nil"/>
              <w:bottom w:val="single" w:sz="8" w:space="0" w:color="auto"/>
              <w:right w:val="single" w:sz="8" w:space="0" w:color="auto"/>
            </w:tcBorders>
            <w:shd w:val="clear" w:color="auto" w:fill="auto"/>
            <w:noWrap/>
            <w:vAlign w:val="center"/>
            <w:hideMark/>
          </w:tcPr>
          <w:p w14:paraId="76B8C19E" w14:textId="77777777" w:rsidR="00590AA3" w:rsidRPr="00590AA3" w:rsidRDefault="00590AA3" w:rsidP="00590AA3">
            <w:pPr>
              <w:jc w:val="right"/>
              <w:rPr>
                <w:rFonts w:ascii="Calibri" w:hAnsi="Calibri" w:cs="Calibri"/>
                <w:b/>
                <w:bCs/>
                <w:color w:val="000000"/>
                <w:sz w:val="20"/>
                <w:lang w:eastAsia="en-GB"/>
              </w:rPr>
            </w:pPr>
            <w:r w:rsidRPr="00590AA3">
              <w:rPr>
                <w:rFonts w:ascii="Calibri" w:hAnsi="Calibri" w:cs="Calibri"/>
                <w:b/>
                <w:bCs/>
                <w:color w:val="000000"/>
                <w:sz w:val="20"/>
                <w:lang w:eastAsia="en-GB"/>
              </w:rPr>
              <w:t>£m</w:t>
            </w:r>
          </w:p>
        </w:tc>
      </w:tr>
      <w:tr w:rsidR="00590AA3" w:rsidRPr="00590AA3" w14:paraId="3DFF9272" w14:textId="77777777" w:rsidTr="00590AA3">
        <w:trPr>
          <w:trHeight w:val="34"/>
        </w:trPr>
        <w:tc>
          <w:tcPr>
            <w:tcW w:w="4960" w:type="dxa"/>
            <w:tcBorders>
              <w:top w:val="nil"/>
              <w:left w:val="single" w:sz="8" w:space="0" w:color="auto"/>
              <w:bottom w:val="nil"/>
              <w:right w:val="nil"/>
            </w:tcBorders>
            <w:shd w:val="clear" w:color="auto" w:fill="auto"/>
            <w:noWrap/>
            <w:vAlign w:val="center"/>
            <w:hideMark/>
          </w:tcPr>
          <w:p w14:paraId="042A5949" w14:textId="77777777" w:rsidR="00590AA3" w:rsidRPr="00590AA3" w:rsidRDefault="00590AA3" w:rsidP="00590AA3">
            <w:pPr>
              <w:jc w:val="both"/>
              <w:rPr>
                <w:rFonts w:ascii="Calibri" w:hAnsi="Calibri" w:cs="Calibri"/>
                <w:b/>
                <w:bCs/>
                <w:color w:val="FF0000"/>
                <w:sz w:val="2"/>
                <w:szCs w:val="2"/>
                <w:lang w:eastAsia="en-GB"/>
              </w:rPr>
            </w:pPr>
            <w:r w:rsidRPr="00590AA3">
              <w:rPr>
                <w:rFonts w:ascii="Calibri" w:hAnsi="Calibri" w:cs="Calibri"/>
                <w:b/>
                <w:bCs/>
                <w:color w:val="FF0000"/>
                <w:sz w:val="2"/>
                <w:szCs w:val="2"/>
                <w:lang w:eastAsia="en-GB"/>
              </w:rPr>
              <w:t> </w:t>
            </w:r>
          </w:p>
        </w:tc>
        <w:tc>
          <w:tcPr>
            <w:tcW w:w="960" w:type="dxa"/>
            <w:tcBorders>
              <w:top w:val="nil"/>
              <w:left w:val="nil"/>
              <w:bottom w:val="nil"/>
              <w:right w:val="nil"/>
            </w:tcBorders>
            <w:shd w:val="clear" w:color="auto" w:fill="auto"/>
            <w:noWrap/>
            <w:vAlign w:val="center"/>
            <w:hideMark/>
          </w:tcPr>
          <w:p w14:paraId="67AFF087" w14:textId="77777777" w:rsidR="00590AA3" w:rsidRPr="00590AA3" w:rsidRDefault="00590AA3" w:rsidP="00590AA3">
            <w:pPr>
              <w:jc w:val="both"/>
              <w:rPr>
                <w:rFonts w:ascii="Calibri" w:hAnsi="Calibri" w:cs="Calibri"/>
                <w:b/>
                <w:bCs/>
                <w:color w:val="FF0000"/>
                <w:sz w:val="2"/>
                <w:szCs w:val="2"/>
                <w:lang w:eastAsia="en-GB"/>
              </w:rPr>
            </w:pPr>
          </w:p>
        </w:tc>
        <w:tc>
          <w:tcPr>
            <w:tcW w:w="960" w:type="dxa"/>
            <w:tcBorders>
              <w:top w:val="nil"/>
              <w:left w:val="nil"/>
              <w:bottom w:val="nil"/>
              <w:right w:val="single" w:sz="8" w:space="0" w:color="auto"/>
            </w:tcBorders>
            <w:shd w:val="clear" w:color="auto" w:fill="auto"/>
            <w:noWrap/>
            <w:vAlign w:val="center"/>
            <w:hideMark/>
          </w:tcPr>
          <w:p w14:paraId="63AB4EEC" w14:textId="77777777" w:rsidR="00590AA3" w:rsidRPr="00590AA3" w:rsidRDefault="00590AA3" w:rsidP="00590AA3">
            <w:pPr>
              <w:jc w:val="right"/>
              <w:rPr>
                <w:rFonts w:ascii="Calibri" w:hAnsi="Calibri" w:cs="Calibri"/>
                <w:b/>
                <w:bCs/>
                <w:color w:val="000000"/>
                <w:sz w:val="2"/>
                <w:szCs w:val="2"/>
                <w:lang w:eastAsia="en-GB"/>
              </w:rPr>
            </w:pPr>
            <w:r w:rsidRPr="00590AA3">
              <w:rPr>
                <w:rFonts w:ascii="Calibri" w:hAnsi="Calibri" w:cs="Calibri"/>
                <w:b/>
                <w:bCs/>
                <w:color w:val="000000"/>
                <w:sz w:val="2"/>
                <w:szCs w:val="2"/>
                <w:lang w:eastAsia="en-GB"/>
              </w:rPr>
              <w:t> </w:t>
            </w:r>
          </w:p>
        </w:tc>
      </w:tr>
      <w:tr w:rsidR="00590AA3" w:rsidRPr="00590AA3" w14:paraId="02A3B7B3"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10A1E9AC" w14:textId="77777777" w:rsidR="00590AA3" w:rsidRPr="00590AA3" w:rsidRDefault="00590AA3" w:rsidP="00590AA3">
            <w:pPr>
              <w:jc w:val="both"/>
              <w:rPr>
                <w:rFonts w:ascii="Calibri" w:hAnsi="Calibri" w:cs="Calibri"/>
                <w:color w:val="000000"/>
                <w:sz w:val="20"/>
                <w:lang w:eastAsia="en-GB"/>
              </w:rPr>
            </w:pPr>
            <w:r w:rsidRPr="00590AA3">
              <w:rPr>
                <w:rFonts w:ascii="Calibri" w:hAnsi="Calibri" w:cs="Calibri"/>
                <w:color w:val="000000"/>
                <w:sz w:val="20"/>
                <w:lang w:eastAsia="en-GB"/>
              </w:rPr>
              <w:t>Amortisation of acquisition related intangible assets</w:t>
            </w:r>
          </w:p>
        </w:tc>
        <w:tc>
          <w:tcPr>
            <w:tcW w:w="960" w:type="dxa"/>
            <w:tcBorders>
              <w:top w:val="nil"/>
              <w:left w:val="nil"/>
              <w:bottom w:val="nil"/>
              <w:right w:val="nil"/>
            </w:tcBorders>
            <w:shd w:val="clear" w:color="auto" w:fill="auto"/>
            <w:noWrap/>
            <w:vAlign w:val="center"/>
            <w:hideMark/>
          </w:tcPr>
          <w:p w14:paraId="2E8E1F30"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(128)</w:t>
            </w:r>
          </w:p>
        </w:tc>
        <w:tc>
          <w:tcPr>
            <w:tcW w:w="960" w:type="dxa"/>
            <w:tcBorders>
              <w:top w:val="nil"/>
              <w:left w:val="nil"/>
              <w:bottom w:val="nil"/>
              <w:right w:val="single" w:sz="8" w:space="0" w:color="auto"/>
            </w:tcBorders>
            <w:shd w:val="clear" w:color="auto" w:fill="auto"/>
            <w:noWrap/>
            <w:vAlign w:val="center"/>
            <w:hideMark/>
          </w:tcPr>
          <w:p w14:paraId="1D4F34A7"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(59)</w:t>
            </w:r>
          </w:p>
        </w:tc>
      </w:tr>
      <w:tr w:rsidR="00590AA3" w:rsidRPr="00590AA3" w14:paraId="435AA708"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5DCAF703" w14:textId="77777777" w:rsidR="00590AA3" w:rsidRPr="00590AA3" w:rsidRDefault="00831D1F" w:rsidP="00590AA3">
            <w:pPr>
              <w:jc w:val="both"/>
              <w:rPr>
                <w:rFonts w:ascii="Calibri" w:hAnsi="Calibri" w:cs="Calibri"/>
                <w:color w:val="000000"/>
                <w:sz w:val="20"/>
                <w:lang w:eastAsia="en-GB"/>
              </w:rPr>
            </w:pPr>
            <w:r>
              <w:rPr>
                <w:rFonts w:ascii="Calibri" w:hAnsi="Calibri" w:cs="Calibri"/>
                <w:color w:val="000000"/>
                <w:sz w:val="20"/>
                <w:lang w:eastAsia="en-GB"/>
              </w:rPr>
              <w:t>Transaction</w:t>
            </w:r>
            <w:r w:rsidRPr="00590AA3">
              <w:rPr>
                <w:rFonts w:ascii="Calibri" w:hAnsi="Calibri" w:cs="Calibri"/>
                <w:color w:val="000000"/>
                <w:sz w:val="20"/>
                <w:lang w:eastAsia="en-GB"/>
              </w:rPr>
              <w:t xml:space="preserve"> </w:t>
            </w:r>
            <w:r w:rsidR="00590AA3" w:rsidRPr="00590AA3">
              <w:rPr>
                <w:rFonts w:ascii="Calibri" w:hAnsi="Calibri" w:cs="Calibri"/>
                <w:color w:val="000000"/>
                <w:sz w:val="20"/>
                <w:lang w:eastAsia="en-GB"/>
              </w:rPr>
              <w:t>fees and associated costs</w:t>
            </w:r>
          </w:p>
        </w:tc>
        <w:tc>
          <w:tcPr>
            <w:tcW w:w="960" w:type="dxa"/>
            <w:tcBorders>
              <w:top w:val="nil"/>
              <w:left w:val="nil"/>
              <w:bottom w:val="nil"/>
              <w:right w:val="nil"/>
            </w:tcBorders>
            <w:shd w:val="clear" w:color="auto" w:fill="auto"/>
            <w:noWrap/>
            <w:vAlign w:val="center"/>
            <w:hideMark/>
          </w:tcPr>
          <w:p w14:paraId="4E7315A4"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(26)</w:t>
            </w:r>
          </w:p>
        </w:tc>
        <w:tc>
          <w:tcPr>
            <w:tcW w:w="960" w:type="dxa"/>
            <w:tcBorders>
              <w:top w:val="nil"/>
              <w:left w:val="nil"/>
              <w:bottom w:val="nil"/>
              <w:right w:val="single" w:sz="8" w:space="0" w:color="auto"/>
            </w:tcBorders>
            <w:shd w:val="clear" w:color="auto" w:fill="auto"/>
            <w:noWrap/>
            <w:vAlign w:val="center"/>
            <w:hideMark/>
          </w:tcPr>
          <w:p w14:paraId="30122678"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w:t>
            </w:r>
          </w:p>
        </w:tc>
      </w:tr>
      <w:tr w:rsidR="00590AA3" w:rsidRPr="00590AA3" w14:paraId="609DC707"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07C6A4CB" w14:textId="77777777" w:rsidR="00590AA3" w:rsidRPr="00590AA3" w:rsidRDefault="00590AA3" w:rsidP="00590AA3">
            <w:pPr>
              <w:jc w:val="both"/>
              <w:rPr>
                <w:rFonts w:ascii="Calibri" w:hAnsi="Calibri" w:cs="Calibri"/>
                <w:color w:val="000000"/>
                <w:sz w:val="20"/>
                <w:lang w:eastAsia="en-GB"/>
              </w:rPr>
            </w:pPr>
            <w:r w:rsidRPr="00590AA3">
              <w:rPr>
                <w:rFonts w:ascii="Calibri" w:hAnsi="Calibri" w:cs="Calibri"/>
                <w:color w:val="000000"/>
                <w:sz w:val="20"/>
                <w:lang w:eastAsia="en-GB"/>
              </w:rPr>
              <w:t>Restructuring and integration costs</w:t>
            </w:r>
          </w:p>
        </w:tc>
        <w:tc>
          <w:tcPr>
            <w:tcW w:w="960" w:type="dxa"/>
            <w:tcBorders>
              <w:top w:val="nil"/>
              <w:left w:val="nil"/>
              <w:bottom w:val="nil"/>
              <w:right w:val="nil"/>
            </w:tcBorders>
            <w:shd w:val="clear" w:color="auto" w:fill="auto"/>
            <w:noWrap/>
            <w:vAlign w:val="center"/>
            <w:hideMark/>
          </w:tcPr>
          <w:p w14:paraId="6AACACC7"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(41)</w:t>
            </w:r>
          </w:p>
        </w:tc>
        <w:tc>
          <w:tcPr>
            <w:tcW w:w="960" w:type="dxa"/>
            <w:tcBorders>
              <w:top w:val="nil"/>
              <w:left w:val="nil"/>
              <w:bottom w:val="nil"/>
              <w:right w:val="single" w:sz="8" w:space="0" w:color="auto"/>
            </w:tcBorders>
            <w:shd w:val="clear" w:color="auto" w:fill="auto"/>
            <w:noWrap/>
            <w:vAlign w:val="center"/>
            <w:hideMark/>
          </w:tcPr>
          <w:p w14:paraId="7D6D2E7F"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w:t>
            </w:r>
          </w:p>
        </w:tc>
      </w:tr>
      <w:tr w:rsidR="00590AA3" w:rsidRPr="00590AA3" w14:paraId="1B3F9BBC"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1FE9525A" w14:textId="77777777" w:rsidR="00590AA3" w:rsidRPr="00590AA3" w:rsidRDefault="00590AA3" w:rsidP="00590AA3">
            <w:pPr>
              <w:jc w:val="both"/>
              <w:rPr>
                <w:rFonts w:ascii="Calibri" w:hAnsi="Calibri" w:cs="Calibri"/>
                <w:color w:val="000000"/>
                <w:sz w:val="20"/>
                <w:lang w:eastAsia="en-GB"/>
              </w:rPr>
            </w:pPr>
            <w:r w:rsidRPr="00590AA3">
              <w:rPr>
                <w:rFonts w:ascii="Calibri" w:hAnsi="Calibri" w:cs="Calibri"/>
                <w:color w:val="000000"/>
                <w:sz w:val="20"/>
                <w:lang w:eastAsia="en-GB"/>
              </w:rPr>
              <w:t>VAT refund</w:t>
            </w:r>
          </w:p>
        </w:tc>
        <w:tc>
          <w:tcPr>
            <w:tcW w:w="960" w:type="dxa"/>
            <w:tcBorders>
              <w:top w:val="nil"/>
              <w:left w:val="nil"/>
              <w:bottom w:val="nil"/>
              <w:right w:val="nil"/>
            </w:tcBorders>
            <w:shd w:val="clear" w:color="auto" w:fill="auto"/>
            <w:noWrap/>
            <w:vAlign w:val="center"/>
            <w:hideMark/>
          </w:tcPr>
          <w:p w14:paraId="5509155E"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10</w:t>
            </w:r>
          </w:p>
        </w:tc>
        <w:tc>
          <w:tcPr>
            <w:tcW w:w="960" w:type="dxa"/>
            <w:tcBorders>
              <w:top w:val="nil"/>
              <w:left w:val="nil"/>
              <w:bottom w:val="nil"/>
              <w:right w:val="single" w:sz="8" w:space="0" w:color="auto"/>
            </w:tcBorders>
            <w:shd w:val="clear" w:color="auto" w:fill="auto"/>
            <w:noWrap/>
            <w:vAlign w:val="center"/>
            <w:hideMark/>
          </w:tcPr>
          <w:p w14:paraId="5885ACB6"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w:t>
            </w:r>
          </w:p>
        </w:tc>
      </w:tr>
      <w:tr w:rsidR="00590AA3" w:rsidRPr="00590AA3" w14:paraId="54456E5A"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72463810" w14:textId="77777777" w:rsidR="00590AA3" w:rsidRPr="00590AA3" w:rsidRDefault="00590AA3" w:rsidP="00590AA3">
            <w:pPr>
              <w:jc w:val="both"/>
              <w:rPr>
                <w:rFonts w:ascii="Calibri" w:hAnsi="Calibri" w:cs="Calibri"/>
                <w:b/>
                <w:bCs/>
                <w:color w:val="000000"/>
                <w:sz w:val="20"/>
                <w:lang w:eastAsia="en-GB"/>
              </w:rPr>
            </w:pPr>
            <w:r w:rsidRPr="00590AA3">
              <w:rPr>
                <w:rFonts w:ascii="Calibri" w:hAnsi="Calibri" w:cs="Calibri"/>
                <w:b/>
                <w:bCs/>
                <w:color w:val="000000"/>
                <w:sz w:val="20"/>
                <w:lang w:eastAsia="en-GB"/>
              </w:rPr>
              <w:t>Operating profit impact of separately disclosed items</w:t>
            </w:r>
          </w:p>
        </w:tc>
        <w:tc>
          <w:tcPr>
            <w:tcW w:w="960" w:type="dxa"/>
            <w:tcBorders>
              <w:top w:val="single" w:sz="8" w:space="0" w:color="auto"/>
              <w:left w:val="nil"/>
              <w:bottom w:val="nil"/>
              <w:right w:val="nil"/>
            </w:tcBorders>
            <w:shd w:val="clear" w:color="auto" w:fill="auto"/>
            <w:noWrap/>
            <w:vAlign w:val="center"/>
            <w:hideMark/>
          </w:tcPr>
          <w:p w14:paraId="0AE1A392" w14:textId="77777777" w:rsidR="00590AA3" w:rsidRPr="00590AA3" w:rsidRDefault="00590AA3" w:rsidP="00590AA3">
            <w:pPr>
              <w:jc w:val="right"/>
              <w:rPr>
                <w:rFonts w:ascii="Calibri" w:hAnsi="Calibri" w:cs="Calibri"/>
                <w:b/>
                <w:bCs/>
                <w:sz w:val="20"/>
                <w:lang w:eastAsia="en-GB"/>
              </w:rPr>
            </w:pPr>
            <w:r w:rsidRPr="00590AA3">
              <w:rPr>
                <w:rFonts w:ascii="Calibri" w:hAnsi="Calibri" w:cs="Calibri"/>
                <w:b/>
                <w:bCs/>
                <w:sz w:val="20"/>
                <w:lang w:eastAsia="en-GB"/>
              </w:rPr>
              <w:t>(185)</w:t>
            </w:r>
          </w:p>
        </w:tc>
        <w:tc>
          <w:tcPr>
            <w:tcW w:w="960" w:type="dxa"/>
            <w:tcBorders>
              <w:top w:val="single" w:sz="8" w:space="0" w:color="auto"/>
              <w:left w:val="nil"/>
              <w:bottom w:val="nil"/>
              <w:right w:val="single" w:sz="8" w:space="0" w:color="auto"/>
            </w:tcBorders>
            <w:shd w:val="clear" w:color="auto" w:fill="auto"/>
            <w:noWrap/>
            <w:vAlign w:val="center"/>
            <w:hideMark/>
          </w:tcPr>
          <w:p w14:paraId="0D4CBEEE" w14:textId="77777777" w:rsidR="00590AA3" w:rsidRPr="00590AA3" w:rsidRDefault="00590AA3" w:rsidP="00590AA3">
            <w:pPr>
              <w:jc w:val="right"/>
              <w:rPr>
                <w:rFonts w:ascii="Calibri" w:hAnsi="Calibri" w:cs="Calibri"/>
                <w:b/>
                <w:bCs/>
                <w:sz w:val="20"/>
                <w:lang w:eastAsia="en-GB"/>
              </w:rPr>
            </w:pPr>
            <w:r w:rsidRPr="00590AA3">
              <w:rPr>
                <w:rFonts w:ascii="Calibri" w:hAnsi="Calibri" w:cs="Calibri"/>
                <w:b/>
                <w:bCs/>
                <w:sz w:val="20"/>
                <w:lang w:eastAsia="en-GB"/>
              </w:rPr>
              <w:t>(59)</w:t>
            </w:r>
          </w:p>
        </w:tc>
      </w:tr>
      <w:tr w:rsidR="00590AA3" w:rsidRPr="00590AA3" w14:paraId="678565EC" w14:textId="77777777" w:rsidTr="00590AA3">
        <w:trPr>
          <w:trHeight w:val="34"/>
        </w:trPr>
        <w:tc>
          <w:tcPr>
            <w:tcW w:w="4960" w:type="dxa"/>
            <w:tcBorders>
              <w:top w:val="nil"/>
              <w:left w:val="single" w:sz="8" w:space="0" w:color="auto"/>
              <w:bottom w:val="nil"/>
              <w:right w:val="nil"/>
            </w:tcBorders>
            <w:shd w:val="clear" w:color="auto" w:fill="auto"/>
            <w:noWrap/>
            <w:vAlign w:val="center"/>
            <w:hideMark/>
          </w:tcPr>
          <w:p w14:paraId="06A74DE3" w14:textId="77777777" w:rsidR="00590AA3" w:rsidRPr="00590AA3" w:rsidRDefault="00590AA3" w:rsidP="00590AA3">
            <w:pPr>
              <w:jc w:val="both"/>
              <w:rPr>
                <w:rFonts w:ascii="Calibri" w:hAnsi="Calibri" w:cs="Calibri"/>
                <w:color w:val="000000"/>
                <w:sz w:val="2"/>
                <w:szCs w:val="2"/>
                <w:lang w:eastAsia="en-GB"/>
              </w:rPr>
            </w:pPr>
            <w:r w:rsidRPr="00590AA3">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5B63B31D" w14:textId="77777777" w:rsidR="00590AA3" w:rsidRPr="00590AA3" w:rsidRDefault="00590AA3" w:rsidP="00590AA3">
            <w:pPr>
              <w:jc w:val="both"/>
              <w:rPr>
                <w:rFonts w:ascii="Calibri" w:hAnsi="Calibri" w:cs="Calibri"/>
                <w:color w:val="000000"/>
                <w:sz w:val="2"/>
                <w:szCs w:val="2"/>
                <w:lang w:eastAsia="en-GB"/>
              </w:rPr>
            </w:pPr>
          </w:p>
        </w:tc>
        <w:tc>
          <w:tcPr>
            <w:tcW w:w="960" w:type="dxa"/>
            <w:tcBorders>
              <w:top w:val="nil"/>
              <w:left w:val="nil"/>
              <w:bottom w:val="nil"/>
              <w:right w:val="single" w:sz="8" w:space="0" w:color="auto"/>
            </w:tcBorders>
            <w:shd w:val="clear" w:color="auto" w:fill="auto"/>
            <w:noWrap/>
            <w:vAlign w:val="center"/>
            <w:hideMark/>
          </w:tcPr>
          <w:p w14:paraId="1ADB3B7A" w14:textId="77777777" w:rsidR="00590AA3" w:rsidRPr="00590AA3" w:rsidRDefault="00590AA3" w:rsidP="00590AA3">
            <w:pPr>
              <w:jc w:val="right"/>
              <w:rPr>
                <w:rFonts w:ascii="Calibri" w:hAnsi="Calibri" w:cs="Calibri"/>
                <w:sz w:val="2"/>
                <w:szCs w:val="2"/>
                <w:lang w:eastAsia="en-GB"/>
              </w:rPr>
            </w:pPr>
            <w:r w:rsidRPr="00590AA3">
              <w:rPr>
                <w:rFonts w:ascii="Calibri" w:hAnsi="Calibri" w:cs="Calibri"/>
                <w:sz w:val="2"/>
                <w:szCs w:val="2"/>
                <w:lang w:eastAsia="en-GB"/>
              </w:rPr>
              <w:t> </w:t>
            </w:r>
          </w:p>
        </w:tc>
      </w:tr>
      <w:tr w:rsidR="00590AA3" w:rsidRPr="00590AA3" w14:paraId="02E1E444"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03A40E31" w14:textId="77777777" w:rsidR="00590AA3" w:rsidRPr="00590AA3" w:rsidRDefault="00590AA3" w:rsidP="00590AA3">
            <w:pPr>
              <w:jc w:val="both"/>
              <w:rPr>
                <w:rFonts w:ascii="Calibri" w:hAnsi="Calibri" w:cs="Calibri"/>
                <w:color w:val="000000"/>
                <w:sz w:val="20"/>
                <w:lang w:eastAsia="en-GB"/>
              </w:rPr>
            </w:pPr>
            <w:r w:rsidRPr="00590AA3">
              <w:rPr>
                <w:rFonts w:ascii="Calibri" w:hAnsi="Calibri" w:cs="Calibri"/>
                <w:color w:val="000000"/>
                <w:sz w:val="20"/>
                <w:lang w:eastAsia="en-GB"/>
              </w:rPr>
              <w:t>Financial Income</w:t>
            </w:r>
          </w:p>
        </w:tc>
        <w:tc>
          <w:tcPr>
            <w:tcW w:w="960" w:type="dxa"/>
            <w:tcBorders>
              <w:top w:val="nil"/>
              <w:left w:val="nil"/>
              <w:bottom w:val="nil"/>
              <w:right w:val="nil"/>
            </w:tcBorders>
            <w:shd w:val="clear" w:color="auto" w:fill="auto"/>
            <w:noWrap/>
            <w:vAlign w:val="center"/>
            <w:hideMark/>
          </w:tcPr>
          <w:p w14:paraId="47C12027"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49</w:t>
            </w:r>
          </w:p>
        </w:tc>
        <w:tc>
          <w:tcPr>
            <w:tcW w:w="960" w:type="dxa"/>
            <w:tcBorders>
              <w:top w:val="nil"/>
              <w:left w:val="nil"/>
              <w:bottom w:val="nil"/>
              <w:right w:val="single" w:sz="8" w:space="0" w:color="auto"/>
            </w:tcBorders>
            <w:shd w:val="clear" w:color="auto" w:fill="auto"/>
            <w:noWrap/>
            <w:vAlign w:val="center"/>
            <w:hideMark/>
          </w:tcPr>
          <w:p w14:paraId="56FB5467"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w:t>
            </w:r>
          </w:p>
        </w:tc>
      </w:tr>
      <w:tr w:rsidR="00590AA3" w:rsidRPr="00590AA3" w14:paraId="43D72E4F"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2EFEA6F2" w14:textId="77777777" w:rsidR="00590AA3" w:rsidRPr="00590AA3" w:rsidRDefault="00590AA3" w:rsidP="00590AA3">
            <w:pPr>
              <w:jc w:val="both"/>
              <w:rPr>
                <w:rFonts w:ascii="Calibri" w:hAnsi="Calibri" w:cs="Calibri"/>
                <w:color w:val="000000"/>
                <w:sz w:val="20"/>
                <w:lang w:eastAsia="en-GB"/>
              </w:rPr>
            </w:pPr>
            <w:r w:rsidRPr="00590AA3">
              <w:rPr>
                <w:rFonts w:ascii="Calibri" w:hAnsi="Calibri" w:cs="Calibri"/>
                <w:color w:val="000000"/>
                <w:sz w:val="20"/>
                <w:lang w:eastAsia="en-GB"/>
              </w:rPr>
              <w:t>Financial Expense</w:t>
            </w:r>
          </w:p>
        </w:tc>
        <w:tc>
          <w:tcPr>
            <w:tcW w:w="960" w:type="dxa"/>
            <w:tcBorders>
              <w:top w:val="nil"/>
              <w:left w:val="nil"/>
              <w:bottom w:val="nil"/>
              <w:right w:val="nil"/>
            </w:tcBorders>
            <w:shd w:val="clear" w:color="auto" w:fill="auto"/>
            <w:noWrap/>
            <w:vAlign w:val="center"/>
            <w:hideMark/>
          </w:tcPr>
          <w:p w14:paraId="7A576C20"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(59)</w:t>
            </w:r>
          </w:p>
        </w:tc>
        <w:tc>
          <w:tcPr>
            <w:tcW w:w="960" w:type="dxa"/>
            <w:tcBorders>
              <w:top w:val="nil"/>
              <w:left w:val="nil"/>
              <w:bottom w:val="nil"/>
              <w:right w:val="single" w:sz="8" w:space="0" w:color="auto"/>
            </w:tcBorders>
            <w:shd w:val="clear" w:color="auto" w:fill="auto"/>
            <w:noWrap/>
            <w:vAlign w:val="center"/>
            <w:hideMark/>
          </w:tcPr>
          <w:p w14:paraId="06DC1325"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w:t>
            </w:r>
          </w:p>
        </w:tc>
      </w:tr>
      <w:tr w:rsidR="00590AA3" w:rsidRPr="00590AA3" w14:paraId="347A09E2"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31186B8F" w14:textId="77777777" w:rsidR="00590AA3" w:rsidRPr="00590AA3" w:rsidRDefault="00590AA3" w:rsidP="00590AA3">
            <w:pPr>
              <w:jc w:val="both"/>
              <w:rPr>
                <w:rFonts w:ascii="Calibri" w:hAnsi="Calibri" w:cs="Calibri"/>
                <w:b/>
                <w:bCs/>
                <w:color w:val="000000"/>
                <w:sz w:val="20"/>
                <w:lang w:eastAsia="en-GB"/>
              </w:rPr>
            </w:pPr>
            <w:r w:rsidRPr="00590AA3">
              <w:rPr>
                <w:rFonts w:ascii="Calibri" w:hAnsi="Calibri" w:cs="Calibri"/>
                <w:b/>
                <w:bCs/>
                <w:color w:val="000000"/>
                <w:sz w:val="20"/>
                <w:lang w:eastAsia="en-GB"/>
              </w:rPr>
              <w:t>Profit before tax impact of separately disclosed items</w:t>
            </w:r>
          </w:p>
        </w:tc>
        <w:tc>
          <w:tcPr>
            <w:tcW w:w="960" w:type="dxa"/>
            <w:tcBorders>
              <w:top w:val="single" w:sz="8" w:space="0" w:color="auto"/>
              <w:left w:val="nil"/>
              <w:bottom w:val="nil"/>
              <w:right w:val="nil"/>
            </w:tcBorders>
            <w:shd w:val="clear" w:color="auto" w:fill="auto"/>
            <w:noWrap/>
            <w:vAlign w:val="center"/>
            <w:hideMark/>
          </w:tcPr>
          <w:p w14:paraId="10E32525" w14:textId="77777777" w:rsidR="00590AA3" w:rsidRPr="00590AA3" w:rsidRDefault="00590AA3" w:rsidP="00590AA3">
            <w:pPr>
              <w:jc w:val="right"/>
              <w:rPr>
                <w:rFonts w:ascii="Calibri" w:hAnsi="Calibri" w:cs="Calibri"/>
                <w:b/>
                <w:bCs/>
                <w:sz w:val="20"/>
                <w:lang w:eastAsia="en-GB"/>
              </w:rPr>
            </w:pPr>
            <w:r w:rsidRPr="00590AA3">
              <w:rPr>
                <w:rFonts w:ascii="Calibri" w:hAnsi="Calibri" w:cs="Calibri"/>
                <w:b/>
                <w:bCs/>
                <w:sz w:val="20"/>
                <w:lang w:eastAsia="en-GB"/>
              </w:rPr>
              <w:t>(194)</w:t>
            </w:r>
          </w:p>
        </w:tc>
        <w:tc>
          <w:tcPr>
            <w:tcW w:w="960" w:type="dxa"/>
            <w:tcBorders>
              <w:top w:val="single" w:sz="8" w:space="0" w:color="auto"/>
              <w:left w:val="nil"/>
              <w:bottom w:val="nil"/>
              <w:right w:val="single" w:sz="8" w:space="0" w:color="auto"/>
            </w:tcBorders>
            <w:shd w:val="clear" w:color="auto" w:fill="auto"/>
            <w:noWrap/>
            <w:vAlign w:val="center"/>
            <w:hideMark/>
          </w:tcPr>
          <w:p w14:paraId="7514A7E6" w14:textId="77777777" w:rsidR="00590AA3" w:rsidRPr="00590AA3" w:rsidRDefault="00590AA3" w:rsidP="00590AA3">
            <w:pPr>
              <w:jc w:val="right"/>
              <w:rPr>
                <w:rFonts w:ascii="Calibri" w:hAnsi="Calibri" w:cs="Calibri"/>
                <w:b/>
                <w:bCs/>
                <w:sz w:val="20"/>
                <w:lang w:eastAsia="en-GB"/>
              </w:rPr>
            </w:pPr>
            <w:r w:rsidRPr="00590AA3">
              <w:rPr>
                <w:rFonts w:ascii="Calibri" w:hAnsi="Calibri" w:cs="Calibri"/>
                <w:b/>
                <w:bCs/>
                <w:sz w:val="20"/>
                <w:lang w:eastAsia="en-GB"/>
              </w:rPr>
              <w:t>(59)</w:t>
            </w:r>
          </w:p>
        </w:tc>
      </w:tr>
      <w:tr w:rsidR="00590AA3" w:rsidRPr="00590AA3" w14:paraId="6FFBBED9" w14:textId="77777777" w:rsidTr="00590AA3">
        <w:trPr>
          <w:trHeight w:val="34"/>
        </w:trPr>
        <w:tc>
          <w:tcPr>
            <w:tcW w:w="4960" w:type="dxa"/>
            <w:tcBorders>
              <w:top w:val="nil"/>
              <w:left w:val="single" w:sz="8" w:space="0" w:color="auto"/>
              <w:bottom w:val="nil"/>
              <w:right w:val="nil"/>
            </w:tcBorders>
            <w:shd w:val="clear" w:color="auto" w:fill="auto"/>
            <w:noWrap/>
            <w:vAlign w:val="center"/>
            <w:hideMark/>
          </w:tcPr>
          <w:p w14:paraId="48D9E929" w14:textId="77777777" w:rsidR="00590AA3" w:rsidRPr="00590AA3" w:rsidRDefault="00590AA3" w:rsidP="00590AA3">
            <w:pPr>
              <w:jc w:val="both"/>
              <w:rPr>
                <w:rFonts w:ascii="Calibri" w:hAnsi="Calibri" w:cs="Calibri"/>
                <w:color w:val="000000"/>
                <w:sz w:val="2"/>
                <w:szCs w:val="2"/>
                <w:lang w:eastAsia="en-GB"/>
              </w:rPr>
            </w:pPr>
            <w:r w:rsidRPr="00590AA3">
              <w:rPr>
                <w:rFonts w:ascii="Calibri" w:hAnsi="Calibri" w:cs="Calibri"/>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6AD29D5D" w14:textId="77777777" w:rsidR="00590AA3" w:rsidRPr="00590AA3" w:rsidRDefault="00590AA3" w:rsidP="00590AA3">
            <w:pPr>
              <w:jc w:val="both"/>
              <w:rPr>
                <w:rFonts w:ascii="Calibri" w:hAnsi="Calibri" w:cs="Calibri"/>
                <w:color w:val="000000"/>
                <w:sz w:val="2"/>
                <w:szCs w:val="2"/>
                <w:lang w:eastAsia="en-GB"/>
              </w:rPr>
            </w:pPr>
          </w:p>
        </w:tc>
        <w:tc>
          <w:tcPr>
            <w:tcW w:w="960" w:type="dxa"/>
            <w:tcBorders>
              <w:top w:val="nil"/>
              <w:left w:val="nil"/>
              <w:bottom w:val="nil"/>
              <w:right w:val="single" w:sz="8" w:space="0" w:color="auto"/>
            </w:tcBorders>
            <w:shd w:val="clear" w:color="auto" w:fill="auto"/>
            <w:noWrap/>
            <w:vAlign w:val="center"/>
            <w:hideMark/>
          </w:tcPr>
          <w:p w14:paraId="2CEBDFF7" w14:textId="77777777" w:rsidR="00590AA3" w:rsidRPr="00590AA3" w:rsidRDefault="00590AA3" w:rsidP="00590AA3">
            <w:pPr>
              <w:jc w:val="right"/>
              <w:rPr>
                <w:rFonts w:ascii="Calibri" w:hAnsi="Calibri" w:cs="Calibri"/>
                <w:sz w:val="2"/>
                <w:szCs w:val="2"/>
                <w:lang w:eastAsia="en-GB"/>
              </w:rPr>
            </w:pPr>
            <w:r w:rsidRPr="00590AA3">
              <w:rPr>
                <w:rFonts w:ascii="Calibri" w:hAnsi="Calibri" w:cs="Calibri"/>
                <w:sz w:val="2"/>
                <w:szCs w:val="2"/>
                <w:lang w:eastAsia="en-GB"/>
              </w:rPr>
              <w:t> </w:t>
            </w:r>
          </w:p>
        </w:tc>
      </w:tr>
      <w:tr w:rsidR="00590AA3" w:rsidRPr="00590AA3" w14:paraId="48D6CFD8"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27D58CE9" w14:textId="77777777" w:rsidR="00590AA3" w:rsidRPr="00590AA3" w:rsidRDefault="00590AA3" w:rsidP="00590AA3">
            <w:pPr>
              <w:jc w:val="both"/>
              <w:rPr>
                <w:rFonts w:ascii="Calibri" w:hAnsi="Calibri" w:cs="Calibri"/>
                <w:color w:val="000000"/>
                <w:sz w:val="20"/>
                <w:lang w:eastAsia="en-GB"/>
              </w:rPr>
            </w:pPr>
            <w:r w:rsidRPr="00590AA3">
              <w:rPr>
                <w:rFonts w:ascii="Calibri" w:hAnsi="Calibri" w:cs="Calibri"/>
                <w:color w:val="000000"/>
                <w:sz w:val="20"/>
                <w:lang w:eastAsia="en-GB"/>
              </w:rPr>
              <w:t>Tax credit on separately disclosed items</w:t>
            </w:r>
          </w:p>
        </w:tc>
        <w:tc>
          <w:tcPr>
            <w:tcW w:w="960" w:type="dxa"/>
            <w:tcBorders>
              <w:top w:val="nil"/>
              <w:left w:val="nil"/>
              <w:bottom w:val="nil"/>
              <w:right w:val="nil"/>
            </w:tcBorders>
            <w:shd w:val="clear" w:color="auto" w:fill="auto"/>
            <w:noWrap/>
            <w:vAlign w:val="center"/>
            <w:hideMark/>
          </w:tcPr>
          <w:p w14:paraId="468B86B5"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14</w:t>
            </w:r>
          </w:p>
        </w:tc>
        <w:tc>
          <w:tcPr>
            <w:tcW w:w="960" w:type="dxa"/>
            <w:tcBorders>
              <w:top w:val="nil"/>
              <w:left w:val="nil"/>
              <w:bottom w:val="nil"/>
              <w:right w:val="single" w:sz="8" w:space="0" w:color="auto"/>
            </w:tcBorders>
            <w:shd w:val="clear" w:color="auto" w:fill="auto"/>
            <w:noWrap/>
            <w:vAlign w:val="center"/>
            <w:hideMark/>
          </w:tcPr>
          <w:p w14:paraId="71BBB334" w14:textId="77777777" w:rsidR="00590AA3" w:rsidRPr="00590AA3" w:rsidRDefault="00590AA3" w:rsidP="00590AA3">
            <w:pPr>
              <w:jc w:val="right"/>
              <w:rPr>
                <w:rFonts w:ascii="Calibri" w:hAnsi="Calibri" w:cs="Calibri"/>
                <w:sz w:val="20"/>
                <w:lang w:eastAsia="en-GB"/>
              </w:rPr>
            </w:pPr>
            <w:r w:rsidRPr="00590AA3">
              <w:rPr>
                <w:rFonts w:ascii="Calibri" w:hAnsi="Calibri" w:cs="Calibri"/>
                <w:sz w:val="20"/>
                <w:lang w:eastAsia="en-GB"/>
              </w:rPr>
              <w:t>9</w:t>
            </w:r>
          </w:p>
        </w:tc>
      </w:tr>
      <w:tr w:rsidR="00590AA3" w:rsidRPr="00590AA3" w14:paraId="51B08F80" w14:textId="77777777" w:rsidTr="00590AA3">
        <w:trPr>
          <w:trHeight w:val="255"/>
        </w:trPr>
        <w:tc>
          <w:tcPr>
            <w:tcW w:w="4960" w:type="dxa"/>
            <w:tcBorders>
              <w:top w:val="nil"/>
              <w:left w:val="single" w:sz="8" w:space="0" w:color="auto"/>
              <w:bottom w:val="nil"/>
              <w:right w:val="nil"/>
            </w:tcBorders>
            <w:shd w:val="clear" w:color="auto" w:fill="auto"/>
            <w:noWrap/>
            <w:vAlign w:val="center"/>
            <w:hideMark/>
          </w:tcPr>
          <w:p w14:paraId="73F07858" w14:textId="77777777" w:rsidR="00590AA3" w:rsidRPr="00590AA3" w:rsidRDefault="00590AA3" w:rsidP="00590AA3">
            <w:pPr>
              <w:jc w:val="both"/>
              <w:rPr>
                <w:rFonts w:ascii="Calibri" w:hAnsi="Calibri" w:cs="Calibri"/>
                <w:b/>
                <w:bCs/>
                <w:color w:val="000000"/>
                <w:sz w:val="20"/>
                <w:lang w:eastAsia="en-GB"/>
              </w:rPr>
            </w:pPr>
            <w:r w:rsidRPr="00590AA3">
              <w:rPr>
                <w:rFonts w:ascii="Calibri" w:hAnsi="Calibri" w:cs="Calibri"/>
                <w:b/>
                <w:bCs/>
                <w:color w:val="000000"/>
                <w:sz w:val="20"/>
                <w:lang w:eastAsia="en-GB"/>
              </w:rPr>
              <w:t>Total separately disclosed items</w:t>
            </w:r>
          </w:p>
        </w:tc>
        <w:tc>
          <w:tcPr>
            <w:tcW w:w="960" w:type="dxa"/>
            <w:tcBorders>
              <w:top w:val="single" w:sz="8" w:space="0" w:color="auto"/>
              <w:left w:val="nil"/>
              <w:bottom w:val="nil"/>
              <w:right w:val="nil"/>
            </w:tcBorders>
            <w:shd w:val="clear" w:color="auto" w:fill="auto"/>
            <w:noWrap/>
            <w:vAlign w:val="center"/>
            <w:hideMark/>
          </w:tcPr>
          <w:p w14:paraId="6B45B0DE" w14:textId="77777777" w:rsidR="00590AA3" w:rsidRPr="00590AA3" w:rsidRDefault="00590AA3" w:rsidP="00590AA3">
            <w:pPr>
              <w:jc w:val="right"/>
              <w:rPr>
                <w:rFonts w:ascii="Calibri" w:hAnsi="Calibri" w:cs="Calibri"/>
                <w:b/>
                <w:bCs/>
                <w:sz w:val="20"/>
                <w:lang w:eastAsia="en-GB"/>
              </w:rPr>
            </w:pPr>
            <w:r w:rsidRPr="00590AA3">
              <w:rPr>
                <w:rFonts w:ascii="Calibri" w:hAnsi="Calibri" w:cs="Calibri"/>
                <w:b/>
                <w:bCs/>
                <w:sz w:val="20"/>
                <w:lang w:eastAsia="en-GB"/>
              </w:rPr>
              <w:t>(180)</w:t>
            </w:r>
          </w:p>
        </w:tc>
        <w:tc>
          <w:tcPr>
            <w:tcW w:w="960" w:type="dxa"/>
            <w:tcBorders>
              <w:top w:val="single" w:sz="8" w:space="0" w:color="auto"/>
              <w:left w:val="nil"/>
              <w:bottom w:val="nil"/>
              <w:right w:val="single" w:sz="8" w:space="0" w:color="auto"/>
            </w:tcBorders>
            <w:shd w:val="clear" w:color="auto" w:fill="auto"/>
            <w:noWrap/>
            <w:vAlign w:val="center"/>
            <w:hideMark/>
          </w:tcPr>
          <w:p w14:paraId="6B9F19E0" w14:textId="77777777" w:rsidR="00590AA3" w:rsidRPr="00590AA3" w:rsidRDefault="00590AA3" w:rsidP="00590AA3">
            <w:pPr>
              <w:jc w:val="right"/>
              <w:rPr>
                <w:rFonts w:ascii="Calibri" w:hAnsi="Calibri" w:cs="Calibri"/>
                <w:b/>
                <w:bCs/>
                <w:sz w:val="20"/>
                <w:lang w:eastAsia="en-GB"/>
              </w:rPr>
            </w:pPr>
            <w:r w:rsidRPr="00590AA3">
              <w:rPr>
                <w:rFonts w:ascii="Calibri" w:hAnsi="Calibri" w:cs="Calibri"/>
                <w:b/>
                <w:bCs/>
                <w:sz w:val="20"/>
                <w:lang w:eastAsia="en-GB"/>
              </w:rPr>
              <w:t>(49)</w:t>
            </w:r>
          </w:p>
        </w:tc>
      </w:tr>
      <w:tr w:rsidR="00590AA3" w:rsidRPr="00590AA3" w14:paraId="6AE0CBD1" w14:textId="77777777" w:rsidTr="00590AA3">
        <w:trPr>
          <w:trHeight w:val="34"/>
        </w:trPr>
        <w:tc>
          <w:tcPr>
            <w:tcW w:w="4960" w:type="dxa"/>
            <w:tcBorders>
              <w:top w:val="nil"/>
              <w:left w:val="single" w:sz="8" w:space="0" w:color="auto"/>
              <w:bottom w:val="single" w:sz="8" w:space="0" w:color="auto"/>
              <w:right w:val="nil"/>
            </w:tcBorders>
            <w:shd w:val="clear" w:color="auto" w:fill="auto"/>
            <w:noWrap/>
            <w:vAlign w:val="center"/>
            <w:hideMark/>
          </w:tcPr>
          <w:p w14:paraId="7D7DF557" w14:textId="77777777" w:rsidR="00590AA3" w:rsidRPr="00590AA3" w:rsidRDefault="00590AA3" w:rsidP="00590AA3">
            <w:pPr>
              <w:jc w:val="both"/>
              <w:rPr>
                <w:rFonts w:ascii="Calibri" w:hAnsi="Calibri" w:cs="Calibri"/>
                <w:b/>
                <w:bCs/>
                <w:color w:val="FF0000"/>
                <w:sz w:val="2"/>
                <w:szCs w:val="2"/>
                <w:lang w:eastAsia="en-GB"/>
              </w:rPr>
            </w:pPr>
            <w:r w:rsidRPr="00590AA3">
              <w:rPr>
                <w:rFonts w:ascii="Calibri" w:hAnsi="Calibri" w:cs="Calibri"/>
                <w:b/>
                <w:bCs/>
                <w:color w:val="FF0000"/>
                <w:sz w:val="2"/>
                <w:szCs w:val="2"/>
                <w:lang w:eastAsia="en-GB"/>
              </w:rPr>
              <w:t> </w:t>
            </w:r>
          </w:p>
        </w:tc>
        <w:tc>
          <w:tcPr>
            <w:tcW w:w="960" w:type="dxa"/>
            <w:tcBorders>
              <w:top w:val="nil"/>
              <w:left w:val="nil"/>
              <w:bottom w:val="single" w:sz="8" w:space="0" w:color="auto"/>
              <w:right w:val="nil"/>
            </w:tcBorders>
            <w:shd w:val="clear" w:color="auto" w:fill="auto"/>
            <w:noWrap/>
            <w:vAlign w:val="center"/>
            <w:hideMark/>
          </w:tcPr>
          <w:p w14:paraId="643A149F" w14:textId="77777777" w:rsidR="00590AA3" w:rsidRPr="00590AA3" w:rsidRDefault="00590AA3" w:rsidP="00590AA3">
            <w:pPr>
              <w:jc w:val="right"/>
              <w:rPr>
                <w:rFonts w:ascii="Calibri" w:hAnsi="Calibri" w:cs="Calibri"/>
                <w:b/>
                <w:bCs/>
                <w:color w:val="FF0000"/>
                <w:sz w:val="2"/>
                <w:szCs w:val="2"/>
                <w:lang w:eastAsia="en-GB"/>
              </w:rPr>
            </w:pPr>
            <w:r w:rsidRPr="00590AA3">
              <w:rPr>
                <w:rFonts w:ascii="Calibri" w:hAnsi="Calibri" w:cs="Calibri"/>
                <w:b/>
                <w:bCs/>
                <w:color w:val="FF0000"/>
                <w:sz w:val="2"/>
                <w:szCs w:val="2"/>
                <w:lang w:eastAsia="en-GB"/>
              </w:rPr>
              <w:t> </w:t>
            </w:r>
          </w:p>
        </w:tc>
        <w:tc>
          <w:tcPr>
            <w:tcW w:w="960" w:type="dxa"/>
            <w:tcBorders>
              <w:top w:val="nil"/>
              <w:left w:val="nil"/>
              <w:bottom w:val="single" w:sz="8" w:space="0" w:color="auto"/>
              <w:right w:val="single" w:sz="8" w:space="0" w:color="auto"/>
            </w:tcBorders>
            <w:shd w:val="clear" w:color="auto" w:fill="auto"/>
            <w:noWrap/>
            <w:vAlign w:val="center"/>
            <w:hideMark/>
          </w:tcPr>
          <w:p w14:paraId="23360815" w14:textId="77777777" w:rsidR="00590AA3" w:rsidRPr="00590AA3" w:rsidRDefault="00590AA3" w:rsidP="00590AA3">
            <w:pPr>
              <w:jc w:val="right"/>
              <w:rPr>
                <w:rFonts w:ascii="Calibri" w:hAnsi="Calibri" w:cs="Calibri"/>
                <w:b/>
                <w:bCs/>
                <w:color w:val="FF0000"/>
                <w:sz w:val="2"/>
                <w:szCs w:val="2"/>
                <w:lang w:eastAsia="en-GB"/>
              </w:rPr>
            </w:pPr>
            <w:r w:rsidRPr="00590AA3">
              <w:rPr>
                <w:rFonts w:ascii="Calibri" w:hAnsi="Calibri" w:cs="Calibri"/>
                <w:b/>
                <w:bCs/>
                <w:color w:val="FF0000"/>
                <w:sz w:val="2"/>
                <w:szCs w:val="2"/>
                <w:lang w:eastAsia="en-GB"/>
              </w:rPr>
              <w:t> </w:t>
            </w:r>
          </w:p>
        </w:tc>
      </w:tr>
    </w:tbl>
    <w:p w14:paraId="4CF807FD" w14:textId="77777777" w:rsidR="00590AA3" w:rsidRPr="00590AA3" w:rsidRDefault="00590AA3" w:rsidP="00D2298F">
      <w:pPr>
        <w:spacing w:before="120" w:after="120"/>
        <w:jc w:val="both"/>
        <w:rPr>
          <w:rFonts w:asciiTheme="minorHAnsi" w:hAnsiTheme="minorHAnsi"/>
          <w:sz w:val="22"/>
          <w:szCs w:val="22"/>
        </w:rPr>
      </w:pPr>
      <w:r w:rsidRPr="00590AA3">
        <w:rPr>
          <w:rFonts w:asciiTheme="minorHAnsi" w:hAnsiTheme="minorHAnsi"/>
          <w:sz w:val="22"/>
          <w:szCs w:val="22"/>
        </w:rPr>
        <w:t xml:space="preserve">Separately disclosed items do not relate to the usual business activity of the Group and therefore are excluded from </w:t>
      </w:r>
      <w:r>
        <w:rPr>
          <w:rFonts w:asciiTheme="minorHAnsi" w:hAnsiTheme="minorHAnsi"/>
          <w:sz w:val="22"/>
          <w:szCs w:val="22"/>
        </w:rPr>
        <w:t>adjusted</w:t>
      </w:r>
      <w:r w:rsidRPr="007644C7">
        <w:rPr>
          <w:rFonts w:asciiTheme="minorHAnsi" w:hAnsiTheme="minorHAnsi"/>
          <w:sz w:val="22"/>
          <w:szCs w:val="22"/>
          <w:vertAlign w:val="superscript"/>
        </w:rPr>
        <w:t>1</w:t>
      </w:r>
      <w:r>
        <w:rPr>
          <w:rFonts w:asciiTheme="minorHAnsi" w:hAnsiTheme="minorHAnsi"/>
          <w:sz w:val="22"/>
          <w:szCs w:val="22"/>
        </w:rPr>
        <w:t xml:space="preserve"> </w:t>
      </w:r>
      <w:r w:rsidRPr="00590AA3">
        <w:rPr>
          <w:rFonts w:asciiTheme="minorHAnsi" w:hAnsiTheme="minorHAnsi"/>
          <w:sz w:val="22"/>
          <w:szCs w:val="22"/>
        </w:rPr>
        <w:t>profits.</w:t>
      </w:r>
    </w:p>
    <w:p w14:paraId="62574083" w14:textId="77777777" w:rsidR="00590AA3" w:rsidRPr="00590AA3" w:rsidRDefault="00590AA3" w:rsidP="00590AA3">
      <w:pPr>
        <w:spacing w:after="120"/>
        <w:jc w:val="both"/>
        <w:rPr>
          <w:rFonts w:asciiTheme="minorHAnsi" w:hAnsiTheme="minorHAnsi"/>
          <w:sz w:val="22"/>
          <w:szCs w:val="22"/>
        </w:rPr>
      </w:pPr>
      <w:r w:rsidRPr="00590AA3">
        <w:rPr>
          <w:rFonts w:asciiTheme="minorHAnsi" w:hAnsiTheme="minorHAnsi"/>
          <w:sz w:val="22"/>
          <w:szCs w:val="22"/>
        </w:rPr>
        <w:t xml:space="preserve">During </w:t>
      </w:r>
      <w:r>
        <w:rPr>
          <w:rFonts w:asciiTheme="minorHAnsi" w:hAnsiTheme="minorHAnsi"/>
          <w:sz w:val="22"/>
          <w:szCs w:val="22"/>
        </w:rPr>
        <w:t xml:space="preserve">H1 2020, these </w:t>
      </w:r>
      <w:r w:rsidR="00831D1F">
        <w:rPr>
          <w:rFonts w:asciiTheme="minorHAnsi" w:hAnsiTheme="minorHAnsi"/>
          <w:sz w:val="22"/>
          <w:szCs w:val="22"/>
        </w:rPr>
        <w:t xml:space="preserve">costs </w:t>
      </w:r>
      <w:r>
        <w:rPr>
          <w:rFonts w:asciiTheme="minorHAnsi" w:hAnsiTheme="minorHAnsi"/>
          <w:sz w:val="22"/>
          <w:szCs w:val="22"/>
        </w:rPr>
        <w:t>included £128</w:t>
      </w:r>
      <w:r w:rsidRPr="00590AA3">
        <w:rPr>
          <w:rFonts w:asciiTheme="minorHAnsi" w:hAnsiTheme="minorHAnsi"/>
          <w:sz w:val="22"/>
          <w:szCs w:val="22"/>
        </w:rPr>
        <w:t>m of amortisation of acquired intangible assets recognised on accounting for the 2016 merger of Paddy Power and Betfair, the 2018 combination of the Gro</w:t>
      </w:r>
      <w:r>
        <w:rPr>
          <w:rFonts w:asciiTheme="minorHAnsi" w:hAnsiTheme="minorHAnsi"/>
          <w:sz w:val="22"/>
          <w:szCs w:val="22"/>
        </w:rPr>
        <w:t xml:space="preserve">up’s US assets with FanDuel, </w:t>
      </w:r>
      <w:r w:rsidRPr="00590AA3">
        <w:rPr>
          <w:rFonts w:asciiTheme="minorHAnsi" w:hAnsiTheme="minorHAnsi"/>
          <w:sz w:val="22"/>
          <w:szCs w:val="22"/>
        </w:rPr>
        <w:t>th</w:t>
      </w:r>
      <w:r>
        <w:rPr>
          <w:rFonts w:asciiTheme="minorHAnsi" w:hAnsiTheme="minorHAnsi"/>
          <w:sz w:val="22"/>
          <w:szCs w:val="22"/>
        </w:rPr>
        <w:t xml:space="preserve">e 2019 acquisition of Adjarabet and the 2020 </w:t>
      </w:r>
      <w:r w:rsidR="00775B83">
        <w:rPr>
          <w:rFonts w:asciiTheme="minorHAnsi" w:hAnsiTheme="minorHAnsi"/>
          <w:sz w:val="22"/>
          <w:szCs w:val="22"/>
        </w:rPr>
        <w:t>combination</w:t>
      </w:r>
      <w:r>
        <w:rPr>
          <w:rFonts w:asciiTheme="minorHAnsi" w:hAnsiTheme="minorHAnsi"/>
          <w:sz w:val="22"/>
          <w:szCs w:val="22"/>
        </w:rPr>
        <w:t xml:space="preserve"> with </w:t>
      </w:r>
      <w:r w:rsidR="009C574C">
        <w:rPr>
          <w:rFonts w:asciiTheme="minorHAnsi" w:hAnsiTheme="minorHAnsi"/>
          <w:sz w:val="22"/>
          <w:szCs w:val="22"/>
        </w:rPr>
        <w:t>TSG</w:t>
      </w:r>
      <w:r>
        <w:rPr>
          <w:rFonts w:asciiTheme="minorHAnsi" w:hAnsiTheme="minorHAnsi"/>
          <w:sz w:val="22"/>
          <w:szCs w:val="22"/>
        </w:rPr>
        <w:t>.</w:t>
      </w:r>
    </w:p>
    <w:p w14:paraId="4852C5FE" w14:textId="77777777" w:rsidR="00590AA3" w:rsidRDefault="00831D1F" w:rsidP="00590AA3">
      <w:pPr>
        <w:spacing w:after="120"/>
        <w:jc w:val="both"/>
        <w:rPr>
          <w:rFonts w:asciiTheme="minorHAnsi" w:hAnsiTheme="minorHAnsi"/>
          <w:sz w:val="22"/>
          <w:szCs w:val="22"/>
        </w:rPr>
      </w:pPr>
      <w:r>
        <w:rPr>
          <w:rFonts w:asciiTheme="minorHAnsi" w:hAnsiTheme="minorHAnsi"/>
          <w:sz w:val="22"/>
          <w:szCs w:val="22"/>
        </w:rPr>
        <w:t>The Group also incurred transaction</w:t>
      </w:r>
      <w:r w:rsidRPr="00775B83">
        <w:rPr>
          <w:rFonts w:asciiTheme="minorHAnsi" w:hAnsiTheme="minorHAnsi"/>
          <w:sz w:val="22"/>
          <w:szCs w:val="22"/>
        </w:rPr>
        <w:t xml:space="preserve"> </w:t>
      </w:r>
      <w:r w:rsidR="00775B83" w:rsidRPr="00775B83">
        <w:rPr>
          <w:rFonts w:asciiTheme="minorHAnsi" w:hAnsiTheme="minorHAnsi"/>
          <w:sz w:val="22"/>
          <w:szCs w:val="22"/>
        </w:rPr>
        <w:t>fe</w:t>
      </w:r>
      <w:r w:rsidR="0088250D">
        <w:rPr>
          <w:rFonts w:asciiTheme="minorHAnsi" w:hAnsiTheme="minorHAnsi"/>
          <w:sz w:val="22"/>
          <w:szCs w:val="22"/>
        </w:rPr>
        <w:t xml:space="preserve">es and associated costs </w:t>
      </w:r>
      <w:r>
        <w:rPr>
          <w:rFonts w:asciiTheme="minorHAnsi" w:hAnsiTheme="minorHAnsi"/>
          <w:sz w:val="22"/>
          <w:szCs w:val="22"/>
        </w:rPr>
        <w:t>in relation to</w:t>
      </w:r>
      <w:r w:rsidR="0088250D">
        <w:rPr>
          <w:rFonts w:asciiTheme="minorHAnsi" w:hAnsiTheme="minorHAnsi"/>
          <w:sz w:val="22"/>
          <w:szCs w:val="22"/>
        </w:rPr>
        <w:t xml:space="preserve"> the combination</w:t>
      </w:r>
      <w:r>
        <w:rPr>
          <w:rFonts w:asciiTheme="minorHAnsi" w:hAnsiTheme="minorHAnsi"/>
          <w:sz w:val="22"/>
          <w:szCs w:val="22"/>
        </w:rPr>
        <w:t xml:space="preserve"> of £26m, </w:t>
      </w:r>
      <w:r w:rsidR="00775B83" w:rsidRPr="00775B83">
        <w:rPr>
          <w:rFonts w:asciiTheme="minorHAnsi" w:hAnsiTheme="minorHAnsi"/>
          <w:sz w:val="22"/>
          <w:szCs w:val="22"/>
        </w:rPr>
        <w:t>not includ</w:t>
      </w:r>
      <w:r>
        <w:rPr>
          <w:rFonts w:asciiTheme="minorHAnsi" w:hAnsiTheme="minorHAnsi"/>
          <w:sz w:val="22"/>
          <w:szCs w:val="22"/>
        </w:rPr>
        <w:t>ing</w:t>
      </w:r>
      <w:r w:rsidR="00775B83" w:rsidRPr="00775B83">
        <w:rPr>
          <w:rFonts w:asciiTheme="minorHAnsi" w:hAnsiTheme="minorHAnsi"/>
          <w:sz w:val="22"/>
          <w:szCs w:val="22"/>
        </w:rPr>
        <w:t xml:space="preserve"> professional fees incurred by </w:t>
      </w:r>
      <w:r>
        <w:rPr>
          <w:rFonts w:asciiTheme="minorHAnsi" w:hAnsiTheme="minorHAnsi"/>
          <w:sz w:val="22"/>
          <w:szCs w:val="22"/>
        </w:rPr>
        <w:t>TSG</w:t>
      </w:r>
      <w:r w:rsidR="00775B83" w:rsidRPr="00775B83">
        <w:rPr>
          <w:rFonts w:asciiTheme="minorHAnsi" w:hAnsiTheme="minorHAnsi"/>
          <w:sz w:val="22"/>
          <w:szCs w:val="22"/>
        </w:rPr>
        <w:t xml:space="preserve"> </w:t>
      </w:r>
      <w:r w:rsidR="0088250D">
        <w:rPr>
          <w:rFonts w:asciiTheme="minorHAnsi" w:hAnsiTheme="minorHAnsi"/>
          <w:sz w:val="22"/>
          <w:szCs w:val="22"/>
        </w:rPr>
        <w:t xml:space="preserve">prior to the </w:t>
      </w:r>
      <w:r>
        <w:rPr>
          <w:rFonts w:asciiTheme="minorHAnsi" w:hAnsiTheme="minorHAnsi"/>
          <w:sz w:val="22"/>
          <w:szCs w:val="22"/>
        </w:rPr>
        <w:t>date of completion</w:t>
      </w:r>
      <w:r w:rsidR="00775B83" w:rsidRPr="00775B83">
        <w:rPr>
          <w:rFonts w:asciiTheme="minorHAnsi" w:hAnsiTheme="minorHAnsi"/>
          <w:sz w:val="22"/>
          <w:szCs w:val="22"/>
        </w:rPr>
        <w:t xml:space="preserve">. </w:t>
      </w:r>
      <w:r>
        <w:rPr>
          <w:rFonts w:asciiTheme="minorHAnsi" w:hAnsiTheme="minorHAnsi"/>
          <w:sz w:val="22"/>
          <w:szCs w:val="22"/>
        </w:rPr>
        <w:t>R</w:t>
      </w:r>
      <w:r w:rsidR="00590AA3">
        <w:rPr>
          <w:rFonts w:asciiTheme="minorHAnsi" w:hAnsiTheme="minorHAnsi"/>
          <w:sz w:val="22"/>
          <w:szCs w:val="22"/>
        </w:rPr>
        <w:t xml:space="preserve">estructuring and integration costs </w:t>
      </w:r>
      <w:r>
        <w:rPr>
          <w:rFonts w:asciiTheme="minorHAnsi" w:hAnsiTheme="minorHAnsi"/>
          <w:sz w:val="22"/>
          <w:szCs w:val="22"/>
        </w:rPr>
        <w:t xml:space="preserve">of £41m were also incurred by the Group </w:t>
      </w:r>
      <w:r w:rsidR="00B10629">
        <w:rPr>
          <w:rFonts w:asciiTheme="minorHAnsi" w:hAnsiTheme="minorHAnsi"/>
          <w:sz w:val="22"/>
          <w:szCs w:val="22"/>
        </w:rPr>
        <w:t xml:space="preserve">relating to </w:t>
      </w:r>
      <w:r w:rsidR="00590AA3">
        <w:rPr>
          <w:rFonts w:asciiTheme="minorHAnsi" w:hAnsiTheme="minorHAnsi"/>
          <w:sz w:val="22"/>
          <w:szCs w:val="22"/>
        </w:rPr>
        <w:t xml:space="preserve">the realisation of synergies following </w:t>
      </w:r>
      <w:r>
        <w:rPr>
          <w:rFonts w:asciiTheme="minorHAnsi" w:hAnsiTheme="minorHAnsi"/>
          <w:sz w:val="22"/>
          <w:szCs w:val="22"/>
        </w:rPr>
        <w:t>completion</w:t>
      </w:r>
      <w:r w:rsidR="00590AA3">
        <w:rPr>
          <w:rFonts w:asciiTheme="minorHAnsi" w:hAnsiTheme="minorHAnsi"/>
          <w:sz w:val="22"/>
          <w:szCs w:val="22"/>
        </w:rPr>
        <w:t>.</w:t>
      </w:r>
    </w:p>
    <w:p w14:paraId="2A828A66" w14:textId="77777777" w:rsidR="00590AA3" w:rsidRDefault="00831D1F" w:rsidP="00590AA3">
      <w:pPr>
        <w:spacing w:after="120"/>
        <w:jc w:val="both"/>
        <w:rPr>
          <w:rFonts w:asciiTheme="minorHAnsi" w:hAnsiTheme="minorHAnsi"/>
          <w:sz w:val="22"/>
          <w:szCs w:val="22"/>
        </w:rPr>
      </w:pPr>
      <w:r>
        <w:rPr>
          <w:rFonts w:asciiTheme="minorHAnsi" w:hAnsiTheme="minorHAnsi"/>
          <w:sz w:val="22"/>
          <w:szCs w:val="22"/>
        </w:rPr>
        <w:t xml:space="preserve">During the period the Group received a </w:t>
      </w:r>
      <w:r w:rsidR="00590AA3">
        <w:rPr>
          <w:rFonts w:asciiTheme="minorHAnsi" w:hAnsiTheme="minorHAnsi"/>
          <w:sz w:val="22"/>
          <w:szCs w:val="22"/>
        </w:rPr>
        <w:t xml:space="preserve">VAT refund </w:t>
      </w:r>
      <w:r>
        <w:rPr>
          <w:rFonts w:asciiTheme="minorHAnsi" w:hAnsiTheme="minorHAnsi"/>
          <w:sz w:val="22"/>
          <w:szCs w:val="22"/>
        </w:rPr>
        <w:t xml:space="preserve">in respect of </w:t>
      </w:r>
      <w:r w:rsidR="00590AA3">
        <w:rPr>
          <w:rFonts w:asciiTheme="minorHAnsi" w:hAnsiTheme="minorHAnsi"/>
          <w:sz w:val="22"/>
          <w:szCs w:val="22"/>
        </w:rPr>
        <w:t>a</w:t>
      </w:r>
      <w:r w:rsidR="00B10629">
        <w:rPr>
          <w:rFonts w:asciiTheme="minorHAnsi" w:hAnsiTheme="minorHAnsi"/>
          <w:sz w:val="22"/>
          <w:szCs w:val="22"/>
        </w:rPr>
        <w:t>n</w:t>
      </w:r>
      <w:r w:rsidR="00590AA3">
        <w:rPr>
          <w:rFonts w:asciiTheme="minorHAnsi" w:hAnsiTheme="minorHAnsi"/>
          <w:sz w:val="22"/>
          <w:szCs w:val="22"/>
        </w:rPr>
        <w:t xml:space="preserve"> historic claim for overpaid VAT in relation to retail gaming machines in the UK.</w:t>
      </w:r>
    </w:p>
    <w:p w14:paraId="6D043ED2" w14:textId="77777777" w:rsidR="00590AA3" w:rsidRDefault="00590AA3" w:rsidP="00590AA3">
      <w:pPr>
        <w:spacing w:after="120"/>
        <w:jc w:val="both"/>
        <w:rPr>
          <w:rFonts w:asciiTheme="minorHAnsi" w:hAnsiTheme="minorHAnsi"/>
          <w:b/>
          <w:sz w:val="22"/>
          <w:szCs w:val="22"/>
        </w:rPr>
      </w:pPr>
      <w:r>
        <w:rPr>
          <w:rFonts w:asciiTheme="minorHAnsi" w:hAnsiTheme="minorHAnsi"/>
          <w:sz w:val="22"/>
          <w:szCs w:val="22"/>
        </w:rPr>
        <w:t>Financial income and expense items</w:t>
      </w:r>
      <w:r w:rsidR="00831D1F">
        <w:rPr>
          <w:rFonts w:asciiTheme="minorHAnsi" w:hAnsiTheme="minorHAnsi"/>
          <w:sz w:val="22"/>
          <w:szCs w:val="22"/>
        </w:rPr>
        <w:t xml:space="preserve"> incurred</w:t>
      </w:r>
      <w:r>
        <w:rPr>
          <w:rFonts w:asciiTheme="minorHAnsi" w:hAnsiTheme="minorHAnsi"/>
          <w:sz w:val="22"/>
          <w:szCs w:val="22"/>
        </w:rPr>
        <w:t xml:space="preserve"> r</w:t>
      </w:r>
      <w:r w:rsidR="00775B83">
        <w:rPr>
          <w:rFonts w:asciiTheme="minorHAnsi" w:hAnsiTheme="minorHAnsi"/>
          <w:sz w:val="22"/>
          <w:szCs w:val="22"/>
        </w:rPr>
        <w:t>eflect</w:t>
      </w:r>
      <w:r>
        <w:rPr>
          <w:rFonts w:asciiTheme="minorHAnsi" w:hAnsiTheme="minorHAnsi"/>
          <w:sz w:val="22"/>
          <w:szCs w:val="22"/>
        </w:rPr>
        <w:t xml:space="preserve"> </w:t>
      </w:r>
      <w:r w:rsidR="00775B83">
        <w:rPr>
          <w:rFonts w:asciiTheme="minorHAnsi" w:hAnsiTheme="minorHAnsi"/>
          <w:sz w:val="22"/>
          <w:szCs w:val="22"/>
        </w:rPr>
        <w:t>gains and/or losses on items relating to the Group’s debt financing, principally related to embedded derivatives and foreign exchange</w:t>
      </w:r>
      <w:r w:rsidR="00A734AD">
        <w:rPr>
          <w:rFonts w:asciiTheme="minorHAnsi" w:hAnsiTheme="minorHAnsi"/>
          <w:sz w:val="22"/>
          <w:szCs w:val="22"/>
        </w:rPr>
        <w:t xml:space="preserve">. </w:t>
      </w:r>
      <w:r w:rsidR="00DC5A86">
        <w:rPr>
          <w:rFonts w:asciiTheme="minorHAnsi" w:hAnsiTheme="minorHAnsi"/>
          <w:sz w:val="22"/>
          <w:szCs w:val="22"/>
        </w:rPr>
        <w:t xml:space="preserve">The expense line </w:t>
      </w:r>
      <w:r w:rsidR="00A734AD">
        <w:rPr>
          <w:rFonts w:asciiTheme="minorHAnsi" w:hAnsiTheme="minorHAnsi"/>
          <w:sz w:val="22"/>
          <w:szCs w:val="22"/>
        </w:rPr>
        <w:t xml:space="preserve">also includes </w:t>
      </w:r>
      <w:r w:rsidR="00F014C8">
        <w:rPr>
          <w:rFonts w:asciiTheme="minorHAnsi" w:hAnsiTheme="minorHAnsi"/>
          <w:sz w:val="22"/>
          <w:szCs w:val="22"/>
        </w:rPr>
        <w:t xml:space="preserve">a </w:t>
      </w:r>
      <w:r w:rsidR="00DC5A86">
        <w:rPr>
          <w:rFonts w:asciiTheme="minorHAnsi" w:hAnsiTheme="minorHAnsi"/>
          <w:sz w:val="22"/>
          <w:szCs w:val="22"/>
        </w:rPr>
        <w:t xml:space="preserve">£9.5m </w:t>
      </w:r>
      <w:r w:rsidR="00F014C8">
        <w:rPr>
          <w:rFonts w:asciiTheme="minorHAnsi" w:hAnsiTheme="minorHAnsi"/>
          <w:sz w:val="22"/>
          <w:szCs w:val="22"/>
        </w:rPr>
        <w:t xml:space="preserve">loss </w:t>
      </w:r>
      <w:r w:rsidR="00A734AD">
        <w:rPr>
          <w:rFonts w:asciiTheme="minorHAnsi" w:hAnsiTheme="minorHAnsi"/>
          <w:sz w:val="22"/>
          <w:szCs w:val="22"/>
        </w:rPr>
        <w:t xml:space="preserve">arising from additional </w:t>
      </w:r>
      <w:r w:rsidR="00F014C8">
        <w:rPr>
          <w:rFonts w:asciiTheme="minorHAnsi" w:hAnsiTheme="minorHAnsi"/>
          <w:sz w:val="22"/>
          <w:szCs w:val="22"/>
        </w:rPr>
        <w:t xml:space="preserve">contingent consideration </w:t>
      </w:r>
      <w:r w:rsidR="00DC5A86">
        <w:rPr>
          <w:rFonts w:asciiTheme="minorHAnsi" w:hAnsiTheme="minorHAnsi"/>
          <w:sz w:val="22"/>
          <w:szCs w:val="22"/>
        </w:rPr>
        <w:t xml:space="preserve">payable for HRTV, now part of TVG. </w:t>
      </w:r>
      <w:r w:rsidR="00775B83">
        <w:rPr>
          <w:rFonts w:asciiTheme="minorHAnsi" w:hAnsiTheme="minorHAnsi"/>
          <w:sz w:val="22"/>
          <w:szCs w:val="22"/>
        </w:rPr>
        <w:t xml:space="preserve">For further details, see notes 5 and 6 of the financial statements. </w:t>
      </w:r>
    </w:p>
    <w:p w14:paraId="56EB0156" w14:textId="77777777" w:rsidR="00942D68" w:rsidRPr="00BE61B4" w:rsidRDefault="00942D68" w:rsidP="00942D68">
      <w:pPr>
        <w:spacing w:after="120"/>
        <w:jc w:val="both"/>
        <w:rPr>
          <w:rFonts w:asciiTheme="minorHAnsi" w:hAnsiTheme="minorHAnsi"/>
          <w:b/>
          <w:color w:val="FF0000"/>
          <w:sz w:val="22"/>
          <w:szCs w:val="22"/>
        </w:rPr>
      </w:pPr>
      <w:r w:rsidRPr="00BE61B4">
        <w:rPr>
          <w:rFonts w:asciiTheme="minorHAnsi" w:hAnsiTheme="minorHAnsi"/>
          <w:b/>
          <w:sz w:val="22"/>
          <w:szCs w:val="22"/>
        </w:rPr>
        <w:t>Foreign Exchange</w:t>
      </w:r>
    </w:p>
    <w:p w14:paraId="109F349C" w14:textId="77777777" w:rsidR="00942D68" w:rsidRPr="00C9669A" w:rsidRDefault="00942D68" w:rsidP="00942D68">
      <w:pPr>
        <w:spacing w:after="120"/>
        <w:jc w:val="both"/>
        <w:rPr>
          <w:rFonts w:asciiTheme="minorHAnsi" w:hAnsiTheme="minorHAnsi"/>
          <w:b/>
          <w:i/>
          <w:sz w:val="22"/>
          <w:szCs w:val="22"/>
        </w:rPr>
      </w:pPr>
      <w:r w:rsidRPr="00C9669A">
        <w:rPr>
          <w:rFonts w:asciiTheme="minorHAnsi" w:hAnsiTheme="minorHAnsi"/>
          <w:sz w:val="22"/>
          <w:szCs w:val="22"/>
        </w:rPr>
        <w:t>At current spot rates, the foreign exchange impact on H2 20</w:t>
      </w:r>
      <w:r w:rsidR="00AD2D29" w:rsidRPr="00C9669A">
        <w:rPr>
          <w:rFonts w:asciiTheme="minorHAnsi" w:hAnsiTheme="minorHAnsi"/>
          <w:sz w:val="22"/>
          <w:szCs w:val="22"/>
        </w:rPr>
        <w:t>20</w:t>
      </w:r>
      <w:r w:rsidRPr="00C9669A">
        <w:rPr>
          <w:rFonts w:asciiTheme="minorHAnsi" w:hAnsiTheme="minorHAnsi"/>
          <w:sz w:val="22"/>
          <w:szCs w:val="22"/>
        </w:rPr>
        <w:t xml:space="preserve"> EB</w:t>
      </w:r>
      <w:r w:rsidRPr="00884356">
        <w:rPr>
          <w:rFonts w:asciiTheme="minorHAnsi" w:hAnsiTheme="minorHAnsi"/>
          <w:sz w:val="22"/>
          <w:szCs w:val="22"/>
        </w:rPr>
        <w:t>ITDA versus H2 201</w:t>
      </w:r>
      <w:r w:rsidR="00AD2D29" w:rsidRPr="00884356">
        <w:rPr>
          <w:rFonts w:asciiTheme="minorHAnsi" w:hAnsiTheme="minorHAnsi"/>
          <w:sz w:val="22"/>
          <w:szCs w:val="22"/>
        </w:rPr>
        <w:t>9</w:t>
      </w:r>
      <w:r w:rsidRPr="00884356">
        <w:rPr>
          <w:rFonts w:asciiTheme="minorHAnsi" w:hAnsiTheme="minorHAnsi"/>
          <w:sz w:val="22"/>
          <w:szCs w:val="22"/>
        </w:rPr>
        <w:t xml:space="preserve"> is a circa £</w:t>
      </w:r>
      <w:r w:rsidR="00884356" w:rsidRPr="00884356">
        <w:rPr>
          <w:rFonts w:asciiTheme="minorHAnsi" w:hAnsiTheme="minorHAnsi"/>
          <w:sz w:val="22"/>
          <w:szCs w:val="22"/>
        </w:rPr>
        <w:t xml:space="preserve">9m </w:t>
      </w:r>
      <w:r w:rsidRPr="00884356">
        <w:rPr>
          <w:rFonts w:asciiTheme="minorHAnsi" w:hAnsiTheme="minorHAnsi"/>
          <w:sz w:val="22"/>
          <w:szCs w:val="22"/>
        </w:rPr>
        <w:t>headwind.</w:t>
      </w:r>
      <w:r w:rsidRPr="00C9669A">
        <w:rPr>
          <w:rFonts w:asciiTheme="minorHAnsi" w:hAnsiTheme="minorHAnsi"/>
          <w:sz w:val="22"/>
          <w:szCs w:val="22"/>
        </w:rPr>
        <w:t xml:space="preserve">  </w:t>
      </w:r>
    </w:p>
    <w:p w14:paraId="46B1FB85" w14:textId="77777777" w:rsidR="007644C7" w:rsidRDefault="007644C7">
      <w:pPr>
        <w:rPr>
          <w:rFonts w:asciiTheme="minorHAnsi" w:hAnsiTheme="minorHAnsi"/>
          <w:b/>
          <w:sz w:val="22"/>
        </w:rPr>
      </w:pPr>
      <w:r>
        <w:rPr>
          <w:rFonts w:asciiTheme="minorHAnsi" w:hAnsiTheme="minorHAnsi"/>
          <w:b/>
          <w:sz w:val="22"/>
        </w:rPr>
        <w:br w:type="page"/>
      </w:r>
    </w:p>
    <w:p w14:paraId="350AF5A8" w14:textId="77777777" w:rsidR="00942D68" w:rsidRPr="007644C7" w:rsidRDefault="00942D68" w:rsidP="00942D68">
      <w:pPr>
        <w:spacing w:after="120"/>
        <w:jc w:val="both"/>
        <w:rPr>
          <w:rFonts w:asciiTheme="minorHAnsi" w:hAnsiTheme="minorHAnsi"/>
          <w:sz w:val="20"/>
          <w:szCs w:val="22"/>
        </w:rPr>
      </w:pPr>
      <w:r w:rsidRPr="001E5AFB">
        <w:rPr>
          <w:rFonts w:asciiTheme="minorHAnsi" w:hAnsiTheme="minorHAnsi"/>
          <w:b/>
          <w:sz w:val="22"/>
        </w:rPr>
        <w:lastRenderedPageBreak/>
        <w:t>Outlook</w:t>
      </w:r>
    </w:p>
    <w:p w14:paraId="007F0DCB" w14:textId="77777777" w:rsidR="00997974" w:rsidRPr="00C9669A" w:rsidRDefault="00997974" w:rsidP="00C24A0C">
      <w:pPr>
        <w:spacing w:after="120"/>
        <w:jc w:val="both"/>
        <w:rPr>
          <w:rFonts w:asciiTheme="minorHAnsi" w:hAnsiTheme="minorHAnsi"/>
          <w:sz w:val="22"/>
          <w:szCs w:val="22"/>
        </w:rPr>
      </w:pPr>
      <w:r w:rsidRPr="00C9669A">
        <w:rPr>
          <w:rFonts w:asciiTheme="minorHAnsi" w:hAnsiTheme="minorHAnsi"/>
          <w:sz w:val="22"/>
          <w:szCs w:val="22"/>
        </w:rPr>
        <w:t>T</w:t>
      </w:r>
      <w:r w:rsidR="00942D68" w:rsidRPr="00C9669A">
        <w:rPr>
          <w:rFonts w:asciiTheme="minorHAnsi" w:hAnsiTheme="minorHAnsi"/>
          <w:sz w:val="22"/>
          <w:szCs w:val="22"/>
        </w:rPr>
        <w:t xml:space="preserve">he </w:t>
      </w:r>
      <w:r w:rsidR="00AD2D29" w:rsidRPr="00C9669A">
        <w:rPr>
          <w:rFonts w:asciiTheme="minorHAnsi" w:hAnsiTheme="minorHAnsi"/>
          <w:sz w:val="22"/>
          <w:szCs w:val="22"/>
        </w:rPr>
        <w:t>second half of the year has started well</w:t>
      </w:r>
      <w:r w:rsidRPr="00C9669A">
        <w:rPr>
          <w:rFonts w:asciiTheme="minorHAnsi" w:hAnsiTheme="minorHAnsi"/>
          <w:sz w:val="22"/>
          <w:szCs w:val="22"/>
        </w:rPr>
        <w:t xml:space="preserve">, </w:t>
      </w:r>
      <w:r w:rsidR="00304E49" w:rsidRPr="00C9669A">
        <w:rPr>
          <w:rFonts w:asciiTheme="minorHAnsi" w:hAnsiTheme="minorHAnsi"/>
          <w:sz w:val="22"/>
          <w:szCs w:val="22"/>
        </w:rPr>
        <w:t>benefitting from</w:t>
      </w:r>
      <w:r w:rsidR="00AD2D29" w:rsidRPr="00C9669A">
        <w:rPr>
          <w:rFonts w:asciiTheme="minorHAnsi" w:hAnsiTheme="minorHAnsi"/>
          <w:sz w:val="22"/>
          <w:szCs w:val="22"/>
        </w:rPr>
        <w:t xml:space="preserve"> condensed football fixtures, favourable sports results and the ongoing resilience of gaming. </w:t>
      </w:r>
      <w:r w:rsidRPr="00C9669A">
        <w:rPr>
          <w:rFonts w:asciiTheme="minorHAnsi" w:hAnsiTheme="minorHAnsi"/>
          <w:sz w:val="22"/>
          <w:szCs w:val="22"/>
        </w:rPr>
        <w:t xml:space="preserve">However </w:t>
      </w:r>
      <w:r w:rsidRPr="00407452">
        <w:rPr>
          <w:rFonts w:asciiTheme="minorHAnsi" w:hAnsiTheme="minorHAnsi"/>
          <w:sz w:val="22"/>
          <w:szCs w:val="22"/>
        </w:rPr>
        <w:t>the outlook remains highly uncertain, due to potential further Covid-19 related disruption and potential regulatory change</w:t>
      </w:r>
      <w:r w:rsidRPr="003D53FD">
        <w:rPr>
          <w:rFonts w:asciiTheme="minorHAnsi" w:hAnsiTheme="minorHAnsi"/>
          <w:sz w:val="22"/>
          <w:szCs w:val="22"/>
        </w:rPr>
        <w:t xml:space="preserve"> in various markets. </w:t>
      </w:r>
      <w:r w:rsidR="009527EE" w:rsidRPr="003D53FD">
        <w:rPr>
          <w:rFonts w:asciiTheme="minorHAnsi" w:hAnsiTheme="minorHAnsi"/>
          <w:sz w:val="22"/>
          <w:szCs w:val="22"/>
        </w:rPr>
        <w:t>A</w:t>
      </w:r>
      <w:r w:rsidRPr="003D53FD">
        <w:rPr>
          <w:rFonts w:asciiTheme="minorHAnsi" w:hAnsiTheme="minorHAnsi"/>
          <w:sz w:val="22"/>
          <w:szCs w:val="22"/>
        </w:rPr>
        <w:t xml:space="preserve">ssuming normalised net revenue margins for </w:t>
      </w:r>
      <w:r w:rsidR="000F352D" w:rsidRPr="00C9669A">
        <w:rPr>
          <w:rFonts w:asciiTheme="minorHAnsi" w:hAnsiTheme="minorHAnsi"/>
          <w:sz w:val="22"/>
          <w:szCs w:val="22"/>
        </w:rPr>
        <w:t xml:space="preserve">the </w:t>
      </w:r>
      <w:r w:rsidRPr="00C9669A">
        <w:rPr>
          <w:rFonts w:asciiTheme="minorHAnsi" w:hAnsiTheme="minorHAnsi"/>
          <w:sz w:val="22"/>
          <w:szCs w:val="22"/>
        </w:rPr>
        <w:t xml:space="preserve">remainder of the year, no material additional disruption to sporting events and no further shutdown of retail operations, we anticipate </w:t>
      </w:r>
      <w:r w:rsidR="00137BF1" w:rsidRPr="00C9669A">
        <w:rPr>
          <w:rFonts w:asciiTheme="minorHAnsi" w:hAnsiTheme="minorHAnsi"/>
          <w:sz w:val="22"/>
          <w:szCs w:val="22"/>
        </w:rPr>
        <w:t xml:space="preserve">that </w:t>
      </w:r>
      <w:r w:rsidRPr="00C9669A">
        <w:rPr>
          <w:rFonts w:asciiTheme="minorHAnsi" w:hAnsiTheme="minorHAnsi"/>
          <w:sz w:val="22"/>
          <w:szCs w:val="22"/>
        </w:rPr>
        <w:t xml:space="preserve">2020 pro forma Adjusted EBITDA </w:t>
      </w:r>
      <w:r w:rsidR="00137BF1" w:rsidRPr="00C9669A">
        <w:rPr>
          <w:rFonts w:asciiTheme="minorHAnsi" w:hAnsiTheme="minorHAnsi"/>
          <w:sz w:val="22"/>
          <w:szCs w:val="22"/>
        </w:rPr>
        <w:t xml:space="preserve">will </w:t>
      </w:r>
      <w:r w:rsidRPr="00C9669A">
        <w:rPr>
          <w:rFonts w:asciiTheme="minorHAnsi" w:hAnsiTheme="minorHAnsi"/>
          <w:sz w:val="22"/>
          <w:szCs w:val="22"/>
        </w:rPr>
        <w:t>be:</w:t>
      </w:r>
    </w:p>
    <w:p w14:paraId="2540DD78" w14:textId="77777777" w:rsidR="00DB3F8A" w:rsidRPr="00C24A0C" w:rsidRDefault="00760BEB" w:rsidP="009B6BB8">
      <w:pPr>
        <w:pStyle w:val="ListParagraph"/>
        <w:numPr>
          <w:ilvl w:val="0"/>
          <w:numId w:val="22"/>
        </w:numPr>
        <w:spacing w:after="40"/>
        <w:jc w:val="both"/>
        <w:rPr>
          <w:rFonts w:asciiTheme="minorHAnsi" w:hAnsiTheme="minorHAnsi"/>
          <w:sz w:val="22"/>
          <w:szCs w:val="21"/>
        </w:rPr>
      </w:pPr>
      <w:r>
        <w:rPr>
          <w:rFonts w:asciiTheme="minorHAnsi" w:hAnsiTheme="minorHAnsi"/>
          <w:sz w:val="22"/>
          <w:szCs w:val="21"/>
        </w:rPr>
        <w:t>B</w:t>
      </w:r>
      <w:r w:rsidR="00997974" w:rsidRPr="00C24A0C">
        <w:rPr>
          <w:rFonts w:asciiTheme="minorHAnsi" w:hAnsiTheme="minorHAnsi"/>
          <w:sz w:val="22"/>
          <w:szCs w:val="21"/>
        </w:rPr>
        <w:t xml:space="preserve">etween </w:t>
      </w:r>
      <w:r w:rsidR="00997974" w:rsidRPr="00C24A0C">
        <w:rPr>
          <w:rFonts w:asciiTheme="minorHAnsi" w:hAnsiTheme="minorHAnsi"/>
          <w:b/>
          <w:sz w:val="22"/>
          <w:szCs w:val="21"/>
        </w:rPr>
        <w:t>£1,1</w:t>
      </w:r>
      <w:r w:rsidR="00930B8D">
        <w:rPr>
          <w:rFonts w:asciiTheme="minorHAnsi" w:hAnsiTheme="minorHAnsi"/>
          <w:b/>
          <w:sz w:val="22"/>
          <w:szCs w:val="21"/>
        </w:rPr>
        <w:t>7</w:t>
      </w:r>
      <w:r w:rsidR="00997974" w:rsidRPr="00C24A0C">
        <w:rPr>
          <w:rFonts w:asciiTheme="minorHAnsi" w:hAnsiTheme="minorHAnsi"/>
          <w:b/>
          <w:sz w:val="22"/>
          <w:szCs w:val="21"/>
        </w:rPr>
        <w:t>5m</w:t>
      </w:r>
      <w:r w:rsidR="00997974" w:rsidRPr="00C24A0C">
        <w:rPr>
          <w:rFonts w:asciiTheme="minorHAnsi" w:hAnsiTheme="minorHAnsi"/>
          <w:sz w:val="22"/>
          <w:szCs w:val="21"/>
        </w:rPr>
        <w:t xml:space="preserve"> and </w:t>
      </w:r>
      <w:r w:rsidR="00997974" w:rsidRPr="00C24A0C">
        <w:rPr>
          <w:rFonts w:asciiTheme="minorHAnsi" w:hAnsiTheme="minorHAnsi"/>
          <w:b/>
          <w:sz w:val="22"/>
          <w:szCs w:val="21"/>
        </w:rPr>
        <w:t>£1,</w:t>
      </w:r>
      <w:r w:rsidR="00930B8D">
        <w:rPr>
          <w:rFonts w:asciiTheme="minorHAnsi" w:hAnsiTheme="minorHAnsi"/>
          <w:b/>
          <w:sz w:val="22"/>
          <w:szCs w:val="21"/>
        </w:rPr>
        <w:t>32</w:t>
      </w:r>
      <w:r w:rsidR="00997974" w:rsidRPr="00C24A0C">
        <w:rPr>
          <w:rFonts w:asciiTheme="minorHAnsi" w:hAnsiTheme="minorHAnsi"/>
          <w:b/>
          <w:sz w:val="22"/>
          <w:szCs w:val="21"/>
        </w:rPr>
        <w:t>5m</w:t>
      </w:r>
      <w:r>
        <w:rPr>
          <w:rFonts w:asciiTheme="minorHAnsi" w:hAnsiTheme="minorHAnsi"/>
          <w:sz w:val="22"/>
          <w:szCs w:val="21"/>
        </w:rPr>
        <w:t xml:space="preserve"> for Group ex-US</w:t>
      </w:r>
      <w:r w:rsidR="00B16C7A">
        <w:rPr>
          <w:rFonts w:asciiTheme="minorHAnsi" w:hAnsiTheme="minorHAnsi"/>
          <w:sz w:val="22"/>
          <w:szCs w:val="21"/>
        </w:rPr>
        <w:t xml:space="preserve">, </w:t>
      </w:r>
      <w:r w:rsidR="00997974" w:rsidRPr="00C24A0C">
        <w:rPr>
          <w:rFonts w:asciiTheme="minorHAnsi" w:hAnsiTheme="minorHAnsi"/>
          <w:sz w:val="22"/>
          <w:szCs w:val="21"/>
        </w:rPr>
        <w:t>reflect</w:t>
      </w:r>
      <w:r w:rsidR="00B16C7A">
        <w:rPr>
          <w:rFonts w:asciiTheme="minorHAnsi" w:hAnsiTheme="minorHAnsi"/>
          <w:sz w:val="22"/>
          <w:szCs w:val="21"/>
        </w:rPr>
        <w:t>ing</w:t>
      </w:r>
      <w:r w:rsidR="00997974" w:rsidRPr="00C24A0C">
        <w:rPr>
          <w:rFonts w:asciiTheme="minorHAnsi" w:hAnsiTheme="minorHAnsi"/>
          <w:sz w:val="22"/>
          <w:szCs w:val="21"/>
        </w:rPr>
        <w:t xml:space="preserve"> an additional £50m marketing investment in H2 over H1 and the cost of the enhanced RG/AML measures introduced in PokerStars</w:t>
      </w:r>
      <w:r w:rsidR="00B16C7A">
        <w:rPr>
          <w:rFonts w:asciiTheme="minorHAnsi" w:hAnsiTheme="minorHAnsi"/>
          <w:sz w:val="22"/>
          <w:szCs w:val="21"/>
        </w:rPr>
        <w:t>.</w:t>
      </w:r>
    </w:p>
    <w:p w14:paraId="447D0B54" w14:textId="77777777" w:rsidR="009527EE" w:rsidRPr="00C9669A" w:rsidRDefault="00DB3F8A" w:rsidP="009B6BB8">
      <w:pPr>
        <w:pStyle w:val="ListParagraph"/>
        <w:numPr>
          <w:ilvl w:val="0"/>
          <w:numId w:val="22"/>
        </w:numPr>
        <w:spacing w:after="40"/>
        <w:jc w:val="both"/>
        <w:rPr>
          <w:rFonts w:asciiTheme="minorHAnsi" w:hAnsiTheme="minorHAnsi"/>
          <w:sz w:val="22"/>
          <w:szCs w:val="21"/>
        </w:rPr>
      </w:pPr>
      <w:r w:rsidRPr="00C9669A">
        <w:rPr>
          <w:rFonts w:asciiTheme="minorHAnsi" w:hAnsiTheme="minorHAnsi"/>
          <w:sz w:val="22"/>
          <w:szCs w:val="21"/>
        </w:rPr>
        <w:t xml:space="preserve">An EBITDA loss of </w:t>
      </w:r>
      <w:r w:rsidRPr="00C9669A">
        <w:rPr>
          <w:rFonts w:asciiTheme="minorHAnsi" w:hAnsiTheme="minorHAnsi"/>
          <w:b/>
          <w:sz w:val="22"/>
          <w:szCs w:val="21"/>
        </w:rPr>
        <w:t>£1</w:t>
      </w:r>
      <w:r w:rsidR="006C1CAC">
        <w:rPr>
          <w:rFonts w:asciiTheme="minorHAnsi" w:hAnsiTheme="minorHAnsi"/>
          <w:b/>
          <w:sz w:val="22"/>
          <w:szCs w:val="21"/>
        </w:rPr>
        <w:t>4</w:t>
      </w:r>
      <w:r w:rsidRPr="00C9669A">
        <w:rPr>
          <w:rFonts w:asciiTheme="minorHAnsi" w:hAnsiTheme="minorHAnsi"/>
          <w:b/>
          <w:sz w:val="22"/>
          <w:szCs w:val="21"/>
        </w:rPr>
        <w:t>0-1</w:t>
      </w:r>
      <w:r w:rsidR="006C1CAC">
        <w:rPr>
          <w:rFonts w:asciiTheme="minorHAnsi" w:hAnsiTheme="minorHAnsi"/>
          <w:b/>
          <w:sz w:val="22"/>
          <w:szCs w:val="21"/>
        </w:rPr>
        <w:t>6</w:t>
      </w:r>
      <w:r w:rsidRPr="00C9669A">
        <w:rPr>
          <w:rFonts w:asciiTheme="minorHAnsi" w:hAnsiTheme="minorHAnsi"/>
          <w:b/>
          <w:sz w:val="22"/>
          <w:szCs w:val="21"/>
        </w:rPr>
        <w:t>0m</w:t>
      </w:r>
      <w:r w:rsidRPr="00C9669A">
        <w:rPr>
          <w:rFonts w:asciiTheme="minorHAnsi" w:hAnsiTheme="minorHAnsi"/>
          <w:sz w:val="22"/>
          <w:szCs w:val="21"/>
        </w:rPr>
        <w:t xml:space="preserve"> in the US, </w:t>
      </w:r>
      <w:r w:rsidR="00A04319" w:rsidRPr="00A04319">
        <w:rPr>
          <w:rFonts w:asciiTheme="minorHAnsi" w:hAnsiTheme="minorHAnsi"/>
          <w:sz w:val="22"/>
          <w:szCs w:val="21"/>
        </w:rPr>
        <w:t>assuming online launches in Tennessee and Michigan in H2 and the continuation of mobile registration in Illinois for the full remainder of the half.  Should mobile registration be restricted at some point, the loss will likely be closer to the £140m end of the range</w:t>
      </w:r>
      <w:r>
        <w:rPr>
          <w:rFonts w:asciiTheme="minorHAnsi" w:hAnsiTheme="minorHAnsi"/>
          <w:sz w:val="22"/>
          <w:szCs w:val="21"/>
        </w:rPr>
        <w:t xml:space="preserve">. </w:t>
      </w:r>
    </w:p>
    <w:p w14:paraId="0C28667B" w14:textId="77777777" w:rsidR="00997974" w:rsidRPr="00C9669A" w:rsidRDefault="00997974" w:rsidP="00B10629">
      <w:pPr>
        <w:spacing w:before="120"/>
        <w:jc w:val="both"/>
        <w:rPr>
          <w:rFonts w:asciiTheme="minorHAnsi" w:hAnsiTheme="minorHAnsi"/>
          <w:sz w:val="22"/>
          <w:szCs w:val="22"/>
        </w:rPr>
      </w:pPr>
      <w:r w:rsidRPr="00407452">
        <w:rPr>
          <w:rFonts w:asciiTheme="minorHAnsi" w:hAnsiTheme="minorHAnsi"/>
          <w:sz w:val="22"/>
          <w:szCs w:val="22"/>
        </w:rPr>
        <w:t>Based on a mid-range EBITDA outcome, the Group’s leverage ratio</w:t>
      </w:r>
      <w:r w:rsidR="0075571E" w:rsidRPr="00C9669A">
        <w:rPr>
          <w:rFonts w:asciiTheme="minorHAnsi" w:hAnsiTheme="minorHAnsi"/>
          <w:sz w:val="22"/>
          <w:szCs w:val="22"/>
          <w:vertAlign w:val="superscript"/>
        </w:rPr>
        <w:t>8</w:t>
      </w:r>
      <w:r w:rsidRPr="00407452">
        <w:rPr>
          <w:rFonts w:asciiTheme="minorHAnsi" w:hAnsiTheme="minorHAnsi"/>
          <w:sz w:val="22"/>
          <w:szCs w:val="22"/>
        </w:rPr>
        <w:t xml:space="preserve"> is expected to be </w:t>
      </w:r>
      <w:r w:rsidR="00B16C7A" w:rsidRPr="00407452">
        <w:rPr>
          <w:rFonts w:asciiTheme="minorHAnsi" w:hAnsiTheme="minorHAnsi"/>
          <w:sz w:val="22"/>
          <w:szCs w:val="22"/>
        </w:rPr>
        <w:t xml:space="preserve">circa </w:t>
      </w:r>
      <w:r w:rsidRPr="00407452">
        <w:rPr>
          <w:rFonts w:asciiTheme="minorHAnsi" w:hAnsiTheme="minorHAnsi"/>
          <w:sz w:val="22"/>
          <w:szCs w:val="22"/>
        </w:rPr>
        <w:t>2.</w:t>
      </w:r>
      <w:r w:rsidR="009436FD" w:rsidRPr="003D53FD">
        <w:rPr>
          <w:rFonts w:asciiTheme="minorHAnsi" w:hAnsiTheme="minorHAnsi"/>
          <w:sz w:val="22"/>
          <w:szCs w:val="22"/>
        </w:rPr>
        <w:t>5-2.8</w:t>
      </w:r>
      <w:r w:rsidRPr="003D53FD">
        <w:rPr>
          <w:rFonts w:asciiTheme="minorHAnsi" w:hAnsiTheme="minorHAnsi"/>
          <w:sz w:val="22"/>
          <w:szCs w:val="22"/>
        </w:rPr>
        <w:t>x</w:t>
      </w:r>
      <w:r w:rsidRPr="00604202">
        <w:rPr>
          <w:rFonts w:asciiTheme="minorHAnsi" w:hAnsiTheme="minorHAnsi"/>
          <w:sz w:val="22"/>
          <w:szCs w:val="22"/>
        </w:rPr>
        <w:t xml:space="preserve"> at year-end, reflecting additional investment in H2</w:t>
      </w:r>
      <w:r w:rsidR="009527EE" w:rsidRPr="00604202">
        <w:rPr>
          <w:rFonts w:asciiTheme="minorHAnsi" w:hAnsiTheme="minorHAnsi"/>
          <w:sz w:val="22"/>
          <w:szCs w:val="22"/>
        </w:rPr>
        <w:t>.</w:t>
      </w:r>
      <w:r w:rsidRPr="00604202">
        <w:rPr>
          <w:rFonts w:asciiTheme="minorHAnsi" w:hAnsiTheme="minorHAnsi"/>
          <w:sz w:val="22"/>
          <w:szCs w:val="22"/>
        </w:rPr>
        <w:t xml:space="preserve"> </w:t>
      </w:r>
      <w:r w:rsidR="00942D68" w:rsidRPr="00C9669A">
        <w:rPr>
          <w:rFonts w:asciiTheme="minorHAnsi" w:hAnsiTheme="minorHAnsi"/>
          <w:sz w:val="22"/>
          <w:szCs w:val="22"/>
        </w:rPr>
        <w:t xml:space="preserve">We are </w:t>
      </w:r>
      <w:r w:rsidR="00BE61B4" w:rsidRPr="00C9669A">
        <w:rPr>
          <w:rFonts w:asciiTheme="minorHAnsi" w:hAnsiTheme="minorHAnsi"/>
          <w:sz w:val="22"/>
          <w:szCs w:val="22"/>
        </w:rPr>
        <w:t xml:space="preserve">very </w:t>
      </w:r>
      <w:r w:rsidR="00942D68" w:rsidRPr="00C9669A">
        <w:rPr>
          <w:rFonts w:asciiTheme="minorHAnsi" w:hAnsiTheme="minorHAnsi"/>
          <w:sz w:val="22"/>
          <w:szCs w:val="22"/>
        </w:rPr>
        <w:t xml:space="preserve">pleased with the progress achieved in H1 and </w:t>
      </w:r>
      <w:r w:rsidR="008D3E34" w:rsidRPr="00C9669A">
        <w:rPr>
          <w:rFonts w:asciiTheme="minorHAnsi" w:hAnsiTheme="minorHAnsi"/>
          <w:sz w:val="22"/>
          <w:szCs w:val="22"/>
        </w:rPr>
        <w:t>we</w:t>
      </w:r>
      <w:r w:rsidR="00281E2A" w:rsidRPr="00C9669A">
        <w:rPr>
          <w:rFonts w:asciiTheme="minorHAnsi" w:hAnsiTheme="minorHAnsi"/>
          <w:sz w:val="22"/>
          <w:szCs w:val="22"/>
        </w:rPr>
        <w:t xml:space="preserve"> are excited about the opportunities we see for the business in H2 and beyond.</w:t>
      </w:r>
    </w:p>
    <w:p w14:paraId="04F02719" w14:textId="77777777" w:rsidR="00997974" w:rsidRDefault="00997974" w:rsidP="00942D68">
      <w:pPr>
        <w:jc w:val="both"/>
        <w:rPr>
          <w:rFonts w:asciiTheme="minorHAnsi" w:hAnsiTheme="minorHAnsi"/>
          <w:sz w:val="21"/>
          <w:szCs w:val="21"/>
        </w:rPr>
      </w:pPr>
    </w:p>
    <w:p w14:paraId="0C189638" w14:textId="77777777" w:rsidR="00942D68" w:rsidRPr="000D108A" w:rsidRDefault="00942D68" w:rsidP="00942D68">
      <w:pPr>
        <w:jc w:val="both"/>
        <w:rPr>
          <w:rFonts w:asciiTheme="minorHAnsi" w:hAnsiTheme="minorHAnsi"/>
          <w:b/>
          <w:sz w:val="21"/>
          <w:szCs w:val="21"/>
        </w:rPr>
      </w:pPr>
      <w:r w:rsidRPr="000D108A">
        <w:rPr>
          <w:rFonts w:asciiTheme="minorHAnsi" w:hAnsiTheme="minorHAnsi"/>
          <w:b/>
          <w:sz w:val="21"/>
          <w:szCs w:val="21"/>
        </w:rPr>
        <w:br w:type="page"/>
      </w:r>
    </w:p>
    <w:p w14:paraId="2647954C" w14:textId="77777777" w:rsidR="00BE1CF0" w:rsidRDefault="00942D68" w:rsidP="00942D68">
      <w:pPr>
        <w:spacing w:after="120"/>
        <w:rPr>
          <w:rFonts w:asciiTheme="minorHAnsi" w:hAnsiTheme="minorHAnsi"/>
          <w:b/>
          <w:sz w:val="22"/>
          <w:szCs w:val="22"/>
        </w:rPr>
      </w:pPr>
      <w:r w:rsidRPr="005A2E97">
        <w:rPr>
          <w:rFonts w:asciiTheme="minorHAnsi" w:hAnsiTheme="minorHAnsi"/>
          <w:b/>
          <w:sz w:val="22"/>
          <w:szCs w:val="22"/>
        </w:rPr>
        <w:lastRenderedPageBreak/>
        <w:t xml:space="preserve">Cash flow and financial position </w:t>
      </w:r>
    </w:p>
    <w:tbl>
      <w:tblPr>
        <w:tblW w:w="6227" w:type="dxa"/>
        <w:tblInd w:w="5" w:type="dxa"/>
        <w:tblLayout w:type="fixed"/>
        <w:tblLook w:val="04A0" w:firstRow="1" w:lastRow="0" w:firstColumn="1" w:lastColumn="0" w:noHBand="0" w:noVBand="1"/>
      </w:tblPr>
      <w:tblGrid>
        <w:gridCol w:w="4968"/>
        <w:gridCol w:w="1259"/>
      </w:tblGrid>
      <w:tr w:rsidR="00420F59" w:rsidRPr="00D53A24" w14:paraId="3F9F0748" w14:textId="77777777" w:rsidTr="00966718">
        <w:trPr>
          <w:trHeight w:val="255"/>
        </w:trPr>
        <w:tc>
          <w:tcPr>
            <w:tcW w:w="4968" w:type="dxa"/>
            <w:tcBorders>
              <w:top w:val="single" w:sz="8" w:space="0" w:color="auto"/>
              <w:left w:val="single" w:sz="8" w:space="0" w:color="auto"/>
              <w:bottom w:val="nil"/>
              <w:right w:val="nil"/>
            </w:tcBorders>
            <w:shd w:val="clear" w:color="auto" w:fill="auto"/>
            <w:noWrap/>
            <w:vAlign w:val="center"/>
            <w:hideMark/>
          </w:tcPr>
          <w:p w14:paraId="23374BDE" w14:textId="77777777" w:rsidR="00420F59" w:rsidRPr="00D53A24" w:rsidRDefault="00420F59" w:rsidP="00966718">
            <w:pPr>
              <w:jc w:val="both"/>
              <w:rPr>
                <w:rFonts w:ascii="Calibri" w:hAnsi="Calibri" w:cs="Calibri"/>
                <w:b/>
                <w:bCs/>
                <w:sz w:val="20"/>
                <w:lang w:eastAsia="en-GB"/>
              </w:rPr>
            </w:pPr>
            <w:r w:rsidRPr="00D53A24">
              <w:rPr>
                <w:rFonts w:ascii="Calibri" w:hAnsi="Calibri" w:cs="Calibri"/>
                <w:b/>
                <w:bCs/>
                <w:sz w:val="20"/>
                <w:lang w:eastAsia="en-GB"/>
              </w:rPr>
              <w:t> </w:t>
            </w:r>
          </w:p>
        </w:tc>
        <w:tc>
          <w:tcPr>
            <w:tcW w:w="1259" w:type="dxa"/>
            <w:tcBorders>
              <w:top w:val="single" w:sz="8" w:space="0" w:color="auto"/>
              <w:left w:val="nil"/>
              <w:bottom w:val="nil"/>
              <w:right w:val="single" w:sz="8" w:space="0" w:color="auto"/>
            </w:tcBorders>
            <w:shd w:val="clear" w:color="auto" w:fill="auto"/>
            <w:noWrap/>
            <w:vAlign w:val="center"/>
            <w:hideMark/>
          </w:tcPr>
          <w:p w14:paraId="1B665386" w14:textId="77777777" w:rsidR="00420F59" w:rsidRPr="00D53A24" w:rsidRDefault="00420F59" w:rsidP="00966718">
            <w:pPr>
              <w:jc w:val="right"/>
              <w:rPr>
                <w:rFonts w:ascii="Calibri" w:hAnsi="Calibri" w:cs="Calibri"/>
                <w:b/>
                <w:bCs/>
                <w:color w:val="000000"/>
                <w:sz w:val="20"/>
                <w:lang w:eastAsia="en-GB"/>
              </w:rPr>
            </w:pPr>
            <w:r w:rsidRPr="00D53A24">
              <w:rPr>
                <w:rFonts w:ascii="Calibri" w:hAnsi="Calibri" w:cs="Calibri"/>
                <w:b/>
                <w:bCs/>
                <w:color w:val="000000"/>
                <w:sz w:val="20"/>
                <w:lang w:eastAsia="en-GB"/>
              </w:rPr>
              <w:t>H1</w:t>
            </w:r>
            <w:r>
              <w:rPr>
                <w:rFonts w:ascii="Calibri" w:hAnsi="Calibri" w:cs="Calibri"/>
                <w:b/>
                <w:bCs/>
                <w:color w:val="000000"/>
                <w:sz w:val="20"/>
                <w:lang w:eastAsia="en-GB"/>
              </w:rPr>
              <w:t xml:space="preserve"> 2020</w:t>
            </w:r>
          </w:p>
        </w:tc>
      </w:tr>
      <w:tr w:rsidR="00420F59" w:rsidRPr="00D53A24" w14:paraId="631408AC" w14:textId="77777777" w:rsidTr="00966718">
        <w:trPr>
          <w:trHeight w:val="255"/>
        </w:trPr>
        <w:tc>
          <w:tcPr>
            <w:tcW w:w="4968" w:type="dxa"/>
            <w:tcBorders>
              <w:top w:val="nil"/>
              <w:left w:val="single" w:sz="8" w:space="0" w:color="auto"/>
              <w:bottom w:val="single" w:sz="8" w:space="0" w:color="auto"/>
              <w:right w:val="nil"/>
            </w:tcBorders>
            <w:shd w:val="clear" w:color="auto" w:fill="auto"/>
            <w:hideMark/>
          </w:tcPr>
          <w:p w14:paraId="52E7398F" w14:textId="77777777" w:rsidR="00420F59" w:rsidRPr="00D53A24" w:rsidRDefault="00420F59" w:rsidP="00966718">
            <w:pPr>
              <w:rPr>
                <w:rFonts w:ascii="Calibri" w:hAnsi="Calibri" w:cs="Calibri"/>
                <w:i/>
                <w:iCs/>
                <w:color w:val="000000"/>
                <w:sz w:val="18"/>
                <w:szCs w:val="18"/>
                <w:lang w:eastAsia="en-GB"/>
              </w:rPr>
            </w:pPr>
            <w:r w:rsidRPr="00D53A24">
              <w:rPr>
                <w:rFonts w:ascii="Calibri" w:hAnsi="Calibri" w:cs="Calibri"/>
                <w:i/>
                <w:iCs/>
                <w:color w:val="000000"/>
                <w:sz w:val="18"/>
                <w:szCs w:val="18"/>
                <w:lang w:eastAsia="en-GB"/>
              </w:rPr>
              <w:t>Pro forma</w:t>
            </w:r>
          </w:p>
        </w:tc>
        <w:tc>
          <w:tcPr>
            <w:tcW w:w="1259" w:type="dxa"/>
            <w:tcBorders>
              <w:top w:val="nil"/>
              <w:left w:val="nil"/>
              <w:bottom w:val="single" w:sz="8" w:space="0" w:color="auto"/>
              <w:right w:val="single" w:sz="8" w:space="0" w:color="auto"/>
            </w:tcBorders>
            <w:shd w:val="clear" w:color="auto" w:fill="auto"/>
            <w:noWrap/>
            <w:vAlign w:val="center"/>
            <w:hideMark/>
          </w:tcPr>
          <w:p w14:paraId="0B980C14" w14:textId="77777777" w:rsidR="00420F59" w:rsidRPr="00D53A24" w:rsidRDefault="00420F59" w:rsidP="00966718">
            <w:pPr>
              <w:jc w:val="right"/>
              <w:rPr>
                <w:rFonts w:ascii="Calibri" w:hAnsi="Calibri" w:cs="Calibri"/>
                <w:b/>
                <w:bCs/>
                <w:color w:val="000000"/>
                <w:sz w:val="20"/>
                <w:lang w:eastAsia="en-GB"/>
              </w:rPr>
            </w:pPr>
            <w:r w:rsidRPr="00D53A24">
              <w:rPr>
                <w:rFonts w:ascii="Calibri" w:hAnsi="Calibri" w:cs="Calibri"/>
                <w:b/>
                <w:bCs/>
                <w:color w:val="000000"/>
                <w:sz w:val="20"/>
                <w:lang w:eastAsia="en-GB"/>
              </w:rPr>
              <w:t>£m</w:t>
            </w:r>
          </w:p>
        </w:tc>
      </w:tr>
      <w:tr w:rsidR="00420F59" w:rsidRPr="00D53A24" w14:paraId="748A94E2" w14:textId="77777777" w:rsidTr="00966718">
        <w:trPr>
          <w:trHeight w:val="34"/>
        </w:trPr>
        <w:tc>
          <w:tcPr>
            <w:tcW w:w="4968" w:type="dxa"/>
            <w:tcBorders>
              <w:top w:val="nil"/>
              <w:left w:val="single" w:sz="8" w:space="0" w:color="auto"/>
              <w:bottom w:val="nil"/>
              <w:right w:val="nil"/>
            </w:tcBorders>
            <w:shd w:val="clear" w:color="auto" w:fill="auto"/>
            <w:noWrap/>
            <w:vAlign w:val="center"/>
            <w:hideMark/>
          </w:tcPr>
          <w:p w14:paraId="129D8B2C" w14:textId="77777777" w:rsidR="00420F59" w:rsidRPr="00D53A24" w:rsidRDefault="00420F59" w:rsidP="00966718">
            <w:pPr>
              <w:jc w:val="both"/>
              <w:rPr>
                <w:rFonts w:ascii="Calibri" w:hAnsi="Calibri" w:cs="Calibri"/>
                <w:b/>
                <w:bCs/>
                <w:color w:val="FF0000"/>
                <w:sz w:val="2"/>
                <w:szCs w:val="2"/>
                <w:lang w:eastAsia="en-GB"/>
              </w:rPr>
            </w:pPr>
            <w:r w:rsidRPr="00D53A24">
              <w:rPr>
                <w:rFonts w:ascii="Calibri" w:hAnsi="Calibri" w:cs="Calibri"/>
                <w:b/>
                <w:bCs/>
                <w:color w:val="FF0000"/>
                <w:sz w:val="2"/>
                <w:szCs w:val="2"/>
                <w:lang w:eastAsia="en-GB"/>
              </w:rPr>
              <w:t> </w:t>
            </w:r>
          </w:p>
        </w:tc>
        <w:tc>
          <w:tcPr>
            <w:tcW w:w="1259" w:type="dxa"/>
            <w:tcBorders>
              <w:top w:val="nil"/>
              <w:left w:val="nil"/>
              <w:bottom w:val="nil"/>
              <w:right w:val="single" w:sz="8" w:space="0" w:color="auto"/>
            </w:tcBorders>
            <w:shd w:val="clear" w:color="auto" w:fill="auto"/>
            <w:noWrap/>
            <w:vAlign w:val="center"/>
            <w:hideMark/>
          </w:tcPr>
          <w:p w14:paraId="40F0E4E9" w14:textId="77777777" w:rsidR="00420F59" w:rsidRPr="00D53A24" w:rsidRDefault="00420F59" w:rsidP="00966718">
            <w:pPr>
              <w:jc w:val="right"/>
              <w:rPr>
                <w:rFonts w:ascii="Calibri" w:hAnsi="Calibri" w:cs="Calibri"/>
                <w:b/>
                <w:bCs/>
                <w:color w:val="000000"/>
                <w:sz w:val="2"/>
                <w:szCs w:val="2"/>
                <w:lang w:eastAsia="en-GB"/>
              </w:rPr>
            </w:pPr>
            <w:r w:rsidRPr="00D53A24">
              <w:rPr>
                <w:rFonts w:ascii="Calibri" w:hAnsi="Calibri" w:cs="Calibri"/>
                <w:b/>
                <w:bCs/>
                <w:color w:val="000000"/>
                <w:sz w:val="2"/>
                <w:szCs w:val="2"/>
                <w:lang w:eastAsia="en-GB"/>
              </w:rPr>
              <w:t> </w:t>
            </w:r>
          </w:p>
        </w:tc>
      </w:tr>
      <w:tr w:rsidR="00420F59" w:rsidRPr="00D53A24" w14:paraId="43EDCC08"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037EA4EE"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Adjusted EBITDA</w:t>
            </w:r>
          </w:p>
        </w:tc>
        <w:tc>
          <w:tcPr>
            <w:tcW w:w="1259" w:type="dxa"/>
            <w:tcBorders>
              <w:top w:val="nil"/>
              <w:left w:val="nil"/>
              <w:bottom w:val="nil"/>
              <w:right w:val="single" w:sz="8" w:space="0" w:color="auto"/>
            </w:tcBorders>
            <w:shd w:val="clear" w:color="auto" w:fill="auto"/>
            <w:noWrap/>
            <w:vAlign w:val="center"/>
            <w:hideMark/>
          </w:tcPr>
          <w:p w14:paraId="2C89F7A2" w14:textId="77777777" w:rsidR="00420F59" w:rsidRPr="00D53A24" w:rsidRDefault="00420F59" w:rsidP="00966718">
            <w:pPr>
              <w:jc w:val="right"/>
              <w:rPr>
                <w:rFonts w:ascii="Calibri" w:hAnsi="Calibri" w:cs="Calibri"/>
                <w:b/>
                <w:bCs/>
                <w:sz w:val="20"/>
                <w:lang w:eastAsia="en-GB"/>
              </w:rPr>
            </w:pPr>
            <w:r w:rsidRPr="00D53A24">
              <w:rPr>
                <w:rFonts w:ascii="Calibri" w:hAnsi="Calibri" w:cs="Calibri"/>
                <w:b/>
                <w:bCs/>
                <w:sz w:val="20"/>
                <w:lang w:eastAsia="en-GB"/>
              </w:rPr>
              <w:t>684</w:t>
            </w:r>
          </w:p>
        </w:tc>
      </w:tr>
      <w:tr w:rsidR="00420F59" w:rsidRPr="00D53A24" w14:paraId="2B0A53AE"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14B92201"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Capex</w:t>
            </w:r>
          </w:p>
        </w:tc>
        <w:tc>
          <w:tcPr>
            <w:tcW w:w="1259" w:type="dxa"/>
            <w:tcBorders>
              <w:top w:val="nil"/>
              <w:left w:val="nil"/>
              <w:bottom w:val="nil"/>
              <w:right w:val="single" w:sz="8" w:space="0" w:color="auto"/>
            </w:tcBorders>
            <w:shd w:val="clear" w:color="auto" w:fill="auto"/>
            <w:noWrap/>
            <w:vAlign w:val="center"/>
            <w:hideMark/>
          </w:tcPr>
          <w:p w14:paraId="1D5A44B3" w14:textId="77777777" w:rsidR="00420F59" w:rsidRPr="00D53A24" w:rsidRDefault="00420F59" w:rsidP="00966718">
            <w:pPr>
              <w:jc w:val="right"/>
              <w:rPr>
                <w:rFonts w:ascii="Calibri" w:hAnsi="Calibri" w:cs="Calibri"/>
                <w:sz w:val="20"/>
                <w:lang w:eastAsia="en-GB"/>
              </w:rPr>
            </w:pPr>
            <w:r w:rsidRPr="00D53A24">
              <w:rPr>
                <w:rFonts w:ascii="Calibri" w:hAnsi="Calibri" w:cs="Calibri"/>
                <w:sz w:val="20"/>
                <w:lang w:eastAsia="en-GB"/>
              </w:rPr>
              <w:t>(1</w:t>
            </w:r>
            <w:r>
              <w:rPr>
                <w:rFonts w:ascii="Calibri" w:hAnsi="Calibri" w:cs="Calibri"/>
                <w:sz w:val="20"/>
                <w:lang w:eastAsia="en-GB"/>
              </w:rPr>
              <w:t>18</w:t>
            </w:r>
            <w:r w:rsidRPr="00D53A24">
              <w:rPr>
                <w:rFonts w:ascii="Calibri" w:hAnsi="Calibri" w:cs="Calibri"/>
                <w:sz w:val="20"/>
                <w:lang w:eastAsia="en-GB"/>
              </w:rPr>
              <w:t>)</w:t>
            </w:r>
          </w:p>
        </w:tc>
      </w:tr>
      <w:tr w:rsidR="00420F59" w:rsidRPr="00D53A24" w14:paraId="43916C40"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46390D15"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Working capital</w:t>
            </w:r>
          </w:p>
        </w:tc>
        <w:tc>
          <w:tcPr>
            <w:tcW w:w="1259" w:type="dxa"/>
            <w:tcBorders>
              <w:top w:val="nil"/>
              <w:left w:val="nil"/>
              <w:bottom w:val="nil"/>
              <w:right w:val="single" w:sz="8" w:space="0" w:color="auto"/>
            </w:tcBorders>
            <w:shd w:val="clear" w:color="auto" w:fill="auto"/>
            <w:noWrap/>
            <w:vAlign w:val="center"/>
            <w:hideMark/>
          </w:tcPr>
          <w:p w14:paraId="15B7B46D" w14:textId="77777777" w:rsidR="00420F59" w:rsidRPr="00D53A24" w:rsidRDefault="00420F59" w:rsidP="00966718">
            <w:pPr>
              <w:jc w:val="right"/>
              <w:rPr>
                <w:rFonts w:ascii="Calibri" w:hAnsi="Calibri" w:cs="Calibri"/>
                <w:sz w:val="20"/>
                <w:lang w:eastAsia="en-GB"/>
              </w:rPr>
            </w:pPr>
            <w:r w:rsidRPr="00D53A24">
              <w:rPr>
                <w:rFonts w:ascii="Calibri" w:hAnsi="Calibri" w:cs="Calibri"/>
                <w:sz w:val="20"/>
                <w:lang w:eastAsia="en-GB"/>
              </w:rPr>
              <w:t>1</w:t>
            </w:r>
            <w:r>
              <w:rPr>
                <w:rFonts w:ascii="Calibri" w:hAnsi="Calibri" w:cs="Calibri"/>
                <w:sz w:val="20"/>
                <w:lang w:eastAsia="en-GB"/>
              </w:rPr>
              <w:t>05</w:t>
            </w:r>
          </w:p>
        </w:tc>
      </w:tr>
      <w:tr w:rsidR="00420F59" w:rsidRPr="00D53A24" w14:paraId="6B9CC2BD"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3CF2A4FF"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 xml:space="preserve">Corporation tax  </w:t>
            </w:r>
          </w:p>
        </w:tc>
        <w:tc>
          <w:tcPr>
            <w:tcW w:w="1259" w:type="dxa"/>
            <w:tcBorders>
              <w:top w:val="nil"/>
              <w:left w:val="nil"/>
              <w:bottom w:val="nil"/>
              <w:right w:val="single" w:sz="8" w:space="0" w:color="auto"/>
            </w:tcBorders>
            <w:shd w:val="clear" w:color="auto" w:fill="auto"/>
            <w:noWrap/>
            <w:vAlign w:val="center"/>
            <w:hideMark/>
          </w:tcPr>
          <w:p w14:paraId="43B0AAFF" w14:textId="77777777" w:rsidR="00420F59" w:rsidRPr="00D53A24" w:rsidRDefault="00420F59" w:rsidP="00966718">
            <w:pPr>
              <w:jc w:val="right"/>
              <w:rPr>
                <w:rFonts w:ascii="Calibri" w:hAnsi="Calibri" w:cs="Calibri"/>
                <w:sz w:val="20"/>
                <w:lang w:eastAsia="en-GB"/>
              </w:rPr>
            </w:pPr>
            <w:r w:rsidRPr="00D53A24">
              <w:rPr>
                <w:rFonts w:ascii="Calibri" w:hAnsi="Calibri" w:cs="Calibri"/>
                <w:sz w:val="20"/>
                <w:lang w:eastAsia="en-GB"/>
              </w:rPr>
              <w:t>(6</w:t>
            </w:r>
            <w:r>
              <w:rPr>
                <w:rFonts w:ascii="Calibri" w:hAnsi="Calibri" w:cs="Calibri"/>
                <w:sz w:val="20"/>
                <w:lang w:eastAsia="en-GB"/>
              </w:rPr>
              <w:t>3</w:t>
            </w:r>
            <w:r w:rsidRPr="00D53A24">
              <w:rPr>
                <w:rFonts w:ascii="Calibri" w:hAnsi="Calibri" w:cs="Calibri"/>
                <w:sz w:val="20"/>
                <w:lang w:eastAsia="en-GB"/>
              </w:rPr>
              <w:t>)</w:t>
            </w:r>
          </w:p>
        </w:tc>
      </w:tr>
      <w:tr w:rsidR="00420F59" w:rsidRPr="00D53A24" w14:paraId="72A0DD79"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77E7BF26"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Adjusted free cash flow</w:t>
            </w:r>
          </w:p>
        </w:tc>
        <w:tc>
          <w:tcPr>
            <w:tcW w:w="1259" w:type="dxa"/>
            <w:tcBorders>
              <w:top w:val="single" w:sz="8" w:space="0" w:color="auto"/>
              <w:left w:val="nil"/>
              <w:bottom w:val="nil"/>
              <w:right w:val="single" w:sz="8" w:space="0" w:color="auto"/>
            </w:tcBorders>
            <w:shd w:val="clear" w:color="auto" w:fill="auto"/>
            <w:noWrap/>
            <w:vAlign w:val="center"/>
            <w:hideMark/>
          </w:tcPr>
          <w:p w14:paraId="109D03A0" w14:textId="77777777" w:rsidR="00420F59" w:rsidRPr="00D53A24" w:rsidRDefault="00420F59" w:rsidP="00966718">
            <w:pPr>
              <w:jc w:val="right"/>
              <w:rPr>
                <w:rFonts w:ascii="Calibri" w:hAnsi="Calibri" w:cs="Calibri"/>
                <w:b/>
                <w:bCs/>
                <w:sz w:val="20"/>
                <w:lang w:eastAsia="en-GB"/>
              </w:rPr>
            </w:pPr>
            <w:r w:rsidRPr="00D53A24">
              <w:rPr>
                <w:rFonts w:ascii="Calibri" w:hAnsi="Calibri" w:cs="Calibri"/>
                <w:b/>
                <w:bCs/>
                <w:sz w:val="20"/>
                <w:lang w:eastAsia="en-GB"/>
              </w:rPr>
              <w:t>6</w:t>
            </w:r>
            <w:r>
              <w:rPr>
                <w:rFonts w:ascii="Calibri" w:hAnsi="Calibri" w:cs="Calibri"/>
                <w:b/>
                <w:bCs/>
                <w:sz w:val="20"/>
                <w:lang w:eastAsia="en-GB"/>
              </w:rPr>
              <w:t>08</w:t>
            </w:r>
          </w:p>
        </w:tc>
      </w:tr>
      <w:tr w:rsidR="00420F59" w:rsidRPr="00D53A24" w14:paraId="36D525AB" w14:textId="77777777" w:rsidTr="00966718">
        <w:trPr>
          <w:trHeight w:val="34"/>
        </w:trPr>
        <w:tc>
          <w:tcPr>
            <w:tcW w:w="4968" w:type="dxa"/>
            <w:tcBorders>
              <w:top w:val="nil"/>
              <w:left w:val="single" w:sz="8" w:space="0" w:color="auto"/>
              <w:bottom w:val="nil"/>
              <w:right w:val="nil"/>
            </w:tcBorders>
            <w:shd w:val="clear" w:color="auto" w:fill="auto"/>
            <w:vAlign w:val="center"/>
            <w:hideMark/>
          </w:tcPr>
          <w:p w14:paraId="205D6EAF" w14:textId="77777777" w:rsidR="00420F59" w:rsidRPr="00D53A24" w:rsidRDefault="00420F59" w:rsidP="00966718">
            <w:pPr>
              <w:rPr>
                <w:rFonts w:ascii="Calibri" w:hAnsi="Calibri" w:cs="Calibri"/>
                <w:b/>
                <w:bCs/>
                <w:color w:val="000000"/>
                <w:sz w:val="2"/>
                <w:szCs w:val="2"/>
                <w:lang w:eastAsia="en-GB"/>
              </w:rPr>
            </w:pPr>
            <w:r w:rsidRPr="00D53A24">
              <w:rPr>
                <w:rFonts w:ascii="Calibri" w:hAnsi="Calibri" w:cs="Calibri"/>
                <w:b/>
                <w:bCs/>
                <w:color w:val="000000"/>
                <w:sz w:val="2"/>
                <w:szCs w:val="2"/>
                <w:lang w:eastAsia="en-GB"/>
              </w:rPr>
              <w:t> </w:t>
            </w:r>
          </w:p>
        </w:tc>
        <w:tc>
          <w:tcPr>
            <w:tcW w:w="1259" w:type="dxa"/>
            <w:tcBorders>
              <w:top w:val="nil"/>
              <w:left w:val="nil"/>
              <w:bottom w:val="nil"/>
              <w:right w:val="single" w:sz="8" w:space="0" w:color="auto"/>
            </w:tcBorders>
            <w:shd w:val="clear" w:color="auto" w:fill="auto"/>
            <w:noWrap/>
            <w:vAlign w:val="center"/>
            <w:hideMark/>
          </w:tcPr>
          <w:p w14:paraId="3B6BEFA3" w14:textId="77777777" w:rsidR="00420F59" w:rsidRPr="00D53A24" w:rsidRDefault="00420F59" w:rsidP="00966718">
            <w:pPr>
              <w:jc w:val="right"/>
              <w:rPr>
                <w:rFonts w:ascii="Calibri" w:hAnsi="Calibri" w:cs="Calibri"/>
                <w:b/>
                <w:bCs/>
                <w:sz w:val="2"/>
                <w:szCs w:val="2"/>
                <w:lang w:eastAsia="en-GB"/>
              </w:rPr>
            </w:pPr>
            <w:r w:rsidRPr="00D53A24">
              <w:rPr>
                <w:rFonts w:ascii="Calibri" w:hAnsi="Calibri" w:cs="Calibri"/>
                <w:b/>
                <w:bCs/>
                <w:sz w:val="2"/>
                <w:szCs w:val="2"/>
                <w:lang w:eastAsia="en-GB"/>
              </w:rPr>
              <w:t> </w:t>
            </w:r>
          </w:p>
        </w:tc>
      </w:tr>
      <w:tr w:rsidR="00420F59" w:rsidRPr="00D53A24" w14:paraId="05703D4E"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2A12E8B7"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Cash flow from separately disclosed items (SDI)</w:t>
            </w:r>
          </w:p>
        </w:tc>
        <w:tc>
          <w:tcPr>
            <w:tcW w:w="1259" w:type="dxa"/>
            <w:tcBorders>
              <w:top w:val="nil"/>
              <w:left w:val="nil"/>
              <w:bottom w:val="nil"/>
              <w:right w:val="single" w:sz="8" w:space="0" w:color="auto"/>
            </w:tcBorders>
            <w:shd w:val="clear" w:color="auto" w:fill="auto"/>
            <w:noWrap/>
            <w:vAlign w:val="center"/>
            <w:hideMark/>
          </w:tcPr>
          <w:p w14:paraId="327674EC" w14:textId="77777777" w:rsidR="00420F59" w:rsidRPr="000912E2" w:rsidRDefault="00420F59" w:rsidP="00966718">
            <w:pPr>
              <w:jc w:val="right"/>
              <w:rPr>
                <w:rFonts w:ascii="Calibri" w:hAnsi="Calibri" w:cs="Calibri"/>
                <w:sz w:val="20"/>
                <w:lang w:eastAsia="en-GB"/>
              </w:rPr>
            </w:pPr>
            <w:r w:rsidRPr="000912E2">
              <w:rPr>
                <w:rFonts w:ascii="Calibri" w:hAnsi="Calibri" w:cs="Calibri"/>
                <w:sz w:val="20"/>
                <w:lang w:eastAsia="en-GB"/>
              </w:rPr>
              <w:t>(84)</w:t>
            </w:r>
          </w:p>
        </w:tc>
      </w:tr>
      <w:tr w:rsidR="00420F59" w:rsidRPr="00D53A24" w14:paraId="62A44B8D"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3DEC9C53"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Free cash flow</w:t>
            </w:r>
          </w:p>
        </w:tc>
        <w:tc>
          <w:tcPr>
            <w:tcW w:w="1259" w:type="dxa"/>
            <w:tcBorders>
              <w:top w:val="single" w:sz="8" w:space="0" w:color="auto"/>
              <w:left w:val="nil"/>
              <w:bottom w:val="nil"/>
              <w:right w:val="single" w:sz="8" w:space="0" w:color="auto"/>
            </w:tcBorders>
            <w:shd w:val="clear" w:color="auto" w:fill="auto"/>
            <w:noWrap/>
            <w:vAlign w:val="center"/>
            <w:hideMark/>
          </w:tcPr>
          <w:p w14:paraId="3935DE77" w14:textId="77777777" w:rsidR="00420F59" w:rsidRPr="000912E2" w:rsidRDefault="00420F59" w:rsidP="00966718">
            <w:pPr>
              <w:jc w:val="right"/>
              <w:rPr>
                <w:rFonts w:ascii="Calibri" w:hAnsi="Calibri" w:cs="Calibri"/>
                <w:b/>
                <w:bCs/>
                <w:sz w:val="20"/>
                <w:lang w:eastAsia="en-GB"/>
              </w:rPr>
            </w:pPr>
            <w:r w:rsidRPr="000912E2">
              <w:rPr>
                <w:rFonts w:ascii="Calibri" w:hAnsi="Calibri" w:cs="Calibri"/>
                <w:b/>
                <w:bCs/>
                <w:sz w:val="20"/>
                <w:lang w:eastAsia="en-GB"/>
              </w:rPr>
              <w:t>52</w:t>
            </w:r>
            <w:r>
              <w:rPr>
                <w:rFonts w:ascii="Calibri" w:hAnsi="Calibri" w:cs="Calibri"/>
                <w:b/>
                <w:bCs/>
                <w:sz w:val="20"/>
                <w:lang w:eastAsia="en-GB"/>
              </w:rPr>
              <w:t>4</w:t>
            </w:r>
          </w:p>
        </w:tc>
      </w:tr>
      <w:tr w:rsidR="00420F59" w:rsidRPr="00D53A24" w14:paraId="78D32B32" w14:textId="77777777" w:rsidTr="00966718">
        <w:trPr>
          <w:trHeight w:val="34"/>
        </w:trPr>
        <w:tc>
          <w:tcPr>
            <w:tcW w:w="4968" w:type="dxa"/>
            <w:tcBorders>
              <w:top w:val="nil"/>
              <w:left w:val="single" w:sz="8" w:space="0" w:color="auto"/>
              <w:bottom w:val="nil"/>
              <w:right w:val="nil"/>
            </w:tcBorders>
            <w:shd w:val="clear" w:color="auto" w:fill="auto"/>
            <w:vAlign w:val="center"/>
            <w:hideMark/>
          </w:tcPr>
          <w:p w14:paraId="53F355A2" w14:textId="77777777" w:rsidR="00420F59" w:rsidRPr="00D53A24" w:rsidRDefault="00420F59" w:rsidP="00966718">
            <w:pPr>
              <w:rPr>
                <w:rFonts w:ascii="Calibri" w:hAnsi="Calibri" w:cs="Calibri"/>
                <w:b/>
                <w:bCs/>
                <w:color w:val="000000"/>
                <w:sz w:val="2"/>
                <w:szCs w:val="2"/>
                <w:lang w:eastAsia="en-GB"/>
              </w:rPr>
            </w:pPr>
            <w:r w:rsidRPr="00D53A24">
              <w:rPr>
                <w:rFonts w:ascii="Calibri" w:hAnsi="Calibri" w:cs="Calibri"/>
                <w:b/>
                <w:bCs/>
                <w:color w:val="000000"/>
                <w:sz w:val="2"/>
                <w:szCs w:val="2"/>
                <w:lang w:eastAsia="en-GB"/>
              </w:rPr>
              <w:t> </w:t>
            </w:r>
          </w:p>
        </w:tc>
        <w:tc>
          <w:tcPr>
            <w:tcW w:w="1259" w:type="dxa"/>
            <w:tcBorders>
              <w:top w:val="nil"/>
              <w:left w:val="nil"/>
              <w:bottom w:val="nil"/>
              <w:right w:val="single" w:sz="8" w:space="0" w:color="auto"/>
            </w:tcBorders>
            <w:shd w:val="clear" w:color="auto" w:fill="auto"/>
            <w:noWrap/>
            <w:vAlign w:val="center"/>
            <w:hideMark/>
          </w:tcPr>
          <w:p w14:paraId="392919E5" w14:textId="77777777" w:rsidR="00420F59" w:rsidRPr="000912E2" w:rsidRDefault="00420F59" w:rsidP="00966718">
            <w:pPr>
              <w:jc w:val="right"/>
              <w:rPr>
                <w:rFonts w:ascii="Calibri" w:hAnsi="Calibri" w:cs="Calibri"/>
                <w:b/>
                <w:bCs/>
                <w:sz w:val="2"/>
                <w:szCs w:val="2"/>
                <w:lang w:eastAsia="en-GB"/>
              </w:rPr>
            </w:pPr>
            <w:r w:rsidRPr="000912E2">
              <w:rPr>
                <w:rFonts w:ascii="Calibri" w:hAnsi="Calibri" w:cs="Calibri"/>
                <w:b/>
                <w:bCs/>
                <w:sz w:val="2"/>
                <w:szCs w:val="2"/>
                <w:lang w:eastAsia="en-GB"/>
              </w:rPr>
              <w:t> </w:t>
            </w:r>
          </w:p>
        </w:tc>
      </w:tr>
      <w:tr w:rsidR="00420F59" w:rsidRPr="00D53A24" w14:paraId="4E0CA363"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582D2888"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Interest cost</w:t>
            </w:r>
          </w:p>
        </w:tc>
        <w:tc>
          <w:tcPr>
            <w:tcW w:w="1259" w:type="dxa"/>
            <w:tcBorders>
              <w:top w:val="nil"/>
              <w:left w:val="nil"/>
              <w:bottom w:val="nil"/>
              <w:right w:val="single" w:sz="8" w:space="0" w:color="auto"/>
            </w:tcBorders>
            <w:shd w:val="clear" w:color="auto" w:fill="auto"/>
            <w:noWrap/>
            <w:vAlign w:val="center"/>
            <w:hideMark/>
          </w:tcPr>
          <w:p w14:paraId="5778BD8D" w14:textId="77777777" w:rsidR="00420F59" w:rsidRPr="000912E2" w:rsidRDefault="00420F59" w:rsidP="00966718">
            <w:pPr>
              <w:jc w:val="right"/>
              <w:rPr>
                <w:rFonts w:ascii="Calibri" w:hAnsi="Calibri" w:cs="Calibri"/>
                <w:sz w:val="20"/>
                <w:lang w:eastAsia="en-GB"/>
              </w:rPr>
            </w:pPr>
            <w:r w:rsidRPr="000912E2">
              <w:rPr>
                <w:rFonts w:ascii="Calibri" w:hAnsi="Calibri" w:cs="Calibri"/>
                <w:sz w:val="20"/>
                <w:lang w:eastAsia="en-GB"/>
              </w:rPr>
              <w:t>(1</w:t>
            </w:r>
            <w:r>
              <w:rPr>
                <w:rFonts w:ascii="Calibri" w:hAnsi="Calibri" w:cs="Calibri"/>
                <w:sz w:val="20"/>
                <w:lang w:eastAsia="en-GB"/>
              </w:rPr>
              <w:t>01</w:t>
            </w:r>
            <w:r w:rsidRPr="000912E2">
              <w:rPr>
                <w:rFonts w:ascii="Calibri" w:hAnsi="Calibri" w:cs="Calibri"/>
                <w:sz w:val="20"/>
                <w:lang w:eastAsia="en-GB"/>
              </w:rPr>
              <w:t>)</w:t>
            </w:r>
          </w:p>
        </w:tc>
      </w:tr>
      <w:tr w:rsidR="00420F59" w:rsidRPr="00D53A24" w14:paraId="181A1E17" w14:textId="77777777" w:rsidTr="00966718">
        <w:trPr>
          <w:trHeight w:val="255"/>
        </w:trPr>
        <w:tc>
          <w:tcPr>
            <w:tcW w:w="4968" w:type="dxa"/>
            <w:tcBorders>
              <w:top w:val="nil"/>
              <w:left w:val="single" w:sz="8" w:space="0" w:color="auto"/>
              <w:bottom w:val="nil"/>
              <w:right w:val="nil"/>
            </w:tcBorders>
            <w:shd w:val="clear" w:color="auto" w:fill="auto"/>
            <w:vAlign w:val="center"/>
          </w:tcPr>
          <w:p w14:paraId="55E4ECA6" w14:textId="77777777" w:rsidR="00420F59" w:rsidRPr="00D53A24" w:rsidRDefault="00420F59" w:rsidP="00966718">
            <w:pPr>
              <w:rPr>
                <w:rFonts w:ascii="Calibri" w:hAnsi="Calibri" w:cs="Calibri"/>
                <w:color w:val="000000"/>
                <w:sz w:val="20"/>
                <w:lang w:eastAsia="en-GB"/>
              </w:rPr>
            </w:pPr>
            <w:r>
              <w:rPr>
                <w:rFonts w:ascii="Calibri" w:hAnsi="Calibri" w:cs="Calibri"/>
                <w:color w:val="000000"/>
                <w:sz w:val="20"/>
                <w:lang w:eastAsia="en-GB"/>
              </w:rPr>
              <w:t>Other</w:t>
            </w:r>
            <w:r w:rsidRPr="00D53A24">
              <w:rPr>
                <w:rFonts w:ascii="Calibri" w:hAnsi="Calibri" w:cs="Calibri"/>
                <w:color w:val="000000"/>
                <w:sz w:val="20"/>
                <w:lang w:eastAsia="en-GB"/>
              </w:rPr>
              <w:t xml:space="preserve"> borrowing costs</w:t>
            </w:r>
          </w:p>
        </w:tc>
        <w:tc>
          <w:tcPr>
            <w:tcW w:w="1259" w:type="dxa"/>
            <w:tcBorders>
              <w:top w:val="nil"/>
              <w:left w:val="nil"/>
              <w:bottom w:val="nil"/>
              <w:right w:val="single" w:sz="8" w:space="0" w:color="auto"/>
            </w:tcBorders>
            <w:shd w:val="clear" w:color="auto" w:fill="auto"/>
            <w:noWrap/>
            <w:vAlign w:val="center"/>
          </w:tcPr>
          <w:p w14:paraId="4A57746C" w14:textId="77777777" w:rsidR="00420F59" w:rsidRPr="000912E2" w:rsidRDefault="00420F59" w:rsidP="00417DE4">
            <w:pPr>
              <w:jc w:val="right"/>
              <w:rPr>
                <w:rFonts w:ascii="Calibri" w:hAnsi="Calibri" w:cs="Calibri"/>
                <w:sz w:val="20"/>
                <w:lang w:eastAsia="en-GB"/>
              </w:rPr>
            </w:pPr>
            <w:r>
              <w:rPr>
                <w:rFonts w:ascii="Calibri" w:hAnsi="Calibri" w:cs="Calibri"/>
                <w:sz w:val="20"/>
                <w:lang w:eastAsia="en-GB"/>
              </w:rPr>
              <w:t>(2</w:t>
            </w:r>
            <w:r w:rsidR="00417DE4">
              <w:rPr>
                <w:rFonts w:ascii="Calibri" w:hAnsi="Calibri" w:cs="Calibri"/>
                <w:sz w:val="20"/>
                <w:lang w:eastAsia="en-GB"/>
              </w:rPr>
              <w:t>2</w:t>
            </w:r>
            <w:r>
              <w:rPr>
                <w:rFonts w:ascii="Calibri" w:hAnsi="Calibri" w:cs="Calibri"/>
                <w:sz w:val="20"/>
                <w:lang w:eastAsia="en-GB"/>
              </w:rPr>
              <w:t>)</w:t>
            </w:r>
          </w:p>
        </w:tc>
      </w:tr>
      <w:tr w:rsidR="00420F59" w:rsidRPr="00D53A24" w14:paraId="38F14C6B"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3D011D71"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Settlement of swaps</w:t>
            </w:r>
          </w:p>
        </w:tc>
        <w:tc>
          <w:tcPr>
            <w:tcW w:w="1259" w:type="dxa"/>
            <w:tcBorders>
              <w:top w:val="nil"/>
              <w:left w:val="nil"/>
              <w:bottom w:val="nil"/>
              <w:right w:val="single" w:sz="8" w:space="0" w:color="auto"/>
            </w:tcBorders>
            <w:shd w:val="clear" w:color="auto" w:fill="auto"/>
            <w:noWrap/>
            <w:vAlign w:val="center"/>
            <w:hideMark/>
          </w:tcPr>
          <w:p w14:paraId="6ED33DA8" w14:textId="77777777" w:rsidR="00420F59" w:rsidRPr="000912E2" w:rsidRDefault="00420F59" w:rsidP="00966718">
            <w:pPr>
              <w:jc w:val="right"/>
              <w:rPr>
                <w:rFonts w:ascii="Calibri" w:hAnsi="Calibri" w:cs="Calibri"/>
                <w:sz w:val="20"/>
                <w:lang w:eastAsia="en-GB"/>
              </w:rPr>
            </w:pPr>
            <w:r w:rsidRPr="000912E2">
              <w:rPr>
                <w:rFonts w:ascii="Calibri" w:hAnsi="Calibri" w:cs="Calibri"/>
                <w:sz w:val="20"/>
                <w:lang w:eastAsia="en-GB"/>
              </w:rPr>
              <w:t>(28)</w:t>
            </w:r>
          </w:p>
        </w:tc>
      </w:tr>
      <w:tr w:rsidR="00420F59" w:rsidRPr="00D53A24" w14:paraId="31A9C036"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1C0D7E6A"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Lease liabilities paid and other</w:t>
            </w:r>
          </w:p>
        </w:tc>
        <w:tc>
          <w:tcPr>
            <w:tcW w:w="1259" w:type="dxa"/>
            <w:tcBorders>
              <w:top w:val="nil"/>
              <w:left w:val="nil"/>
              <w:bottom w:val="nil"/>
              <w:right w:val="single" w:sz="8" w:space="0" w:color="auto"/>
            </w:tcBorders>
            <w:shd w:val="clear" w:color="auto" w:fill="auto"/>
            <w:noWrap/>
            <w:vAlign w:val="center"/>
            <w:hideMark/>
          </w:tcPr>
          <w:p w14:paraId="4CB75E4E" w14:textId="77777777" w:rsidR="00420F59" w:rsidRPr="000912E2" w:rsidRDefault="00420F59" w:rsidP="00966718">
            <w:pPr>
              <w:jc w:val="right"/>
              <w:rPr>
                <w:rFonts w:ascii="Calibri" w:hAnsi="Calibri" w:cs="Calibri"/>
                <w:sz w:val="20"/>
                <w:lang w:eastAsia="en-GB"/>
              </w:rPr>
            </w:pPr>
            <w:r w:rsidRPr="000912E2">
              <w:rPr>
                <w:rFonts w:ascii="Calibri" w:hAnsi="Calibri" w:cs="Calibri"/>
                <w:sz w:val="20"/>
                <w:lang w:eastAsia="en-GB"/>
              </w:rPr>
              <w:t>(</w:t>
            </w:r>
            <w:r>
              <w:rPr>
                <w:rFonts w:ascii="Calibri" w:hAnsi="Calibri" w:cs="Calibri"/>
                <w:sz w:val="20"/>
                <w:lang w:eastAsia="en-GB"/>
              </w:rPr>
              <w:t>19</w:t>
            </w:r>
            <w:r w:rsidRPr="000912E2">
              <w:rPr>
                <w:rFonts w:ascii="Calibri" w:hAnsi="Calibri" w:cs="Calibri"/>
                <w:sz w:val="20"/>
                <w:lang w:eastAsia="en-GB"/>
              </w:rPr>
              <w:t>)</w:t>
            </w:r>
          </w:p>
        </w:tc>
      </w:tr>
      <w:tr w:rsidR="00420F59" w:rsidRPr="00D53A24" w14:paraId="7302DFDE" w14:textId="77777777" w:rsidTr="00966718">
        <w:trPr>
          <w:trHeight w:val="288"/>
        </w:trPr>
        <w:tc>
          <w:tcPr>
            <w:tcW w:w="4968" w:type="dxa"/>
            <w:tcBorders>
              <w:top w:val="nil"/>
              <w:left w:val="single" w:sz="8" w:space="0" w:color="auto"/>
              <w:bottom w:val="nil"/>
              <w:right w:val="nil"/>
            </w:tcBorders>
            <w:shd w:val="clear" w:color="auto" w:fill="auto"/>
            <w:vAlign w:val="center"/>
            <w:hideMark/>
          </w:tcPr>
          <w:p w14:paraId="583FA458"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Net increase in cash before equity raise</w:t>
            </w:r>
          </w:p>
        </w:tc>
        <w:tc>
          <w:tcPr>
            <w:tcW w:w="1259" w:type="dxa"/>
            <w:tcBorders>
              <w:top w:val="single" w:sz="8" w:space="0" w:color="auto"/>
              <w:left w:val="nil"/>
              <w:bottom w:val="nil"/>
              <w:right w:val="single" w:sz="8" w:space="0" w:color="auto"/>
            </w:tcBorders>
            <w:shd w:val="clear" w:color="auto" w:fill="auto"/>
            <w:noWrap/>
            <w:vAlign w:val="center"/>
            <w:hideMark/>
          </w:tcPr>
          <w:p w14:paraId="1C909DCF" w14:textId="77777777" w:rsidR="00420F59" w:rsidRPr="000912E2" w:rsidRDefault="00420F59" w:rsidP="00966718">
            <w:pPr>
              <w:jc w:val="right"/>
              <w:rPr>
                <w:rFonts w:ascii="Calibri" w:hAnsi="Calibri" w:cs="Calibri"/>
                <w:b/>
                <w:bCs/>
                <w:sz w:val="20"/>
                <w:lang w:eastAsia="en-GB"/>
              </w:rPr>
            </w:pPr>
            <w:r w:rsidRPr="000912E2">
              <w:rPr>
                <w:rFonts w:ascii="Calibri" w:hAnsi="Calibri" w:cs="Calibri"/>
                <w:b/>
                <w:bCs/>
                <w:sz w:val="20"/>
                <w:lang w:eastAsia="en-GB"/>
              </w:rPr>
              <w:t>3</w:t>
            </w:r>
            <w:r>
              <w:rPr>
                <w:rFonts w:ascii="Calibri" w:hAnsi="Calibri" w:cs="Calibri"/>
                <w:b/>
                <w:bCs/>
                <w:sz w:val="20"/>
                <w:lang w:eastAsia="en-GB"/>
              </w:rPr>
              <w:t>56</w:t>
            </w:r>
          </w:p>
        </w:tc>
      </w:tr>
      <w:tr w:rsidR="00420F59" w:rsidRPr="00D53A24" w14:paraId="2B464D91" w14:textId="77777777" w:rsidTr="00966718">
        <w:trPr>
          <w:trHeight w:val="299"/>
        </w:trPr>
        <w:tc>
          <w:tcPr>
            <w:tcW w:w="4968" w:type="dxa"/>
            <w:tcBorders>
              <w:top w:val="nil"/>
              <w:left w:val="single" w:sz="8" w:space="0" w:color="auto"/>
              <w:bottom w:val="nil"/>
              <w:right w:val="nil"/>
            </w:tcBorders>
            <w:shd w:val="clear" w:color="auto" w:fill="auto"/>
            <w:vAlign w:val="center"/>
            <w:hideMark/>
          </w:tcPr>
          <w:p w14:paraId="50534767" w14:textId="77777777" w:rsidR="00420F59" w:rsidRPr="00D53A24" w:rsidRDefault="00640B6F" w:rsidP="00966718">
            <w:pPr>
              <w:rPr>
                <w:rFonts w:ascii="Calibri" w:hAnsi="Calibri" w:cs="Calibri"/>
                <w:color w:val="000000"/>
                <w:sz w:val="20"/>
                <w:lang w:eastAsia="en-GB"/>
              </w:rPr>
            </w:pPr>
            <w:r>
              <w:rPr>
                <w:rFonts w:ascii="Calibri" w:hAnsi="Calibri" w:cs="Calibri"/>
                <w:color w:val="000000"/>
                <w:sz w:val="20"/>
                <w:lang w:eastAsia="en-GB"/>
              </w:rPr>
              <w:t>Proceeds from equity raise</w:t>
            </w:r>
          </w:p>
        </w:tc>
        <w:tc>
          <w:tcPr>
            <w:tcW w:w="1259" w:type="dxa"/>
            <w:tcBorders>
              <w:top w:val="nil"/>
              <w:left w:val="nil"/>
              <w:bottom w:val="nil"/>
              <w:right w:val="single" w:sz="8" w:space="0" w:color="auto"/>
            </w:tcBorders>
            <w:shd w:val="clear" w:color="auto" w:fill="auto"/>
            <w:noWrap/>
            <w:vAlign w:val="center"/>
            <w:hideMark/>
          </w:tcPr>
          <w:p w14:paraId="25E708B8" w14:textId="77777777" w:rsidR="00420F59" w:rsidRPr="000912E2" w:rsidRDefault="00420F59" w:rsidP="00966718">
            <w:pPr>
              <w:jc w:val="right"/>
              <w:rPr>
                <w:rFonts w:ascii="Calibri" w:hAnsi="Calibri" w:cs="Calibri"/>
                <w:sz w:val="20"/>
                <w:lang w:eastAsia="en-GB"/>
              </w:rPr>
            </w:pPr>
            <w:r w:rsidRPr="000912E2">
              <w:rPr>
                <w:rFonts w:ascii="Calibri" w:hAnsi="Calibri" w:cs="Calibri"/>
                <w:sz w:val="20"/>
                <w:lang w:eastAsia="en-GB"/>
              </w:rPr>
              <w:t>8</w:t>
            </w:r>
            <w:r>
              <w:rPr>
                <w:rFonts w:ascii="Calibri" w:hAnsi="Calibri" w:cs="Calibri"/>
                <w:sz w:val="20"/>
                <w:lang w:eastAsia="en-GB"/>
              </w:rPr>
              <w:t>06</w:t>
            </w:r>
          </w:p>
        </w:tc>
      </w:tr>
      <w:tr w:rsidR="00420F59" w:rsidRPr="00D53A24" w14:paraId="67A0D7C1"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431A7B88"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Net increase in cash</w:t>
            </w:r>
          </w:p>
        </w:tc>
        <w:tc>
          <w:tcPr>
            <w:tcW w:w="1259" w:type="dxa"/>
            <w:tcBorders>
              <w:top w:val="single" w:sz="8" w:space="0" w:color="auto"/>
              <w:left w:val="nil"/>
              <w:bottom w:val="single" w:sz="8" w:space="0" w:color="auto"/>
              <w:right w:val="single" w:sz="8" w:space="0" w:color="auto"/>
            </w:tcBorders>
            <w:shd w:val="clear" w:color="auto" w:fill="auto"/>
            <w:noWrap/>
            <w:vAlign w:val="center"/>
            <w:hideMark/>
          </w:tcPr>
          <w:p w14:paraId="6A01F1A9" w14:textId="77777777" w:rsidR="00420F59" w:rsidRPr="000912E2" w:rsidRDefault="00420F59" w:rsidP="00966718">
            <w:pPr>
              <w:jc w:val="right"/>
              <w:rPr>
                <w:rFonts w:ascii="Calibri" w:hAnsi="Calibri" w:cs="Calibri"/>
                <w:b/>
                <w:bCs/>
                <w:sz w:val="20"/>
                <w:lang w:eastAsia="en-GB"/>
              </w:rPr>
            </w:pPr>
            <w:r w:rsidRPr="002B4106">
              <w:rPr>
                <w:rFonts w:ascii="Calibri" w:hAnsi="Calibri" w:cs="Calibri"/>
                <w:b/>
                <w:bCs/>
                <w:sz w:val="20"/>
                <w:lang w:eastAsia="en-GB"/>
              </w:rPr>
              <w:t>1,16</w:t>
            </w:r>
            <w:r>
              <w:rPr>
                <w:rFonts w:ascii="Calibri" w:hAnsi="Calibri" w:cs="Calibri"/>
                <w:b/>
                <w:bCs/>
                <w:sz w:val="20"/>
                <w:lang w:eastAsia="en-GB"/>
              </w:rPr>
              <w:t>2</w:t>
            </w:r>
          </w:p>
        </w:tc>
      </w:tr>
      <w:tr w:rsidR="00420F59" w:rsidRPr="00D53A24" w14:paraId="50B72EA9" w14:textId="77777777" w:rsidTr="00966718">
        <w:trPr>
          <w:trHeight w:val="34"/>
        </w:trPr>
        <w:tc>
          <w:tcPr>
            <w:tcW w:w="4968" w:type="dxa"/>
            <w:tcBorders>
              <w:top w:val="nil"/>
              <w:left w:val="single" w:sz="8" w:space="0" w:color="auto"/>
              <w:bottom w:val="nil"/>
              <w:right w:val="nil"/>
            </w:tcBorders>
            <w:shd w:val="clear" w:color="auto" w:fill="auto"/>
            <w:vAlign w:val="center"/>
            <w:hideMark/>
          </w:tcPr>
          <w:p w14:paraId="2081EE84" w14:textId="77777777" w:rsidR="00420F59" w:rsidRPr="00D53A24" w:rsidRDefault="00420F59" w:rsidP="00966718">
            <w:pPr>
              <w:rPr>
                <w:rFonts w:ascii="Calibri" w:hAnsi="Calibri" w:cs="Calibri"/>
                <w:color w:val="000000"/>
                <w:sz w:val="2"/>
                <w:szCs w:val="2"/>
                <w:lang w:eastAsia="en-GB"/>
              </w:rPr>
            </w:pPr>
            <w:r w:rsidRPr="00D53A24">
              <w:rPr>
                <w:rFonts w:ascii="Calibri" w:hAnsi="Calibri" w:cs="Calibri"/>
                <w:color w:val="000000"/>
                <w:sz w:val="2"/>
                <w:szCs w:val="2"/>
                <w:lang w:eastAsia="en-GB"/>
              </w:rPr>
              <w:t> </w:t>
            </w:r>
          </w:p>
        </w:tc>
        <w:tc>
          <w:tcPr>
            <w:tcW w:w="1259" w:type="dxa"/>
            <w:tcBorders>
              <w:top w:val="nil"/>
              <w:left w:val="nil"/>
              <w:bottom w:val="nil"/>
              <w:right w:val="single" w:sz="8" w:space="0" w:color="auto"/>
            </w:tcBorders>
            <w:shd w:val="clear" w:color="auto" w:fill="auto"/>
            <w:noWrap/>
            <w:vAlign w:val="center"/>
            <w:hideMark/>
          </w:tcPr>
          <w:p w14:paraId="33A80AE8" w14:textId="77777777" w:rsidR="00420F59" w:rsidRPr="000912E2" w:rsidRDefault="00420F59" w:rsidP="00966718">
            <w:pPr>
              <w:jc w:val="right"/>
              <w:rPr>
                <w:rFonts w:ascii="Calibri" w:hAnsi="Calibri" w:cs="Calibri"/>
                <w:sz w:val="2"/>
                <w:szCs w:val="2"/>
                <w:lang w:eastAsia="en-GB"/>
              </w:rPr>
            </w:pPr>
            <w:r w:rsidRPr="000912E2">
              <w:rPr>
                <w:rFonts w:ascii="Calibri" w:hAnsi="Calibri" w:cs="Calibri"/>
                <w:sz w:val="2"/>
                <w:szCs w:val="2"/>
                <w:lang w:eastAsia="en-GB"/>
              </w:rPr>
              <w:t> </w:t>
            </w:r>
          </w:p>
        </w:tc>
      </w:tr>
      <w:tr w:rsidR="00420F59" w:rsidRPr="00D53A24" w14:paraId="60F1B4F6"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1E85F512"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Net (debt)/cash at start of year</w:t>
            </w:r>
          </w:p>
        </w:tc>
        <w:tc>
          <w:tcPr>
            <w:tcW w:w="1259" w:type="dxa"/>
            <w:tcBorders>
              <w:top w:val="nil"/>
              <w:left w:val="nil"/>
              <w:bottom w:val="nil"/>
              <w:right w:val="single" w:sz="8" w:space="0" w:color="auto"/>
            </w:tcBorders>
            <w:shd w:val="clear" w:color="auto" w:fill="auto"/>
            <w:noWrap/>
            <w:vAlign w:val="center"/>
            <w:hideMark/>
          </w:tcPr>
          <w:p w14:paraId="141767B1" w14:textId="77777777" w:rsidR="00420F59" w:rsidRPr="002B4106" w:rsidRDefault="00420F59" w:rsidP="00966718">
            <w:pPr>
              <w:jc w:val="right"/>
              <w:rPr>
                <w:rFonts w:ascii="Calibri" w:hAnsi="Calibri" w:cs="Calibri"/>
                <w:b/>
                <w:bCs/>
                <w:sz w:val="20"/>
                <w:lang w:eastAsia="en-GB"/>
              </w:rPr>
            </w:pPr>
            <w:r w:rsidRPr="002B4106">
              <w:rPr>
                <w:rFonts w:ascii="Calibri" w:hAnsi="Calibri" w:cs="Calibri"/>
                <w:b/>
                <w:bCs/>
                <w:sz w:val="20"/>
                <w:lang w:eastAsia="en-GB"/>
              </w:rPr>
              <w:t>(3,827)</w:t>
            </w:r>
          </w:p>
        </w:tc>
      </w:tr>
      <w:tr w:rsidR="00420F59" w:rsidRPr="00D53A24" w14:paraId="70099748" w14:textId="77777777" w:rsidTr="00966718">
        <w:trPr>
          <w:trHeight w:val="288"/>
        </w:trPr>
        <w:tc>
          <w:tcPr>
            <w:tcW w:w="4968" w:type="dxa"/>
            <w:tcBorders>
              <w:top w:val="nil"/>
              <w:left w:val="single" w:sz="8" w:space="0" w:color="auto"/>
              <w:bottom w:val="nil"/>
              <w:right w:val="nil"/>
            </w:tcBorders>
            <w:shd w:val="clear" w:color="auto" w:fill="auto"/>
            <w:vAlign w:val="center"/>
            <w:hideMark/>
          </w:tcPr>
          <w:p w14:paraId="33B81C08"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Foreign currency exchange translation</w:t>
            </w:r>
          </w:p>
        </w:tc>
        <w:tc>
          <w:tcPr>
            <w:tcW w:w="1259" w:type="dxa"/>
            <w:tcBorders>
              <w:top w:val="nil"/>
              <w:left w:val="nil"/>
              <w:bottom w:val="nil"/>
              <w:right w:val="single" w:sz="8" w:space="0" w:color="auto"/>
            </w:tcBorders>
            <w:shd w:val="clear" w:color="auto" w:fill="auto"/>
            <w:noWrap/>
            <w:vAlign w:val="center"/>
            <w:hideMark/>
          </w:tcPr>
          <w:p w14:paraId="39183081" w14:textId="77777777" w:rsidR="00420F59" w:rsidRPr="002B4106" w:rsidRDefault="00420F59" w:rsidP="00966718">
            <w:pPr>
              <w:jc w:val="right"/>
              <w:rPr>
                <w:rFonts w:ascii="Calibri" w:hAnsi="Calibri" w:cs="Calibri"/>
                <w:sz w:val="20"/>
                <w:lang w:eastAsia="en-GB"/>
              </w:rPr>
            </w:pPr>
            <w:r w:rsidRPr="002B4106">
              <w:rPr>
                <w:rFonts w:ascii="Calibri" w:hAnsi="Calibri" w:cs="Calibri"/>
                <w:sz w:val="20"/>
                <w:lang w:eastAsia="en-GB"/>
              </w:rPr>
              <w:t>(2</w:t>
            </w:r>
            <w:r>
              <w:rPr>
                <w:rFonts w:ascii="Calibri" w:hAnsi="Calibri" w:cs="Calibri"/>
                <w:sz w:val="20"/>
                <w:lang w:eastAsia="en-GB"/>
              </w:rPr>
              <w:t>53</w:t>
            </w:r>
            <w:r w:rsidRPr="002B4106">
              <w:rPr>
                <w:rFonts w:ascii="Calibri" w:hAnsi="Calibri" w:cs="Calibri"/>
                <w:sz w:val="20"/>
                <w:lang w:eastAsia="en-GB"/>
              </w:rPr>
              <w:t>)</w:t>
            </w:r>
          </w:p>
        </w:tc>
      </w:tr>
      <w:tr w:rsidR="00420F59" w:rsidRPr="00D53A24" w14:paraId="0235D0EB" w14:textId="77777777" w:rsidTr="00966718">
        <w:trPr>
          <w:trHeight w:val="288"/>
        </w:trPr>
        <w:tc>
          <w:tcPr>
            <w:tcW w:w="4968" w:type="dxa"/>
            <w:tcBorders>
              <w:top w:val="nil"/>
              <w:left w:val="single" w:sz="8" w:space="0" w:color="auto"/>
              <w:bottom w:val="nil"/>
              <w:right w:val="nil"/>
            </w:tcBorders>
            <w:shd w:val="clear" w:color="auto" w:fill="auto"/>
            <w:vAlign w:val="center"/>
            <w:hideMark/>
          </w:tcPr>
          <w:p w14:paraId="3AFD9DDE" w14:textId="77777777" w:rsidR="00420F59" w:rsidRPr="00D53A24" w:rsidRDefault="00420F59" w:rsidP="00966718">
            <w:pPr>
              <w:rPr>
                <w:rFonts w:ascii="Calibri" w:hAnsi="Calibri" w:cs="Calibri"/>
                <w:color w:val="000000"/>
                <w:sz w:val="20"/>
                <w:lang w:eastAsia="en-GB"/>
              </w:rPr>
            </w:pPr>
            <w:r w:rsidRPr="00D53A24">
              <w:rPr>
                <w:rFonts w:ascii="Calibri" w:hAnsi="Calibri" w:cs="Calibri"/>
                <w:color w:val="000000"/>
                <w:sz w:val="20"/>
                <w:lang w:eastAsia="en-GB"/>
              </w:rPr>
              <w:t>Change in fair value of hedging derivatives</w:t>
            </w:r>
          </w:p>
        </w:tc>
        <w:tc>
          <w:tcPr>
            <w:tcW w:w="1259" w:type="dxa"/>
            <w:tcBorders>
              <w:top w:val="nil"/>
              <w:left w:val="nil"/>
              <w:bottom w:val="nil"/>
              <w:right w:val="single" w:sz="8" w:space="0" w:color="auto"/>
            </w:tcBorders>
            <w:shd w:val="clear" w:color="auto" w:fill="auto"/>
            <w:noWrap/>
            <w:vAlign w:val="center"/>
            <w:hideMark/>
          </w:tcPr>
          <w:p w14:paraId="2E9E191A" w14:textId="77777777" w:rsidR="00420F59" w:rsidRPr="002B4106" w:rsidRDefault="00420F59" w:rsidP="00966718">
            <w:pPr>
              <w:jc w:val="right"/>
              <w:rPr>
                <w:rFonts w:ascii="Calibri" w:hAnsi="Calibri" w:cs="Calibri"/>
                <w:sz w:val="20"/>
                <w:lang w:eastAsia="en-GB"/>
              </w:rPr>
            </w:pPr>
            <w:r>
              <w:rPr>
                <w:rFonts w:ascii="Calibri" w:hAnsi="Calibri" w:cs="Calibri"/>
                <w:sz w:val="20"/>
                <w:lang w:eastAsia="en-GB"/>
              </w:rPr>
              <w:t>1</w:t>
            </w:r>
            <w:r w:rsidRPr="002B4106">
              <w:rPr>
                <w:rFonts w:ascii="Calibri" w:hAnsi="Calibri" w:cs="Calibri"/>
                <w:sz w:val="20"/>
                <w:lang w:eastAsia="en-GB"/>
              </w:rPr>
              <w:t>9</w:t>
            </w:r>
          </w:p>
        </w:tc>
      </w:tr>
      <w:tr w:rsidR="00420F59" w:rsidRPr="00D53A24" w14:paraId="3ED466E8" w14:textId="77777777" w:rsidTr="00966718">
        <w:trPr>
          <w:trHeight w:val="255"/>
        </w:trPr>
        <w:tc>
          <w:tcPr>
            <w:tcW w:w="4968" w:type="dxa"/>
            <w:tcBorders>
              <w:top w:val="nil"/>
              <w:left w:val="single" w:sz="8" w:space="0" w:color="auto"/>
              <w:bottom w:val="nil"/>
              <w:right w:val="nil"/>
            </w:tcBorders>
            <w:shd w:val="clear" w:color="auto" w:fill="auto"/>
            <w:vAlign w:val="center"/>
            <w:hideMark/>
          </w:tcPr>
          <w:p w14:paraId="659C6C02" w14:textId="77777777" w:rsidR="00420F59" w:rsidRPr="00D53A24" w:rsidRDefault="00420F59" w:rsidP="00966718">
            <w:pPr>
              <w:rPr>
                <w:rFonts w:ascii="Calibri" w:hAnsi="Calibri" w:cs="Calibri"/>
                <w:b/>
                <w:bCs/>
                <w:color w:val="000000"/>
                <w:sz w:val="20"/>
                <w:lang w:eastAsia="en-GB"/>
              </w:rPr>
            </w:pPr>
            <w:r w:rsidRPr="00D53A24">
              <w:rPr>
                <w:rFonts w:ascii="Calibri" w:hAnsi="Calibri" w:cs="Calibri"/>
                <w:b/>
                <w:bCs/>
                <w:color w:val="000000"/>
                <w:sz w:val="20"/>
                <w:lang w:eastAsia="en-GB"/>
              </w:rPr>
              <w:t>Net debt at 30 June 2020</w:t>
            </w:r>
            <w:r w:rsidRPr="00C9669A">
              <w:rPr>
                <w:rFonts w:ascii="Calibri" w:hAnsi="Calibri" w:cs="Calibri"/>
                <w:b/>
                <w:bCs/>
                <w:color w:val="000000"/>
                <w:sz w:val="20"/>
                <w:vertAlign w:val="superscript"/>
                <w:lang w:eastAsia="en-GB"/>
              </w:rPr>
              <w:t>14</w:t>
            </w:r>
          </w:p>
        </w:tc>
        <w:tc>
          <w:tcPr>
            <w:tcW w:w="1259" w:type="dxa"/>
            <w:tcBorders>
              <w:top w:val="nil"/>
              <w:left w:val="nil"/>
              <w:bottom w:val="nil"/>
              <w:right w:val="single" w:sz="8" w:space="0" w:color="auto"/>
            </w:tcBorders>
            <w:shd w:val="clear" w:color="auto" w:fill="auto"/>
            <w:noWrap/>
            <w:vAlign w:val="center"/>
            <w:hideMark/>
          </w:tcPr>
          <w:p w14:paraId="3CE8821D" w14:textId="77777777" w:rsidR="00420F59" w:rsidRPr="000912E2" w:rsidRDefault="00420F59" w:rsidP="00966718">
            <w:pPr>
              <w:jc w:val="right"/>
              <w:rPr>
                <w:rFonts w:ascii="Calibri" w:hAnsi="Calibri" w:cs="Calibri"/>
                <w:b/>
                <w:bCs/>
                <w:sz w:val="20"/>
                <w:lang w:eastAsia="en-GB"/>
              </w:rPr>
            </w:pPr>
            <w:r w:rsidRPr="000912E2">
              <w:rPr>
                <w:rFonts w:ascii="Calibri" w:hAnsi="Calibri" w:cs="Calibri"/>
                <w:b/>
                <w:bCs/>
                <w:sz w:val="20"/>
                <w:lang w:eastAsia="en-GB"/>
              </w:rPr>
              <w:t>(2,899)</w:t>
            </w:r>
          </w:p>
        </w:tc>
      </w:tr>
      <w:tr w:rsidR="00420F59" w:rsidRPr="00D53A24" w14:paraId="675B7AAC" w14:textId="77777777" w:rsidTr="00966718">
        <w:trPr>
          <w:trHeight w:val="34"/>
        </w:trPr>
        <w:tc>
          <w:tcPr>
            <w:tcW w:w="4968" w:type="dxa"/>
            <w:tcBorders>
              <w:top w:val="nil"/>
              <w:left w:val="single" w:sz="8" w:space="0" w:color="auto"/>
              <w:bottom w:val="single" w:sz="8" w:space="0" w:color="auto"/>
              <w:right w:val="nil"/>
            </w:tcBorders>
            <w:shd w:val="clear" w:color="auto" w:fill="auto"/>
            <w:noWrap/>
            <w:vAlign w:val="bottom"/>
            <w:hideMark/>
          </w:tcPr>
          <w:p w14:paraId="757C99FC" w14:textId="77777777" w:rsidR="00420F59" w:rsidRPr="00D53A24" w:rsidRDefault="00420F59" w:rsidP="00966718">
            <w:pPr>
              <w:rPr>
                <w:rFonts w:ascii="Calibri" w:hAnsi="Calibri" w:cs="Calibri"/>
                <w:color w:val="000000"/>
                <w:sz w:val="2"/>
                <w:szCs w:val="2"/>
                <w:lang w:eastAsia="en-GB"/>
              </w:rPr>
            </w:pPr>
            <w:r w:rsidRPr="00D53A24">
              <w:rPr>
                <w:rFonts w:ascii="Calibri" w:hAnsi="Calibri" w:cs="Calibri"/>
                <w:color w:val="000000"/>
                <w:sz w:val="2"/>
                <w:szCs w:val="2"/>
                <w:lang w:eastAsia="en-GB"/>
              </w:rPr>
              <w:t> </w:t>
            </w:r>
          </w:p>
        </w:tc>
        <w:tc>
          <w:tcPr>
            <w:tcW w:w="1259" w:type="dxa"/>
            <w:tcBorders>
              <w:top w:val="nil"/>
              <w:left w:val="nil"/>
              <w:bottom w:val="single" w:sz="8" w:space="0" w:color="auto"/>
              <w:right w:val="single" w:sz="8" w:space="0" w:color="auto"/>
            </w:tcBorders>
            <w:shd w:val="clear" w:color="auto" w:fill="auto"/>
            <w:noWrap/>
            <w:vAlign w:val="bottom"/>
            <w:hideMark/>
          </w:tcPr>
          <w:p w14:paraId="482C523B" w14:textId="77777777" w:rsidR="00420F59" w:rsidRPr="00D53A24" w:rsidRDefault="00420F59" w:rsidP="00966718">
            <w:pPr>
              <w:rPr>
                <w:rFonts w:ascii="Calibri" w:hAnsi="Calibri" w:cs="Calibri"/>
                <w:color w:val="000000"/>
                <w:sz w:val="2"/>
                <w:szCs w:val="2"/>
                <w:lang w:eastAsia="en-GB"/>
              </w:rPr>
            </w:pPr>
            <w:r w:rsidRPr="00D53A24">
              <w:rPr>
                <w:rFonts w:ascii="Calibri" w:hAnsi="Calibri" w:cs="Calibri"/>
                <w:color w:val="000000"/>
                <w:sz w:val="2"/>
                <w:szCs w:val="2"/>
                <w:lang w:eastAsia="en-GB"/>
              </w:rPr>
              <w:t> </w:t>
            </w:r>
          </w:p>
        </w:tc>
      </w:tr>
    </w:tbl>
    <w:p w14:paraId="3B7DFF23" w14:textId="77777777" w:rsidR="00BE1CF0" w:rsidRPr="00886A51" w:rsidRDefault="000912E2" w:rsidP="00157AA2">
      <w:pPr>
        <w:spacing w:before="120" w:after="120"/>
        <w:jc w:val="both"/>
        <w:rPr>
          <w:rFonts w:asciiTheme="minorHAnsi" w:hAnsiTheme="minorHAnsi"/>
          <w:sz w:val="21"/>
          <w:szCs w:val="21"/>
        </w:rPr>
      </w:pPr>
      <w:r>
        <w:rPr>
          <w:rFonts w:asciiTheme="minorHAnsi" w:hAnsiTheme="minorHAnsi"/>
          <w:sz w:val="21"/>
          <w:szCs w:val="21"/>
        </w:rPr>
        <w:t>The n</w:t>
      </w:r>
      <w:r w:rsidR="00BE1CF0">
        <w:rPr>
          <w:rFonts w:asciiTheme="minorHAnsi" w:hAnsiTheme="minorHAnsi"/>
          <w:sz w:val="21"/>
          <w:szCs w:val="21"/>
        </w:rPr>
        <w:t xml:space="preserve">et </w:t>
      </w:r>
      <w:r w:rsidR="0045631A">
        <w:rPr>
          <w:rFonts w:asciiTheme="minorHAnsi" w:hAnsiTheme="minorHAnsi"/>
          <w:sz w:val="21"/>
          <w:szCs w:val="21"/>
        </w:rPr>
        <w:t>increase in cash during the period primarily relates to strong free cash flow of £</w:t>
      </w:r>
      <w:r w:rsidR="000135EF">
        <w:rPr>
          <w:rFonts w:asciiTheme="minorHAnsi" w:hAnsiTheme="minorHAnsi"/>
          <w:sz w:val="21"/>
          <w:szCs w:val="21"/>
        </w:rPr>
        <w:t>52</w:t>
      </w:r>
      <w:r w:rsidR="00420F59">
        <w:rPr>
          <w:rFonts w:asciiTheme="minorHAnsi" w:hAnsiTheme="minorHAnsi"/>
          <w:sz w:val="21"/>
          <w:szCs w:val="21"/>
        </w:rPr>
        <w:t>4</w:t>
      </w:r>
      <w:r w:rsidR="0045631A">
        <w:rPr>
          <w:rFonts w:asciiTheme="minorHAnsi" w:hAnsiTheme="minorHAnsi"/>
          <w:sz w:val="21"/>
          <w:szCs w:val="21"/>
        </w:rPr>
        <w:t>m and the proceeds of the Group’s equity raise on May 28.</w:t>
      </w:r>
    </w:p>
    <w:p w14:paraId="6BB1B5B5" w14:textId="77777777" w:rsidR="00BE1CF0" w:rsidRPr="00646A3E" w:rsidRDefault="007D2DBA" w:rsidP="00646A3E">
      <w:pPr>
        <w:spacing w:after="120"/>
        <w:jc w:val="both"/>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Free cash flow reflects </w:t>
      </w:r>
      <w:r w:rsidR="00BE1CF0">
        <w:rPr>
          <w:rFonts w:asciiTheme="minorHAnsi" w:eastAsiaTheme="minorHAnsi" w:hAnsiTheme="minorHAnsi" w:cstheme="minorBidi"/>
          <w:sz w:val="21"/>
          <w:szCs w:val="21"/>
        </w:rPr>
        <w:t>c</w:t>
      </w:r>
      <w:r w:rsidR="00BE1CF0" w:rsidRPr="00BE1CF0">
        <w:rPr>
          <w:rFonts w:asciiTheme="minorHAnsi" w:eastAsiaTheme="minorHAnsi" w:hAnsiTheme="minorHAnsi" w:cstheme="minorBidi"/>
          <w:sz w:val="21"/>
          <w:szCs w:val="21"/>
        </w:rPr>
        <w:t>ap</w:t>
      </w:r>
      <w:r w:rsidR="00BE1CF0">
        <w:rPr>
          <w:rFonts w:asciiTheme="minorHAnsi" w:eastAsiaTheme="minorHAnsi" w:hAnsiTheme="minorHAnsi" w:cstheme="minorBidi"/>
          <w:sz w:val="21"/>
          <w:szCs w:val="21"/>
        </w:rPr>
        <w:t>ital expenditure during H1 of £1</w:t>
      </w:r>
      <w:r w:rsidR="00420F59">
        <w:rPr>
          <w:rFonts w:asciiTheme="minorHAnsi" w:eastAsiaTheme="minorHAnsi" w:hAnsiTheme="minorHAnsi" w:cstheme="minorBidi"/>
          <w:sz w:val="21"/>
          <w:szCs w:val="21"/>
        </w:rPr>
        <w:t>18</w:t>
      </w:r>
      <w:r w:rsidR="00BE1CF0">
        <w:rPr>
          <w:rFonts w:asciiTheme="minorHAnsi" w:eastAsiaTheme="minorHAnsi" w:hAnsiTheme="minorHAnsi" w:cstheme="minorBidi"/>
          <w:sz w:val="21"/>
          <w:szCs w:val="21"/>
        </w:rPr>
        <w:t>m</w:t>
      </w:r>
      <w:r>
        <w:rPr>
          <w:rFonts w:asciiTheme="minorHAnsi" w:eastAsiaTheme="minorHAnsi" w:hAnsiTheme="minorHAnsi" w:cstheme="minorBidi"/>
          <w:sz w:val="21"/>
          <w:szCs w:val="21"/>
        </w:rPr>
        <w:t xml:space="preserve">. This represents </w:t>
      </w:r>
      <w:r w:rsidR="00BE1CF0">
        <w:rPr>
          <w:rFonts w:asciiTheme="minorHAnsi" w:eastAsiaTheme="minorHAnsi" w:hAnsiTheme="minorHAnsi" w:cstheme="minorBidi"/>
          <w:sz w:val="21"/>
          <w:szCs w:val="21"/>
        </w:rPr>
        <w:t>a</w:t>
      </w:r>
      <w:r w:rsidR="0063100B">
        <w:rPr>
          <w:rFonts w:asciiTheme="minorHAnsi" w:eastAsiaTheme="minorHAnsi" w:hAnsiTheme="minorHAnsi" w:cstheme="minorBidi"/>
          <w:sz w:val="21"/>
          <w:szCs w:val="21"/>
        </w:rPr>
        <w:t xml:space="preserve"> pro forma</w:t>
      </w:r>
      <w:r w:rsidR="00BE1CF0">
        <w:rPr>
          <w:rFonts w:asciiTheme="minorHAnsi" w:eastAsiaTheme="minorHAnsi" w:hAnsiTheme="minorHAnsi" w:cstheme="minorBidi"/>
          <w:sz w:val="21"/>
          <w:szCs w:val="21"/>
        </w:rPr>
        <w:t xml:space="preserve"> </w:t>
      </w:r>
      <w:r w:rsidR="00BE1CF0" w:rsidRPr="00BE1CF0">
        <w:rPr>
          <w:rFonts w:asciiTheme="minorHAnsi" w:eastAsiaTheme="minorHAnsi" w:hAnsiTheme="minorHAnsi" w:cstheme="minorBidi"/>
          <w:sz w:val="21"/>
          <w:szCs w:val="21"/>
        </w:rPr>
        <w:t xml:space="preserve">increase </w:t>
      </w:r>
      <w:r w:rsidR="0063100B" w:rsidRPr="00BE1CF0">
        <w:rPr>
          <w:rFonts w:asciiTheme="minorHAnsi" w:eastAsiaTheme="minorHAnsi" w:hAnsiTheme="minorHAnsi" w:cstheme="minorBidi"/>
          <w:sz w:val="21"/>
          <w:szCs w:val="21"/>
        </w:rPr>
        <w:t>of £</w:t>
      </w:r>
      <w:r w:rsidR="0063100B">
        <w:rPr>
          <w:rFonts w:asciiTheme="minorHAnsi" w:eastAsiaTheme="minorHAnsi" w:hAnsiTheme="minorHAnsi" w:cstheme="minorBidi"/>
          <w:sz w:val="21"/>
          <w:szCs w:val="21"/>
        </w:rPr>
        <w:t>1</w:t>
      </w:r>
      <w:r w:rsidR="00483FB4">
        <w:rPr>
          <w:rFonts w:asciiTheme="minorHAnsi" w:eastAsiaTheme="minorHAnsi" w:hAnsiTheme="minorHAnsi" w:cstheme="minorBidi"/>
          <w:sz w:val="21"/>
          <w:szCs w:val="21"/>
        </w:rPr>
        <w:t>2</w:t>
      </w:r>
      <w:r w:rsidR="0063100B" w:rsidRPr="00BE1CF0">
        <w:rPr>
          <w:rFonts w:asciiTheme="minorHAnsi" w:eastAsiaTheme="minorHAnsi" w:hAnsiTheme="minorHAnsi" w:cstheme="minorBidi"/>
          <w:sz w:val="21"/>
          <w:szCs w:val="21"/>
        </w:rPr>
        <w:t xml:space="preserve">m </w:t>
      </w:r>
      <w:r w:rsidR="00BE1CF0" w:rsidRPr="00BE1CF0">
        <w:rPr>
          <w:rFonts w:asciiTheme="minorHAnsi" w:eastAsiaTheme="minorHAnsi" w:hAnsiTheme="minorHAnsi" w:cstheme="minorBidi"/>
          <w:sz w:val="21"/>
          <w:szCs w:val="21"/>
        </w:rPr>
        <w:t xml:space="preserve">compared with H1 2019 </w:t>
      </w:r>
      <w:r>
        <w:rPr>
          <w:rFonts w:asciiTheme="minorHAnsi" w:eastAsiaTheme="minorHAnsi" w:hAnsiTheme="minorHAnsi" w:cstheme="minorBidi"/>
          <w:sz w:val="21"/>
          <w:szCs w:val="21"/>
        </w:rPr>
        <w:t>due</w:t>
      </w:r>
      <w:r w:rsidR="00BE1CF0" w:rsidRPr="00BE1CF0">
        <w:rPr>
          <w:rFonts w:asciiTheme="minorHAnsi" w:eastAsiaTheme="minorHAnsi" w:hAnsiTheme="minorHAnsi" w:cstheme="minorBidi"/>
          <w:sz w:val="21"/>
          <w:szCs w:val="21"/>
        </w:rPr>
        <w:t xml:space="preserve"> to investment in</w:t>
      </w:r>
      <w:r w:rsidR="00BE1CF0">
        <w:rPr>
          <w:rFonts w:asciiTheme="minorHAnsi" w:eastAsiaTheme="minorHAnsi" w:hAnsiTheme="minorHAnsi" w:cstheme="minorBidi"/>
          <w:sz w:val="21"/>
          <w:szCs w:val="21"/>
        </w:rPr>
        <w:t xml:space="preserve"> </w:t>
      </w:r>
      <w:r w:rsidR="00BE1CF0" w:rsidRPr="00BE1CF0">
        <w:rPr>
          <w:rFonts w:asciiTheme="minorHAnsi" w:eastAsiaTheme="minorHAnsi" w:hAnsiTheme="minorHAnsi" w:cstheme="minorBidi"/>
          <w:sz w:val="21"/>
          <w:szCs w:val="21"/>
        </w:rPr>
        <w:t xml:space="preserve">Group-wide </w:t>
      </w:r>
      <w:r w:rsidR="00F273E7">
        <w:rPr>
          <w:rFonts w:asciiTheme="minorHAnsi" w:eastAsiaTheme="minorHAnsi" w:hAnsiTheme="minorHAnsi" w:cstheme="minorBidi"/>
          <w:sz w:val="21"/>
          <w:szCs w:val="21"/>
        </w:rPr>
        <w:t>p</w:t>
      </w:r>
      <w:r w:rsidR="00BE1CF0" w:rsidRPr="00BE1CF0">
        <w:rPr>
          <w:rFonts w:asciiTheme="minorHAnsi" w:eastAsiaTheme="minorHAnsi" w:hAnsiTheme="minorHAnsi" w:cstheme="minorBidi"/>
          <w:sz w:val="21"/>
          <w:szCs w:val="21"/>
        </w:rPr>
        <w:t xml:space="preserve">roduct and </w:t>
      </w:r>
      <w:r w:rsidR="00F273E7">
        <w:rPr>
          <w:rFonts w:asciiTheme="minorHAnsi" w:eastAsiaTheme="minorHAnsi" w:hAnsiTheme="minorHAnsi" w:cstheme="minorBidi"/>
          <w:sz w:val="21"/>
          <w:szCs w:val="21"/>
        </w:rPr>
        <w:t>t</w:t>
      </w:r>
      <w:r w:rsidR="00BE1CF0" w:rsidRPr="00BE1CF0">
        <w:rPr>
          <w:rFonts w:asciiTheme="minorHAnsi" w:eastAsiaTheme="minorHAnsi" w:hAnsiTheme="minorHAnsi" w:cstheme="minorBidi"/>
          <w:sz w:val="21"/>
          <w:szCs w:val="21"/>
        </w:rPr>
        <w:t>echnology development</w:t>
      </w:r>
      <w:r w:rsidR="00BE1CF0">
        <w:rPr>
          <w:rFonts w:asciiTheme="minorHAnsi" w:eastAsiaTheme="minorHAnsi" w:hAnsiTheme="minorHAnsi" w:cstheme="minorBidi"/>
          <w:sz w:val="21"/>
          <w:szCs w:val="21"/>
        </w:rPr>
        <w:t xml:space="preserve"> as well as US expansion plan</w:t>
      </w:r>
      <w:r>
        <w:rPr>
          <w:rFonts w:asciiTheme="minorHAnsi" w:eastAsiaTheme="minorHAnsi" w:hAnsiTheme="minorHAnsi" w:cstheme="minorBidi"/>
          <w:sz w:val="21"/>
          <w:szCs w:val="21"/>
        </w:rPr>
        <w:t xml:space="preserve">s. </w:t>
      </w:r>
      <w:r w:rsidR="00BE1CF0" w:rsidRPr="00BE1CF0">
        <w:rPr>
          <w:rFonts w:asciiTheme="minorHAnsi" w:eastAsiaTheme="minorHAnsi" w:hAnsiTheme="minorHAnsi" w:cstheme="minorBidi"/>
          <w:sz w:val="21"/>
          <w:szCs w:val="21"/>
        </w:rPr>
        <w:t>Working capital</w:t>
      </w:r>
      <w:r w:rsidR="00BE1CF0">
        <w:rPr>
          <w:rFonts w:asciiTheme="minorHAnsi" w:eastAsiaTheme="minorHAnsi" w:hAnsiTheme="minorHAnsi" w:cstheme="minorBidi"/>
          <w:sz w:val="21"/>
          <w:szCs w:val="21"/>
        </w:rPr>
        <w:t xml:space="preserve"> during the half was</w:t>
      </w:r>
      <w:r w:rsidR="00BE1CF0" w:rsidRPr="00BE1CF0">
        <w:rPr>
          <w:rFonts w:asciiTheme="minorHAnsi" w:eastAsiaTheme="minorHAnsi" w:hAnsiTheme="minorHAnsi" w:cstheme="minorBidi"/>
          <w:sz w:val="21"/>
          <w:szCs w:val="21"/>
        </w:rPr>
        <w:t xml:space="preserve"> positively affected by </w:t>
      </w:r>
      <w:r w:rsidR="00F87533">
        <w:rPr>
          <w:rFonts w:asciiTheme="minorHAnsi" w:eastAsiaTheme="minorHAnsi" w:hAnsiTheme="minorHAnsi" w:cstheme="minorBidi"/>
          <w:sz w:val="21"/>
          <w:szCs w:val="21"/>
        </w:rPr>
        <w:t xml:space="preserve">the strong performance </w:t>
      </w:r>
      <w:r w:rsidR="0063100B">
        <w:rPr>
          <w:rFonts w:asciiTheme="minorHAnsi" w:eastAsiaTheme="minorHAnsi" w:hAnsiTheme="minorHAnsi" w:cstheme="minorBidi"/>
          <w:sz w:val="21"/>
          <w:szCs w:val="21"/>
        </w:rPr>
        <w:t xml:space="preserve">of the Group </w:t>
      </w:r>
      <w:r w:rsidR="00F87533">
        <w:rPr>
          <w:rFonts w:asciiTheme="minorHAnsi" w:eastAsiaTheme="minorHAnsi" w:hAnsiTheme="minorHAnsi" w:cstheme="minorBidi"/>
          <w:sz w:val="21"/>
          <w:szCs w:val="21"/>
        </w:rPr>
        <w:t xml:space="preserve">and </w:t>
      </w:r>
      <w:r w:rsidR="0063100B">
        <w:rPr>
          <w:rFonts w:asciiTheme="minorHAnsi" w:eastAsiaTheme="minorHAnsi" w:hAnsiTheme="minorHAnsi" w:cstheme="minorBidi"/>
          <w:sz w:val="21"/>
          <w:szCs w:val="21"/>
        </w:rPr>
        <w:t xml:space="preserve">the </w:t>
      </w:r>
      <w:r w:rsidR="00F87533">
        <w:rPr>
          <w:rFonts w:asciiTheme="minorHAnsi" w:eastAsiaTheme="minorHAnsi" w:hAnsiTheme="minorHAnsi" w:cstheme="minorBidi"/>
          <w:sz w:val="21"/>
          <w:szCs w:val="21"/>
        </w:rPr>
        <w:t xml:space="preserve">associated </w:t>
      </w:r>
      <w:r w:rsidR="00BE1CF0" w:rsidRPr="00BE1CF0">
        <w:rPr>
          <w:rFonts w:asciiTheme="minorHAnsi" w:eastAsiaTheme="minorHAnsi" w:hAnsiTheme="minorHAnsi" w:cstheme="minorBidi"/>
          <w:sz w:val="21"/>
          <w:szCs w:val="21"/>
        </w:rPr>
        <w:t xml:space="preserve">timing </w:t>
      </w:r>
      <w:r w:rsidR="00F87533">
        <w:rPr>
          <w:rFonts w:asciiTheme="minorHAnsi" w:eastAsiaTheme="minorHAnsi" w:hAnsiTheme="minorHAnsi" w:cstheme="minorBidi"/>
          <w:sz w:val="21"/>
          <w:szCs w:val="21"/>
        </w:rPr>
        <w:t xml:space="preserve">of </w:t>
      </w:r>
      <w:r w:rsidR="00951F01">
        <w:rPr>
          <w:rFonts w:asciiTheme="minorHAnsi" w:eastAsiaTheme="minorHAnsi" w:hAnsiTheme="minorHAnsi" w:cstheme="minorBidi"/>
          <w:sz w:val="21"/>
          <w:szCs w:val="21"/>
        </w:rPr>
        <w:t xml:space="preserve">certain </w:t>
      </w:r>
      <w:r w:rsidR="00F87533">
        <w:rPr>
          <w:rFonts w:asciiTheme="minorHAnsi" w:eastAsiaTheme="minorHAnsi" w:hAnsiTheme="minorHAnsi" w:cstheme="minorBidi"/>
          <w:sz w:val="21"/>
          <w:szCs w:val="21"/>
        </w:rPr>
        <w:t>related costs</w:t>
      </w:r>
      <w:r>
        <w:rPr>
          <w:rFonts w:asciiTheme="minorHAnsi" w:eastAsiaTheme="minorHAnsi" w:hAnsiTheme="minorHAnsi" w:cstheme="minorBidi"/>
          <w:sz w:val="21"/>
          <w:szCs w:val="21"/>
        </w:rPr>
        <w:t>.</w:t>
      </w:r>
      <w:r w:rsidR="0063100B">
        <w:rPr>
          <w:rFonts w:asciiTheme="minorHAnsi" w:eastAsiaTheme="minorHAnsi" w:hAnsiTheme="minorHAnsi" w:cstheme="minorBidi"/>
          <w:sz w:val="21"/>
          <w:szCs w:val="21"/>
        </w:rPr>
        <w:t xml:space="preserve"> </w:t>
      </w:r>
      <w:r w:rsidR="002415EB" w:rsidRPr="002415EB">
        <w:rPr>
          <w:rFonts w:asciiTheme="minorHAnsi" w:eastAsiaTheme="minorHAnsi" w:hAnsiTheme="minorHAnsi" w:cstheme="minorBidi"/>
          <w:sz w:val="21"/>
          <w:szCs w:val="21"/>
        </w:rPr>
        <w:t>We anticipate that</w:t>
      </w:r>
      <w:r w:rsidR="002415EB">
        <w:rPr>
          <w:rFonts w:asciiTheme="minorHAnsi" w:eastAsiaTheme="minorHAnsi" w:hAnsiTheme="minorHAnsi" w:cstheme="minorBidi"/>
          <w:sz w:val="21"/>
          <w:szCs w:val="21"/>
        </w:rPr>
        <w:t xml:space="preserve"> </w:t>
      </w:r>
      <w:r w:rsidR="002415EB" w:rsidRPr="002415EB">
        <w:rPr>
          <w:rFonts w:asciiTheme="minorHAnsi" w:eastAsiaTheme="minorHAnsi" w:hAnsiTheme="minorHAnsi" w:cstheme="minorBidi"/>
          <w:sz w:val="21"/>
          <w:szCs w:val="21"/>
        </w:rPr>
        <w:t>capex for the full year will be circa £</w:t>
      </w:r>
      <w:r w:rsidR="003D53FD">
        <w:rPr>
          <w:rFonts w:asciiTheme="minorHAnsi" w:eastAsiaTheme="minorHAnsi" w:hAnsiTheme="minorHAnsi" w:cstheme="minorBidi"/>
          <w:sz w:val="21"/>
          <w:szCs w:val="21"/>
        </w:rPr>
        <w:t>250-</w:t>
      </w:r>
      <w:r w:rsidR="002415EB">
        <w:rPr>
          <w:rFonts w:asciiTheme="minorHAnsi" w:eastAsiaTheme="minorHAnsi" w:hAnsiTheme="minorHAnsi" w:cstheme="minorBidi"/>
          <w:sz w:val="21"/>
          <w:szCs w:val="21"/>
        </w:rPr>
        <w:t>270</w:t>
      </w:r>
      <w:r w:rsidR="002415EB" w:rsidRPr="002415EB">
        <w:rPr>
          <w:rFonts w:asciiTheme="minorHAnsi" w:eastAsiaTheme="minorHAnsi" w:hAnsiTheme="minorHAnsi" w:cstheme="minorBidi"/>
          <w:sz w:val="21"/>
          <w:szCs w:val="21"/>
        </w:rPr>
        <w:t>m while much of the working capital benefit is expected to unwind in the second half</w:t>
      </w:r>
      <w:r w:rsidR="0063100B">
        <w:rPr>
          <w:rFonts w:asciiTheme="minorHAnsi" w:eastAsiaTheme="minorHAnsi" w:hAnsiTheme="minorHAnsi" w:cstheme="minorBidi"/>
          <w:sz w:val="21"/>
          <w:szCs w:val="21"/>
        </w:rPr>
        <w:t>.</w:t>
      </w:r>
      <w:r w:rsidRPr="00886A51">
        <w:rPr>
          <w:rFonts w:asciiTheme="minorHAnsi" w:hAnsiTheme="minorHAnsi"/>
          <w:sz w:val="21"/>
          <w:szCs w:val="21"/>
        </w:rPr>
        <w:t xml:space="preserve"> </w:t>
      </w:r>
      <w:r>
        <w:rPr>
          <w:rFonts w:asciiTheme="minorHAnsi" w:hAnsiTheme="minorHAnsi"/>
          <w:sz w:val="21"/>
          <w:szCs w:val="21"/>
        </w:rPr>
        <w:t xml:space="preserve"> </w:t>
      </w:r>
    </w:p>
    <w:p w14:paraId="1B94D259" w14:textId="77777777" w:rsidR="00BE1CF0" w:rsidRDefault="00BE1CF0" w:rsidP="00BE1CF0">
      <w:pPr>
        <w:spacing w:after="120"/>
        <w:jc w:val="both"/>
        <w:rPr>
          <w:rFonts w:asciiTheme="minorHAnsi" w:eastAsiaTheme="minorHAnsi" w:hAnsiTheme="minorHAnsi" w:cstheme="minorBidi"/>
          <w:sz w:val="21"/>
          <w:szCs w:val="21"/>
        </w:rPr>
      </w:pPr>
      <w:r w:rsidRPr="00BE1CF0">
        <w:rPr>
          <w:rFonts w:asciiTheme="minorHAnsi" w:eastAsiaTheme="minorHAnsi" w:hAnsiTheme="minorHAnsi" w:cstheme="minorBidi"/>
          <w:sz w:val="21"/>
          <w:szCs w:val="21"/>
        </w:rPr>
        <w:t xml:space="preserve">Cash flow from SDIs principally relates to professional fees and integration costs in relation to the </w:t>
      </w:r>
      <w:r>
        <w:rPr>
          <w:rFonts w:asciiTheme="minorHAnsi" w:eastAsiaTheme="minorHAnsi" w:hAnsiTheme="minorHAnsi" w:cstheme="minorBidi"/>
          <w:sz w:val="21"/>
          <w:szCs w:val="21"/>
        </w:rPr>
        <w:t>combination with TSG.</w:t>
      </w:r>
    </w:p>
    <w:p w14:paraId="375661E5" w14:textId="77777777" w:rsidR="007D2DBA" w:rsidRDefault="007D2DBA" w:rsidP="00BE1CF0">
      <w:pPr>
        <w:spacing w:after="120"/>
        <w:jc w:val="both"/>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Interest costs were </w:t>
      </w:r>
      <w:r w:rsidRPr="001E6AB6">
        <w:rPr>
          <w:rFonts w:asciiTheme="minorHAnsi" w:eastAsiaTheme="minorHAnsi" w:hAnsiTheme="minorHAnsi" w:cstheme="minorBidi"/>
          <w:sz w:val="21"/>
          <w:szCs w:val="21"/>
        </w:rPr>
        <w:t>£</w:t>
      </w:r>
      <w:r w:rsidR="00044C3D" w:rsidRPr="00C9669A">
        <w:rPr>
          <w:rFonts w:asciiTheme="minorHAnsi" w:eastAsiaTheme="minorHAnsi" w:hAnsiTheme="minorHAnsi" w:cstheme="minorBidi"/>
          <w:sz w:val="21"/>
          <w:szCs w:val="21"/>
        </w:rPr>
        <w:t>12m</w:t>
      </w:r>
      <w:r>
        <w:rPr>
          <w:rFonts w:asciiTheme="minorHAnsi" w:eastAsiaTheme="minorHAnsi" w:hAnsiTheme="minorHAnsi" w:cstheme="minorBidi"/>
          <w:sz w:val="21"/>
          <w:szCs w:val="21"/>
        </w:rPr>
        <w:t xml:space="preserve"> lower on a pro forma basis due to debt repayments during the period as well as more favourable financing which came into effect at completion.</w:t>
      </w:r>
    </w:p>
    <w:p w14:paraId="07F66590" w14:textId="77777777" w:rsidR="007D2DBA" w:rsidRPr="00BE1CF0" w:rsidRDefault="007D2DBA" w:rsidP="00BE1CF0">
      <w:pPr>
        <w:spacing w:after="120"/>
        <w:jc w:val="both"/>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Net debt at the end of the period incorporates an adjustment for unhedged foreign currency fluctuations relating to TSG USD </w:t>
      </w:r>
      <w:r w:rsidR="0013225C">
        <w:rPr>
          <w:rFonts w:asciiTheme="minorHAnsi" w:eastAsiaTheme="minorHAnsi" w:hAnsiTheme="minorHAnsi" w:cstheme="minorBidi"/>
          <w:sz w:val="21"/>
          <w:szCs w:val="21"/>
        </w:rPr>
        <w:t xml:space="preserve">and Euro </w:t>
      </w:r>
      <w:r>
        <w:rPr>
          <w:rFonts w:asciiTheme="minorHAnsi" w:eastAsiaTheme="minorHAnsi" w:hAnsiTheme="minorHAnsi" w:cstheme="minorBidi"/>
          <w:sz w:val="21"/>
          <w:szCs w:val="21"/>
        </w:rPr>
        <w:t>denominated debt prior to completion.</w:t>
      </w:r>
      <w:r w:rsidR="00375A8A">
        <w:rPr>
          <w:rFonts w:asciiTheme="minorHAnsi" w:eastAsiaTheme="minorHAnsi" w:hAnsiTheme="minorHAnsi" w:cstheme="minorBidi"/>
          <w:sz w:val="21"/>
          <w:szCs w:val="21"/>
        </w:rPr>
        <w:t xml:space="preserve"> </w:t>
      </w:r>
      <w:r w:rsidR="00375A8A" w:rsidRPr="00375A8A">
        <w:rPr>
          <w:rFonts w:asciiTheme="minorHAnsi" w:eastAsiaTheme="minorHAnsi" w:hAnsiTheme="minorHAnsi" w:cstheme="minorBidi"/>
          <w:sz w:val="21"/>
          <w:szCs w:val="21"/>
        </w:rPr>
        <w:t>At completion, the Group assumed certain cross currency swap agreements and entered a new cross currency swap agreement, as part of its strategy to hedge the impact of currency fluctuations on its leverage ratio. Changes in the fair value of these hedging derivatives are also reflected in net debt.</w:t>
      </w:r>
      <w:r w:rsidR="00375A8A">
        <w:rPr>
          <w:rFonts w:asciiTheme="minorHAnsi" w:eastAsiaTheme="minorHAnsi" w:hAnsiTheme="minorHAnsi" w:cstheme="minorBidi"/>
          <w:sz w:val="21"/>
          <w:szCs w:val="21"/>
        </w:rPr>
        <w:t xml:space="preserve"> </w:t>
      </w:r>
    </w:p>
    <w:p w14:paraId="12A2F0D9" w14:textId="77777777" w:rsidR="00942D68" w:rsidRDefault="007D2DBA" w:rsidP="00942D68">
      <w:pPr>
        <w:jc w:val="both"/>
        <w:rPr>
          <w:rFonts w:asciiTheme="minorHAnsi" w:hAnsiTheme="minorHAnsi"/>
          <w:sz w:val="21"/>
          <w:szCs w:val="21"/>
        </w:rPr>
      </w:pPr>
      <w:r w:rsidRPr="005A2E97">
        <w:rPr>
          <w:rFonts w:asciiTheme="minorHAnsi" w:hAnsiTheme="minorHAnsi"/>
          <w:sz w:val="21"/>
          <w:szCs w:val="21"/>
        </w:rPr>
        <w:t>As at 30 June 2020, the Group had net debt of £2,899m, excluding customer balances</w:t>
      </w:r>
      <w:r w:rsidR="0045631A">
        <w:rPr>
          <w:rFonts w:asciiTheme="minorHAnsi" w:hAnsiTheme="minorHAnsi"/>
          <w:sz w:val="21"/>
          <w:szCs w:val="21"/>
        </w:rPr>
        <w:t>,</w:t>
      </w:r>
      <w:r>
        <w:rPr>
          <w:rFonts w:asciiTheme="minorHAnsi" w:hAnsiTheme="minorHAnsi"/>
          <w:sz w:val="21"/>
          <w:szCs w:val="21"/>
        </w:rPr>
        <w:t xml:space="preserve"> representing a leverage ratio of 2.3 times</w:t>
      </w:r>
      <w:r w:rsidRPr="005A2E97">
        <w:rPr>
          <w:rFonts w:asciiTheme="minorHAnsi" w:hAnsiTheme="minorHAnsi"/>
          <w:sz w:val="21"/>
          <w:szCs w:val="21"/>
        </w:rPr>
        <w:t>.</w:t>
      </w:r>
    </w:p>
    <w:p w14:paraId="0FFE7CC4" w14:textId="77777777" w:rsidR="007D2DBA" w:rsidRPr="005A2E97" w:rsidRDefault="007D2DBA" w:rsidP="00942D68">
      <w:pPr>
        <w:jc w:val="both"/>
        <w:rPr>
          <w:rFonts w:asciiTheme="minorHAnsi" w:hAnsiTheme="minorHAnsi"/>
          <w:color w:val="FF0000"/>
          <w:sz w:val="12"/>
          <w:szCs w:val="12"/>
        </w:rPr>
      </w:pPr>
    </w:p>
    <w:p w14:paraId="31052D11" w14:textId="77777777" w:rsidR="00942D68" w:rsidRPr="005A2E97" w:rsidRDefault="00942D68" w:rsidP="00942D68">
      <w:pPr>
        <w:spacing w:after="120"/>
        <w:jc w:val="both"/>
        <w:rPr>
          <w:rFonts w:asciiTheme="minorHAnsi" w:hAnsiTheme="minorHAnsi"/>
          <w:b/>
          <w:sz w:val="22"/>
          <w:szCs w:val="22"/>
        </w:rPr>
      </w:pPr>
      <w:r w:rsidRPr="005A2E97">
        <w:rPr>
          <w:rFonts w:asciiTheme="minorHAnsi" w:hAnsiTheme="minorHAnsi"/>
          <w:b/>
          <w:sz w:val="22"/>
          <w:szCs w:val="22"/>
        </w:rPr>
        <w:t>Dividend</w:t>
      </w:r>
    </w:p>
    <w:p w14:paraId="2E9EB20E" w14:textId="77777777" w:rsidR="005A2E97" w:rsidRDefault="007644C7" w:rsidP="00942D68">
      <w:pPr>
        <w:spacing w:after="120"/>
        <w:jc w:val="both"/>
        <w:rPr>
          <w:rFonts w:asciiTheme="minorHAnsi" w:eastAsiaTheme="minorHAnsi" w:hAnsiTheme="minorHAnsi" w:cstheme="minorBidi"/>
          <w:sz w:val="21"/>
          <w:szCs w:val="21"/>
        </w:rPr>
      </w:pPr>
      <w:bookmarkStart w:id="5" w:name="_Hlk520104369"/>
      <w:r w:rsidRPr="005A2E97">
        <w:rPr>
          <w:rFonts w:asciiTheme="minorHAnsi" w:eastAsiaTheme="minorHAnsi" w:hAnsiTheme="minorHAnsi" w:cstheme="minorBidi"/>
          <w:sz w:val="21"/>
          <w:szCs w:val="21"/>
        </w:rPr>
        <w:t xml:space="preserve">In line with </w:t>
      </w:r>
      <w:r w:rsidR="00E44C02">
        <w:rPr>
          <w:rFonts w:asciiTheme="minorHAnsi" w:eastAsiaTheme="minorHAnsi" w:hAnsiTheme="minorHAnsi" w:cstheme="minorBidi"/>
          <w:sz w:val="21"/>
          <w:szCs w:val="21"/>
        </w:rPr>
        <w:t xml:space="preserve">our </w:t>
      </w:r>
      <w:r w:rsidRPr="005A2E97">
        <w:rPr>
          <w:rFonts w:asciiTheme="minorHAnsi" w:eastAsiaTheme="minorHAnsi" w:hAnsiTheme="minorHAnsi" w:cstheme="minorBidi"/>
          <w:sz w:val="21"/>
          <w:szCs w:val="21"/>
        </w:rPr>
        <w:t>announcement o</w:t>
      </w:r>
      <w:r w:rsidR="005A2E97" w:rsidRPr="005A2E97">
        <w:rPr>
          <w:rFonts w:asciiTheme="minorHAnsi" w:eastAsiaTheme="minorHAnsi" w:hAnsiTheme="minorHAnsi" w:cstheme="minorBidi"/>
          <w:sz w:val="21"/>
          <w:szCs w:val="21"/>
        </w:rPr>
        <w:t>f March 27</w:t>
      </w:r>
      <w:r w:rsidR="005A2E97" w:rsidRPr="005A2E97">
        <w:rPr>
          <w:rFonts w:asciiTheme="minorHAnsi" w:eastAsiaTheme="minorHAnsi" w:hAnsiTheme="minorHAnsi" w:cstheme="minorBidi"/>
          <w:sz w:val="21"/>
          <w:szCs w:val="21"/>
          <w:vertAlign w:val="superscript"/>
        </w:rPr>
        <w:t>th</w:t>
      </w:r>
      <w:r w:rsidR="005A2E97" w:rsidRPr="005A2E97">
        <w:rPr>
          <w:rFonts w:asciiTheme="minorHAnsi" w:eastAsiaTheme="minorHAnsi" w:hAnsiTheme="minorHAnsi" w:cstheme="minorBidi"/>
          <w:sz w:val="21"/>
          <w:szCs w:val="21"/>
        </w:rPr>
        <w:t xml:space="preserve"> this year, t</w:t>
      </w:r>
      <w:r w:rsidR="00942D68" w:rsidRPr="005A2E97">
        <w:rPr>
          <w:rFonts w:asciiTheme="minorHAnsi" w:eastAsiaTheme="minorHAnsi" w:hAnsiTheme="minorHAnsi" w:cstheme="minorBidi"/>
          <w:sz w:val="21"/>
          <w:szCs w:val="21"/>
        </w:rPr>
        <w:t xml:space="preserve">he </w:t>
      </w:r>
      <w:r w:rsidR="001E5AFB">
        <w:rPr>
          <w:rFonts w:asciiTheme="minorHAnsi" w:eastAsiaTheme="minorHAnsi" w:hAnsiTheme="minorHAnsi" w:cstheme="minorBidi"/>
          <w:sz w:val="21"/>
          <w:szCs w:val="21"/>
        </w:rPr>
        <w:t xml:space="preserve">Board </w:t>
      </w:r>
      <w:r w:rsidR="005A2E97" w:rsidRPr="005A2E97">
        <w:rPr>
          <w:rFonts w:asciiTheme="minorHAnsi" w:eastAsiaTheme="minorHAnsi" w:hAnsiTheme="minorHAnsi" w:cstheme="minorBidi"/>
          <w:sz w:val="21"/>
          <w:szCs w:val="21"/>
        </w:rPr>
        <w:t xml:space="preserve">has suspended </w:t>
      </w:r>
      <w:r w:rsidR="001E5AFB">
        <w:rPr>
          <w:rFonts w:asciiTheme="minorHAnsi" w:eastAsiaTheme="minorHAnsi" w:hAnsiTheme="minorHAnsi" w:cstheme="minorBidi"/>
          <w:sz w:val="21"/>
          <w:szCs w:val="21"/>
        </w:rPr>
        <w:t xml:space="preserve">the Group’s </w:t>
      </w:r>
      <w:r w:rsidR="005A2E97" w:rsidRPr="005A2E97">
        <w:rPr>
          <w:rFonts w:asciiTheme="minorHAnsi" w:eastAsiaTheme="minorHAnsi" w:hAnsiTheme="minorHAnsi" w:cstheme="minorBidi"/>
          <w:sz w:val="21"/>
          <w:szCs w:val="21"/>
        </w:rPr>
        <w:t>dividend for the current financial year ending 31 De</w:t>
      </w:r>
      <w:r w:rsidR="005A2E97" w:rsidRPr="001E5AFB">
        <w:rPr>
          <w:rFonts w:asciiTheme="minorHAnsi" w:eastAsiaTheme="minorHAnsi" w:hAnsiTheme="minorHAnsi" w:cstheme="minorBidi"/>
          <w:sz w:val="21"/>
          <w:szCs w:val="21"/>
        </w:rPr>
        <w:t xml:space="preserve">cember 2020 (2019 interim dividend 67p per share). The Board is committed to reviewing dividend policy once </w:t>
      </w:r>
      <w:r w:rsidR="001E5AFB">
        <w:rPr>
          <w:rFonts w:asciiTheme="minorHAnsi" w:eastAsiaTheme="minorHAnsi" w:hAnsiTheme="minorHAnsi" w:cstheme="minorBidi"/>
          <w:sz w:val="21"/>
          <w:szCs w:val="21"/>
        </w:rPr>
        <w:t xml:space="preserve">the Group </w:t>
      </w:r>
      <w:r w:rsidR="005A2E97" w:rsidRPr="001E5AFB">
        <w:rPr>
          <w:rFonts w:asciiTheme="minorHAnsi" w:eastAsiaTheme="minorHAnsi" w:hAnsiTheme="minorHAnsi" w:cstheme="minorBidi"/>
          <w:sz w:val="21"/>
          <w:szCs w:val="21"/>
        </w:rPr>
        <w:t xml:space="preserve">returns to its </w:t>
      </w:r>
      <w:r w:rsidR="001E5AFB">
        <w:rPr>
          <w:rFonts w:asciiTheme="minorHAnsi" w:eastAsiaTheme="minorHAnsi" w:hAnsiTheme="minorHAnsi" w:cstheme="minorBidi"/>
          <w:sz w:val="21"/>
          <w:szCs w:val="21"/>
        </w:rPr>
        <w:t xml:space="preserve">medium-term </w:t>
      </w:r>
      <w:r w:rsidR="005A2E97" w:rsidRPr="001E5AFB">
        <w:rPr>
          <w:rFonts w:asciiTheme="minorHAnsi" w:hAnsiTheme="minorHAnsi" w:cstheme="minorHAnsi"/>
          <w:sz w:val="22"/>
          <w:szCs w:val="22"/>
        </w:rPr>
        <w:t>leverage target of 1-2x.</w:t>
      </w:r>
      <w:r w:rsidR="005A2E97">
        <w:rPr>
          <w:rFonts w:asciiTheme="minorHAnsi" w:hAnsiTheme="minorHAnsi" w:cstheme="minorHAnsi"/>
          <w:sz w:val="22"/>
          <w:szCs w:val="22"/>
        </w:rPr>
        <w:t xml:space="preserve"> </w:t>
      </w:r>
    </w:p>
    <w:bookmarkEnd w:id="5"/>
    <w:p w14:paraId="19218480" w14:textId="77777777" w:rsidR="00942D68" w:rsidRPr="005A2E97" w:rsidRDefault="00942D68" w:rsidP="00942D68">
      <w:pPr>
        <w:spacing w:after="120"/>
        <w:jc w:val="both"/>
        <w:rPr>
          <w:rFonts w:asciiTheme="minorHAnsi" w:hAnsiTheme="minorHAnsi"/>
          <w:b/>
          <w:sz w:val="22"/>
          <w:szCs w:val="22"/>
        </w:rPr>
      </w:pPr>
      <w:r w:rsidRPr="005A2E97">
        <w:rPr>
          <w:rFonts w:asciiTheme="minorHAnsi" w:hAnsiTheme="minorHAnsi"/>
          <w:b/>
          <w:sz w:val="22"/>
          <w:szCs w:val="22"/>
        </w:rPr>
        <w:t>______________________________________________________________________________________</w:t>
      </w:r>
    </w:p>
    <w:p w14:paraId="35E4EBEE" w14:textId="77777777" w:rsidR="00942D68" w:rsidRPr="00B16C7A" w:rsidRDefault="00942D68" w:rsidP="005A2E97">
      <w:pPr>
        <w:jc w:val="both"/>
        <w:rPr>
          <w:rFonts w:asciiTheme="minorHAnsi" w:hAnsiTheme="minorHAnsi"/>
          <w:i/>
          <w:sz w:val="18"/>
          <w:szCs w:val="18"/>
          <w:highlight w:val="yellow"/>
        </w:rPr>
      </w:pPr>
      <w:r w:rsidRPr="005A2E97">
        <w:rPr>
          <w:rFonts w:asciiTheme="minorHAnsi" w:hAnsiTheme="minorHAnsi"/>
          <w:i/>
          <w:sz w:val="18"/>
          <w:szCs w:val="18"/>
          <w:vertAlign w:val="superscript"/>
        </w:rPr>
        <w:lastRenderedPageBreak/>
        <w:t>1</w:t>
      </w:r>
      <w:r w:rsidRPr="005A2E97">
        <w:rPr>
          <w:rFonts w:asciiTheme="minorHAnsi" w:hAnsiTheme="minorHAnsi"/>
          <w:i/>
          <w:sz w:val="18"/>
          <w:szCs w:val="18"/>
        </w:rPr>
        <w:t xml:space="preserve"> The “Adjusted” measures exclude separately</w:t>
      </w:r>
      <w:r w:rsidRPr="00B16C7A">
        <w:rPr>
          <w:rFonts w:asciiTheme="minorHAnsi" w:hAnsiTheme="minorHAnsi"/>
          <w:i/>
          <w:sz w:val="18"/>
          <w:szCs w:val="18"/>
        </w:rPr>
        <w:t xml:space="preserve"> disclosed items, that are not part of the usual business activity of the </w:t>
      </w:r>
      <w:proofErr w:type="gramStart"/>
      <w:r w:rsidRPr="00B16C7A">
        <w:rPr>
          <w:rFonts w:asciiTheme="minorHAnsi" w:hAnsiTheme="minorHAnsi"/>
          <w:i/>
          <w:sz w:val="18"/>
          <w:szCs w:val="18"/>
        </w:rPr>
        <w:t>Group, and</w:t>
      </w:r>
      <w:proofErr w:type="gramEnd"/>
      <w:r w:rsidRPr="00B16C7A">
        <w:rPr>
          <w:rFonts w:asciiTheme="minorHAnsi" w:hAnsiTheme="minorHAnsi"/>
          <w:i/>
          <w:sz w:val="18"/>
          <w:szCs w:val="18"/>
        </w:rPr>
        <w:t xml:space="preserve"> have been therefore reported as “separately disclosed items” </w:t>
      </w:r>
      <w:r w:rsidRPr="00886A51">
        <w:rPr>
          <w:rFonts w:asciiTheme="minorHAnsi" w:hAnsiTheme="minorHAnsi"/>
          <w:i/>
          <w:sz w:val="18"/>
          <w:szCs w:val="18"/>
        </w:rPr>
        <w:t>(see note 5 to the financial statements).</w:t>
      </w:r>
    </w:p>
    <w:p w14:paraId="2A3BE39A" w14:textId="77777777" w:rsidR="00942D68" w:rsidRPr="00B16C7A" w:rsidRDefault="00942D68" w:rsidP="005A2E97">
      <w:pPr>
        <w:jc w:val="both"/>
        <w:rPr>
          <w:rFonts w:asciiTheme="minorHAnsi" w:hAnsiTheme="minorHAnsi"/>
          <w:i/>
          <w:sz w:val="18"/>
          <w:szCs w:val="18"/>
          <w:highlight w:val="green"/>
        </w:rPr>
      </w:pPr>
      <w:r w:rsidRPr="00B16C7A">
        <w:rPr>
          <w:rFonts w:asciiTheme="minorHAnsi" w:hAnsiTheme="minorHAnsi"/>
          <w:i/>
          <w:sz w:val="18"/>
          <w:szCs w:val="18"/>
          <w:vertAlign w:val="superscript"/>
        </w:rPr>
        <w:t xml:space="preserve">2 </w:t>
      </w:r>
      <w:r w:rsidRPr="00B16C7A">
        <w:rPr>
          <w:rFonts w:asciiTheme="minorHAnsi" w:hAnsiTheme="minorHAnsi"/>
          <w:i/>
          <w:sz w:val="18"/>
          <w:szCs w:val="18"/>
        </w:rPr>
        <w:t>EBITDA is profit before interest, tax, depreciation and amortisation expenses and is a non-GAAP measure. The Group uses EBITDA, Adjusted EBITDA and Adjusted operating profit to comment on its financial performance. These measures are used internally to evaluate performance, to establish strategic goals and to allocate resources. The directors also consider that these are commonly reported and widely used by investors as an indicator of operating performance and ability to incur and service debt, and as a valuation metric. These are non-GAAP financial measures and are not prepared in accordance with IFRS and, as not uniformly defined terms, these may not be comparable with measures used by other companies to the extent they do not follow the same methodology used by the Group. Non-GAAP measures should not be viewed in isolation, nor considered as a substitute for measures reported in accordance with IFRS. All of the adjustments shown have been taken from the financial statements.</w:t>
      </w:r>
    </w:p>
    <w:p w14:paraId="56975220" w14:textId="77777777" w:rsidR="000B18F6" w:rsidRPr="00930765" w:rsidRDefault="000B18F6" w:rsidP="000B18F6">
      <w:pPr>
        <w:jc w:val="both"/>
        <w:rPr>
          <w:rFonts w:asciiTheme="minorHAnsi" w:hAnsiTheme="minorHAnsi"/>
          <w:i/>
          <w:color w:val="FF0000"/>
          <w:sz w:val="18"/>
          <w:szCs w:val="18"/>
          <w:vertAlign w:val="superscript"/>
        </w:rPr>
      </w:pPr>
      <w:r>
        <w:rPr>
          <w:rFonts w:asciiTheme="minorHAnsi" w:hAnsiTheme="minorHAnsi"/>
          <w:i/>
          <w:sz w:val="18"/>
          <w:szCs w:val="18"/>
          <w:vertAlign w:val="superscript"/>
        </w:rPr>
        <w:t>3</w:t>
      </w:r>
      <w:r w:rsidRPr="00B16C7A">
        <w:rPr>
          <w:rFonts w:asciiTheme="minorHAnsi" w:hAnsiTheme="minorHAnsi"/>
          <w:i/>
          <w:sz w:val="18"/>
          <w:szCs w:val="18"/>
          <w:vertAlign w:val="superscript"/>
        </w:rPr>
        <w:t xml:space="preserve"> </w:t>
      </w:r>
      <w:r w:rsidRPr="00B16C7A">
        <w:rPr>
          <w:rFonts w:asciiTheme="minorHAnsi" w:hAnsiTheme="minorHAnsi"/>
          <w:i/>
          <w:sz w:val="18"/>
          <w:szCs w:val="18"/>
        </w:rPr>
        <w:t>Flutter’s combination with TSG completed on May 5 2020. The pro forma numbers presented show the Group’s financials with TSG included for a full 6-month period in both 2019 and 2020. The pro forma numbers include a 6-month contribution from Adjarabet in 2019 (completion date: Feb 1 2019). See Appendix 4 for a reconciliation of pro forma results to statutory results</w:t>
      </w:r>
      <w:r>
        <w:rPr>
          <w:rFonts w:asciiTheme="minorHAnsi" w:hAnsiTheme="minorHAnsi"/>
          <w:i/>
          <w:sz w:val="18"/>
          <w:szCs w:val="18"/>
        </w:rPr>
        <w:t>.</w:t>
      </w:r>
    </w:p>
    <w:p w14:paraId="063684E6" w14:textId="77777777" w:rsidR="000B18F6" w:rsidRPr="00930765" w:rsidRDefault="000B18F6" w:rsidP="000B18F6">
      <w:pPr>
        <w:jc w:val="both"/>
        <w:rPr>
          <w:rFonts w:asciiTheme="minorHAnsi" w:hAnsiTheme="minorHAnsi"/>
          <w:i/>
          <w:sz w:val="18"/>
          <w:szCs w:val="18"/>
        </w:rPr>
      </w:pPr>
      <w:r>
        <w:rPr>
          <w:rFonts w:asciiTheme="minorHAnsi" w:hAnsiTheme="minorHAnsi"/>
          <w:i/>
          <w:sz w:val="18"/>
          <w:szCs w:val="18"/>
          <w:vertAlign w:val="superscript"/>
        </w:rPr>
        <w:t>4</w:t>
      </w:r>
      <w:r w:rsidRPr="00930765">
        <w:rPr>
          <w:rFonts w:asciiTheme="minorHAnsi" w:hAnsiTheme="minorHAnsi"/>
          <w:i/>
          <w:sz w:val="18"/>
          <w:szCs w:val="18"/>
          <w:vertAlign w:val="superscript"/>
        </w:rPr>
        <w:t xml:space="preserve"> </w:t>
      </w:r>
      <w:r w:rsidRPr="00930765">
        <w:rPr>
          <w:rFonts w:asciiTheme="minorHAnsi" w:hAnsiTheme="minorHAnsi"/>
          <w:i/>
          <w:sz w:val="18"/>
          <w:szCs w:val="18"/>
        </w:rPr>
        <w:t xml:space="preserve">Growth rates in the commentary are in local or constant </w:t>
      </w:r>
      <w:r w:rsidRPr="001E6AB6">
        <w:rPr>
          <w:rFonts w:asciiTheme="minorHAnsi" w:hAnsiTheme="minorHAnsi"/>
          <w:i/>
          <w:sz w:val="18"/>
          <w:szCs w:val="18"/>
        </w:rPr>
        <w:t>currency</w:t>
      </w:r>
      <w:r w:rsidR="00D176F2" w:rsidRPr="00C9669A">
        <w:rPr>
          <w:rFonts w:asciiTheme="minorHAnsi" w:hAnsiTheme="minorHAnsi"/>
          <w:i/>
          <w:sz w:val="18"/>
          <w:szCs w:val="18"/>
          <w:vertAlign w:val="superscript"/>
        </w:rPr>
        <w:t>12</w:t>
      </w:r>
      <w:r w:rsidRPr="001E6AB6">
        <w:rPr>
          <w:rFonts w:asciiTheme="minorHAnsi" w:hAnsiTheme="minorHAnsi"/>
          <w:i/>
          <w:sz w:val="18"/>
          <w:szCs w:val="18"/>
        </w:rPr>
        <w:t xml:space="preserve"> except</w:t>
      </w:r>
      <w:r w:rsidRPr="00D176F2">
        <w:rPr>
          <w:rFonts w:asciiTheme="minorHAnsi" w:hAnsiTheme="minorHAnsi"/>
          <w:i/>
          <w:sz w:val="18"/>
          <w:szCs w:val="18"/>
        </w:rPr>
        <w:t xml:space="preserve"> reported numbers which are in nominal currency.</w:t>
      </w:r>
      <w:r w:rsidRPr="00930765">
        <w:rPr>
          <w:rFonts w:asciiTheme="minorHAnsi" w:hAnsiTheme="minorHAnsi"/>
          <w:i/>
          <w:sz w:val="18"/>
          <w:szCs w:val="18"/>
        </w:rPr>
        <w:t xml:space="preserve"> </w:t>
      </w:r>
    </w:p>
    <w:p w14:paraId="749514EA" w14:textId="77777777" w:rsidR="00641E3F" w:rsidRDefault="00641E3F" w:rsidP="00641E3F">
      <w:pPr>
        <w:jc w:val="both"/>
        <w:rPr>
          <w:rFonts w:asciiTheme="minorHAnsi" w:hAnsiTheme="minorHAnsi"/>
          <w:i/>
          <w:sz w:val="18"/>
          <w:szCs w:val="18"/>
        </w:rPr>
      </w:pPr>
      <w:r>
        <w:rPr>
          <w:rFonts w:asciiTheme="minorHAnsi" w:hAnsiTheme="minorHAnsi"/>
          <w:i/>
          <w:sz w:val="18"/>
          <w:szCs w:val="18"/>
          <w:vertAlign w:val="superscript"/>
        </w:rPr>
        <w:t>5</w:t>
      </w:r>
      <w:r w:rsidRPr="00B16C7A">
        <w:rPr>
          <w:rFonts w:asciiTheme="minorHAnsi" w:hAnsiTheme="minorHAnsi"/>
          <w:i/>
          <w:sz w:val="18"/>
          <w:szCs w:val="18"/>
          <w:vertAlign w:val="superscript"/>
        </w:rPr>
        <w:t xml:space="preserve"> </w:t>
      </w:r>
      <w:r w:rsidRPr="00B16C7A">
        <w:rPr>
          <w:rFonts w:asciiTheme="minorHAnsi" w:hAnsiTheme="minorHAnsi"/>
          <w:i/>
          <w:sz w:val="18"/>
          <w:szCs w:val="18"/>
        </w:rPr>
        <w:t>Market share refers to total FanDuel and FoxBet's share of the online gross gaming revenue for H1 2020 in the states in which FanDuel was live. Sports betting: Colorado, Indiana, New Jersey, Pennsylvania, West Virginia. iGaming: New Jersey and Pennsylvania.</w:t>
      </w:r>
    </w:p>
    <w:p w14:paraId="1650390A" w14:textId="77777777" w:rsidR="00641E3F" w:rsidRPr="009F2EC7" w:rsidRDefault="00641E3F" w:rsidP="00C9669A">
      <w:pPr>
        <w:jc w:val="both"/>
        <w:rPr>
          <w:rFonts w:asciiTheme="minorHAnsi" w:hAnsiTheme="minorHAnsi"/>
          <w:sz w:val="18"/>
          <w:szCs w:val="18"/>
          <w:lang w:val="en-IE" w:eastAsia="en-IE"/>
        </w:rPr>
      </w:pPr>
      <w:r>
        <w:rPr>
          <w:rFonts w:asciiTheme="minorHAnsi" w:hAnsiTheme="minorHAnsi"/>
          <w:i/>
          <w:sz w:val="18"/>
          <w:szCs w:val="18"/>
          <w:vertAlign w:val="superscript"/>
        </w:rPr>
        <w:t>6</w:t>
      </w:r>
      <w:r w:rsidRPr="009F2EC7">
        <w:rPr>
          <w:rFonts w:asciiTheme="minorHAnsi" w:hAnsiTheme="minorHAnsi"/>
          <w:i/>
          <w:sz w:val="18"/>
          <w:szCs w:val="18"/>
          <w:vertAlign w:val="superscript"/>
        </w:rPr>
        <w:t xml:space="preserve"> </w:t>
      </w:r>
      <w:r>
        <w:rPr>
          <w:rFonts w:asciiTheme="minorHAnsi" w:hAnsiTheme="minorHAnsi"/>
          <w:i/>
          <w:sz w:val="18"/>
          <w:szCs w:val="18"/>
        </w:rPr>
        <w:t xml:space="preserve">Source: </w:t>
      </w:r>
      <w:proofErr w:type="spellStart"/>
      <w:r>
        <w:rPr>
          <w:rFonts w:asciiTheme="minorHAnsi" w:hAnsiTheme="minorHAnsi"/>
          <w:i/>
          <w:sz w:val="18"/>
          <w:szCs w:val="18"/>
        </w:rPr>
        <w:t>Populus</w:t>
      </w:r>
      <w:proofErr w:type="spellEnd"/>
      <w:r>
        <w:rPr>
          <w:rFonts w:asciiTheme="minorHAnsi" w:hAnsiTheme="minorHAnsi"/>
          <w:i/>
          <w:sz w:val="18"/>
          <w:szCs w:val="18"/>
        </w:rPr>
        <w:t xml:space="preserve"> research, n=4,996</w:t>
      </w:r>
    </w:p>
    <w:p w14:paraId="1EA8FAFE" w14:textId="77777777" w:rsidR="00D176F2" w:rsidRPr="00B16C7A" w:rsidRDefault="00D176F2" w:rsidP="001E6AB6">
      <w:pPr>
        <w:jc w:val="both"/>
        <w:rPr>
          <w:rFonts w:asciiTheme="minorHAnsi" w:hAnsiTheme="minorHAnsi"/>
          <w:i/>
          <w:sz w:val="18"/>
          <w:szCs w:val="18"/>
        </w:rPr>
      </w:pPr>
      <w:r>
        <w:rPr>
          <w:rFonts w:asciiTheme="minorHAnsi" w:hAnsiTheme="minorHAnsi"/>
          <w:i/>
          <w:sz w:val="18"/>
          <w:szCs w:val="18"/>
          <w:vertAlign w:val="superscript"/>
        </w:rPr>
        <w:t>7</w:t>
      </w:r>
      <w:r w:rsidRPr="00EF4107">
        <w:rPr>
          <w:rFonts w:asciiTheme="minorHAnsi" w:hAnsiTheme="minorHAnsi"/>
          <w:i/>
          <w:sz w:val="18"/>
          <w:szCs w:val="18"/>
          <w:vertAlign w:val="superscript"/>
        </w:rPr>
        <w:t xml:space="preserve"> </w:t>
      </w:r>
      <w:r>
        <w:rPr>
          <w:rFonts w:asciiTheme="minorHAnsi" w:hAnsiTheme="minorHAnsi"/>
          <w:i/>
          <w:sz w:val="18"/>
          <w:szCs w:val="18"/>
        </w:rPr>
        <w:t>Source: H2GC.</w:t>
      </w:r>
    </w:p>
    <w:p w14:paraId="53B1AB41" w14:textId="77777777" w:rsidR="000B18F6" w:rsidRDefault="00D176F2" w:rsidP="00B16C7A">
      <w:pPr>
        <w:jc w:val="both"/>
        <w:rPr>
          <w:rFonts w:asciiTheme="minorHAnsi" w:hAnsiTheme="minorHAnsi"/>
          <w:i/>
          <w:sz w:val="18"/>
          <w:szCs w:val="18"/>
          <w:vertAlign w:val="superscript"/>
        </w:rPr>
      </w:pPr>
      <w:r w:rsidRPr="00B16C7A">
        <w:rPr>
          <w:rFonts w:asciiTheme="minorHAnsi" w:hAnsiTheme="minorHAnsi"/>
          <w:i/>
          <w:sz w:val="18"/>
          <w:szCs w:val="18"/>
          <w:vertAlign w:val="superscript"/>
        </w:rPr>
        <w:t xml:space="preserve">8 </w:t>
      </w:r>
      <w:r w:rsidRPr="00B16C7A">
        <w:rPr>
          <w:rFonts w:asciiTheme="minorHAnsi" w:hAnsiTheme="minorHAnsi"/>
          <w:i/>
          <w:sz w:val="18"/>
          <w:szCs w:val="18"/>
        </w:rPr>
        <w:t>The leverage ratio is calculated using pro forma Adjusted EBITDA for the 12-month period to 30 June 2020</w:t>
      </w:r>
      <w:r>
        <w:rPr>
          <w:rFonts w:asciiTheme="minorHAnsi" w:hAnsiTheme="minorHAnsi"/>
          <w:i/>
          <w:sz w:val="18"/>
          <w:szCs w:val="18"/>
        </w:rPr>
        <w:t>.</w:t>
      </w:r>
    </w:p>
    <w:p w14:paraId="6203B34E" w14:textId="77777777" w:rsidR="00D176F2" w:rsidRPr="00930765" w:rsidRDefault="00D176F2" w:rsidP="00D176F2">
      <w:pPr>
        <w:jc w:val="both"/>
        <w:rPr>
          <w:rFonts w:asciiTheme="minorHAnsi" w:hAnsiTheme="minorHAnsi"/>
          <w:i/>
          <w:sz w:val="18"/>
          <w:szCs w:val="18"/>
          <w:lang w:val="en-IE" w:eastAsia="en-IE"/>
        </w:rPr>
      </w:pPr>
      <w:r>
        <w:rPr>
          <w:rFonts w:asciiTheme="minorHAnsi" w:hAnsiTheme="minorHAnsi"/>
          <w:i/>
          <w:sz w:val="18"/>
          <w:szCs w:val="18"/>
          <w:vertAlign w:val="superscript"/>
        </w:rPr>
        <w:t>9</w:t>
      </w:r>
      <w:r w:rsidRPr="00930765">
        <w:rPr>
          <w:rFonts w:asciiTheme="minorHAnsi" w:hAnsiTheme="minorHAnsi"/>
          <w:i/>
          <w:sz w:val="18"/>
          <w:szCs w:val="18"/>
          <w:vertAlign w:val="superscript"/>
        </w:rPr>
        <w:t xml:space="preserve"> </w:t>
      </w:r>
      <w:r w:rsidRPr="00930765">
        <w:rPr>
          <w:rFonts w:asciiTheme="minorHAnsi" w:hAnsiTheme="minorHAnsi"/>
          <w:i/>
          <w:sz w:val="18"/>
          <w:szCs w:val="18"/>
          <w:lang w:val="en-IE" w:eastAsia="en-IE"/>
        </w:rPr>
        <w:t>A full reconciliation of previously reported financials to presented pro forma financials can be found in Appendix 3.</w:t>
      </w:r>
    </w:p>
    <w:p w14:paraId="4302973F" w14:textId="77777777" w:rsidR="00D176F2" w:rsidRDefault="00D176F2" w:rsidP="00D176F2">
      <w:pPr>
        <w:jc w:val="both"/>
        <w:rPr>
          <w:rFonts w:asciiTheme="minorHAnsi" w:hAnsiTheme="minorHAnsi"/>
          <w:i/>
          <w:sz w:val="18"/>
          <w:szCs w:val="18"/>
        </w:rPr>
      </w:pPr>
      <w:r>
        <w:rPr>
          <w:rFonts w:asciiTheme="minorHAnsi" w:hAnsiTheme="minorHAnsi"/>
          <w:i/>
          <w:sz w:val="18"/>
          <w:szCs w:val="18"/>
          <w:vertAlign w:val="superscript"/>
        </w:rPr>
        <w:t>10</w:t>
      </w:r>
      <w:r w:rsidRPr="009F2EC7">
        <w:rPr>
          <w:rFonts w:asciiTheme="minorHAnsi" w:hAnsiTheme="minorHAnsi"/>
          <w:i/>
          <w:sz w:val="18"/>
          <w:szCs w:val="18"/>
          <w:vertAlign w:val="superscript"/>
        </w:rPr>
        <w:t xml:space="preserve"> </w:t>
      </w:r>
      <w:r>
        <w:rPr>
          <w:rFonts w:asciiTheme="minorHAnsi" w:hAnsiTheme="minorHAnsi"/>
          <w:i/>
          <w:sz w:val="18"/>
          <w:szCs w:val="18"/>
        </w:rPr>
        <w:t xml:space="preserve">Reported revenue and cost of sales </w:t>
      </w:r>
      <w:r w:rsidRPr="00980F05">
        <w:rPr>
          <w:rFonts w:asciiTheme="minorHAnsi" w:hAnsiTheme="minorHAnsi"/>
          <w:i/>
          <w:sz w:val="18"/>
          <w:szCs w:val="18"/>
        </w:rPr>
        <w:t>exclude SDIs which relate to a £13.7m refund of VAT from the HMRC, based on the historic incorrect application of VAT to UK gaming machines</w:t>
      </w:r>
      <w:r>
        <w:rPr>
          <w:rFonts w:asciiTheme="minorHAnsi" w:hAnsiTheme="minorHAnsi"/>
          <w:i/>
          <w:sz w:val="18"/>
          <w:szCs w:val="18"/>
        </w:rPr>
        <w:t>.</w:t>
      </w:r>
    </w:p>
    <w:p w14:paraId="5571128B" w14:textId="77777777" w:rsidR="00D176F2" w:rsidRDefault="00D176F2" w:rsidP="00D176F2">
      <w:pPr>
        <w:rPr>
          <w:rFonts w:asciiTheme="minorHAnsi" w:hAnsiTheme="minorHAnsi"/>
          <w:color w:val="FF0000"/>
          <w:sz w:val="18"/>
          <w:szCs w:val="18"/>
        </w:rPr>
      </w:pPr>
      <w:r>
        <w:rPr>
          <w:rFonts w:asciiTheme="minorHAnsi" w:hAnsiTheme="minorHAnsi"/>
          <w:i/>
          <w:sz w:val="18"/>
          <w:szCs w:val="18"/>
          <w:vertAlign w:val="superscript"/>
        </w:rPr>
        <w:t>11</w:t>
      </w:r>
      <w:r w:rsidRPr="009F2EC7">
        <w:rPr>
          <w:rFonts w:asciiTheme="minorHAnsi" w:hAnsiTheme="minorHAnsi"/>
          <w:i/>
          <w:sz w:val="18"/>
          <w:szCs w:val="18"/>
          <w:vertAlign w:val="superscript"/>
        </w:rPr>
        <w:t xml:space="preserve"> </w:t>
      </w:r>
      <w:r w:rsidRPr="004A049B">
        <w:rPr>
          <w:rFonts w:asciiTheme="minorHAnsi" w:hAnsiTheme="minorHAnsi"/>
          <w:i/>
          <w:sz w:val="18"/>
          <w:szCs w:val="18"/>
        </w:rPr>
        <w:t>Reported represents the IAS 34 reported numbers.  Where amounts in the table have been normalised for SDIs they are labelled as adjusted.</w:t>
      </w:r>
    </w:p>
    <w:p w14:paraId="6DE14359" w14:textId="77777777" w:rsidR="00D176F2" w:rsidRPr="00B16C7A" w:rsidRDefault="00D176F2" w:rsidP="00D176F2">
      <w:pPr>
        <w:jc w:val="both"/>
        <w:rPr>
          <w:rFonts w:asciiTheme="minorHAnsi" w:hAnsiTheme="minorHAnsi"/>
          <w:i/>
          <w:sz w:val="18"/>
          <w:szCs w:val="18"/>
          <w:highlight w:val="yellow"/>
        </w:rPr>
      </w:pPr>
      <w:r>
        <w:rPr>
          <w:rFonts w:asciiTheme="minorHAnsi" w:hAnsiTheme="minorHAnsi"/>
          <w:i/>
          <w:sz w:val="18"/>
          <w:szCs w:val="18"/>
          <w:vertAlign w:val="superscript"/>
        </w:rPr>
        <w:t>12</w:t>
      </w:r>
      <w:r w:rsidRPr="00B16C7A">
        <w:rPr>
          <w:rFonts w:asciiTheme="minorHAnsi" w:hAnsiTheme="minorHAnsi"/>
          <w:i/>
          <w:sz w:val="18"/>
          <w:szCs w:val="18"/>
          <w:vertAlign w:val="superscript"/>
        </w:rPr>
        <w:t xml:space="preserve"> </w:t>
      </w:r>
      <w:r w:rsidRPr="00B16C7A">
        <w:rPr>
          <w:rFonts w:asciiTheme="minorHAnsi" w:hAnsiTheme="minorHAnsi"/>
          <w:i/>
          <w:sz w:val="18"/>
          <w:szCs w:val="18"/>
        </w:rPr>
        <w:t>Constant currency (“cc”) growth throughout the Business Review and Operating &amp; Financial Review is calculated by retranslating the non-sterling denominated component of H1 2019 at H1 2020 exchange rates (see Appendix 5).</w:t>
      </w:r>
    </w:p>
    <w:p w14:paraId="75E199E6" w14:textId="77777777" w:rsidR="00D176F2" w:rsidRDefault="00D176F2" w:rsidP="00D176F2">
      <w:pPr>
        <w:jc w:val="both"/>
        <w:rPr>
          <w:rFonts w:asciiTheme="minorHAnsi" w:hAnsiTheme="minorHAnsi"/>
          <w:i/>
          <w:sz w:val="18"/>
          <w:szCs w:val="18"/>
        </w:rPr>
      </w:pPr>
      <w:r>
        <w:rPr>
          <w:rFonts w:asciiTheme="minorHAnsi" w:hAnsiTheme="minorHAnsi"/>
          <w:i/>
          <w:sz w:val="18"/>
          <w:szCs w:val="18"/>
          <w:vertAlign w:val="superscript"/>
        </w:rPr>
        <w:t>13</w:t>
      </w:r>
      <w:r w:rsidRPr="009F2EC7">
        <w:rPr>
          <w:rFonts w:asciiTheme="minorHAnsi" w:hAnsiTheme="minorHAnsi"/>
          <w:i/>
          <w:sz w:val="18"/>
          <w:szCs w:val="18"/>
          <w:vertAlign w:val="superscript"/>
        </w:rPr>
        <w:t xml:space="preserve"> </w:t>
      </w:r>
      <w:r w:rsidRPr="00456A99">
        <w:rPr>
          <w:rFonts w:asciiTheme="minorHAnsi" w:hAnsiTheme="minorHAnsi"/>
          <w:i/>
          <w:sz w:val="18"/>
          <w:szCs w:val="18"/>
        </w:rPr>
        <w:t>The 2019 earnings per share figures have been restated to incorporate the 1,312,260 new Flutter ordinary shares that were issued in May 2020 as payment of the 2019 final dividend. The weighted average number of shares in issue during the period was adjusted to include these bonus shares as if they were issued 1 January, 2019</w:t>
      </w:r>
      <w:r>
        <w:rPr>
          <w:rFonts w:asciiTheme="minorHAnsi" w:hAnsiTheme="minorHAnsi"/>
          <w:i/>
          <w:sz w:val="18"/>
          <w:szCs w:val="18"/>
        </w:rPr>
        <w:t>.</w:t>
      </w:r>
    </w:p>
    <w:p w14:paraId="6ADA1466" w14:textId="77777777" w:rsidR="00942D68" w:rsidRPr="00930765" w:rsidRDefault="00D176F2" w:rsidP="00930765">
      <w:pPr>
        <w:jc w:val="both"/>
        <w:rPr>
          <w:rFonts w:asciiTheme="minorHAnsi" w:hAnsiTheme="minorHAnsi"/>
          <w:i/>
          <w:sz w:val="18"/>
          <w:szCs w:val="18"/>
        </w:rPr>
      </w:pPr>
      <w:r>
        <w:rPr>
          <w:rFonts w:asciiTheme="minorHAnsi" w:hAnsiTheme="minorHAnsi"/>
          <w:i/>
          <w:sz w:val="18"/>
          <w:szCs w:val="18"/>
          <w:vertAlign w:val="superscript"/>
        </w:rPr>
        <w:t>14</w:t>
      </w:r>
      <w:r w:rsidR="00942D68" w:rsidRPr="00930765">
        <w:rPr>
          <w:rFonts w:asciiTheme="minorHAnsi" w:hAnsiTheme="minorHAnsi"/>
          <w:i/>
          <w:sz w:val="18"/>
          <w:szCs w:val="18"/>
        </w:rPr>
        <w:t xml:space="preserve"> Net </w:t>
      </w:r>
      <w:r w:rsidR="007C322D">
        <w:rPr>
          <w:rFonts w:asciiTheme="minorHAnsi" w:hAnsiTheme="minorHAnsi"/>
          <w:i/>
          <w:sz w:val="18"/>
          <w:szCs w:val="18"/>
        </w:rPr>
        <w:t>debt</w:t>
      </w:r>
      <w:r w:rsidR="00942D68" w:rsidRPr="00930765">
        <w:rPr>
          <w:rFonts w:asciiTheme="minorHAnsi" w:hAnsiTheme="minorHAnsi"/>
          <w:i/>
          <w:sz w:val="18"/>
          <w:szCs w:val="18"/>
        </w:rPr>
        <w:t xml:space="preserve"> at 30 June 2020 </w:t>
      </w:r>
      <w:r>
        <w:rPr>
          <w:rFonts w:asciiTheme="minorHAnsi" w:hAnsiTheme="minorHAnsi"/>
          <w:i/>
          <w:sz w:val="18"/>
          <w:szCs w:val="18"/>
        </w:rPr>
        <w:t>is the p</w:t>
      </w:r>
      <w:r w:rsidRPr="00D176F2">
        <w:rPr>
          <w:rFonts w:asciiTheme="minorHAnsi" w:hAnsiTheme="minorHAnsi"/>
          <w:i/>
          <w:sz w:val="18"/>
          <w:szCs w:val="18"/>
        </w:rPr>
        <w:t>rincipal amount of borrowings plus associated accrued interest, minus cash &amp; cash equivalents plus/minus carrying value of debt related derivatives</w:t>
      </w:r>
      <w:r>
        <w:rPr>
          <w:rFonts w:asciiTheme="minorHAnsi" w:hAnsiTheme="minorHAnsi"/>
          <w:i/>
          <w:sz w:val="18"/>
          <w:szCs w:val="18"/>
        </w:rPr>
        <w:t>. This</w:t>
      </w:r>
      <w:r w:rsidRPr="00D176F2">
        <w:rPr>
          <w:rFonts w:asciiTheme="minorHAnsi" w:hAnsiTheme="minorHAnsi"/>
          <w:i/>
          <w:sz w:val="18"/>
          <w:szCs w:val="18"/>
        </w:rPr>
        <w:t xml:space="preserve"> </w:t>
      </w:r>
      <w:r w:rsidR="00942D68" w:rsidRPr="00930765">
        <w:rPr>
          <w:rFonts w:asciiTheme="minorHAnsi" w:hAnsiTheme="minorHAnsi"/>
          <w:i/>
          <w:sz w:val="18"/>
          <w:szCs w:val="18"/>
        </w:rPr>
        <w:t xml:space="preserve">comprised of gross cash excluding customer </w:t>
      </w:r>
      <w:r w:rsidR="00942D68" w:rsidRPr="00157AA2">
        <w:rPr>
          <w:rFonts w:asciiTheme="minorHAnsi" w:hAnsiTheme="minorHAnsi"/>
          <w:i/>
          <w:sz w:val="18"/>
          <w:szCs w:val="18"/>
        </w:rPr>
        <w:t xml:space="preserve">balances of </w:t>
      </w:r>
      <w:r w:rsidR="00942D68" w:rsidRPr="00886A51">
        <w:rPr>
          <w:rFonts w:asciiTheme="minorHAnsi" w:hAnsiTheme="minorHAnsi"/>
          <w:i/>
          <w:sz w:val="18"/>
          <w:szCs w:val="18"/>
        </w:rPr>
        <w:t>£</w:t>
      </w:r>
      <w:r w:rsidR="007C322D" w:rsidRPr="00886A51">
        <w:rPr>
          <w:rFonts w:asciiTheme="minorHAnsi" w:hAnsiTheme="minorHAnsi"/>
          <w:i/>
          <w:sz w:val="18"/>
          <w:szCs w:val="18"/>
        </w:rPr>
        <w:t>787</w:t>
      </w:r>
      <w:r w:rsidR="00942D68" w:rsidRPr="00886A51">
        <w:rPr>
          <w:rFonts w:asciiTheme="minorHAnsi" w:hAnsiTheme="minorHAnsi"/>
          <w:i/>
          <w:sz w:val="18"/>
          <w:szCs w:val="18"/>
        </w:rPr>
        <w:t>m and borrowings of £</w:t>
      </w:r>
      <w:r w:rsidR="007C322D" w:rsidRPr="00886A51">
        <w:rPr>
          <w:rFonts w:asciiTheme="minorHAnsi" w:hAnsiTheme="minorHAnsi"/>
          <w:i/>
          <w:sz w:val="18"/>
          <w:szCs w:val="18"/>
        </w:rPr>
        <w:t>3,685</w:t>
      </w:r>
      <w:r w:rsidR="00942D68" w:rsidRPr="00886A51">
        <w:rPr>
          <w:rFonts w:asciiTheme="minorHAnsi" w:hAnsiTheme="minorHAnsi"/>
          <w:i/>
          <w:sz w:val="18"/>
          <w:szCs w:val="18"/>
        </w:rPr>
        <w:t>m</w:t>
      </w:r>
      <w:r>
        <w:rPr>
          <w:rFonts w:asciiTheme="minorHAnsi" w:hAnsiTheme="minorHAnsi"/>
          <w:i/>
          <w:sz w:val="18"/>
          <w:szCs w:val="18"/>
        </w:rPr>
        <w:t xml:space="preserve"> at 30 June 2020</w:t>
      </w:r>
      <w:r w:rsidR="00942D68" w:rsidRPr="00157AA2">
        <w:rPr>
          <w:rFonts w:asciiTheme="minorHAnsi" w:hAnsiTheme="minorHAnsi"/>
          <w:i/>
          <w:sz w:val="18"/>
          <w:szCs w:val="18"/>
        </w:rPr>
        <w:t xml:space="preserve"> </w:t>
      </w:r>
      <w:r w:rsidR="00942D68" w:rsidRPr="00930765">
        <w:rPr>
          <w:rFonts w:asciiTheme="minorHAnsi" w:hAnsiTheme="minorHAnsi"/>
          <w:i/>
          <w:sz w:val="18"/>
          <w:szCs w:val="18"/>
        </w:rPr>
        <w:t xml:space="preserve">(see Appendix </w:t>
      </w:r>
      <w:r w:rsidR="00670082" w:rsidRPr="00930765">
        <w:rPr>
          <w:rFonts w:asciiTheme="minorHAnsi" w:hAnsiTheme="minorHAnsi"/>
          <w:i/>
          <w:sz w:val="18"/>
          <w:szCs w:val="18"/>
        </w:rPr>
        <w:t>6</w:t>
      </w:r>
      <w:r w:rsidR="00942D68" w:rsidRPr="00930765">
        <w:rPr>
          <w:rFonts w:asciiTheme="minorHAnsi" w:hAnsiTheme="minorHAnsi"/>
          <w:i/>
          <w:sz w:val="18"/>
          <w:szCs w:val="18"/>
        </w:rPr>
        <w:t>).</w:t>
      </w:r>
      <w:r w:rsidR="00824BDD">
        <w:rPr>
          <w:rFonts w:asciiTheme="minorHAnsi" w:hAnsiTheme="minorHAnsi"/>
          <w:i/>
          <w:sz w:val="18"/>
          <w:szCs w:val="18"/>
        </w:rPr>
        <w:t xml:space="preserve"> </w:t>
      </w:r>
    </w:p>
    <w:p w14:paraId="4B4D7308" w14:textId="77777777" w:rsidR="008F6945" w:rsidRDefault="008F6945" w:rsidP="008F6945">
      <w:pPr>
        <w:jc w:val="both"/>
        <w:rPr>
          <w:rFonts w:asciiTheme="minorHAnsi" w:hAnsiTheme="minorHAnsi"/>
          <w:i/>
          <w:sz w:val="18"/>
          <w:szCs w:val="18"/>
        </w:rPr>
      </w:pPr>
      <w:r w:rsidRPr="00C9669A">
        <w:rPr>
          <w:rFonts w:asciiTheme="minorHAnsi" w:hAnsiTheme="minorHAnsi"/>
          <w:i/>
          <w:sz w:val="18"/>
          <w:szCs w:val="18"/>
          <w:vertAlign w:val="superscript"/>
        </w:rPr>
        <w:t>15</w:t>
      </w:r>
      <w:r>
        <w:rPr>
          <w:rFonts w:asciiTheme="minorHAnsi" w:hAnsiTheme="minorHAnsi"/>
          <w:i/>
          <w:sz w:val="18"/>
          <w:szCs w:val="18"/>
        </w:rPr>
        <w:t xml:space="preserve"> Differences due to rounding unless otherwise stated</w:t>
      </w:r>
    </w:p>
    <w:p w14:paraId="7542DBFC" w14:textId="77777777" w:rsidR="00506B22" w:rsidRPr="00B16C7A" w:rsidRDefault="00506B22" w:rsidP="00E44C02">
      <w:pPr>
        <w:jc w:val="both"/>
        <w:rPr>
          <w:rFonts w:asciiTheme="minorHAnsi" w:hAnsiTheme="minorHAnsi"/>
          <w:i/>
          <w:sz w:val="18"/>
          <w:szCs w:val="18"/>
        </w:rPr>
      </w:pPr>
    </w:p>
    <w:p w14:paraId="20FE49D6" w14:textId="77777777" w:rsidR="0002063B" w:rsidRPr="00A96702" w:rsidRDefault="0002063B" w:rsidP="00FB794B">
      <w:pPr>
        <w:spacing w:after="120"/>
        <w:jc w:val="both"/>
        <w:rPr>
          <w:rFonts w:asciiTheme="minorHAnsi" w:hAnsiTheme="minorHAnsi"/>
          <w:color w:val="FF0000"/>
          <w:sz w:val="18"/>
          <w:szCs w:val="18"/>
          <w:highlight w:val="yellow"/>
          <w:lang w:val="en-IE" w:eastAsia="en-IE"/>
        </w:rPr>
      </w:pPr>
    </w:p>
    <w:p w14:paraId="566350D0" w14:textId="77777777" w:rsidR="0002063B" w:rsidRPr="00A96702" w:rsidRDefault="0002063B" w:rsidP="00FB794B">
      <w:pPr>
        <w:spacing w:after="120"/>
        <w:jc w:val="both"/>
        <w:rPr>
          <w:rFonts w:asciiTheme="minorHAnsi" w:hAnsiTheme="minorHAnsi"/>
          <w:color w:val="FF0000"/>
          <w:sz w:val="18"/>
          <w:szCs w:val="18"/>
          <w:highlight w:val="yellow"/>
          <w:lang w:val="en-IE" w:eastAsia="en-IE"/>
        </w:rPr>
      </w:pPr>
    </w:p>
    <w:p w14:paraId="3B200CA3" w14:textId="77777777" w:rsidR="0002063B" w:rsidRPr="00A96702" w:rsidRDefault="0002063B" w:rsidP="00FB794B">
      <w:pPr>
        <w:spacing w:after="120"/>
        <w:jc w:val="both"/>
        <w:rPr>
          <w:rFonts w:asciiTheme="minorHAnsi" w:hAnsiTheme="minorHAnsi"/>
          <w:color w:val="FF0000"/>
          <w:sz w:val="18"/>
          <w:szCs w:val="18"/>
          <w:highlight w:val="yellow"/>
        </w:rPr>
        <w:sectPr w:rsidR="0002063B" w:rsidRPr="00A96702" w:rsidSect="00A853FF">
          <w:headerReference w:type="default" r:id="rId15"/>
          <w:footerReference w:type="default" r:id="rId16"/>
          <w:footerReference w:type="first" r:id="rId17"/>
          <w:pgSz w:w="12240" w:h="15840"/>
          <w:pgMar w:top="1276" w:right="1361" w:bottom="1276" w:left="1361" w:header="709" w:footer="709" w:gutter="0"/>
          <w:cols w:space="708"/>
          <w:docGrid w:linePitch="360"/>
        </w:sectPr>
      </w:pPr>
    </w:p>
    <w:p w14:paraId="57919138" w14:textId="77777777" w:rsidR="00042EFF" w:rsidRPr="00A96702" w:rsidRDefault="00042EFF" w:rsidP="003D7BEA">
      <w:pPr>
        <w:rPr>
          <w:rFonts w:asciiTheme="minorHAnsi" w:hAnsiTheme="minorHAnsi"/>
          <w:b/>
          <w:color w:val="FF0000"/>
          <w:sz w:val="20"/>
          <w:highlight w:val="yellow"/>
          <w:lang w:eastAsia="en-IE"/>
        </w:rPr>
      </w:pPr>
    </w:p>
    <w:p w14:paraId="067D008B" w14:textId="77777777" w:rsidR="00F34DC7" w:rsidRPr="00A96702" w:rsidRDefault="00F34DC7" w:rsidP="00F34DC7">
      <w:pPr>
        <w:rPr>
          <w:rFonts w:asciiTheme="minorHAnsi" w:hAnsiTheme="minorHAnsi"/>
          <w:b/>
          <w:color w:val="FF0000"/>
          <w:sz w:val="20"/>
          <w:highlight w:val="yellow"/>
          <w:lang w:eastAsia="en-IE"/>
        </w:rPr>
      </w:pPr>
    </w:p>
    <w:p w14:paraId="048A76E4" w14:textId="77777777" w:rsidR="00942D68" w:rsidRDefault="00942D68" w:rsidP="00942D68">
      <w:pPr>
        <w:rPr>
          <w:rFonts w:asciiTheme="minorHAnsi" w:hAnsiTheme="minorHAnsi"/>
          <w:b/>
          <w:sz w:val="20"/>
          <w:lang w:eastAsia="en-IE"/>
        </w:rPr>
      </w:pPr>
      <w:r>
        <w:rPr>
          <w:rFonts w:asciiTheme="minorHAnsi" w:hAnsiTheme="minorHAnsi"/>
          <w:b/>
          <w:sz w:val="20"/>
          <w:lang w:eastAsia="en-IE"/>
        </w:rPr>
        <w:t xml:space="preserve">Appendix 1: Divisional Key Performance Indicators </w:t>
      </w:r>
    </w:p>
    <w:p w14:paraId="4EFFCA9D" w14:textId="77777777" w:rsidR="00942D68" w:rsidRDefault="00942D68" w:rsidP="00942D68">
      <w:pPr>
        <w:rPr>
          <w:rFonts w:asciiTheme="minorHAnsi" w:hAnsiTheme="minorHAnsi"/>
          <w:i/>
          <w:sz w:val="20"/>
          <w:lang w:eastAsia="en-IE"/>
        </w:rPr>
      </w:pPr>
      <w:r>
        <w:rPr>
          <w:rFonts w:asciiTheme="minorHAnsi" w:hAnsiTheme="minorHAnsi"/>
          <w:i/>
          <w:sz w:val="20"/>
          <w:lang w:eastAsia="en-IE"/>
        </w:rPr>
        <w:t>Half yearly</w:t>
      </w:r>
    </w:p>
    <w:p w14:paraId="460CD54E" w14:textId="77777777" w:rsidR="00942D68" w:rsidRDefault="00942D68" w:rsidP="00942D68">
      <w:pPr>
        <w:rPr>
          <w:color w:val="FF0000"/>
          <w:sz w:val="10"/>
          <w:szCs w:val="10"/>
          <w:highlight w:val="yellow"/>
          <w:lang w:eastAsia="en-IE"/>
        </w:rPr>
      </w:pPr>
    </w:p>
    <w:p w14:paraId="755FFD3B" w14:textId="77777777" w:rsidR="00942D68" w:rsidRDefault="00942D68" w:rsidP="00942D68">
      <w:pPr>
        <w:pStyle w:val="HTMLPreformatted"/>
        <w:rPr>
          <w:rFonts w:ascii="Times New Roman" w:hAnsi="Times New Roman" w:cs="Times New Roman"/>
          <w:color w:val="FF0000"/>
          <w:sz w:val="10"/>
          <w:szCs w:val="10"/>
          <w:highlight w:val="yellow"/>
          <w:lang w:eastAsia="en-IE"/>
        </w:rPr>
      </w:pPr>
    </w:p>
    <w:tbl>
      <w:tblPr>
        <w:tblW w:w="13020" w:type="dxa"/>
        <w:tblCellMar>
          <w:left w:w="85" w:type="dxa"/>
          <w:right w:w="85" w:type="dxa"/>
        </w:tblCellMar>
        <w:tblLook w:val="04A0" w:firstRow="1" w:lastRow="0" w:firstColumn="1" w:lastColumn="0" w:noHBand="0" w:noVBand="1"/>
      </w:tblPr>
      <w:tblGrid>
        <w:gridCol w:w="1580"/>
        <w:gridCol w:w="520"/>
        <w:gridCol w:w="520"/>
        <w:gridCol w:w="601"/>
        <w:gridCol w:w="520"/>
        <w:gridCol w:w="520"/>
        <w:gridCol w:w="601"/>
        <w:gridCol w:w="520"/>
        <w:gridCol w:w="520"/>
        <w:gridCol w:w="601"/>
        <w:gridCol w:w="601"/>
        <w:gridCol w:w="520"/>
        <w:gridCol w:w="520"/>
        <w:gridCol w:w="601"/>
        <w:gridCol w:w="601"/>
        <w:gridCol w:w="520"/>
        <w:gridCol w:w="520"/>
        <w:gridCol w:w="644"/>
        <w:gridCol w:w="644"/>
        <w:gridCol w:w="520"/>
        <w:gridCol w:w="560"/>
        <w:gridCol w:w="601"/>
        <w:gridCol w:w="601"/>
      </w:tblGrid>
      <w:tr w:rsidR="008801D7" w:rsidRPr="008801D7" w14:paraId="1DB95C4B" w14:textId="77777777" w:rsidTr="008801D7">
        <w:trPr>
          <w:trHeight w:val="241"/>
        </w:trPr>
        <w:tc>
          <w:tcPr>
            <w:tcW w:w="1580" w:type="dxa"/>
            <w:tcBorders>
              <w:top w:val="nil"/>
              <w:left w:val="nil"/>
              <w:bottom w:val="nil"/>
              <w:right w:val="single" w:sz="4" w:space="0" w:color="auto"/>
            </w:tcBorders>
            <w:shd w:val="clear" w:color="auto" w:fill="auto"/>
            <w:noWrap/>
            <w:vAlign w:val="center"/>
            <w:hideMark/>
          </w:tcPr>
          <w:p w14:paraId="7E82AFD9" w14:textId="77777777" w:rsidR="008801D7" w:rsidRPr="008801D7" w:rsidRDefault="008801D7" w:rsidP="008801D7">
            <w:pPr>
              <w:rPr>
                <w:rFonts w:ascii="Times New Roman" w:hAnsi="Times New Roman"/>
                <w:sz w:val="20"/>
                <w:szCs w:val="24"/>
                <w:lang w:eastAsia="en-GB"/>
              </w:rPr>
            </w:pPr>
          </w:p>
        </w:tc>
        <w:tc>
          <w:tcPr>
            <w:tcW w:w="11440" w:type="dxa"/>
            <w:gridSpan w:val="22"/>
            <w:tcBorders>
              <w:top w:val="single" w:sz="4" w:space="0" w:color="auto"/>
              <w:left w:val="single" w:sz="4" w:space="0" w:color="auto"/>
              <w:bottom w:val="nil"/>
              <w:right w:val="single" w:sz="4" w:space="0" w:color="auto"/>
            </w:tcBorders>
            <w:shd w:val="clear" w:color="000000" w:fill="FFFFFF"/>
            <w:noWrap/>
            <w:vAlign w:val="center"/>
            <w:hideMark/>
          </w:tcPr>
          <w:p w14:paraId="76A11BED"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Pro forma basis</w:t>
            </w:r>
            <w:r w:rsidRPr="008801D7">
              <w:rPr>
                <w:rFonts w:ascii="Calibri" w:hAnsi="Calibri" w:cs="Calibri"/>
                <w:b/>
                <w:bCs/>
                <w:color w:val="000000"/>
                <w:sz w:val="14"/>
                <w:szCs w:val="14"/>
                <w:vertAlign w:val="superscript"/>
                <w:lang w:eastAsia="en-GB"/>
              </w:rPr>
              <w:t>1</w:t>
            </w:r>
          </w:p>
        </w:tc>
      </w:tr>
      <w:tr w:rsidR="008801D7" w:rsidRPr="008801D7" w14:paraId="14AC6A7A" w14:textId="77777777" w:rsidTr="008801D7">
        <w:trPr>
          <w:trHeight w:val="241"/>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67333"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£m</w:t>
            </w:r>
          </w:p>
        </w:tc>
        <w:tc>
          <w:tcPr>
            <w:tcW w:w="15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574E5014"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PPB</w:t>
            </w:r>
          </w:p>
        </w:tc>
        <w:tc>
          <w:tcPr>
            <w:tcW w:w="1560" w:type="dxa"/>
            <w:gridSpan w:val="3"/>
            <w:tcBorders>
              <w:top w:val="single" w:sz="4" w:space="0" w:color="auto"/>
              <w:left w:val="single" w:sz="4" w:space="0" w:color="auto"/>
              <w:bottom w:val="single" w:sz="4" w:space="0" w:color="auto"/>
              <w:right w:val="nil"/>
            </w:tcBorders>
            <w:shd w:val="clear" w:color="000000" w:fill="C6E0B4"/>
            <w:noWrap/>
            <w:vAlign w:val="center"/>
            <w:hideMark/>
          </w:tcPr>
          <w:p w14:paraId="72630679"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SBG</w:t>
            </w:r>
          </w:p>
        </w:tc>
        <w:tc>
          <w:tcPr>
            <w:tcW w:w="2080"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5BFC4FC9"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PokerStars</w:t>
            </w:r>
          </w:p>
        </w:tc>
        <w:tc>
          <w:tcPr>
            <w:tcW w:w="20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98DA75C"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Australia</w:t>
            </w:r>
          </w:p>
        </w:tc>
        <w:tc>
          <w:tcPr>
            <w:tcW w:w="2080" w:type="dxa"/>
            <w:gridSpan w:val="4"/>
            <w:tcBorders>
              <w:top w:val="single" w:sz="4" w:space="0" w:color="auto"/>
              <w:left w:val="nil"/>
              <w:bottom w:val="single" w:sz="4" w:space="0" w:color="auto"/>
              <w:right w:val="single" w:sz="4" w:space="0" w:color="auto"/>
            </w:tcBorders>
            <w:shd w:val="clear" w:color="000000" w:fill="D9E1F2"/>
            <w:noWrap/>
            <w:vAlign w:val="center"/>
            <w:hideMark/>
          </w:tcPr>
          <w:p w14:paraId="4A5A705A"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US</w:t>
            </w:r>
          </w:p>
        </w:tc>
        <w:tc>
          <w:tcPr>
            <w:tcW w:w="2080" w:type="dxa"/>
            <w:gridSpan w:val="4"/>
            <w:tcBorders>
              <w:top w:val="single" w:sz="8" w:space="0" w:color="auto"/>
              <w:left w:val="single" w:sz="8" w:space="0" w:color="auto"/>
              <w:bottom w:val="single" w:sz="4" w:space="0" w:color="auto"/>
              <w:right w:val="single" w:sz="8" w:space="0" w:color="000000"/>
            </w:tcBorders>
            <w:shd w:val="clear" w:color="000000" w:fill="FCE4D6"/>
            <w:noWrap/>
            <w:vAlign w:val="center"/>
            <w:hideMark/>
          </w:tcPr>
          <w:p w14:paraId="0A951752"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Group</w:t>
            </w:r>
          </w:p>
        </w:tc>
      </w:tr>
      <w:tr w:rsidR="008801D7" w:rsidRPr="008801D7" w14:paraId="1D95E1B9" w14:textId="77777777" w:rsidTr="008801D7">
        <w:trPr>
          <w:trHeight w:val="290"/>
        </w:trPr>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14:paraId="357D7AF3"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20" w:type="dxa"/>
            <w:vMerge w:val="restart"/>
            <w:tcBorders>
              <w:top w:val="nil"/>
              <w:left w:val="single" w:sz="4" w:space="0" w:color="auto"/>
              <w:bottom w:val="single" w:sz="4" w:space="0" w:color="auto"/>
              <w:right w:val="single" w:sz="4" w:space="0" w:color="auto"/>
            </w:tcBorders>
            <w:shd w:val="clear" w:color="000000" w:fill="FFF2CC"/>
            <w:vAlign w:val="center"/>
            <w:hideMark/>
          </w:tcPr>
          <w:p w14:paraId="29E291B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H1</w:t>
            </w:r>
            <w:r w:rsidRPr="008801D7">
              <w:rPr>
                <w:rFonts w:ascii="Calibri" w:hAnsi="Calibri" w:cs="Calibri"/>
                <w:b/>
                <w:bCs/>
                <w:color w:val="000000"/>
                <w:sz w:val="14"/>
                <w:szCs w:val="14"/>
                <w:lang w:eastAsia="en-GB"/>
              </w:rPr>
              <w:br/>
              <w:t xml:space="preserve"> 2020</w:t>
            </w:r>
          </w:p>
        </w:tc>
        <w:tc>
          <w:tcPr>
            <w:tcW w:w="520" w:type="dxa"/>
            <w:vMerge w:val="restart"/>
            <w:tcBorders>
              <w:top w:val="nil"/>
              <w:left w:val="single" w:sz="4" w:space="0" w:color="auto"/>
              <w:bottom w:val="single" w:sz="4" w:space="0" w:color="auto"/>
              <w:right w:val="single" w:sz="4" w:space="0" w:color="auto"/>
            </w:tcBorders>
            <w:shd w:val="clear" w:color="000000" w:fill="FFF2CC"/>
            <w:vAlign w:val="center"/>
            <w:hideMark/>
          </w:tcPr>
          <w:p w14:paraId="73FC363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H1 </w:t>
            </w:r>
            <w:r w:rsidRPr="008801D7">
              <w:rPr>
                <w:rFonts w:ascii="Calibri" w:hAnsi="Calibri" w:cs="Calibri"/>
                <w:b/>
                <w:bCs/>
                <w:color w:val="000000"/>
                <w:sz w:val="14"/>
                <w:szCs w:val="14"/>
                <w:lang w:eastAsia="en-GB"/>
              </w:rPr>
              <w:br/>
              <w:t>2019</w:t>
            </w:r>
          </w:p>
        </w:tc>
        <w:tc>
          <w:tcPr>
            <w:tcW w:w="520"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2DB828E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20" w:type="dxa"/>
            <w:vMerge w:val="restart"/>
            <w:tcBorders>
              <w:top w:val="nil"/>
              <w:left w:val="single" w:sz="4" w:space="0" w:color="auto"/>
              <w:bottom w:val="single" w:sz="4" w:space="0" w:color="auto"/>
              <w:right w:val="single" w:sz="4" w:space="0" w:color="auto"/>
            </w:tcBorders>
            <w:shd w:val="clear" w:color="000000" w:fill="C6E0B4"/>
            <w:vAlign w:val="center"/>
            <w:hideMark/>
          </w:tcPr>
          <w:p w14:paraId="0D051E6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H1</w:t>
            </w:r>
            <w:r w:rsidRPr="008801D7">
              <w:rPr>
                <w:rFonts w:ascii="Calibri" w:hAnsi="Calibri" w:cs="Calibri"/>
                <w:b/>
                <w:bCs/>
                <w:color w:val="000000"/>
                <w:sz w:val="14"/>
                <w:szCs w:val="14"/>
                <w:lang w:eastAsia="en-GB"/>
              </w:rPr>
              <w:br/>
              <w:t xml:space="preserve"> 2020</w:t>
            </w:r>
          </w:p>
        </w:tc>
        <w:tc>
          <w:tcPr>
            <w:tcW w:w="520" w:type="dxa"/>
            <w:vMerge w:val="restart"/>
            <w:tcBorders>
              <w:top w:val="nil"/>
              <w:left w:val="single" w:sz="4" w:space="0" w:color="auto"/>
              <w:bottom w:val="single" w:sz="4" w:space="0" w:color="auto"/>
              <w:right w:val="single" w:sz="4" w:space="0" w:color="auto"/>
            </w:tcBorders>
            <w:shd w:val="clear" w:color="000000" w:fill="C6E0B4"/>
            <w:vAlign w:val="center"/>
            <w:hideMark/>
          </w:tcPr>
          <w:p w14:paraId="186B0C2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H1 </w:t>
            </w:r>
            <w:r w:rsidRPr="008801D7">
              <w:rPr>
                <w:rFonts w:ascii="Calibri" w:hAnsi="Calibri" w:cs="Calibri"/>
                <w:b/>
                <w:bCs/>
                <w:color w:val="000000"/>
                <w:sz w:val="14"/>
                <w:szCs w:val="14"/>
                <w:lang w:eastAsia="en-GB"/>
              </w:rPr>
              <w:br/>
              <w:t>2019</w:t>
            </w:r>
          </w:p>
        </w:tc>
        <w:tc>
          <w:tcPr>
            <w:tcW w:w="52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5DBE5F1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20" w:type="dxa"/>
            <w:vMerge w:val="restart"/>
            <w:tcBorders>
              <w:top w:val="nil"/>
              <w:left w:val="single" w:sz="4" w:space="0" w:color="auto"/>
              <w:bottom w:val="single" w:sz="4" w:space="0" w:color="auto"/>
              <w:right w:val="single" w:sz="4" w:space="0" w:color="auto"/>
            </w:tcBorders>
            <w:shd w:val="clear" w:color="000000" w:fill="BFBFBF"/>
            <w:vAlign w:val="center"/>
            <w:hideMark/>
          </w:tcPr>
          <w:p w14:paraId="6B52687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H1</w:t>
            </w:r>
            <w:r w:rsidRPr="008801D7">
              <w:rPr>
                <w:rFonts w:ascii="Calibri" w:hAnsi="Calibri" w:cs="Calibri"/>
                <w:b/>
                <w:bCs/>
                <w:color w:val="000000"/>
                <w:sz w:val="14"/>
                <w:szCs w:val="14"/>
                <w:lang w:eastAsia="en-GB"/>
              </w:rPr>
              <w:br/>
              <w:t xml:space="preserve"> 2020</w:t>
            </w:r>
          </w:p>
        </w:tc>
        <w:tc>
          <w:tcPr>
            <w:tcW w:w="520" w:type="dxa"/>
            <w:vMerge w:val="restart"/>
            <w:tcBorders>
              <w:top w:val="nil"/>
              <w:left w:val="single" w:sz="4" w:space="0" w:color="auto"/>
              <w:bottom w:val="single" w:sz="4" w:space="0" w:color="auto"/>
              <w:right w:val="single" w:sz="4" w:space="0" w:color="auto"/>
            </w:tcBorders>
            <w:shd w:val="clear" w:color="000000" w:fill="BFBFBF"/>
            <w:vAlign w:val="center"/>
            <w:hideMark/>
          </w:tcPr>
          <w:p w14:paraId="537E942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H1 </w:t>
            </w:r>
            <w:r w:rsidRPr="008801D7">
              <w:rPr>
                <w:rFonts w:ascii="Calibri" w:hAnsi="Calibri" w:cs="Calibri"/>
                <w:b/>
                <w:bCs/>
                <w:color w:val="000000"/>
                <w:sz w:val="14"/>
                <w:szCs w:val="14"/>
                <w:lang w:eastAsia="en-GB"/>
              </w:rPr>
              <w:br/>
              <w:t>2019</w:t>
            </w:r>
          </w:p>
        </w:tc>
        <w:tc>
          <w:tcPr>
            <w:tcW w:w="520"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3A060D1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20" w:type="dxa"/>
            <w:vMerge w:val="restart"/>
            <w:tcBorders>
              <w:top w:val="nil"/>
              <w:left w:val="single" w:sz="4" w:space="0" w:color="auto"/>
              <w:bottom w:val="single" w:sz="4" w:space="0" w:color="auto"/>
              <w:right w:val="single" w:sz="4" w:space="0" w:color="auto"/>
            </w:tcBorders>
            <w:shd w:val="clear" w:color="000000" w:fill="BFBFBF"/>
            <w:vAlign w:val="center"/>
            <w:hideMark/>
          </w:tcPr>
          <w:p w14:paraId="1531B17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CC</w:t>
            </w:r>
            <w:r w:rsidRPr="008801D7">
              <w:rPr>
                <w:rFonts w:ascii="Calibri" w:hAnsi="Calibri" w:cs="Calibri"/>
                <w:b/>
                <w:bCs/>
                <w:color w:val="000000"/>
                <w:sz w:val="14"/>
                <w:szCs w:val="14"/>
                <w:vertAlign w:val="superscript"/>
                <w:lang w:eastAsia="en-GB"/>
              </w:rPr>
              <w:t>2</w:t>
            </w:r>
            <w:r w:rsidRPr="008801D7">
              <w:rPr>
                <w:rFonts w:ascii="Calibri" w:hAnsi="Calibri" w:cs="Calibri"/>
                <w:b/>
                <w:bCs/>
                <w:color w:val="000000"/>
                <w:sz w:val="14"/>
                <w:szCs w:val="14"/>
                <w:lang w:eastAsia="en-GB"/>
              </w:rPr>
              <w:t xml:space="preserve"> % Change</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71978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H1</w:t>
            </w:r>
            <w:r w:rsidRPr="008801D7">
              <w:rPr>
                <w:rFonts w:ascii="Calibri" w:hAnsi="Calibri" w:cs="Calibri"/>
                <w:b/>
                <w:bCs/>
                <w:color w:val="000000"/>
                <w:sz w:val="14"/>
                <w:szCs w:val="14"/>
                <w:lang w:eastAsia="en-GB"/>
              </w:rPr>
              <w:br/>
              <w:t>2020</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E7DC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H1 </w:t>
            </w:r>
            <w:r w:rsidRPr="008801D7">
              <w:rPr>
                <w:rFonts w:ascii="Calibri" w:hAnsi="Calibri" w:cs="Calibri"/>
                <w:b/>
                <w:bCs/>
                <w:color w:val="000000"/>
                <w:sz w:val="14"/>
                <w:szCs w:val="14"/>
                <w:lang w:eastAsia="en-GB"/>
              </w:rPr>
              <w:br/>
              <w:t>2019</w:t>
            </w:r>
          </w:p>
        </w:tc>
        <w:tc>
          <w:tcPr>
            <w:tcW w:w="5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BBA7B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1EC7D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 % Change</w:t>
            </w:r>
          </w:p>
        </w:tc>
        <w:tc>
          <w:tcPr>
            <w:tcW w:w="520" w:type="dxa"/>
            <w:vMerge w:val="restart"/>
            <w:tcBorders>
              <w:top w:val="nil"/>
              <w:left w:val="single" w:sz="4" w:space="0" w:color="auto"/>
              <w:bottom w:val="single" w:sz="4" w:space="0" w:color="auto"/>
              <w:right w:val="single" w:sz="4" w:space="0" w:color="auto"/>
            </w:tcBorders>
            <w:shd w:val="clear" w:color="000000" w:fill="D9E1F2"/>
            <w:vAlign w:val="center"/>
            <w:hideMark/>
          </w:tcPr>
          <w:p w14:paraId="63E5563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H1</w:t>
            </w:r>
            <w:r w:rsidRPr="008801D7">
              <w:rPr>
                <w:rFonts w:ascii="Calibri" w:hAnsi="Calibri" w:cs="Calibri"/>
                <w:b/>
                <w:bCs/>
                <w:color w:val="000000"/>
                <w:sz w:val="14"/>
                <w:szCs w:val="14"/>
                <w:lang w:eastAsia="en-GB"/>
              </w:rPr>
              <w:br/>
              <w:t xml:space="preserve"> 2020</w:t>
            </w:r>
          </w:p>
        </w:tc>
        <w:tc>
          <w:tcPr>
            <w:tcW w:w="520" w:type="dxa"/>
            <w:vMerge w:val="restart"/>
            <w:tcBorders>
              <w:top w:val="nil"/>
              <w:left w:val="single" w:sz="4" w:space="0" w:color="auto"/>
              <w:bottom w:val="single" w:sz="4" w:space="0" w:color="auto"/>
              <w:right w:val="single" w:sz="4" w:space="0" w:color="auto"/>
            </w:tcBorders>
            <w:shd w:val="clear" w:color="000000" w:fill="D9E1F2"/>
            <w:vAlign w:val="center"/>
            <w:hideMark/>
          </w:tcPr>
          <w:p w14:paraId="7028CD3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H1 </w:t>
            </w:r>
            <w:r w:rsidRPr="008801D7">
              <w:rPr>
                <w:rFonts w:ascii="Calibri" w:hAnsi="Calibri" w:cs="Calibri"/>
                <w:b/>
                <w:bCs/>
                <w:color w:val="000000"/>
                <w:sz w:val="14"/>
                <w:szCs w:val="14"/>
                <w:lang w:eastAsia="en-GB"/>
              </w:rPr>
              <w:br/>
              <w:t>2019</w:t>
            </w:r>
          </w:p>
        </w:tc>
        <w:tc>
          <w:tcPr>
            <w:tcW w:w="520" w:type="dxa"/>
            <w:vMerge w:val="restart"/>
            <w:tcBorders>
              <w:top w:val="nil"/>
              <w:left w:val="single" w:sz="4" w:space="0" w:color="auto"/>
              <w:bottom w:val="single" w:sz="4" w:space="0" w:color="000000"/>
              <w:right w:val="single" w:sz="4" w:space="0" w:color="auto"/>
            </w:tcBorders>
            <w:shd w:val="clear" w:color="000000" w:fill="D9E1F2"/>
            <w:vAlign w:val="center"/>
            <w:hideMark/>
          </w:tcPr>
          <w:p w14:paraId="6855F6B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20" w:type="dxa"/>
            <w:vMerge w:val="restart"/>
            <w:tcBorders>
              <w:top w:val="nil"/>
              <w:left w:val="single" w:sz="4" w:space="0" w:color="auto"/>
              <w:bottom w:val="single" w:sz="4" w:space="0" w:color="auto"/>
              <w:right w:val="single" w:sz="4" w:space="0" w:color="auto"/>
            </w:tcBorders>
            <w:shd w:val="clear" w:color="000000" w:fill="D9E1F2"/>
            <w:vAlign w:val="center"/>
            <w:hideMark/>
          </w:tcPr>
          <w:p w14:paraId="44E6EA2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US$ % </w:t>
            </w:r>
            <w:r w:rsidRPr="008801D7">
              <w:rPr>
                <w:rFonts w:ascii="Calibri" w:hAnsi="Calibri" w:cs="Calibri"/>
                <w:b/>
                <w:bCs/>
                <w:color w:val="000000"/>
                <w:sz w:val="14"/>
                <w:szCs w:val="14"/>
                <w:lang w:eastAsia="en-GB"/>
              </w:rPr>
              <w:br/>
              <w:t>Change</w:t>
            </w:r>
          </w:p>
        </w:tc>
        <w:tc>
          <w:tcPr>
            <w:tcW w:w="520" w:type="dxa"/>
            <w:vMerge w:val="restart"/>
            <w:tcBorders>
              <w:top w:val="nil"/>
              <w:left w:val="single" w:sz="8" w:space="0" w:color="auto"/>
              <w:bottom w:val="single" w:sz="4" w:space="0" w:color="auto"/>
              <w:right w:val="single" w:sz="4" w:space="0" w:color="auto"/>
            </w:tcBorders>
            <w:shd w:val="clear" w:color="000000" w:fill="FCE4D6"/>
            <w:vAlign w:val="center"/>
            <w:hideMark/>
          </w:tcPr>
          <w:p w14:paraId="69B1B6E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H1</w:t>
            </w:r>
            <w:r w:rsidRPr="008801D7">
              <w:rPr>
                <w:rFonts w:ascii="Calibri" w:hAnsi="Calibri" w:cs="Calibri"/>
                <w:b/>
                <w:bCs/>
                <w:color w:val="000000"/>
                <w:sz w:val="14"/>
                <w:szCs w:val="14"/>
                <w:lang w:eastAsia="en-GB"/>
              </w:rPr>
              <w:br/>
              <w:t xml:space="preserve"> 2020</w:t>
            </w:r>
          </w:p>
        </w:tc>
        <w:tc>
          <w:tcPr>
            <w:tcW w:w="520" w:type="dxa"/>
            <w:vMerge w:val="restart"/>
            <w:tcBorders>
              <w:top w:val="nil"/>
              <w:left w:val="single" w:sz="4" w:space="0" w:color="auto"/>
              <w:bottom w:val="single" w:sz="4" w:space="0" w:color="auto"/>
              <w:right w:val="single" w:sz="4" w:space="0" w:color="auto"/>
            </w:tcBorders>
            <w:shd w:val="clear" w:color="000000" w:fill="FCE4D6"/>
            <w:vAlign w:val="center"/>
            <w:hideMark/>
          </w:tcPr>
          <w:p w14:paraId="61C39D5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H1 </w:t>
            </w:r>
            <w:r w:rsidRPr="008801D7">
              <w:rPr>
                <w:rFonts w:ascii="Calibri" w:hAnsi="Calibri" w:cs="Calibri"/>
                <w:b/>
                <w:bCs/>
                <w:color w:val="000000"/>
                <w:sz w:val="14"/>
                <w:szCs w:val="14"/>
                <w:lang w:eastAsia="en-GB"/>
              </w:rPr>
              <w:br/>
              <w:t>2019</w:t>
            </w:r>
          </w:p>
        </w:tc>
        <w:tc>
          <w:tcPr>
            <w:tcW w:w="52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8787E2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20" w:type="dxa"/>
            <w:vMerge w:val="restart"/>
            <w:tcBorders>
              <w:top w:val="nil"/>
              <w:left w:val="single" w:sz="4" w:space="0" w:color="auto"/>
              <w:bottom w:val="single" w:sz="4" w:space="0" w:color="auto"/>
              <w:right w:val="single" w:sz="8" w:space="0" w:color="auto"/>
            </w:tcBorders>
            <w:shd w:val="clear" w:color="000000" w:fill="FCE4D6"/>
            <w:vAlign w:val="center"/>
            <w:hideMark/>
          </w:tcPr>
          <w:p w14:paraId="318D878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CC</w:t>
            </w:r>
            <w:r w:rsidRPr="008801D7">
              <w:rPr>
                <w:rFonts w:ascii="Calibri" w:hAnsi="Calibri" w:cs="Calibri"/>
                <w:b/>
                <w:bCs/>
                <w:color w:val="000000"/>
                <w:sz w:val="14"/>
                <w:szCs w:val="14"/>
                <w:vertAlign w:val="superscript"/>
                <w:lang w:eastAsia="en-GB"/>
              </w:rPr>
              <w:t>2</w:t>
            </w:r>
            <w:r w:rsidRPr="008801D7">
              <w:rPr>
                <w:rFonts w:ascii="Calibri" w:hAnsi="Calibri" w:cs="Calibri"/>
                <w:b/>
                <w:bCs/>
                <w:color w:val="000000"/>
                <w:sz w:val="14"/>
                <w:szCs w:val="14"/>
                <w:lang w:eastAsia="en-GB"/>
              </w:rPr>
              <w:t xml:space="preserve"> % Change</w:t>
            </w:r>
          </w:p>
        </w:tc>
      </w:tr>
      <w:tr w:rsidR="008801D7" w:rsidRPr="008801D7" w14:paraId="742C9B85" w14:textId="77777777" w:rsidTr="008801D7">
        <w:trPr>
          <w:trHeight w:val="290"/>
        </w:trPr>
        <w:tc>
          <w:tcPr>
            <w:tcW w:w="1580" w:type="dxa"/>
            <w:vMerge/>
            <w:tcBorders>
              <w:top w:val="nil"/>
              <w:left w:val="single" w:sz="4" w:space="0" w:color="auto"/>
              <w:bottom w:val="single" w:sz="4" w:space="0" w:color="auto"/>
              <w:right w:val="single" w:sz="4" w:space="0" w:color="auto"/>
            </w:tcBorders>
            <w:vAlign w:val="center"/>
            <w:hideMark/>
          </w:tcPr>
          <w:p w14:paraId="1A014436"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3DA28277"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1E73E793"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000000"/>
              <w:right w:val="single" w:sz="4" w:space="0" w:color="auto"/>
            </w:tcBorders>
            <w:vAlign w:val="center"/>
            <w:hideMark/>
          </w:tcPr>
          <w:p w14:paraId="5F87ABCC"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72D69031"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2C6694E6"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000000"/>
              <w:right w:val="single" w:sz="4" w:space="0" w:color="auto"/>
            </w:tcBorders>
            <w:vAlign w:val="center"/>
            <w:hideMark/>
          </w:tcPr>
          <w:p w14:paraId="766B0103"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0212B88B"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233E6811"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000000"/>
              <w:right w:val="single" w:sz="4" w:space="0" w:color="auto"/>
            </w:tcBorders>
            <w:vAlign w:val="center"/>
            <w:hideMark/>
          </w:tcPr>
          <w:p w14:paraId="2C2B172A"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0C247F93"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6F3EF1A8"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5CC9B044"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000000"/>
              <w:right w:val="single" w:sz="4" w:space="0" w:color="auto"/>
            </w:tcBorders>
            <w:vAlign w:val="center"/>
            <w:hideMark/>
          </w:tcPr>
          <w:p w14:paraId="407C12D2"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72EACE43"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34F7E796"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257C3A17"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000000"/>
              <w:right w:val="single" w:sz="4" w:space="0" w:color="auto"/>
            </w:tcBorders>
            <w:vAlign w:val="center"/>
            <w:hideMark/>
          </w:tcPr>
          <w:p w14:paraId="29CD3A9B"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414E1344"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8" w:space="0" w:color="auto"/>
              <w:bottom w:val="single" w:sz="4" w:space="0" w:color="auto"/>
              <w:right w:val="single" w:sz="4" w:space="0" w:color="auto"/>
            </w:tcBorders>
            <w:vAlign w:val="center"/>
            <w:hideMark/>
          </w:tcPr>
          <w:p w14:paraId="6B45F210"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4" w:space="0" w:color="auto"/>
            </w:tcBorders>
            <w:vAlign w:val="center"/>
            <w:hideMark/>
          </w:tcPr>
          <w:p w14:paraId="75645242"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000000"/>
              <w:right w:val="single" w:sz="4" w:space="0" w:color="auto"/>
            </w:tcBorders>
            <w:vAlign w:val="center"/>
            <w:hideMark/>
          </w:tcPr>
          <w:p w14:paraId="24B4B752" w14:textId="77777777" w:rsidR="008801D7" w:rsidRPr="008801D7" w:rsidRDefault="008801D7" w:rsidP="008801D7">
            <w:pPr>
              <w:rPr>
                <w:rFonts w:ascii="Calibri" w:hAnsi="Calibri" w:cs="Calibri"/>
                <w:b/>
                <w:bCs/>
                <w:color w:val="000000"/>
                <w:sz w:val="14"/>
                <w:szCs w:val="14"/>
                <w:lang w:eastAsia="en-GB"/>
              </w:rPr>
            </w:pPr>
          </w:p>
        </w:tc>
        <w:tc>
          <w:tcPr>
            <w:tcW w:w="520" w:type="dxa"/>
            <w:vMerge/>
            <w:tcBorders>
              <w:top w:val="nil"/>
              <w:left w:val="single" w:sz="4" w:space="0" w:color="auto"/>
              <w:bottom w:val="single" w:sz="4" w:space="0" w:color="auto"/>
              <w:right w:val="single" w:sz="8" w:space="0" w:color="auto"/>
            </w:tcBorders>
            <w:vAlign w:val="center"/>
            <w:hideMark/>
          </w:tcPr>
          <w:p w14:paraId="43E99CAE" w14:textId="77777777" w:rsidR="008801D7" w:rsidRPr="008801D7" w:rsidRDefault="008801D7" w:rsidP="008801D7">
            <w:pPr>
              <w:rPr>
                <w:rFonts w:ascii="Calibri" w:hAnsi="Calibri" w:cs="Calibri"/>
                <w:b/>
                <w:bCs/>
                <w:color w:val="000000"/>
                <w:sz w:val="14"/>
                <w:szCs w:val="14"/>
                <w:lang w:eastAsia="en-GB"/>
              </w:rPr>
            </w:pPr>
          </w:p>
        </w:tc>
      </w:tr>
      <w:tr w:rsidR="008801D7" w:rsidRPr="008801D7" w14:paraId="718CC9D4"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E573520"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Sportsbook stakes</w:t>
            </w:r>
          </w:p>
        </w:tc>
        <w:tc>
          <w:tcPr>
            <w:tcW w:w="520" w:type="dxa"/>
            <w:tcBorders>
              <w:top w:val="nil"/>
              <w:left w:val="nil"/>
              <w:bottom w:val="single" w:sz="4" w:space="0" w:color="auto"/>
              <w:right w:val="single" w:sz="4" w:space="0" w:color="auto"/>
            </w:tcBorders>
            <w:shd w:val="clear" w:color="000000" w:fill="FFF2CC"/>
            <w:noWrap/>
            <w:vAlign w:val="center"/>
            <w:hideMark/>
          </w:tcPr>
          <w:p w14:paraId="229DF78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2,222</w:t>
            </w:r>
          </w:p>
        </w:tc>
        <w:tc>
          <w:tcPr>
            <w:tcW w:w="520" w:type="dxa"/>
            <w:tcBorders>
              <w:top w:val="nil"/>
              <w:left w:val="nil"/>
              <w:bottom w:val="single" w:sz="4" w:space="0" w:color="auto"/>
              <w:right w:val="single" w:sz="4" w:space="0" w:color="auto"/>
            </w:tcBorders>
            <w:shd w:val="clear" w:color="000000" w:fill="FFF2CC"/>
            <w:noWrap/>
            <w:vAlign w:val="center"/>
            <w:hideMark/>
          </w:tcPr>
          <w:p w14:paraId="212E977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3,594</w:t>
            </w:r>
          </w:p>
        </w:tc>
        <w:tc>
          <w:tcPr>
            <w:tcW w:w="520" w:type="dxa"/>
            <w:tcBorders>
              <w:top w:val="nil"/>
              <w:left w:val="nil"/>
              <w:bottom w:val="single" w:sz="4" w:space="0" w:color="auto"/>
              <w:right w:val="single" w:sz="4" w:space="0" w:color="auto"/>
            </w:tcBorders>
            <w:shd w:val="clear" w:color="000000" w:fill="FFF2CC"/>
            <w:noWrap/>
            <w:vAlign w:val="center"/>
            <w:hideMark/>
          </w:tcPr>
          <w:p w14:paraId="13768A4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-38%</w:t>
            </w:r>
          </w:p>
        </w:tc>
        <w:tc>
          <w:tcPr>
            <w:tcW w:w="520" w:type="dxa"/>
            <w:tcBorders>
              <w:top w:val="nil"/>
              <w:left w:val="nil"/>
              <w:bottom w:val="single" w:sz="4" w:space="0" w:color="auto"/>
              <w:right w:val="single" w:sz="4" w:space="0" w:color="auto"/>
            </w:tcBorders>
            <w:shd w:val="clear" w:color="000000" w:fill="C6E0B4"/>
            <w:noWrap/>
            <w:vAlign w:val="center"/>
            <w:hideMark/>
          </w:tcPr>
          <w:p w14:paraId="45A28C0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1,639</w:t>
            </w:r>
          </w:p>
        </w:tc>
        <w:tc>
          <w:tcPr>
            <w:tcW w:w="520" w:type="dxa"/>
            <w:tcBorders>
              <w:top w:val="nil"/>
              <w:left w:val="nil"/>
              <w:bottom w:val="single" w:sz="4" w:space="0" w:color="auto"/>
              <w:right w:val="single" w:sz="4" w:space="0" w:color="auto"/>
            </w:tcBorders>
            <w:shd w:val="clear" w:color="000000" w:fill="C6E0B4"/>
            <w:noWrap/>
            <w:vAlign w:val="center"/>
            <w:hideMark/>
          </w:tcPr>
          <w:p w14:paraId="07E3773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2,339</w:t>
            </w:r>
          </w:p>
        </w:tc>
        <w:tc>
          <w:tcPr>
            <w:tcW w:w="520" w:type="dxa"/>
            <w:tcBorders>
              <w:top w:val="nil"/>
              <w:left w:val="nil"/>
              <w:bottom w:val="single" w:sz="4" w:space="0" w:color="auto"/>
              <w:right w:val="single" w:sz="4" w:space="0" w:color="auto"/>
            </w:tcBorders>
            <w:shd w:val="clear" w:color="000000" w:fill="C6E0B4"/>
            <w:noWrap/>
            <w:vAlign w:val="center"/>
            <w:hideMark/>
          </w:tcPr>
          <w:p w14:paraId="3C60233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4F339FF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308</w:t>
            </w:r>
          </w:p>
        </w:tc>
        <w:tc>
          <w:tcPr>
            <w:tcW w:w="520" w:type="dxa"/>
            <w:tcBorders>
              <w:top w:val="nil"/>
              <w:left w:val="nil"/>
              <w:bottom w:val="single" w:sz="4" w:space="0" w:color="auto"/>
              <w:right w:val="single" w:sz="4" w:space="0" w:color="auto"/>
            </w:tcBorders>
            <w:shd w:val="clear" w:color="000000" w:fill="BFBFBF"/>
            <w:noWrap/>
            <w:vAlign w:val="center"/>
            <w:hideMark/>
          </w:tcPr>
          <w:p w14:paraId="0A8D90C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389</w:t>
            </w:r>
          </w:p>
        </w:tc>
        <w:tc>
          <w:tcPr>
            <w:tcW w:w="520" w:type="dxa"/>
            <w:tcBorders>
              <w:top w:val="nil"/>
              <w:left w:val="nil"/>
              <w:bottom w:val="single" w:sz="4" w:space="0" w:color="auto"/>
              <w:right w:val="single" w:sz="4" w:space="0" w:color="auto"/>
            </w:tcBorders>
            <w:shd w:val="clear" w:color="000000" w:fill="BFBFBF"/>
            <w:noWrap/>
            <w:vAlign w:val="center"/>
            <w:hideMark/>
          </w:tcPr>
          <w:p w14:paraId="73F8741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-21%</w:t>
            </w:r>
          </w:p>
        </w:tc>
        <w:tc>
          <w:tcPr>
            <w:tcW w:w="520" w:type="dxa"/>
            <w:tcBorders>
              <w:top w:val="nil"/>
              <w:left w:val="nil"/>
              <w:bottom w:val="single" w:sz="4" w:space="0" w:color="auto"/>
              <w:right w:val="single" w:sz="4" w:space="0" w:color="auto"/>
            </w:tcBorders>
            <w:shd w:val="clear" w:color="000000" w:fill="BFBFBF"/>
            <w:noWrap/>
            <w:vAlign w:val="center"/>
            <w:hideMark/>
          </w:tcPr>
          <w:p w14:paraId="1D8A86F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-19%</w:t>
            </w:r>
          </w:p>
        </w:tc>
        <w:tc>
          <w:tcPr>
            <w:tcW w:w="520" w:type="dxa"/>
            <w:tcBorders>
              <w:top w:val="nil"/>
              <w:left w:val="nil"/>
              <w:bottom w:val="single" w:sz="4" w:space="0" w:color="auto"/>
              <w:right w:val="single" w:sz="4" w:space="0" w:color="auto"/>
            </w:tcBorders>
            <w:shd w:val="clear" w:color="auto" w:fill="auto"/>
            <w:noWrap/>
            <w:vAlign w:val="center"/>
            <w:hideMark/>
          </w:tcPr>
          <w:p w14:paraId="6668D89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3,723</w:t>
            </w:r>
          </w:p>
        </w:tc>
        <w:tc>
          <w:tcPr>
            <w:tcW w:w="520" w:type="dxa"/>
            <w:tcBorders>
              <w:top w:val="nil"/>
              <w:left w:val="nil"/>
              <w:bottom w:val="single" w:sz="4" w:space="0" w:color="auto"/>
              <w:right w:val="single" w:sz="4" w:space="0" w:color="auto"/>
            </w:tcBorders>
            <w:shd w:val="clear" w:color="000000" w:fill="FFFFFF"/>
            <w:noWrap/>
            <w:vAlign w:val="center"/>
            <w:hideMark/>
          </w:tcPr>
          <w:p w14:paraId="5F4A2CC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3,312</w:t>
            </w:r>
          </w:p>
        </w:tc>
        <w:tc>
          <w:tcPr>
            <w:tcW w:w="520" w:type="dxa"/>
            <w:tcBorders>
              <w:top w:val="nil"/>
              <w:left w:val="nil"/>
              <w:bottom w:val="single" w:sz="4" w:space="0" w:color="auto"/>
              <w:right w:val="single" w:sz="4" w:space="0" w:color="auto"/>
            </w:tcBorders>
            <w:shd w:val="clear" w:color="auto" w:fill="auto"/>
            <w:noWrap/>
            <w:vAlign w:val="center"/>
            <w:hideMark/>
          </w:tcPr>
          <w:p w14:paraId="3BA4241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+12%</w:t>
            </w:r>
          </w:p>
        </w:tc>
        <w:tc>
          <w:tcPr>
            <w:tcW w:w="520" w:type="dxa"/>
            <w:tcBorders>
              <w:top w:val="nil"/>
              <w:left w:val="nil"/>
              <w:bottom w:val="single" w:sz="4" w:space="0" w:color="auto"/>
              <w:right w:val="single" w:sz="4" w:space="0" w:color="auto"/>
            </w:tcBorders>
            <w:shd w:val="clear" w:color="auto" w:fill="auto"/>
            <w:noWrap/>
            <w:vAlign w:val="center"/>
            <w:hideMark/>
          </w:tcPr>
          <w:p w14:paraId="230A15E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w:t>
            </w:r>
          </w:p>
        </w:tc>
        <w:tc>
          <w:tcPr>
            <w:tcW w:w="520" w:type="dxa"/>
            <w:tcBorders>
              <w:top w:val="nil"/>
              <w:left w:val="nil"/>
              <w:bottom w:val="single" w:sz="4" w:space="0" w:color="auto"/>
              <w:right w:val="single" w:sz="4" w:space="0" w:color="auto"/>
            </w:tcBorders>
            <w:shd w:val="clear" w:color="000000" w:fill="D9E1F2"/>
            <w:noWrap/>
            <w:vAlign w:val="center"/>
            <w:hideMark/>
          </w:tcPr>
          <w:p w14:paraId="54F6D63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1,090</w:t>
            </w:r>
          </w:p>
        </w:tc>
        <w:tc>
          <w:tcPr>
            <w:tcW w:w="520" w:type="dxa"/>
            <w:tcBorders>
              <w:top w:val="nil"/>
              <w:left w:val="nil"/>
              <w:bottom w:val="single" w:sz="4" w:space="0" w:color="auto"/>
              <w:right w:val="single" w:sz="4" w:space="0" w:color="auto"/>
            </w:tcBorders>
            <w:shd w:val="clear" w:color="000000" w:fill="D9E1F2"/>
            <w:noWrap/>
            <w:vAlign w:val="center"/>
            <w:hideMark/>
          </w:tcPr>
          <w:p w14:paraId="1C850EF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862</w:t>
            </w:r>
          </w:p>
        </w:tc>
        <w:tc>
          <w:tcPr>
            <w:tcW w:w="520" w:type="dxa"/>
            <w:tcBorders>
              <w:top w:val="nil"/>
              <w:left w:val="nil"/>
              <w:bottom w:val="single" w:sz="4" w:space="0" w:color="auto"/>
              <w:right w:val="single" w:sz="4" w:space="0" w:color="auto"/>
            </w:tcBorders>
            <w:shd w:val="clear" w:color="000000" w:fill="D9E1F2"/>
            <w:noWrap/>
            <w:vAlign w:val="center"/>
            <w:hideMark/>
          </w:tcPr>
          <w:p w14:paraId="379CE84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+26%</w:t>
            </w:r>
          </w:p>
        </w:tc>
        <w:tc>
          <w:tcPr>
            <w:tcW w:w="520" w:type="dxa"/>
            <w:tcBorders>
              <w:top w:val="nil"/>
              <w:left w:val="nil"/>
              <w:bottom w:val="single" w:sz="4" w:space="0" w:color="auto"/>
              <w:right w:val="single" w:sz="4" w:space="0" w:color="auto"/>
            </w:tcBorders>
            <w:shd w:val="clear" w:color="000000" w:fill="D9E1F2"/>
            <w:noWrap/>
            <w:vAlign w:val="center"/>
            <w:hideMark/>
          </w:tcPr>
          <w:p w14:paraId="1988135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45A836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8,982</w:t>
            </w:r>
          </w:p>
        </w:tc>
        <w:tc>
          <w:tcPr>
            <w:tcW w:w="520" w:type="dxa"/>
            <w:tcBorders>
              <w:top w:val="nil"/>
              <w:left w:val="nil"/>
              <w:bottom w:val="single" w:sz="4" w:space="0" w:color="auto"/>
              <w:right w:val="single" w:sz="4" w:space="0" w:color="auto"/>
            </w:tcBorders>
            <w:shd w:val="clear" w:color="000000" w:fill="FCE4D6"/>
            <w:noWrap/>
            <w:vAlign w:val="center"/>
            <w:hideMark/>
          </w:tcPr>
          <w:p w14:paraId="6F7043A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10,497</w:t>
            </w:r>
          </w:p>
        </w:tc>
        <w:tc>
          <w:tcPr>
            <w:tcW w:w="520" w:type="dxa"/>
            <w:tcBorders>
              <w:top w:val="nil"/>
              <w:left w:val="nil"/>
              <w:bottom w:val="single" w:sz="4" w:space="0" w:color="auto"/>
              <w:right w:val="single" w:sz="4" w:space="0" w:color="auto"/>
            </w:tcBorders>
            <w:shd w:val="clear" w:color="000000" w:fill="FCE4D6"/>
            <w:noWrap/>
            <w:vAlign w:val="center"/>
            <w:hideMark/>
          </w:tcPr>
          <w:p w14:paraId="40E18A0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c>
          <w:tcPr>
            <w:tcW w:w="520" w:type="dxa"/>
            <w:tcBorders>
              <w:top w:val="nil"/>
              <w:left w:val="nil"/>
              <w:bottom w:val="single" w:sz="4" w:space="0" w:color="auto"/>
              <w:right w:val="single" w:sz="8" w:space="0" w:color="auto"/>
            </w:tcBorders>
            <w:shd w:val="clear" w:color="000000" w:fill="FCE4D6"/>
            <w:noWrap/>
            <w:vAlign w:val="center"/>
            <w:hideMark/>
          </w:tcPr>
          <w:p w14:paraId="27793FA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-13%</w:t>
            </w:r>
          </w:p>
        </w:tc>
      </w:tr>
      <w:tr w:rsidR="008801D7" w:rsidRPr="008801D7" w14:paraId="0BC2F092" w14:textId="77777777" w:rsidTr="008801D7">
        <w:trPr>
          <w:trHeight w:val="31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4127BF21" w14:textId="77777777" w:rsidR="008801D7" w:rsidRPr="008801D7" w:rsidRDefault="008801D7" w:rsidP="008801D7">
            <w:pPr>
              <w:rPr>
                <w:rFonts w:ascii="Calibri" w:hAnsi="Calibri" w:cs="Calibri"/>
                <w:i/>
                <w:iCs/>
                <w:color w:val="000000"/>
                <w:sz w:val="12"/>
                <w:szCs w:val="12"/>
                <w:lang w:eastAsia="en-GB"/>
              </w:rPr>
            </w:pPr>
            <w:r>
              <w:rPr>
                <w:rFonts w:ascii="Calibri" w:hAnsi="Calibri" w:cs="Calibri"/>
                <w:i/>
                <w:iCs/>
                <w:color w:val="000000"/>
                <w:sz w:val="12"/>
                <w:szCs w:val="12"/>
                <w:lang w:eastAsia="en-GB"/>
              </w:rPr>
              <w:t>Sportsbook net revenue margin</w:t>
            </w:r>
          </w:p>
        </w:tc>
        <w:tc>
          <w:tcPr>
            <w:tcW w:w="520" w:type="dxa"/>
            <w:tcBorders>
              <w:top w:val="nil"/>
              <w:left w:val="nil"/>
              <w:bottom w:val="single" w:sz="4" w:space="0" w:color="auto"/>
              <w:right w:val="single" w:sz="4" w:space="0" w:color="auto"/>
            </w:tcBorders>
            <w:shd w:val="clear" w:color="000000" w:fill="FFF2CC"/>
            <w:noWrap/>
            <w:vAlign w:val="center"/>
            <w:hideMark/>
          </w:tcPr>
          <w:p w14:paraId="2CDC2B3B"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10.9%</w:t>
            </w:r>
          </w:p>
        </w:tc>
        <w:tc>
          <w:tcPr>
            <w:tcW w:w="520" w:type="dxa"/>
            <w:tcBorders>
              <w:top w:val="nil"/>
              <w:left w:val="nil"/>
              <w:bottom w:val="single" w:sz="4" w:space="0" w:color="auto"/>
              <w:right w:val="single" w:sz="4" w:space="0" w:color="auto"/>
            </w:tcBorders>
            <w:shd w:val="clear" w:color="000000" w:fill="FFF2CC"/>
            <w:noWrap/>
            <w:vAlign w:val="center"/>
            <w:hideMark/>
          </w:tcPr>
          <w:p w14:paraId="157352E6"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8.9%</w:t>
            </w:r>
          </w:p>
        </w:tc>
        <w:tc>
          <w:tcPr>
            <w:tcW w:w="520" w:type="dxa"/>
            <w:tcBorders>
              <w:top w:val="nil"/>
              <w:left w:val="nil"/>
              <w:bottom w:val="single" w:sz="4" w:space="0" w:color="auto"/>
              <w:right w:val="single" w:sz="4" w:space="0" w:color="auto"/>
            </w:tcBorders>
            <w:shd w:val="clear" w:color="000000" w:fill="FFF2CC"/>
            <w:noWrap/>
            <w:vAlign w:val="center"/>
            <w:hideMark/>
          </w:tcPr>
          <w:p w14:paraId="043FFA9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+200bps</w:t>
            </w:r>
          </w:p>
        </w:tc>
        <w:tc>
          <w:tcPr>
            <w:tcW w:w="520" w:type="dxa"/>
            <w:tcBorders>
              <w:top w:val="nil"/>
              <w:left w:val="nil"/>
              <w:bottom w:val="single" w:sz="4" w:space="0" w:color="auto"/>
              <w:right w:val="single" w:sz="4" w:space="0" w:color="auto"/>
            </w:tcBorders>
            <w:shd w:val="clear" w:color="000000" w:fill="C6E0B4"/>
            <w:noWrap/>
            <w:vAlign w:val="center"/>
            <w:hideMark/>
          </w:tcPr>
          <w:p w14:paraId="257CBC03"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14.</w:t>
            </w:r>
            <w:r w:rsidR="007951EC">
              <w:rPr>
                <w:rFonts w:ascii="Calibri" w:hAnsi="Calibri" w:cs="Calibri"/>
                <w:i/>
                <w:iCs/>
                <w:color w:val="000000"/>
                <w:sz w:val="12"/>
                <w:szCs w:val="12"/>
                <w:lang w:eastAsia="en-GB"/>
              </w:rPr>
              <w:t>8</w:t>
            </w:r>
            <w:r w:rsidRPr="008801D7">
              <w:rPr>
                <w:rFonts w:ascii="Calibri" w:hAnsi="Calibri" w:cs="Calibri"/>
                <w:i/>
                <w:iCs/>
                <w:color w:val="000000"/>
                <w:sz w:val="12"/>
                <w:szCs w:val="12"/>
                <w:lang w:eastAsia="en-GB"/>
              </w:rPr>
              <w:t>%</w:t>
            </w:r>
          </w:p>
        </w:tc>
        <w:tc>
          <w:tcPr>
            <w:tcW w:w="520" w:type="dxa"/>
            <w:tcBorders>
              <w:top w:val="nil"/>
              <w:left w:val="nil"/>
              <w:bottom w:val="single" w:sz="4" w:space="0" w:color="auto"/>
              <w:right w:val="single" w:sz="4" w:space="0" w:color="auto"/>
            </w:tcBorders>
            <w:shd w:val="clear" w:color="000000" w:fill="C6E0B4"/>
            <w:noWrap/>
            <w:vAlign w:val="center"/>
            <w:hideMark/>
          </w:tcPr>
          <w:p w14:paraId="3D457411"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7.4%</w:t>
            </w:r>
          </w:p>
        </w:tc>
        <w:tc>
          <w:tcPr>
            <w:tcW w:w="520" w:type="dxa"/>
            <w:tcBorders>
              <w:top w:val="nil"/>
              <w:left w:val="nil"/>
              <w:bottom w:val="single" w:sz="4" w:space="0" w:color="auto"/>
              <w:right w:val="single" w:sz="4" w:space="0" w:color="auto"/>
            </w:tcBorders>
            <w:shd w:val="clear" w:color="000000" w:fill="C6E0B4"/>
            <w:noWrap/>
            <w:vAlign w:val="center"/>
            <w:hideMark/>
          </w:tcPr>
          <w:p w14:paraId="2C8273C3" w14:textId="77777777" w:rsidR="008801D7" w:rsidRPr="008801D7" w:rsidRDefault="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w:t>
            </w:r>
            <w:r w:rsidR="007951EC">
              <w:rPr>
                <w:rFonts w:ascii="Calibri" w:hAnsi="Calibri" w:cs="Calibri"/>
                <w:i/>
                <w:iCs/>
                <w:color w:val="000000"/>
                <w:sz w:val="12"/>
                <w:szCs w:val="12"/>
                <w:lang w:eastAsia="en-GB"/>
              </w:rPr>
              <w:t>4</w:t>
            </w:r>
            <w:r w:rsidRPr="008801D7">
              <w:rPr>
                <w:rFonts w:ascii="Calibri" w:hAnsi="Calibri" w:cs="Calibri"/>
                <w:i/>
                <w:iCs/>
                <w:color w:val="000000"/>
                <w:sz w:val="12"/>
                <w:szCs w:val="12"/>
                <w:lang w:eastAsia="en-GB"/>
              </w:rPr>
              <w:t>0bps</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239FD389"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8.6%</w:t>
            </w:r>
          </w:p>
        </w:tc>
        <w:tc>
          <w:tcPr>
            <w:tcW w:w="520" w:type="dxa"/>
            <w:tcBorders>
              <w:top w:val="nil"/>
              <w:left w:val="nil"/>
              <w:bottom w:val="single" w:sz="4" w:space="0" w:color="auto"/>
              <w:right w:val="single" w:sz="4" w:space="0" w:color="auto"/>
            </w:tcBorders>
            <w:shd w:val="clear" w:color="000000" w:fill="BFBFBF"/>
            <w:noWrap/>
            <w:vAlign w:val="center"/>
            <w:hideMark/>
          </w:tcPr>
          <w:p w14:paraId="4583047D"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7.6%</w:t>
            </w:r>
          </w:p>
        </w:tc>
        <w:tc>
          <w:tcPr>
            <w:tcW w:w="520" w:type="dxa"/>
            <w:tcBorders>
              <w:top w:val="nil"/>
              <w:left w:val="nil"/>
              <w:bottom w:val="single" w:sz="4" w:space="0" w:color="auto"/>
              <w:right w:val="single" w:sz="4" w:space="0" w:color="auto"/>
            </w:tcBorders>
            <w:shd w:val="clear" w:color="000000" w:fill="BFBFBF"/>
            <w:noWrap/>
            <w:vAlign w:val="center"/>
            <w:hideMark/>
          </w:tcPr>
          <w:p w14:paraId="4E500175"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+100bps</w:t>
            </w:r>
          </w:p>
        </w:tc>
        <w:tc>
          <w:tcPr>
            <w:tcW w:w="520" w:type="dxa"/>
            <w:tcBorders>
              <w:top w:val="nil"/>
              <w:left w:val="nil"/>
              <w:bottom w:val="single" w:sz="4" w:space="0" w:color="auto"/>
              <w:right w:val="single" w:sz="4" w:space="0" w:color="auto"/>
            </w:tcBorders>
            <w:shd w:val="clear" w:color="000000" w:fill="BFBFBF"/>
            <w:noWrap/>
            <w:vAlign w:val="center"/>
            <w:hideMark/>
          </w:tcPr>
          <w:p w14:paraId="6E54BB5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+100bps</w:t>
            </w:r>
          </w:p>
        </w:tc>
        <w:tc>
          <w:tcPr>
            <w:tcW w:w="520" w:type="dxa"/>
            <w:tcBorders>
              <w:top w:val="nil"/>
              <w:left w:val="nil"/>
              <w:bottom w:val="single" w:sz="4" w:space="0" w:color="auto"/>
              <w:right w:val="single" w:sz="4" w:space="0" w:color="auto"/>
            </w:tcBorders>
            <w:shd w:val="clear" w:color="auto" w:fill="auto"/>
            <w:noWrap/>
            <w:vAlign w:val="center"/>
            <w:hideMark/>
          </w:tcPr>
          <w:p w14:paraId="43A50B7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11.7%</w:t>
            </w:r>
          </w:p>
        </w:tc>
        <w:tc>
          <w:tcPr>
            <w:tcW w:w="520" w:type="dxa"/>
            <w:tcBorders>
              <w:top w:val="nil"/>
              <w:left w:val="nil"/>
              <w:bottom w:val="single" w:sz="4" w:space="0" w:color="auto"/>
              <w:right w:val="single" w:sz="4" w:space="0" w:color="auto"/>
            </w:tcBorders>
            <w:shd w:val="clear" w:color="auto" w:fill="auto"/>
            <w:noWrap/>
            <w:vAlign w:val="center"/>
            <w:hideMark/>
          </w:tcPr>
          <w:p w14:paraId="2DB6D4D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9.5%</w:t>
            </w:r>
          </w:p>
        </w:tc>
        <w:tc>
          <w:tcPr>
            <w:tcW w:w="520" w:type="dxa"/>
            <w:tcBorders>
              <w:top w:val="nil"/>
              <w:left w:val="nil"/>
              <w:bottom w:val="single" w:sz="4" w:space="0" w:color="auto"/>
              <w:right w:val="single" w:sz="4" w:space="0" w:color="auto"/>
            </w:tcBorders>
            <w:shd w:val="clear" w:color="auto" w:fill="auto"/>
            <w:noWrap/>
            <w:vAlign w:val="center"/>
            <w:hideMark/>
          </w:tcPr>
          <w:p w14:paraId="5A0FFD71"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+220bps</w:t>
            </w:r>
          </w:p>
        </w:tc>
        <w:tc>
          <w:tcPr>
            <w:tcW w:w="520" w:type="dxa"/>
            <w:tcBorders>
              <w:top w:val="nil"/>
              <w:left w:val="nil"/>
              <w:bottom w:val="single" w:sz="4" w:space="0" w:color="auto"/>
              <w:right w:val="single" w:sz="4" w:space="0" w:color="auto"/>
            </w:tcBorders>
            <w:shd w:val="clear" w:color="auto" w:fill="auto"/>
            <w:noWrap/>
            <w:vAlign w:val="center"/>
            <w:hideMark/>
          </w:tcPr>
          <w:p w14:paraId="327AC0E0"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+220bps</w:t>
            </w:r>
          </w:p>
        </w:tc>
        <w:tc>
          <w:tcPr>
            <w:tcW w:w="520" w:type="dxa"/>
            <w:tcBorders>
              <w:top w:val="nil"/>
              <w:left w:val="nil"/>
              <w:bottom w:val="single" w:sz="4" w:space="0" w:color="auto"/>
              <w:right w:val="single" w:sz="4" w:space="0" w:color="auto"/>
            </w:tcBorders>
            <w:shd w:val="clear" w:color="000000" w:fill="D9E1F2"/>
            <w:noWrap/>
            <w:vAlign w:val="center"/>
            <w:hideMark/>
          </w:tcPr>
          <w:p w14:paraId="2A462FA3"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4.9%</w:t>
            </w:r>
          </w:p>
        </w:tc>
        <w:tc>
          <w:tcPr>
            <w:tcW w:w="520" w:type="dxa"/>
            <w:tcBorders>
              <w:top w:val="nil"/>
              <w:left w:val="nil"/>
              <w:bottom w:val="single" w:sz="4" w:space="0" w:color="auto"/>
              <w:right w:val="single" w:sz="4" w:space="0" w:color="auto"/>
            </w:tcBorders>
            <w:shd w:val="clear" w:color="000000" w:fill="D9E1F2"/>
            <w:noWrap/>
            <w:vAlign w:val="center"/>
            <w:hideMark/>
          </w:tcPr>
          <w:p w14:paraId="619E4705"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4.0%</w:t>
            </w:r>
          </w:p>
        </w:tc>
        <w:tc>
          <w:tcPr>
            <w:tcW w:w="520" w:type="dxa"/>
            <w:tcBorders>
              <w:top w:val="nil"/>
              <w:left w:val="nil"/>
              <w:bottom w:val="single" w:sz="4" w:space="0" w:color="auto"/>
              <w:right w:val="single" w:sz="4" w:space="0" w:color="auto"/>
            </w:tcBorders>
            <w:shd w:val="clear" w:color="000000" w:fill="D9E1F2"/>
            <w:noWrap/>
            <w:vAlign w:val="center"/>
            <w:hideMark/>
          </w:tcPr>
          <w:p w14:paraId="10177D9C"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+90bps</w:t>
            </w:r>
          </w:p>
        </w:tc>
        <w:tc>
          <w:tcPr>
            <w:tcW w:w="520" w:type="dxa"/>
            <w:tcBorders>
              <w:top w:val="nil"/>
              <w:left w:val="nil"/>
              <w:bottom w:val="single" w:sz="4" w:space="0" w:color="auto"/>
              <w:right w:val="single" w:sz="4" w:space="0" w:color="auto"/>
            </w:tcBorders>
            <w:shd w:val="clear" w:color="000000" w:fill="D9E1F2"/>
            <w:noWrap/>
            <w:vAlign w:val="center"/>
            <w:hideMark/>
          </w:tcPr>
          <w:p w14:paraId="703A87A3"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+90bps</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0725A60"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11.1%</w:t>
            </w:r>
          </w:p>
        </w:tc>
        <w:tc>
          <w:tcPr>
            <w:tcW w:w="520" w:type="dxa"/>
            <w:tcBorders>
              <w:top w:val="nil"/>
              <w:left w:val="nil"/>
              <w:bottom w:val="single" w:sz="4" w:space="0" w:color="auto"/>
              <w:right w:val="single" w:sz="4" w:space="0" w:color="auto"/>
            </w:tcBorders>
            <w:shd w:val="clear" w:color="000000" w:fill="FCE4D6"/>
            <w:noWrap/>
            <w:vAlign w:val="center"/>
            <w:hideMark/>
          </w:tcPr>
          <w:p w14:paraId="0E01C68E"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8.3%</w:t>
            </w:r>
          </w:p>
        </w:tc>
        <w:tc>
          <w:tcPr>
            <w:tcW w:w="520" w:type="dxa"/>
            <w:tcBorders>
              <w:top w:val="nil"/>
              <w:left w:val="nil"/>
              <w:bottom w:val="single" w:sz="4" w:space="0" w:color="auto"/>
              <w:right w:val="single" w:sz="4" w:space="0" w:color="auto"/>
            </w:tcBorders>
            <w:shd w:val="clear" w:color="000000" w:fill="FCE4D6"/>
            <w:noWrap/>
            <w:vAlign w:val="center"/>
            <w:hideMark/>
          </w:tcPr>
          <w:p w14:paraId="752AF978"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+280bps</w:t>
            </w:r>
          </w:p>
        </w:tc>
        <w:tc>
          <w:tcPr>
            <w:tcW w:w="520" w:type="dxa"/>
            <w:tcBorders>
              <w:top w:val="nil"/>
              <w:left w:val="nil"/>
              <w:bottom w:val="single" w:sz="4" w:space="0" w:color="auto"/>
              <w:right w:val="single" w:sz="8" w:space="0" w:color="auto"/>
            </w:tcBorders>
            <w:shd w:val="clear" w:color="000000" w:fill="FCE4D6"/>
            <w:noWrap/>
            <w:vAlign w:val="center"/>
            <w:hideMark/>
          </w:tcPr>
          <w:p w14:paraId="0CB1602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+280bps</w:t>
            </w:r>
          </w:p>
        </w:tc>
      </w:tr>
      <w:tr w:rsidR="008801D7" w:rsidRPr="008801D7" w14:paraId="4B0DCD9B" w14:textId="77777777" w:rsidTr="008801D7">
        <w:trPr>
          <w:trHeight w:val="78"/>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093C530" w14:textId="77777777" w:rsidR="008801D7" w:rsidRPr="008801D7" w:rsidRDefault="008801D7" w:rsidP="008801D7">
            <w:pPr>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5000AC76"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44E5058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21120401"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4B306CC9"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1BCA2D5E"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363B3A87"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19411C8B"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71F0CF9E"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3E59D96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17F6521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auto" w:fill="auto"/>
            <w:noWrap/>
            <w:vAlign w:val="center"/>
            <w:hideMark/>
          </w:tcPr>
          <w:p w14:paraId="5FB8C227"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4DFD450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084E2F35"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3A75BBE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51B74B5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7FD30792"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5DD6759B"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076AA809"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21BD03E3"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6B4AF22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3538C871"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8" w:space="0" w:color="auto"/>
            </w:tcBorders>
            <w:shd w:val="clear" w:color="000000" w:fill="FCE4D6"/>
            <w:noWrap/>
            <w:vAlign w:val="center"/>
            <w:hideMark/>
          </w:tcPr>
          <w:p w14:paraId="5E6E5DB5"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r>
      <w:tr w:rsidR="008801D7" w:rsidRPr="008801D7" w14:paraId="58B78368"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B959FE1"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Sports revenue</w:t>
            </w:r>
          </w:p>
        </w:tc>
        <w:tc>
          <w:tcPr>
            <w:tcW w:w="520" w:type="dxa"/>
            <w:tcBorders>
              <w:top w:val="nil"/>
              <w:left w:val="nil"/>
              <w:bottom w:val="single" w:sz="4" w:space="0" w:color="auto"/>
              <w:right w:val="single" w:sz="4" w:space="0" w:color="auto"/>
            </w:tcBorders>
            <w:shd w:val="clear" w:color="000000" w:fill="FFF2CC"/>
            <w:noWrap/>
            <w:vAlign w:val="center"/>
            <w:hideMark/>
          </w:tcPr>
          <w:p w14:paraId="66235C2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320</w:t>
            </w:r>
          </w:p>
        </w:tc>
        <w:tc>
          <w:tcPr>
            <w:tcW w:w="520" w:type="dxa"/>
            <w:tcBorders>
              <w:top w:val="nil"/>
              <w:left w:val="nil"/>
              <w:bottom w:val="single" w:sz="4" w:space="0" w:color="auto"/>
              <w:right w:val="single" w:sz="4" w:space="0" w:color="auto"/>
            </w:tcBorders>
            <w:shd w:val="clear" w:color="000000" w:fill="FFF2CC"/>
            <w:noWrap/>
            <w:vAlign w:val="center"/>
            <w:hideMark/>
          </w:tcPr>
          <w:p w14:paraId="7592D65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448</w:t>
            </w:r>
          </w:p>
        </w:tc>
        <w:tc>
          <w:tcPr>
            <w:tcW w:w="520" w:type="dxa"/>
            <w:tcBorders>
              <w:top w:val="nil"/>
              <w:left w:val="nil"/>
              <w:bottom w:val="single" w:sz="4" w:space="0" w:color="auto"/>
              <w:right w:val="single" w:sz="4" w:space="0" w:color="auto"/>
            </w:tcBorders>
            <w:shd w:val="clear" w:color="000000" w:fill="FFF2CC"/>
            <w:noWrap/>
            <w:vAlign w:val="center"/>
            <w:hideMark/>
          </w:tcPr>
          <w:p w14:paraId="1D37000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20" w:type="dxa"/>
            <w:tcBorders>
              <w:top w:val="nil"/>
              <w:left w:val="nil"/>
              <w:bottom w:val="single" w:sz="4" w:space="0" w:color="auto"/>
              <w:right w:val="single" w:sz="4" w:space="0" w:color="auto"/>
            </w:tcBorders>
            <w:shd w:val="clear" w:color="000000" w:fill="C6E0B4"/>
            <w:noWrap/>
            <w:vAlign w:val="center"/>
            <w:hideMark/>
          </w:tcPr>
          <w:p w14:paraId="6209271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253</w:t>
            </w:r>
          </w:p>
        </w:tc>
        <w:tc>
          <w:tcPr>
            <w:tcW w:w="520" w:type="dxa"/>
            <w:tcBorders>
              <w:top w:val="nil"/>
              <w:left w:val="nil"/>
              <w:bottom w:val="single" w:sz="4" w:space="0" w:color="auto"/>
              <w:right w:val="single" w:sz="4" w:space="0" w:color="auto"/>
            </w:tcBorders>
            <w:shd w:val="clear" w:color="000000" w:fill="C6E0B4"/>
            <w:noWrap/>
            <w:vAlign w:val="center"/>
            <w:hideMark/>
          </w:tcPr>
          <w:p w14:paraId="142E9F8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185</w:t>
            </w:r>
          </w:p>
        </w:tc>
        <w:tc>
          <w:tcPr>
            <w:tcW w:w="520" w:type="dxa"/>
            <w:tcBorders>
              <w:top w:val="nil"/>
              <w:left w:val="nil"/>
              <w:bottom w:val="single" w:sz="4" w:space="0" w:color="auto"/>
              <w:right w:val="single" w:sz="4" w:space="0" w:color="auto"/>
            </w:tcBorders>
            <w:shd w:val="clear" w:color="000000" w:fill="C6E0B4"/>
            <w:noWrap/>
            <w:vAlign w:val="center"/>
            <w:hideMark/>
          </w:tcPr>
          <w:p w14:paraId="5BAB2B5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+36%</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50AAFAB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27</w:t>
            </w:r>
          </w:p>
        </w:tc>
        <w:tc>
          <w:tcPr>
            <w:tcW w:w="520" w:type="dxa"/>
            <w:tcBorders>
              <w:top w:val="nil"/>
              <w:left w:val="nil"/>
              <w:bottom w:val="single" w:sz="4" w:space="0" w:color="auto"/>
              <w:right w:val="single" w:sz="4" w:space="0" w:color="auto"/>
            </w:tcBorders>
            <w:shd w:val="clear" w:color="000000" w:fill="BFBFBF"/>
            <w:noWrap/>
            <w:vAlign w:val="center"/>
            <w:hideMark/>
          </w:tcPr>
          <w:p w14:paraId="4A60B18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w:t>
            </w:r>
          </w:p>
        </w:tc>
        <w:tc>
          <w:tcPr>
            <w:tcW w:w="520" w:type="dxa"/>
            <w:tcBorders>
              <w:top w:val="nil"/>
              <w:left w:val="nil"/>
              <w:bottom w:val="single" w:sz="4" w:space="0" w:color="auto"/>
              <w:right w:val="single" w:sz="4" w:space="0" w:color="auto"/>
            </w:tcBorders>
            <w:shd w:val="clear" w:color="000000" w:fill="BFBFBF"/>
            <w:noWrap/>
            <w:vAlign w:val="center"/>
            <w:hideMark/>
          </w:tcPr>
          <w:p w14:paraId="7A8704E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w:t>
            </w:r>
          </w:p>
        </w:tc>
        <w:tc>
          <w:tcPr>
            <w:tcW w:w="520" w:type="dxa"/>
            <w:tcBorders>
              <w:top w:val="nil"/>
              <w:left w:val="nil"/>
              <w:bottom w:val="single" w:sz="4" w:space="0" w:color="auto"/>
              <w:right w:val="single" w:sz="4" w:space="0" w:color="auto"/>
            </w:tcBorders>
            <w:shd w:val="clear" w:color="000000" w:fill="BFBFBF"/>
            <w:noWrap/>
            <w:vAlign w:val="center"/>
            <w:hideMark/>
          </w:tcPr>
          <w:p w14:paraId="28D3AD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w:t>
            </w:r>
          </w:p>
        </w:tc>
        <w:tc>
          <w:tcPr>
            <w:tcW w:w="520" w:type="dxa"/>
            <w:tcBorders>
              <w:top w:val="nil"/>
              <w:left w:val="nil"/>
              <w:bottom w:val="single" w:sz="4" w:space="0" w:color="auto"/>
              <w:right w:val="single" w:sz="4" w:space="0" w:color="auto"/>
            </w:tcBorders>
            <w:shd w:val="clear" w:color="auto" w:fill="auto"/>
            <w:noWrap/>
            <w:vAlign w:val="center"/>
            <w:hideMark/>
          </w:tcPr>
          <w:p w14:paraId="5BAAEF1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435</w:t>
            </w:r>
          </w:p>
        </w:tc>
        <w:tc>
          <w:tcPr>
            <w:tcW w:w="520" w:type="dxa"/>
            <w:tcBorders>
              <w:top w:val="nil"/>
              <w:left w:val="nil"/>
              <w:bottom w:val="single" w:sz="4" w:space="0" w:color="auto"/>
              <w:right w:val="single" w:sz="4" w:space="0" w:color="auto"/>
            </w:tcBorders>
            <w:shd w:val="clear" w:color="000000" w:fill="FFFFFF"/>
            <w:noWrap/>
            <w:vAlign w:val="center"/>
            <w:hideMark/>
          </w:tcPr>
          <w:p w14:paraId="47A2C94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314</w:t>
            </w:r>
          </w:p>
        </w:tc>
        <w:tc>
          <w:tcPr>
            <w:tcW w:w="520" w:type="dxa"/>
            <w:tcBorders>
              <w:top w:val="nil"/>
              <w:left w:val="nil"/>
              <w:bottom w:val="single" w:sz="4" w:space="0" w:color="auto"/>
              <w:right w:val="single" w:sz="4" w:space="0" w:color="auto"/>
            </w:tcBorders>
            <w:shd w:val="clear" w:color="auto" w:fill="auto"/>
            <w:noWrap/>
            <w:vAlign w:val="center"/>
            <w:hideMark/>
          </w:tcPr>
          <w:p w14:paraId="4B0F872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+39%</w:t>
            </w:r>
          </w:p>
        </w:tc>
        <w:tc>
          <w:tcPr>
            <w:tcW w:w="520" w:type="dxa"/>
            <w:tcBorders>
              <w:top w:val="nil"/>
              <w:left w:val="nil"/>
              <w:bottom w:val="single" w:sz="4" w:space="0" w:color="auto"/>
              <w:right w:val="single" w:sz="4" w:space="0" w:color="auto"/>
            </w:tcBorders>
            <w:shd w:val="clear" w:color="auto" w:fill="auto"/>
            <w:noWrap/>
            <w:vAlign w:val="center"/>
            <w:hideMark/>
          </w:tcPr>
          <w:p w14:paraId="2DC1848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+45%</w:t>
            </w:r>
          </w:p>
        </w:tc>
        <w:tc>
          <w:tcPr>
            <w:tcW w:w="520" w:type="dxa"/>
            <w:tcBorders>
              <w:top w:val="nil"/>
              <w:left w:val="nil"/>
              <w:bottom w:val="single" w:sz="4" w:space="0" w:color="auto"/>
              <w:right w:val="single" w:sz="4" w:space="0" w:color="auto"/>
            </w:tcBorders>
            <w:shd w:val="clear" w:color="000000" w:fill="D9E1F2"/>
            <w:noWrap/>
            <w:vAlign w:val="center"/>
            <w:hideMark/>
          </w:tcPr>
          <w:p w14:paraId="74068F0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164</w:t>
            </w:r>
          </w:p>
        </w:tc>
        <w:tc>
          <w:tcPr>
            <w:tcW w:w="520" w:type="dxa"/>
            <w:tcBorders>
              <w:top w:val="nil"/>
              <w:left w:val="nil"/>
              <w:bottom w:val="single" w:sz="4" w:space="0" w:color="auto"/>
              <w:right w:val="single" w:sz="4" w:space="0" w:color="auto"/>
            </w:tcBorders>
            <w:shd w:val="clear" w:color="000000" w:fill="D9E1F2"/>
            <w:noWrap/>
            <w:vAlign w:val="center"/>
            <w:hideMark/>
          </w:tcPr>
          <w:p w14:paraId="3AA8F04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140</w:t>
            </w:r>
          </w:p>
        </w:tc>
        <w:tc>
          <w:tcPr>
            <w:tcW w:w="520" w:type="dxa"/>
            <w:tcBorders>
              <w:top w:val="nil"/>
              <w:left w:val="nil"/>
              <w:bottom w:val="single" w:sz="4" w:space="0" w:color="auto"/>
              <w:right w:val="single" w:sz="4" w:space="0" w:color="auto"/>
            </w:tcBorders>
            <w:shd w:val="clear" w:color="000000" w:fill="D9E1F2"/>
            <w:noWrap/>
            <w:vAlign w:val="center"/>
            <w:hideMark/>
          </w:tcPr>
          <w:p w14:paraId="7E16C89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w:t>
            </w:r>
          </w:p>
        </w:tc>
        <w:tc>
          <w:tcPr>
            <w:tcW w:w="520" w:type="dxa"/>
            <w:tcBorders>
              <w:top w:val="nil"/>
              <w:left w:val="nil"/>
              <w:bottom w:val="single" w:sz="4" w:space="0" w:color="auto"/>
              <w:right w:val="single" w:sz="4" w:space="0" w:color="auto"/>
            </w:tcBorders>
            <w:shd w:val="clear" w:color="000000" w:fill="D9E1F2"/>
            <w:noWrap/>
            <w:vAlign w:val="center"/>
            <w:hideMark/>
          </w:tcPr>
          <w:p w14:paraId="4B1AC2F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5CB663D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1,199</w:t>
            </w:r>
          </w:p>
        </w:tc>
        <w:tc>
          <w:tcPr>
            <w:tcW w:w="520" w:type="dxa"/>
            <w:tcBorders>
              <w:top w:val="nil"/>
              <w:left w:val="nil"/>
              <w:bottom w:val="single" w:sz="4" w:space="0" w:color="auto"/>
              <w:right w:val="single" w:sz="4" w:space="0" w:color="auto"/>
            </w:tcBorders>
            <w:shd w:val="clear" w:color="000000" w:fill="FCE4D6"/>
            <w:noWrap/>
            <w:vAlign w:val="center"/>
            <w:hideMark/>
          </w:tcPr>
          <w:p w14:paraId="5C21B88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1,117</w:t>
            </w:r>
          </w:p>
        </w:tc>
        <w:tc>
          <w:tcPr>
            <w:tcW w:w="520" w:type="dxa"/>
            <w:tcBorders>
              <w:top w:val="nil"/>
              <w:left w:val="nil"/>
              <w:bottom w:val="single" w:sz="4" w:space="0" w:color="auto"/>
              <w:right w:val="single" w:sz="4" w:space="0" w:color="auto"/>
            </w:tcBorders>
            <w:shd w:val="clear" w:color="000000" w:fill="FCE4D6"/>
            <w:noWrap/>
            <w:vAlign w:val="center"/>
            <w:hideMark/>
          </w:tcPr>
          <w:p w14:paraId="14AFEE9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w:t>
            </w:r>
          </w:p>
        </w:tc>
        <w:tc>
          <w:tcPr>
            <w:tcW w:w="520" w:type="dxa"/>
            <w:tcBorders>
              <w:top w:val="nil"/>
              <w:left w:val="nil"/>
              <w:bottom w:val="single" w:sz="4" w:space="0" w:color="auto"/>
              <w:right w:val="single" w:sz="8" w:space="0" w:color="auto"/>
            </w:tcBorders>
            <w:shd w:val="clear" w:color="000000" w:fill="FCE4D6"/>
            <w:noWrap/>
            <w:vAlign w:val="center"/>
            <w:hideMark/>
          </w:tcPr>
          <w:p w14:paraId="3C6062B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w:t>
            </w:r>
          </w:p>
        </w:tc>
      </w:tr>
      <w:tr w:rsidR="008801D7" w:rsidRPr="008801D7" w14:paraId="631AEB24"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3391BD4"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Gaming revenue</w:t>
            </w:r>
          </w:p>
        </w:tc>
        <w:tc>
          <w:tcPr>
            <w:tcW w:w="520" w:type="dxa"/>
            <w:tcBorders>
              <w:top w:val="nil"/>
              <w:left w:val="nil"/>
              <w:bottom w:val="single" w:sz="4" w:space="0" w:color="auto"/>
              <w:right w:val="single" w:sz="4" w:space="0" w:color="auto"/>
            </w:tcBorders>
            <w:shd w:val="clear" w:color="000000" w:fill="FFF2CC"/>
            <w:noWrap/>
            <w:vAlign w:val="center"/>
            <w:hideMark/>
          </w:tcPr>
          <w:p w14:paraId="10ED4ED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220</w:t>
            </w:r>
          </w:p>
        </w:tc>
        <w:tc>
          <w:tcPr>
            <w:tcW w:w="520" w:type="dxa"/>
            <w:tcBorders>
              <w:top w:val="nil"/>
              <w:left w:val="nil"/>
              <w:bottom w:val="single" w:sz="4" w:space="0" w:color="auto"/>
              <w:right w:val="single" w:sz="4" w:space="0" w:color="auto"/>
            </w:tcBorders>
            <w:shd w:val="clear" w:color="000000" w:fill="FFF2CC"/>
            <w:noWrap/>
            <w:vAlign w:val="center"/>
            <w:hideMark/>
          </w:tcPr>
          <w:p w14:paraId="7AF631C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210</w:t>
            </w:r>
          </w:p>
        </w:tc>
        <w:tc>
          <w:tcPr>
            <w:tcW w:w="520" w:type="dxa"/>
            <w:tcBorders>
              <w:top w:val="nil"/>
              <w:left w:val="nil"/>
              <w:bottom w:val="single" w:sz="4" w:space="0" w:color="auto"/>
              <w:right w:val="single" w:sz="4" w:space="0" w:color="auto"/>
            </w:tcBorders>
            <w:shd w:val="clear" w:color="000000" w:fill="FFF2CC"/>
            <w:noWrap/>
            <w:vAlign w:val="center"/>
            <w:hideMark/>
          </w:tcPr>
          <w:p w14:paraId="51E03E1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w:t>
            </w:r>
          </w:p>
        </w:tc>
        <w:tc>
          <w:tcPr>
            <w:tcW w:w="520" w:type="dxa"/>
            <w:tcBorders>
              <w:top w:val="nil"/>
              <w:left w:val="nil"/>
              <w:bottom w:val="single" w:sz="4" w:space="0" w:color="auto"/>
              <w:right w:val="single" w:sz="4" w:space="0" w:color="auto"/>
            </w:tcBorders>
            <w:shd w:val="clear" w:color="000000" w:fill="C6E0B4"/>
            <w:noWrap/>
            <w:vAlign w:val="center"/>
            <w:hideMark/>
          </w:tcPr>
          <w:p w14:paraId="22BAC50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186</w:t>
            </w:r>
          </w:p>
        </w:tc>
        <w:tc>
          <w:tcPr>
            <w:tcW w:w="520" w:type="dxa"/>
            <w:tcBorders>
              <w:top w:val="nil"/>
              <w:left w:val="nil"/>
              <w:bottom w:val="single" w:sz="4" w:space="0" w:color="auto"/>
              <w:right w:val="single" w:sz="4" w:space="0" w:color="auto"/>
            </w:tcBorders>
            <w:shd w:val="clear" w:color="000000" w:fill="C6E0B4"/>
            <w:noWrap/>
            <w:vAlign w:val="center"/>
            <w:hideMark/>
          </w:tcPr>
          <w:p w14:paraId="7224B09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146</w:t>
            </w:r>
          </w:p>
        </w:tc>
        <w:tc>
          <w:tcPr>
            <w:tcW w:w="520" w:type="dxa"/>
            <w:tcBorders>
              <w:top w:val="nil"/>
              <w:left w:val="nil"/>
              <w:bottom w:val="single" w:sz="4" w:space="0" w:color="auto"/>
              <w:right w:val="single" w:sz="4" w:space="0" w:color="auto"/>
            </w:tcBorders>
            <w:shd w:val="clear" w:color="000000" w:fill="C6E0B4"/>
            <w:noWrap/>
            <w:vAlign w:val="center"/>
            <w:hideMark/>
          </w:tcPr>
          <w:p w14:paraId="0497B36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+27%</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4AC942F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671</w:t>
            </w:r>
          </w:p>
        </w:tc>
        <w:tc>
          <w:tcPr>
            <w:tcW w:w="520" w:type="dxa"/>
            <w:tcBorders>
              <w:top w:val="nil"/>
              <w:left w:val="nil"/>
              <w:bottom w:val="single" w:sz="4" w:space="0" w:color="auto"/>
              <w:right w:val="single" w:sz="4" w:space="0" w:color="auto"/>
            </w:tcBorders>
            <w:shd w:val="clear" w:color="000000" w:fill="BFBFBF"/>
            <w:noWrap/>
            <w:vAlign w:val="center"/>
            <w:hideMark/>
          </w:tcPr>
          <w:p w14:paraId="261AD67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479</w:t>
            </w:r>
          </w:p>
        </w:tc>
        <w:tc>
          <w:tcPr>
            <w:tcW w:w="520" w:type="dxa"/>
            <w:tcBorders>
              <w:top w:val="nil"/>
              <w:left w:val="nil"/>
              <w:bottom w:val="single" w:sz="4" w:space="0" w:color="auto"/>
              <w:right w:val="single" w:sz="4" w:space="0" w:color="auto"/>
            </w:tcBorders>
            <w:shd w:val="clear" w:color="000000" w:fill="BFBFBF"/>
            <w:noWrap/>
            <w:vAlign w:val="center"/>
            <w:hideMark/>
          </w:tcPr>
          <w:p w14:paraId="6EA1AFA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+40%</w:t>
            </w:r>
          </w:p>
        </w:tc>
        <w:tc>
          <w:tcPr>
            <w:tcW w:w="520" w:type="dxa"/>
            <w:tcBorders>
              <w:top w:val="nil"/>
              <w:left w:val="nil"/>
              <w:bottom w:val="single" w:sz="4" w:space="0" w:color="auto"/>
              <w:right w:val="single" w:sz="4" w:space="0" w:color="auto"/>
            </w:tcBorders>
            <w:shd w:val="clear" w:color="000000" w:fill="BFBFBF"/>
            <w:noWrap/>
            <w:vAlign w:val="center"/>
            <w:hideMark/>
          </w:tcPr>
          <w:p w14:paraId="4BDC642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w:t>
            </w:r>
          </w:p>
        </w:tc>
        <w:tc>
          <w:tcPr>
            <w:tcW w:w="520" w:type="dxa"/>
            <w:tcBorders>
              <w:top w:val="nil"/>
              <w:left w:val="nil"/>
              <w:bottom w:val="single" w:sz="4" w:space="0" w:color="auto"/>
              <w:right w:val="single" w:sz="4" w:space="0" w:color="auto"/>
            </w:tcBorders>
            <w:shd w:val="clear" w:color="000000" w:fill="FFFFFF"/>
            <w:noWrap/>
            <w:vAlign w:val="center"/>
            <w:hideMark/>
          </w:tcPr>
          <w:p w14:paraId="60FACE8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20" w:type="dxa"/>
            <w:tcBorders>
              <w:top w:val="nil"/>
              <w:left w:val="nil"/>
              <w:bottom w:val="single" w:sz="4" w:space="0" w:color="auto"/>
              <w:right w:val="single" w:sz="4" w:space="0" w:color="auto"/>
            </w:tcBorders>
            <w:shd w:val="clear" w:color="000000" w:fill="FFFFFF"/>
            <w:noWrap/>
            <w:vAlign w:val="center"/>
            <w:hideMark/>
          </w:tcPr>
          <w:p w14:paraId="10D32C1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20" w:type="dxa"/>
            <w:tcBorders>
              <w:top w:val="nil"/>
              <w:left w:val="nil"/>
              <w:bottom w:val="single" w:sz="4" w:space="0" w:color="auto"/>
              <w:right w:val="single" w:sz="4" w:space="0" w:color="auto"/>
            </w:tcBorders>
            <w:shd w:val="clear" w:color="000000" w:fill="FFFFFF"/>
            <w:noWrap/>
            <w:vAlign w:val="center"/>
            <w:hideMark/>
          </w:tcPr>
          <w:p w14:paraId="104FA75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n/a</w:t>
            </w:r>
          </w:p>
        </w:tc>
        <w:tc>
          <w:tcPr>
            <w:tcW w:w="520" w:type="dxa"/>
            <w:tcBorders>
              <w:top w:val="nil"/>
              <w:left w:val="nil"/>
              <w:bottom w:val="single" w:sz="4" w:space="0" w:color="auto"/>
              <w:right w:val="single" w:sz="4" w:space="0" w:color="auto"/>
            </w:tcBorders>
            <w:shd w:val="clear" w:color="000000" w:fill="FFFFFF"/>
            <w:noWrap/>
            <w:vAlign w:val="center"/>
            <w:hideMark/>
          </w:tcPr>
          <w:p w14:paraId="5AD4139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n/a</w:t>
            </w:r>
          </w:p>
        </w:tc>
        <w:tc>
          <w:tcPr>
            <w:tcW w:w="520" w:type="dxa"/>
            <w:tcBorders>
              <w:top w:val="nil"/>
              <w:left w:val="nil"/>
              <w:bottom w:val="single" w:sz="4" w:space="0" w:color="auto"/>
              <w:right w:val="single" w:sz="4" w:space="0" w:color="auto"/>
            </w:tcBorders>
            <w:shd w:val="clear" w:color="000000" w:fill="D9E1F2"/>
            <w:noWrap/>
            <w:vAlign w:val="center"/>
            <w:hideMark/>
          </w:tcPr>
          <w:p w14:paraId="1500774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113</w:t>
            </w:r>
          </w:p>
        </w:tc>
        <w:tc>
          <w:tcPr>
            <w:tcW w:w="520" w:type="dxa"/>
            <w:tcBorders>
              <w:top w:val="nil"/>
              <w:left w:val="nil"/>
              <w:bottom w:val="single" w:sz="4" w:space="0" w:color="auto"/>
              <w:right w:val="single" w:sz="4" w:space="0" w:color="auto"/>
            </w:tcBorders>
            <w:shd w:val="clear" w:color="000000" w:fill="D9E1F2"/>
            <w:noWrap/>
            <w:vAlign w:val="center"/>
            <w:hideMark/>
          </w:tcPr>
          <w:p w14:paraId="4DEC961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w:t>
            </w:r>
          </w:p>
        </w:tc>
        <w:tc>
          <w:tcPr>
            <w:tcW w:w="520" w:type="dxa"/>
            <w:tcBorders>
              <w:top w:val="nil"/>
              <w:left w:val="nil"/>
              <w:bottom w:val="single" w:sz="4" w:space="0" w:color="auto"/>
              <w:right w:val="single" w:sz="4" w:space="0" w:color="auto"/>
            </w:tcBorders>
            <w:shd w:val="clear" w:color="000000" w:fill="D9E1F2"/>
            <w:noWrap/>
            <w:vAlign w:val="center"/>
            <w:hideMark/>
          </w:tcPr>
          <w:p w14:paraId="0846CC2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+394%</w:t>
            </w:r>
          </w:p>
        </w:tc>
        <w:tc>
          <w:tcPr>
            <w:tcW w:w="520" w:type="dxa"/>
            <w:tcBorders>
              <w:top w:val="nil"/>
              <w:left w:val="nil"/>
              <w:bottom w:val="single" w:sz="4" w:space="0" w:color="auto"/>
              <w:right w:val="single" w:sz="4" w:space="0" w:color="auto"/>
            </w:tcBorders>
            <w:shd w:val="clear" w:color="000000" w:fill="D9E1F2"/>
            <w:noWrap/>
            <w:vAlign w:val="center"/>
            <w:hideMark/>
          </w:tcPr>
          <w:p w14:paraId="1F126E7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+380%</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2124F94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1,190</w:t>
            </w:r>
          </w:p>
        </w:tc>
        <w:tc>
          <w:tcPr>
            <w:tcW w:w="520" w:type="dxa"/>
            <w:tcBorders>
              <w:top w:val="nil"/>
              <w:left w:val="nil"/>
              <w:bottom w:val="single" w:sz="4" w:space="0" w:color="auto"/>
              <w:right w:val="single" w:sz="4" w:space="0" w:color="auto"/>
            </w:tcBorders>
            <w:shd w:val="clear" w:color="000000" w:fill="FCE4D6"/>
            <w:noWrap/>
            <w:vAlign w:val="center"/>
            <w:hideMark/>
          </w:tcPr>
          <w:p w14:paraId="227C63D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858</w:t>
            </w:r>
          </w:p>
        </w:tc>
        <w:tc>
          <w:tcPr>
            <w:tcW w:w="520" w:type="dxa"/>
            <w:tcBorders>
              <w:top w:val="nil"/>
              <w:left w:val="nil"/>
              <w:bottom w:val="single" w:sz="4" w:space="0" w:color="auto"/>
              <w:right w:val="single" w:sz="4" w:space="0" w:color="auto"/>
            </w:tcBorders>
            <w:shd w:val="clear" w:color="000000" w:fill="FCE4D6"/>
            <w:noWrap/>
            <w:vAlign w:val="center"/>
            <w:hideMark/>
          </w:tcPr>
          <w:p w14:paraId="190F5F1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+39%</w:t>
            </w:r>
          </w:p>
        </w:tc>
        <w:tc>
          <w:tcPr>
            <w:tcW w:w="520" w:type="dxa"/>
            <w:tcBorders>
              <w:top w:val="nil"/>
              <w:left w:val="nil"/>
              <w:bottom w:val="single" w:sz="4" w:space="0" w:color="auto"/>
              <w:right w:val="single" w:sz="8" w:space="0" w:color="auto"/>
            </w:tcBorders>
            <w:shd w:val="clear" w:color="000000" w:fill="FCE4D6"/>
            <w:noWrap/>
            <w:vAlign w:val="center"/>
            <w:hideMark/>
          </w:tcPr>
          <w:p w14:paraId="7DC0A8D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+40%</w:t>
            </w:r>
          </w:p>
        </w:tc>
      </w:tr>
      <w:tr w:rsidR="008801D7" w:rsidRPr="008801D7" w14:paraId="721F7F24"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ABBC196"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Total revenue</w:t>
            </w:r>
          </w:p>
        </w:tc>
        <w:tc>
          <w:tcPr>
            <w:tcW w:w="520" w:type="dxa"/>
            <w:tcBorders>
              <w:top w:val="nil"/>
              <w:left w:val="nil"/>
              <w:bottom w:val="single" w:sz="4" w:space="0" w:color="auto"/>
              <w:right w:val="single" w:sz="4" w:space="0" w:color="auto"/>
            </w:tcBorders>
            <w:shd w:val="clear" w:color="000000" w:fill="FFF2CC"/>
            <w:noWrap/>
            <w:vAlign w:val="center"/>
            <w:hideMark/>
          </w:tcPr>
          <w:p w14:paraId="2FFE547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540</w:t>
            </w:r>
          </w:p>
        </w:tc>
        <w:tc>
          <w:tcPr>
            <w:tcW w:w="520" w:type="dxa"/>
            <w:tcBorders>
              <w:top w:val="nil"/>
              <w:left w:val="nil"/>
              <w:bottom w:val="single" w:sz="4" w:space="0" w:color="auto"/>
              <w:right w:val="single" w:sz="4" w:space="0" w:color="auto"/>
            </w:tcBorders>
            <w:shd w:val="clear" w:color="000000" w:fill="FFF2CC"/>
            <w:noWrap/>
            <w:vAlign w:val="center"/>
            <w:hideMark/>
          </w:tcPr>
          <w:p w14:paraId="4AFBED5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658</w:t>
            </w:r>
          </w:p>
        </w:tc>
        <w:tc>
          <w:tcPr>
            <w:tcW w:w="520" w:type="dxa"/>
            <w:tcBorders>
              <w:top w:val="nil"/>
              <w:left w:val="nil"/>
              <w:bottom w:val="single" w:sz="4" w:space="0" w:color="auto"/>
              <w:right w:val="single" w:sz="4" w:space="0" w:color="auto"/>
            </w:tcBorders>
            <w:shd w:val="clear" w:color="000000" w:fill="FFF2CC"/>
            <w:noWrap/>
            <w:vAlign w:val="center"/>
            <w:hideMark/>
          </w:tcPr>
          <w:p w14:paraId="3DCD09B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-18%</w:t>
            </w:r>
          </w:p>
        </w:tc>
        <w:tc>
          <w:tcPr>
            <w:tcW w:w="520" w:type="dxa"/>
            <w:tcBorders>
              <w:top w:val="nil"/>
              <w:left w:val="nil"/>
              <w:bottom w:val="single" w:sz="4" w:space="0" w:color="auto"/>
              <w:right w:val="single" w:sz="4" w:space="0" w:color="auto"/>
            </w:tcBorders>
            <w:shd w:val="clear" w:color="000000" w:fill="C6E0B4"/>
            <w:noWrap/>
            <w:vAlign w:val="center"/>
            <w:hideMark/>
          </w:tcPr>
          <w:p w14:paraId="7DFA3C3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439</w:t>
            </w:r>
          </w:p>
        </w:tc>
        <w:tc>
          <w:tcPr>
            <w:tcW w:w="520" w:type="dxa"/>
            <w:tcBorders>
              <w:top w:val="nil"/>
              <w:left w:val="nil"/>
              <w:bottom w:val="single" w:sz="4" w:space="0" w:color="auto"/>
              <w:right w:val="single" w:sz="4" w:space="0" w:color="auto"/>
            </w:tcBorders>
            <w:shd w:val="clear" w:color="000000" w:fill="C6E0B4"/>
            <w:noWrap/>
            <w:vAlign w:val="center"/>
            <w:hideMark/>
          </w:tcPr>
          <w:p w14:paraId="03E4230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331</w:t>
            </w:r>
          </w:p>
        </w:tc>
        <w:tc>
          <w:tcPr>
            <w:tcW w:w="520" w:type="dxa"/>
            <w:tcBorders>
              <w:top w:val="nil"/>
              <w:left w:val="nil"/>
              <w:bottom w:val="single" w:sz="4" w:space="0" w:color="auto"/>
              <w:right w:val="single" w:sz="4" w:space="0" w:color="auto"/>
            </w:tcBorders>
            <w:shd w:val="clear" w:color="000000" w:fill="C6E0B4"/>
            <w:noWrap/>
            <w:vAlign w:val="center"/>
            <w:hideMark/>
          </w:tcPr>
          <w:p w14:paraId="6220ADD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+32%</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1ABAEDD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697</w:t>
            </w:r>
          </w:p>
        </w:tc>
        <w:tc>
          <w:tcPr>
            <w:tcW w:w="520" w:type="dxa"/>
            <w:tcBorders>
              <w:top w:val="nil"/>
              <w:left w:val="nil"/>
              <w:bottom w:val="single" w:sz="4" w:space="0" w:color="auto"/>
              <w:right w:val="single" w:sz="4" w:space="0" w:color="auto"/>
            </w:tcBorders>
            <w:shd w:val="clear" w:color="000000" w:fill="BFBFBF"/>
            <w:noWrap/>
            <w:vAlign w:val="center"/>
            <w:hideMark/>
          </w:tcPr>
          <w:p w14:paraId="104278C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509</w:t>
            </w:r>
          </w:p>
        </w:tc>
        <w:tc>
          <w:tcPr>
            <w:tcW w:w="520" w:type="dxa"/>
            <w:tcBorders>
              <w:top w:val="nil"/>
              <w:left w:val="nil"/>
              <w:bottom w:val="single" w:sz="4" w:space="0" w:color="auto"/>
              <w:right w:val="single" w:sz="4" w:space="0" w:color="auto"/>
            </w:tcBorders>
            <w:shd w:val="clear" w:color="000000" w:fill="BFBFBF"/>
            <w:noWrap/>
            <w:vAlign w:val="center"/>
            <w:hideMark/>
          </w:tcPr>
          <w:p w14:paraId="611FCB1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+37%</w:t>
            </w:r>
          </w:p>
        </w:tc>
        <w:tc>
          <w:tcPr>
            <w:tcW w:w="520" w:type="dxa"/>
            <w:tcBorders>
              <w:top w:val="nil"/>
              <w:left w:val="nil"/>
              <w:bottom w:val="single" w:sz="4" w:space="0" w:color="auto"/>
              <w:right w:val="single" w:sz="4" w:space="0" w:color="auto"/>
            </w:tcBorders>
            <w:shd w:val="clear" w:color="000000" w:fill="BFBFBF"/>
            <w:noWrap/>
            <w:vAlign w:val="center"/>
            <w:hideMark/>
          </w:tcPr>
          <w:p w14:paraId="1BC04EE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+40%</w:t>
            </w:r>
          </w:p>
        </w:tc>
        <w:tc>
          <w:tcPr>
            <w:tcW w:w="520" w:type="dxa"/>
            <w:tcBorders>
              <w:top w:val="nil"/>
              <w:left w:val="nil"/>
              <w:bottom w:val="single" w:sz="4" w:space="0" w:color="auto"/>
              <w:right w:val="single" w:sz="4" w:space="0" w:color="auto"/>
            </w:tcBorders>
            <w:shd w:val="clear" w:color="auto" w:fill="auto"/>
            <w:noWrap/>
            <w:vAlign w:val="center"/>
            <w:hideMark/>
          </w:tcPr>
          <w:p w14:paraId="3B9F202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435</w:t>
            </w:r>
          </w:p>
        </w:tc>
        <w:tc>
          <w:tcPr>
            <w:tcW w:w="520" w:type="dxa"/>
            <w:tcBorders>
              <w:top w:val="nil"/>
              <w:left w:val="nil"/>
              <w:bottom w:val="single" w:sz="4" w:space="0" w:color="auto"/>
              <w:right w:val="single" w:sz="4" w:space="0" w:color="auto"/>
            </w:tcBorders>
            <w:shd w:val="clear" w:color="000000" w:fill="FFFFFF"/>
            <w:noWrap/>
            <w:vAlign w:val="center"/>
            <w:hideMark/>
          </w:tcPr>
          <w:p w14:paraId="62A128C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314</w:t>
            </w:r>
          </w:p>
        </w:tc>
        <w:tc>
          <w:tcPr>
            <w:tcW w:w="520" w:type="dxa"/>
            <w:tcBorders>
              <w:top w:val="nil"/>
              <w:left w:val="nil"/>
              <w:bottom w:val="single" w:sz="4" w:space="0" w:color="auto"/>
              <w:right w:val="single" w:sz="4" w:space="0" w:color="auto"/>
            </w:tcBorders>
            <w:shd w:val="clear" w:color="000000" w:fill="FFFFFF"/>
            <w:noWrap/>
            <w:vAlign w:val="center"/>
            <w:hideMark/>
          </w:tcPr>
          <w:p w14:paraId="5BA6EF8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+39%</w:t>
            </w:r>
          </w:p>
        </w:tc>
        <w:tc>
          <w:tcPr>
            <w:tcW w:w="520" w:type="dxa"/>
            <w:tcBorders>
              <w:top w:val="nil"/>
              <w:left w:val="nil"/>
              <w:bottom w:val="single" w:sz="4" w:space="0" w:color="auto"/>
              <w:right w:val="single" w:sz="4" w:space="0" w:color="auto"/>
            </w:tcBorders>
            <w:shd w:val="clear" w:color="auto" w:fill="auto"/>
            <w:noWrap/>
            <w:vAlign w:val="center"/>
            <w:hideMark/>
          </w:tcPr>
          <w:p w14:paraId="2E3FEA9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+45%</w:t>
            </w:r>
          </w:p>
        </w:tc>
        <w:tc>
          <w:tcPr>
            <w:tcW w:w="520" w:type="dxa"/>
            <w:tcBorders>
              <w:top w:val="nil"/>
              <w:left w:val="nil"/>
              <w:bottom w:val="single" w:sz="4" w:space="0" w:color="auto"/>
              <w:right w:val="single" w:sz="4" w:space="0" w:color="auto"/>
            </w:tcBorders>
            <w:shd w:val="clear" w:color="000000" w:fill="D9E1F2"/>
            <w:noWrap/>
            <w:vAlign w:val="center"/>
            <w:hideMark/>
          </w:tcPr>
          <w:p w14:paraId="6517161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278</w:t>
            </w:r>
          </w:p>
        </w:tc>
        <w:tc>
          <w:tcPr>
            <w:tcW w:w="520" w:type="dxa"/>
            <w:tcBorders>
              <w:top w:val="nil"/>
              <w:left w:val="nil"/>
              <w:bottom w:val="single" w:sz="4" w:space="0" w:color="auto"/>
              <w:right w:val="single" w:sz="4" w:space="0" w:color="auto"/>
            </w:tcBorders>
            <w:shd w:val="clear" w:color="000000" w:fill="D9E1F2"/>
            <w:noWrap/>
            <w:vAlign w:val="center"/>
            <w:hideMark/>
          </w:tcPr>
          <w:p w14:paraId="41B85B62"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163</w:t>
            </w:r>
          </w:p>
        </w:tc>
        <w:tc>
          <w:tcPr>
            <w:tcW w:w="520" w:type="dxa"/>
            <w:tcBorders>
              <w:top w:val="nil"/>
              <w:left w:val="nil"/>
              <w:bottom w:val="single" w:sz="4" w:space="0" w:color="auto"/>
              <w:right w:val="single" w:sz="4" w:space="0" w:color="auto"/>
            </w:tcBorders>
            <w:shd w:val="clear" w:color="000000" w:fill="D9E1F2"/>
            <w:noWrap/>
            <w:vAlign w:val="center"/>
            <w:hideMark/>
          </w:tcPr>
          <w:p w14:paraId="58969A5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+71%</w:t>
            </w:r>
          </w:p>
        </w:tc>
        <w:tc>
          <w:tcPr>
            <w:tcW w:w="520" w:type="dxa"/>
            <w:tcBorders>
              <w:top w:val="nil"/>
              <w:left w:val="nil"/>
              <w:bottom w:val="single" w:sz="4" w:space="0" w:color="auto"/>
              <w:right w:val="single" w:sz="4" w:space="0" w:color="auto"/>
            </w:tcBorders>
            <w:shd w:val="clear" w:color="000000" w:fill="D9E1F2"/>
            <w:noWrap/>
            <w:vAlign w:val="center"/>
            <w:hideMark/>
          </w:tcPr>
          <w:p w14:paraId="24AAD57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+66%</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48CD01D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2,389</w:t>
            </w:r>
          </w:p>
        </w:tc>
        <w:tc>
          <w:tcPr>
            <w:tcW w:w="520" w:type="dxa"/>
            <w:tcBorders>
              <w:top w:val="nil"/>
              <w:left w:val="nil"/>
              <w:bottom w:val="single" w:sz="4" w:space="0" w:color="auto"/>
              <w:right w:val="single" w:sz="4" w:space="0" w:color="auto"/>
            </w:tcBorders>
            <w:shd w:val="clear" w:color="000000" w:fill="FCE4D6"/>
            <w:noWrap/>
            <w:vAlign w:val="center"/>
            <w:hideMark/>
          </w:tcPr>
          <w:p w14:paraId="7BCD52D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1,975</w:t>
            </w:r>
          </w:p>
        </w:tc>
        <w:tc>
          <w:tcPr>
            <w:tcW w:w="520" w:type="dxa"/>
            <w:tcBorders>
              <w:top w:val="nil"/>
              <w:left w:val="nil"/>
              <w:bottom w:val="single" w:sz="4" w:space="0" w:color="auto"/>
              <w:right w:val="single" w:sz="4" w:space="0" w:color="auto"/>
            </w:tcBorders>
            <w:shd w:val="clear" w:color="000000" w:fill="FCE4D6"/>
            <w:noWrap/>
            <w:vAlign w:val="center"/>
            <w:hideMark/>
          </w:tcPr>
          <w:p w14:paraId="0EF1422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+21%</w:t>
            </w:r>
          </w:p>
        </w:tc>
        <w:tc>
          <w:tcPr>
            <w:tcW w:w="520" w:type="dxa"/>
            <w:tcBorders>
              <w:top w:val="nil"/>
              <w:left w:val="nil"/>
              <w:bottom w:val="single" w:sz="4" w:space="0" w:color="auto"/>
              <w:right w:val="single" w:sz="8" w:space="0" w:color="auto"/>
            </w:tcBorders>
            <w:shd w:val="clear" w:color="000000" w:fill="FCE4D6"/>
            <w:noWrap/>
            <w:vAlign w:val="center"/>
            <w:hideMark/>
          </w:tcPr>
          <w:p w14:paraId="58849A4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+22%</w:t>
            </w:r>
          </w:p>
        </w:tc>
      </w:tr>
      <w:tr w:rsidR="008801D7" w:rsidRPr="008801D7" w14:paraId="78109A56" w14:textId="77777777" w:rsidTr="008801D7">
        <w:trPr>
          <w:trHeight w:val="78"/>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D5D70C1" w14:textId="77777777" w:rsidR="008801D7" w:rsidRPr="008801D7" w:rsidRDefault="008801D7" w:rsidP="008801D7">
            <w:pPr>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44BB6C83"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653EB39B"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317D2F3B"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2A89AFD2"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7F2AC667"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270A69B0"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5585399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73000A1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6390B859"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41FD28F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auto" w:fill="auto"/>
            <w:noWrap/>
            <w:vAlign w:val="center"/>
            <w:hideMark/>
          </w:tcPr>
          <w:p w14:paraId="281A5903"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15D59F89"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3F55FD46"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0E22A3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5F7B4EC2"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18895833"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68094955"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474F338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44794A64"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7C27B192"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19D426A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8" w:space="0" w:color="auto"/>
            </w:tcBorders>
            <w:shd w:val="clear" w:color="000000" w:fill="FCE4D6"/>
            <w:noWrap/>
            <w:vAlign w:val="center"/>
            <w:hideMark/>
          </w:tcPr>
          <w:p w14:paraId="7ADC7F67"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r>
      <w:tr w:rsidR="008801D7" w:rsidRPr="008801D7" w14:paraId="3F9905A9"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FFDC244"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Cost of sales</w:t>
            </w:r>
          </w:p>
        </w:tc>
        <w:tc>
          <w:tcPr>
            <w:tcW w:w="520" w:type="dxa"/>
            <w:tcBorders>
              <w:top w:val="nil"/>
              <w:left w:val="nil"/>
              <w:bottom w:val="single" w:sz="4" w:space="0" w:color="auto"/>
              <w:right w:val="single" w:sz="4" w:space="0" w:color="auto"/>
            </w:tcBorders>
            <w:shd w:val="clear" w:color="000000" w:fill="FFF2CC"/>
            <w:noWrap/>
            <w:vAlign w:val="center"/>
            <w:hideMark/>
          </w:tcPr>
          <w:p w14:paraId="351269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(157)</w:t>
            </w:r>
          </w:p>
        </w:tc>
        <w:tc>
          <w:tcPr>
            <w:tcW w:w="520" w:type="dxa"/>
            <w:tcBorders>
              <w:top w:val="nil"/>
              <w:left w:val="nil"/>
              <w:bottom w:val="single" w:sz="4" w:space="0" w:color="auto"/>
              <w:right w:val="single" w:sz="4" w:space="0" w:color="auto"/>
            </w:tcBorders>
            <w:shd w:val="clear" w:color="000000" w:fill="FFF2CC"/>
            <w:noWrap/>
            <w:vAlign w:val="center"/>
            <w:hideMark/>
          </w:tcPr>
          <w:p w14:paraId="1E5D493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(175)</w:t>
            </w:r>
          </w:p>
        </w:tc>
        <w:tc>
          <w:tcPr>
            <w:tcW w:w="520" w:type="dxa"/>
            <w:tcBorders>
              <w:top w:val="nil"/>
              <w:left w:val="nil"/>
              <w:bottom w:val="single" w:sz="4" w:space="0" w:color="auto"/>
              <w:right w:val="single" w:sz="4" w:space="0" w:color="auto"/>
            </w:tcBorders>
            <w:shd w:val="clear" w:color="000000" w:fill="FFF2CC"/>
            <w:noWrap/>
            <w:vAlign w:val="center"/>
            <w:hideMark/>
          </w:tcPr>
          <w:p w14:paraId="7BCFACC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20" w:type="dxa"/>
            <w:tcBorders>
              <w:top w:val="nil"/>
              <w:left w:val="nil"/>
              <w:bottom w:val="single" w:sz="4" w:space="0" w:color="auto"/>
              <w:right w:val="single" w:sz="4" w:space="0" w:color="auto"/>
            </w:tcBorders>
            <w:shd w:val="clear" w:color="000000" w:fill="C6E0B4"/>
            <w:noWrap/>
            <w:vAlign w:val="center"/>
            <w:hideMark/>
          </w:tcPr>
          <w:p w14:paraId="6925608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(119)</w:t>
            </w:r>
          </w:p>
        </w:tc>
        <w:tc>
          <w:tcPr>
            <w:tcW w:w="520" w:type="dxa"/>
            <w:tcBorders>
              <w:top w:val="nil"/>
              <w:left w:val="nil"/>
              <w:bottom w:val="single" w:sz="4" w:space="0" w:color="auto"/>
              <w:right w:val="single" w:sz="4" w:space="0" w:color="auto"/>
            </w:tcBorders>
            <w:shd w:val="clear" w:color="000000" w:fill="C6E0B4"/>
            <w:noWrap/>
            <w:vAlign w:val="center"/>
            <w:hideMark/>
          </w:tcPr>
          <w:p w14:paraId="59F436D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(91)</w:t>
            </w:r>
          </w:p>
        </w:tc>
        <w:tc>
          <w:tcPr>
            <w:tcW w:w="520" w:type="dxa"/>
            <w:tcBorders>
              <w:top w:val="nil"/>
              <w:left w:val="nil"/>
              <w:bottom w:val="single" w:sz="4" w:space="0" w:color="auto"/>
              <w:right w:val="single" w:sz="4" w:space="0" w:color="auto"/>
            </w:tcBorders>
            <w:shd w:val="clear" w:color="000000" w:fill="C6E0B4"/>
            <w:noWrap/>
            <w:vAlign w:val="center"/>
            <w:hideMark/>
          </w:tcPr>
          <w:p w14:paraId="08E99BB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0508B19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(147)</w:t>
            </w:r>
          </w:p>
        </w:tc>
        <w:tc>
          <w:tcPr>
            <w:tcW w:w="520" w:type="dxa"/>
            <w:tcBorders>
              <w:top w:val="nil"/>
              <w:left w:val="nil"/>
              <w:bottom w:val="single" w:sz="4" w:space="0" w:color="auto"/>
              <w:right w:val="single" w:sz="4" w:space="0" w:color="auto"/>
            </w:tcBorders>
            <w:shd w:val="clear" w:color="000000" w:fill="BFBFBF"/>
            <w:noWrap/>
            <w:vAlign w:val="center"/>
            <w:hideMark/>
          </w:tcPr>
          <w:p w14:paraId="399211C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(114)</w:t>
            </w:r>
          </w:p>
        </w:tc>
        <w:tc>
          <w:tcPr>
            <w:tcW w:w="520" w:type="dxa"/>
            <w:tcBorders>
              <w:top w:val="nil"/>
              <w:left w:val="nil"/>
              <w:bottom w:val="single" w:sz="4" w:space="0" w:color="auto"/>
              <w:right w:val="single" w:sz="4" w:space="0" w:color="auto"/>
            </w:tcBorders>
            <w:shd w:val="clear" w:color="000000" w:fill="BFBFBF"/>
            <w:noWrap/>
            <w:vAlign w:val="center"/>
            <w:hideMark/>
          </w:tcPr>
          <w:p w14:paraId="33C1A96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20" w:type="dxa"/>
            <w:tcBorders>
              <w:top w:val="nil"/>
              <w:left w:val="nil"/>
              <w:bottom w:val="single" w:sz="4" w:space="0" w:color="auto"/>
              <w:right w:val="single" w:sz="4" w:space="0" w:color="auto"/>
            </w:tcBorders>
            <w:shd w:val="clear" w:color="000000" w:fill="BFBFBF"/>
            <w:noWrap/>
            <w:vAlign w:val="center"/>
            <w:hideMark/>
          </w:tcPr>
          <w:p w14:paraId="278DD78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20" w:type="dxa"/>
            <w:tcBorders>
              <w:top w:val="nil"/>
              <w:left w:val="nil"/>
              <w:bottom w:val="single" w:sz="4" w:space="0" w:color="auto"/>
              <w:right w:val="single" w:sz="4" w:space="0" w:color="auto"/>
            </w:tcBorders>
            <w:shd w:val="clear" w:color="auto" w:fill="auto"/>
            <w:noWrap/>
            <w:vAlign w:val="center"/>
            <w:hideMark/>
          </w:tcPr>
          <w:p w14:paraId="07910A9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(200)</w:t>
            </w:r>
          </w:p>
        </w:tc>
        <w:tc>
          <w:tcPr>
            <w:tcW w:w="520" w:type="dxa"/>
            <w:tcBorders>
              <w:top w:val="nil"/>
              <w:left w:val="nil"/>
              <w:bottom w:val="single" w:sz="4" w:space="0" w:color="auto"/>
              <w:right w:val="single" w:sz="4" w:space="0" w:color="auto"/>
            </w:tcBorders>
            <w:shd w:val="clear" w:color="000000" w:fill="FFFFFF"/>
            <w:noWrap/>
            <w:vAlign w:val="center"/>
            <w:hideMark/>
          </w:tcPr>
          <w:p w14:paraId="6250FCF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(140)</w:t>
            </w:r>
          </w:p>
        </w:tc>
        <w:tc>
          <w:tcPr>
            <w:tcW w:w="520" w:type="dxa"/>
            <w:tcBorders>
              <w:top w:val="nil"/>
              <w:left w:val="nil"/>
              <w:bottom w:val="single" w:sz="4" w:space="0" w:color="auto"/>
              <w:right w:val="single" w:sz="4" w:space="0" w:color="auto"/>
            </w:tcBorders>
            <w:shd w:val="clear" w:color="auto" w:fill="auto"/>
            <w:noWrap/>
            <w:vAlign w:val="center"/>
            <w:hideMark/>
          </w:tcPr>
          <w:p w14:paraId="5805074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w:t>
            </w:r>
          </w:p>
        </w:tc>
        <w:tc>
          <w:tcPr>
            <w:tcW w:w="520" w:type="dxa"/>
            <w:tcBorders>
              <w:top w:val="nil"/>
              <w:left w:val="nil"/>
              <w:bottom w:val="single" w:sz="4" w:space="0" w:color="auto"/>
              <w:right w:val="single" w:sz="4" w:space="0" w:color="auto"/>
            </w:tcBorders>
            <w:shd w:val="clear" w:color="auto" w:fill="auto"/>
            <w:noWrap/>
            <w:vAlign w:val="center"/>
            <w:hideMark/>
          </w:tcPr>
          <w:p w14:paraId="53F4816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+50%</w:t>
            </w:r>
          </w:p>
        </w:tc>
        <w:tc>
          <w:tcPr>
            <w:tcW w:w="520" w:type="dxa"/>
            <w:tcBorders>
              <w:top w:val="nil"/>
              <w:left w:val="nil"/>
              <w:bottom w:val="single" w:sz="4" w:space="0" w:color="auto"/>
              <w:right w:val="single" w:sz="4" w:space="0" w:color="auto"/>
            </w:tcBorders>
            <w:shd w:val="clear" w:color="000000" w:fill="D9E1F2"/>
            <w:noWrap/>
            <w:vAlign w:val="center"/>
            <w:hideMark/>
          </w:tcPr>
          <w:p w14:paraId="661489F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(116)</w:t>
            </w:r>
          </w:p>
        </w:tc>
        <w:tc>
          <w:tcPr>
            <w:tcW w:w="520" w:type="dxa"/>
            <w:tcBorders>
              <w:top w:val="nil"/>
              <w:left w:val="nil"/>
              <w:bottom w:val="single" w:sz="4" w:space="0" w:color="auto"/>
              <w:right w:val="single" w:sz="4" w:space="0" w:color="auto"/>
            </w:tcBorders>
            <w:shd w:val="clear" w:color="000000" w:fill="D9E1F2"/>
            <w:noWrap/>
            <w:vAlign w:val="center"/>
            <w:hideMark/>
          </w:tcPr>
          <w:p w14:paraId="3CFD516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(46)</w:t>
            </w:r>
          </w:p>
        </w:tc>
        <w:tc>
          <w:tcPr>
            <w:tcW w:w="520" w:type="dxa"/>
            <w:tcBorders>
              <w:top w:val="nil"/>
              <w:left w:val="nil"/>
              <w:bottom w:val="single" w:sz="4" w:space="0" w:color="auto"/>
              <w:right w:val="single" w:sz="4" w:space="0" w:color="auto"/>
            </w:tcBorders>
            <w:shd w:val="clear" w:color="000000" w:fill="D9E1F2"/>
            <w:noWrap/>
            <w:vAlign w:val="center"/>
            <w:hideMark/>
          </w:tcPr>
          <w:p w14:paraId="5D2978C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+153%</w:t>
            </w:r>
          </w:p>
        </w:tc>
        <w:tc>
          <w:tcPr>
            <w:tcW w:w="520" w:type="dxa"/>
            <w:tcBorders>
              <w:top w:val="nil"/>
              <w:left w:val="nil"/>
              <w:bottom w:val="single" w:sz="4" w:space="0" w:color="auto"/>
              <w:right w:val="single" w:sz="4" w:space="0" w:color="auto"/>
            </w:tcBorders>
            <w:shd w:val="clear" w:color="000000" w:fill="D9E1F2"/>
            <w:noWrap/>
            <w:vAlign w:val="center"/>
            <w:hideMark/>
          </w:tcPr>
          <w:p w14:paraId="1B0B03E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+145%</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0A22CD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(738)</w:t>
            </w:r>
          </w:p>
        </w:tc>
        <w:tc>
          <w:tcPr>
            <w:tcW w:w="520" w:type="dxa"/>
            <w:tcBorders>
              <w:top w:val="nil"/>
              <w:left w:val="nil"/>
              <w:bottom w:val="single" w:sz="4" w:space="0" w:color="auto"/>
              <w:right w:val="single" w:sz="4" w:space="0" w:color="auto"/>
            </w:tcBorders>
            <w:shd w:val="clear" w:color="000000" w:fill="FCE4D6"/>
            <w:noWrap/>
            <w:vAlign w:val="center"/>
            <w:hideMark/>
          </w:tcPr>
          <w:p w14:paraId="389FA94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(566)</w:t>
            </w:r>
          </w:p>
        </w:tc>
        <w:tc>
          <w:tcPr>
            <w:tcW w:w="520" w:type="dxa"/>
            <w:tcBorders>
              <w:top w:val="nil"/>
              <w:left w:val="nil"/>
              <w:bottom w:val="single" w:sz="4" w:space="0" w:color="auto"/>
              <w:right w:val="single" w:sz="4" w:space="0" w:color="auto"/>
            </w:tcBorders>
            <w:shd w:val="clear" w:color="000000" w:fill="FCE4D6"/>
            <w:noWrap/>
            <w:vAlign w:val="center"/>
            <w:hideMark/>
          </w:tcPr>
          <w:p w14:paraId="602DA27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w:t>
            </w:r>
          </w:p>
        </w:tc>
        <w:tc>
          <w:tcPr>
            <w:tcW w:w="520" w:type="dxa"/>
            <w:tcBorders>
              <w:top w:val="nil"/>
              <w:left w:val="nil"/>
              <w:bottom w:val="single" w:sz="4" w:space="0" w:color="auto"/>
              <w:right w:val="single" w:sz="8" w:space="0" w:color="auto"/>
            </w:tcBorders>
            <w:shd w:val="clear" w:color="000000" w:fill="FCE4D6"/>
            <w:noWrap/>
            <w:vAlign w:val="center"/>
            <w:hideMark/>
          </w:tcPr>
          <w:p w14:paraId="51BFA13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+32%</w:t>
            </w:r>
          </w:p>
        </w:tc>
      </w:tr>
      <w:tr w:rsidR="008801D7" w:rsidRPr="008801D7" w14:paraId="65A6A325" w14:textId="77777777" w:rsidTr="008801D7">
        <w:trPr>
          <w:trHeight w:val="31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C7B0B32" w14:textId="77777777" w:rsidR="008801D7" w:rsidRPr="008801D7" w:rsidRDefault="008801D7" w:rsidP="008801D7">
            <w:pPr>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Cost of sales as % of net revenue</w:t>
            </w:r>
          </w:p>
        </w:tc>
        <w:tc>
          <w:tcPr>
            <w:tcW w:w="520" w:type="dxa"/>
            <w:tcBorders>
              <w:top w:val="nil"/>
              <w:left w:val="nil"/>
              <w:bottom w:val="single" w:sz="4" w:space="0" w:color="auto"/>
              <w:right w:val="single" w:sz="4" w:space="0" w:color="auto"/>
            </w:tcBorders>
            <w:shd w:val="clear" w:color="000000" w:fill="FFF2CC"/>
            <w:noWrap/>
            <w:vAlign w:val="center"/>
            <w:hideMark/>
          </w:tcPr>
          <w:p w14:paraId="47695F18"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29.0%</w:t>
            </w:r>
          </w:p>
        </w:tc>
        <w:tc>
          <w:tcPr>
            <w:tcW w:w="520" w:type="dxa"/>
            <w:tcBorders>
              <w:top w:val="nil"/>
              <w:left w:val="nil"/>
              <w:bottom w:val="single" w:sz="4" w:space="0" w:color="auto"/>
              <w:right w:val="single" w:sz="4" w:space="0" w:color="auto"/>
            </w:tcBorders>
            <w:shd w:val="clear" w:color="000000" w:fill="FFF2CC"/>
            <w:noWrap/>
            <w:vAlign w:val="center"/>
            <w:hideMark/>
          </w:tcPr>
          <w:p w14:paraId="30720525"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26.7%</w:t>
            </w:r>
          </w:p>
        </w:tc>
        <w:tc>
          <w:tcPr>
            <w:tcW w:w="520" w:type="dxa"/>
            <w:tcBorders>
              <w:top w:val="nil"/>
              <w:left w:val="nil"/>
              <w:bottom w:val="single" w:sz="4" w:space="0" w:color="auto"/>
              <w:right w:val="single" w:sz="4" w:space="0" w:color="auto"/>
            </w:tcBorders>
            <w:shd w:val="clear" w:color="000000" w:fill="FFF2CC"/>
            <w:noWrap/>
            <w:vAlign w:val="center"/>
            <w:hideMark/>
          </w:tcPr>
          <w:p w14:paraId="213C25B9"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+230bps</w:t>
            </w:r>
          </w:p>
        </w:tc>
        <w:tc>
          <w:tcPr>
            <w:tcW w:w="520" w:type="dxa"/>
            <w:tcBorders>
              <w:top w:val="nil"/>
              <w:left w:val="nil"/>
              <w:bottom w:val="single" w:sz="4" w:space="0" w:color="auto"/>
              <w:right w:val="single" w:sz="4" w:space="0" w:color="auto"/>
            </w:tcBorders>
            <w:shd w:val="clear" w:color="000000" w:fill="C6E0B4"/>
            <w:noWrap/>
            <w:vAlign w:val="center"/>
            <w:hideMark/>
          </w:tcPr>
          <w:p w14:paraId="1B7FF669"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27.0%</w:t>
            </w:r>
          </w:p>
        </w:tc>
        <w:tc>
          <w:tcPr>
            <w:tcW w:w="520" w:type="dxa"/>
            <w:tcBorders>
              <w:top w:val="nil"/>
              <w:left w:val="nil"/>
              <w:bottom w:val="single" w:sz="4" w:space="0" w:color="auto"/>
              <w:right w:val="single" w:sz="4" w:space="0" w:color="auto"/>
            </w:tcBorders>
            <w:shd w:val="clear" w:color="000000" w:fill="C6E0B4"/>
            <w:noWrap/>
            <w:vAlign w:val="center"/>
            <w:hideMark/>
          </w:tcPr>
          <w:p w14:paraId="171CE99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27.6%</w:t>
            </w:r>
          </w:p>
        </w:tc>
        <w:tc>
          <w:tcPr>
            <w:tcW w:w="520" w:type="dxa"/>
            <w:tcBorders>
              <w:top w:val="nil"/>
              <w:left w:val="nil"/>
              <w:bottom w:val="single" w:sz="4" w:space="0" w:color="auto"/>
              <w:right w:val="single" w:sz="4" w:space="0" w:color="auto"/>
            </w:tcBorders>
            <w:shd w:val="clear" w:color="000000" w:fill="C6E0B4"/>
            <w:noWrap/>
            <w:vAlign w:val="center"/>
            <w:hideMark/>
          </w:tcPr>
          <w:p w14:paraId="4B394E3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-60bps</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7079AAEE"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21.1%</w:t>
            </w:r>
          </w:p>
        </w:tc>
        <w:tc>
          <w:tcPr>
            <w:tcW w:w="520" w:type="dxa"/>
            <w:tcBorders>
              <w:top w:val="nil"/>
              <w:left w:val="nil"/>
              <w:bottom w:val="single" w:sz="4" w:space="0" w:color="auto"/>
              <w:right w:val="single" w:sz="4" w:space="0" w:color="auto"/>
            </w:tcBorders>
            <w:shd w:val="clear" w:color="000000" w:fill="BFBFBF"/>
            <w:noWrap/>
            <w:vAlign w:val="center"/>
            <w:hideMark/>
          </w:tcPr>
          <w:p w14:paraId="069F535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22.3%</w:t>
            </w:r>
          </w:p>
        </w:tc>
        <w:tc>
          <w:tcPr>
            <w:tcW w:w="520" w:type="dxa"/>
            <w:tcBorders>
              <w:top w:val="nil"/>
              <w:left w:val="nil"/>
              <w:bottom w:val="single" w:sz="4" w:space="0" w:color="auto"/>
              <w:right w:val="single" w:sz="4" w:space="0" w:color="auto"/>
            </w:tcBorders>
            <w:shd w:val="clear" w:color="000000" w:fill="BFBFBF"/>
            <w:noWrap/>
            <w:vAlign w:val="center"/>
            <w:hideMark/>
          </w:tcPr>
          <w:p w14:paraId="294CF338"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-120bps</w:t>
            </w:r>
          </w:p>
        </w:tc>
        <w:tc>
          <w:tcPr>
            <w:tcW w:w="520" w:type="dxa"/>
            <w:tcBorders>
              <w:top w:val="nil"/>
              <w:left w:val="nil"/>
              <w:bottom w:val="single" w:sz="4" w:space="0" w:color="auto"/>
              <w:right w:val="single" w:sz="4" w:space="0" w:color="auto"/>
            </w:tcBorders>
            <w:shd w:val="clear" w:color="000000" w:fill="BFBFBF"/>
            <w:noWrap/>
            <w:vAlign w:val="center"/>
            <w:hideMark/>
          </w:tcPr>
          <w:p w14:paraId="081B712E"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-180bps</w:t>
            </w:r>
          </w:p>
        </w:tc>
        <w:tc>
          <w:tcPr>
            <w:tcW w:w="520" w:type="dxa"/>
            <w:tcBorders>
              <w:top w:val="nil"/>
              <w:left w:val="nil"/>
              <w:bottom w:val="single" w:sz="4" w:space="0" w:color="auto"/>
              <w:right w:val="single" w:sz="4" w:space="0" w:color="auto"/>
            </w:tcBorders>
            <w:shd w:val="clear" w:color="auto" w:fill="auto"/>
            <w:noWrap/>
            <w:vAlign w:val="center"/>
            <w:hideMark/>
          </w:tcPr>
          <w:p w14:paraId="1FD1B04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45.9%</w:t>
            </w:r>
          </w:p>
        </w:tc>
        <w:tc>
          <w:tcPr>
            <w:tcW w:w="520" w:type="dxa"/>
            <w:tcBorders>
              <w:top w:val="nil"/>
              <w:left w:val="nil"/>
              <w:bottom w:val="single" w:sz="4" w:space="0" w:color="auto"/>
              <w:right w:val="single" w:sz="4" w:space="0" w:color="auto"/>
            </w:tcBorders>
            <w:shd w:val="clear" w:color="000000" w:fill="FFFFFF"/>
            <w:noWrap/>
            <w:vAlign w:val="center"/>
            <w:hideMark/>
          </w:tcPr>
          <w:p w14:paraId="4A6460F8"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44.5%</w:t>
            </w:r>
          </w:p>
        </w:tc>
        <w:tc>
          <w:tcPr>
            <w:tcW w:w="520" w:type="dxa"/>
            <w:tcBorders>
              <w:top w:val="nil"/>
              <w:left w:val="nil"/>
              <w:bottom w:val="single" w:sz="4" w:space="0" w:color="auto"/>
              <w:right w:val="single" w:sz="4" w:space="0" w:color="auto"/>
            </w:tcBorders>
            <w:shd w:val="clear" w:color="auto" w:fill="auto"/>
            <w:noWrap/>
            <w:vAlign w:val="center"/>
            <w:hideMark/>
          </w:tcPr>
          <w:p w14:paraId="07E8E76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+140bps</w:t>
            </w:r>
          </w:p>
        </w:tc>
        <w:tc>
          <w:tcPr>
            <w:tcW w:w="520" w:type="dxa"/>
            <w:tcBorders>
              <w:top w:val="nil"/>
              <w:left w:val="nil"/>
              <w:bottom w:val="single" w:sz="4" w:space="0" w:color="auto"/>
              <w:right w:val="single" w:sz="4" w:space="0" w:color="auto"/>
            </w:tcBorders>
            <w:shd w:val="clear" w:color="auto" w:fill="auto"/>
            <w:noWrap/>
            <w:vAlign w:val="center"/>
            <w:hideMark/>
          </w:tcPr>
          <w:p w14:paraId="0D01538D"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+150bps</w:t>
            </w:r>
          </w:p>
        </w:tc>
        <w:tc>
          <w:tcPr>
            <w:tcW w:w="520" w:type="dxa"/>
            <w:tcBorders>
              <w:top w:val="nil"/>
              <w:left w:val="nil"/>
              <w:bottom w:val="single" w:sz="4" w:space="0" w:color="auto"/>
              <w:right w:val="single" w:sz="4" w:space="0" w:color="auto"/>
            </w:tcBorders>
            <w:shd w:val="clear" w:color="000000" w:fill="D9E1F2"/>
            <w:noWrap/>
            <w:vAlign w:val="center"/>
            <w:hideMark/>
          </w:tcPr>
          <w:p w14:paraId="06EEFD80"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41.9%</w:t>
            </w:r>
          </w:p>
        </w:tc>
        <w:tc>
          <w:tcPr>
            <w:tcW w:w="520" w:type="dxa"/>
            <w:tcBorders>
              <w:top w:val="nil"/>
              <w:left w:val="nil"/>
              <w:bottom w:val="single" w:sz="4" w:space="0" w:color="auto"/>
              <w:right w:val="single" w:sz="4" w:space="0" w:color="auto"/>
            </w:tcBorders>
            <w:shd w:val="clear" w:color="000000" w:fill="D9E1F2"/>
            <w:noWrap/>
            <w:vAlign w:val="center"/>
            <w:hideMark/>
          </w:tcPr>
          <w:p w14:paraId="197FD099"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28.3%</w:t>
            </w:r>
          </w:p>
        </w:tc>
        <w:tc>
          <w:tcPr>
            <w:tcW w:w="520" w:type="dxa"/>
            <w:tcBorders>
              <w:top w:val="nil"/>
              <w:left w:val="nil"/>
              <w:bottom w:val="single" w:sz="4" w:space="0" w:color="auto"/>
              <w:right w:val="single" w:sz="4" w:space="0" w:color="auto"/>
            </w:tcBorders>
            <w:shd w:val="clear" w:color="000000" w:fill="D9E1F2"/>
            <w:noWrap/>
            <w:vAlign w:val="center"/>
            <w:hideMark/>
          </w:tcPr>
          <w:p w14:paraId="577240CB"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+1360bps</w:t>
            </w:r>
          </w:p>
        </w:tc>
        <w:tc>
          <w:tcPr>
            <w:tcW w:w="520" w:type="dxa"/>
            <w:tcBorders>
              <w:top w:val="nil"/>
              <w:left w:val="nil"/>
              <w:bottom w:val="single" w:sz="4" w:space="0" w:color="auto"/>
              <w:right w:val="single" w:sz="4" w:space="0" w:color="auto"/>
            </w:tcBorders>
            <w:shd w:val="clear" w:color="000000" w:fill="D9E1F2"/>
            <w:noWrap/>
            <w:vAlign w:val="center"/>
            <w:hideMark/>
          </w:tcPr>
          <w:p w14:paraId="552C82F6"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+1360bps</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27A901B1"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30.9%</w:t>
            </w:r>
          </w:p>
        </w:tc>
        <w:tc>
          <w:tcPr>
            <w:tcW w:w="520" w:type="dxa"/>
            <w:tcBorders>
              <w:top w:val="nil"/>
              <w:left w:val="nil"/>
              <w:bottom w:val="single" w:sz="4" w:space="0" w:color="auto"/>
              <w:right w:val="single" w:sz="4" w:space="0" w:color="auto"/>
            </w:tcBorders>
            <w:shd w:val="clear" w:color="000000" w:fill="FCE4D6"/>
            <w:noWrap/>
            <w:vAlign w:val="center"/>
            <w:hideMark/>
          </w:tcPr>
          <w:p w14:paraId="19B2B37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28.7%</w:t>
            </w:r>
          </w:p>
        </w:tc>
        <w:tc>
          <w:tcPr>
            <w:tcW w:w="520" w:type="dxa"/>
            <w:tcBorders>
              <w:top w:val="nil"/>
              <w:left w:val="nil"/>
              <w:bottom w:val="single" w:sz="4" w:space="0" w:color="auto"/>
              <w:right w:val="single" w:sz="4" w:space="0" w:color="auto"/>
            </w:tcBorders>
            <w:shd w:val="clear" w:color="000000" w:fill="FCE4D6"/>
            <w:noWrap/>
            <w:vAlign w:val="center"/>
            <w:hideMark/>
          </w:tcPr>
          <w:p w14:paraId="779C106E"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+230bps</w:t>
            </w:r>
          </w:p>
        </w:tc>
        <w:tc>
          <w:tcPr>
            <w:tcW w:w="520" w:type="dxa"/>
            <w:tcBorders>
              <w:top w:val="nil"/>
              <w:left w:val="nil"/>
              <w:bottom w:val="single" w:sz="4" w:space="0" w:color="auto"/>
              <w:right w:val="single" w:sz="8" w:space="0" w:color="auto"/>
            </w:tcBorders>
            <w:shd w:val="clear" w:color="000000" w:fill="FCE4D6"/>
            <w:noWrap/>
            <w:vAlign w:val="center"/>
            <w:hideMark/>
          </w:tcPr>
          <w:p w14:paraId="392F463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+220bps</w:t>
            </w:r>
          </w:p>
        </w:tc>
      </w:tr>
      <w:tr w:rsidR="008801D7" w:rsidRPr="008801D7" w14:paraId="57E47D10" w14:textId="77777777" w:rsidTr="008801D7">
        <w:trPr>
          <w:trHeight w:val="78"/>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44CDAE7D" w14:textId="77777777" w:rsidR="008801D7" w:rsidRPr="008801D7" w:rsidRDefault="008801D7" w:rsidP="008801D7">
            <w:pPr>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21ABC867"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5633ECD6"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2111AA4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3DBE4C25"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487C05E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58FC30CF"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5DE95BA0"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5C6CEE94"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5A097B5B"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38CE38D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auto" w:fill="auto"/>
            <w:noWrap/>
            <w:vAlign w:val="center"/>
            <w:hideMark/>
          </w:tcPr>
          <w:p w14:paraId="5A6831DA"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A4D618B"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35A3FA2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EC13A4E"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05E6B7C1"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7F240C80"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25007CD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1EC22524"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917922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384F6F63"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5A70F4CA"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8" w:space="0" w:color="auto"/>
            </w:tcBorders>
            <w:shd w:val="clear" w:color="000000" w:fill="FCE4D6"/>
            <w:noWrap/>
            <w:vAlign w:val="center"/>
            <w:hideMark/>
          </w:tcPr>
          <w:p w14:paraId="3A6BE2B1"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r>
      <w:tr w:rsidR="008801D7" w:rsidRPr="008801D7" w14:paraId="0BF223A5"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39EA3B4"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Gross Profit</w:t>
            </w:r>
          </w:p>
        </w:tc>
        <w:tc>
          <w:tcPr>
            <w:tcW w:w="520" w:type="dxa"/>
            <w:tcBorders>
              <w:top w:val="nil"/>
              <w:left w:val="nil"/>
              <w:bottom w:val="single" w:sz="4" w:space="0" w:color="auto"/>
              <w:right w:val="single" w:sz="4" w:space="0" w:color="auto"/>
            </w:tcBorders>
            <w:shd w:val="clear" w:color="000000" w:fill="FFF2CC"/>
            <w:noWrap/>
            <w:vAlign w:val="center"/>
            <w:hideMark/>
          </w:tcPr>
          <w:p w14:paraId="27FB28E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383</w:t>
            </w:r>
          </w:p>
        </w:tc>
        <w:tc>
          <w:tcPr>
            <w:tcW w:w="520" w:type="dxa"/>
            <w:tcBorders>
              <w:top w:val="nil"/>
              <w:left w:val="nil"/>
              <w:bottom w:val="single" w:sz="4" w:space="0" w:color="auto"/>
              <w:right w:val="single" w:sz="4" w:space="0" w:color="auto"/>
            </w:tcBorders>
            <w:shd w:val="clear" w:color="000000" w:fill="FFF2CC"/>
            <w:noWrap/>
            <w:vAlign w:val="center"/>
            <w:hideMark/>
          </w:tcPr>
          <w:p w14:paraId="695BF63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483</w:t>
            </w:r>
          </w:p>
        </w:tc>
        <w:tc>
          <w:tcPr>
            <w:tcW w:w="520" w:type="dxa"/>
            <w:tcBorders>
              <w:top w:val="nil"/>
              <w:left w:val="nil"/>
              <w:bottom w:val="single" w:sz="4" w:space="0" w:color="auto"/>
              <w:right w:val="single" w:sz="4" w:space="0" w:color="auto"/>
            </w:tcBorders>
            <w:shd w:val="clear" w:color="000000" w:fill="FFF2CC"/>
            <w:noWrap/>
            <w:vAlign w:val="center"/>
            <w:hideMark/>
          </w:tcPr>
          <w:p w14:paraId="0801517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-21%</w:t>
            </w:r>
          </w:p>
        </w:tc>
        <w:tc>
          <w:tcPr>
            <w:tcW w:w="520" w:type="dxa"/>
            <w:tcBorders>
              <w:top w:val="nil"/>
              <w:left w:val="nil"/>
              <w:bottom w:val="single" w:sz="4" w:space="0" w:color="auto"/>
              <w:right w:val="single" w:sz="4" w:space="0" w:color="auto"/>
            </w:tcBorders>
            <w:shd w:val="clear" w:color="000000" w:fill="C6E0B4"/>
            <w:noWrap/>
            <w:vAlign w:val="center"/>
            <w:hideMark/>
          </w:tcPr>
          <w:p w14:paraId="359FA9A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320</w:t>
            </w:r>
          </w:p>
        </w:tc>
        <w:tc>
          <w:tcPr>
            <w:tcW w:w="520" w:type="dxa"/>
            <w:tcBorders>
              <w:top w:val="nil"/>
              <w:left w:val="nil"/>
              <w:bottom w:val="single" w:sz="4" w:space="0" w:color="auto"/>
              <w:right w:val="single" w:sz="4" w:space="0" w:color="auto"/>
            </w:tcBorders>
            <w:shd w:val="clear" w:color="000000" w:fill="C6E0B4"/>
            <w:noWrap/>
            <w:vAlign w:val="center"/>
            <w:hideMark/>
          </w:tcPr>
          <w:p w14:paraId="493D7BC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240</w:t>
            </w:r>
          </w:p>
        </w:tc>
        <w:tc>
          <w:tcPr>
            <w:tcW w:w="520" w:type="dxa"/>
            <w:tcBorders>
              <w:top w:val="nil"/>
              <w:left w:val="nil"/>
              <w:bottom w:val="single" w:sz="4" w:space="0" w:color="auto"/>
              <w:right w:val="single" w:sz="4" w:space="0" w:color="auto"/>
            </w:tcBorders>
            <w:shd w:val="clear" w:color="000000" w:fill="C6E0B4"/>
            <w:noWrap/>
            <w:vAlign w:val="center"/>
            <w:hideMark/>
          </w:tcPr>
          <w:p w14:paraId="56C2A65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+33%</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0474F72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550</w:t>
            </w:r>
          </w:p>
        </w:tc>
        <w:tc>
          <w:tcPr>
            <w:tcW w:w="520" w:type="dxa"/>
            <w:tcBorders>
              <w:top w:val="nil"/>
              <w:left w:val="nil"/>
              <w:bottom w:val="single" w:sz="4" w:space="0" w:color="auto"/>
              <w:right w:val="single" w:sz="4" w:space="0" w:color="auto"/>
            </w:tcBorders>
            <w:shd w:val="clear" w:color="000000" w:fill="BFBFBF"/>
            <w:noWrap/>
            <w:vAlign w:val="center"/>
            <w:hideMark/>
          </w:tcPr>
          <w:p w14:paraId="163B7EC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395</w:t>
            </w:r>
          </w:p>
        </w:tc>
        <w:tc>
          <w:tcPr>
            <w:tcW w:w="520" w:type="dxa"/>
            <w:tcBorders>
              <w:top w:val="nil"/>
              <w:left w:val="nil"/>
              <w:bottom w:val="single" w:sz="4" w:space="0" w:color="auto"/>
              <w:right w:val="single" w:sz="4" w:space="0" w:color="auto"/>
            </w:tcBorders>
            <w:shd w:val="clear" w:color="000000" w:fill="BFBFBF"/>
            <w:noWrap/>
            <w:vAlign w:val="center"/>
            <w:hideMark/>
          </w:tcPr>
          <w:p w14:paraId="037C1ED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+39%</w:t>
            </w:r>
          </w:p>
        </w:tc>
        <w:tc>
          <w:tcPr>
            <w:tcW w:w="520" w:type="dxa"/>
            <w:tcBorders>
              <w:top w:val="nil"/>
              <w:left w:val="nil"/>
              <w:bottom w:val="single" w:sz="4" w:space="0" w:color="auto"/>
              <w:right w:val="single" w:sz="4" w:space="0" w:color="auto"/>
            </w:tcBorders>
            <w:shd w:val="clear" w:color="000000" w:fill="BFBFBF"/>
            <w:noWrap/>
            <w:vAlign w:val="center"/>
            <w:hideMark/>
          </w:tcPr>
          <w:p w14:paraId="4BB809E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+43%</w:t>
            </w:r>
          </w:p>
        </w:tc>
        <w:tc>
          <w:tcPr>
            <w:tcW w:w="520" w:type="dxa"/>
            <w:tcBorders>
              <w:top w:val="nil"/>
              <w:left w:val="nil"/>
              <w:bottom w:val="single" w:sz="4" w:space="0" w:color="auto"/>
              <w:right w:val="single" w:sz="4" w:space="0" w:color="auto"/>
            </w:tcBorders>
            <w:shd w:val="clear" w:color="auto" w:fill="auto"/>
            <w:noWrap/>
            <w:vAlign w:val="center"/>
            <w:hideMark/>
          </w:tcPr>
          <w:p w14:paraId="6E61B18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235</w:t>
            </w:r>
          </w:p>
        </w:tc>
        <w:tc>
          <w:tcPr>
            <w:tcW w:w="520" w:type="dxa"/>
            <w:tcBorders>
              <w:top w:val="nil"/>
              <w:left w:val="nil"/>
              <w:bottom w:val="single" w:sz="4" w:space="0" w:color="auto"/>
              <w:right w:val="single" w:sz="4" w:space="0" w:color="auto"/>
            </w:tcBorders>
            <w:shd w:val="clear" w:color="000000" w:fill="FFFFFF"/>
            <w:noWrap/>
            <w:vAlign w:val="center"/>
            <w:hideMark/>
          </w:tcPr>
          <w:p w14:paraId="34E529A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174</w:t>
            </w:r>
          </w:p>
        </w:tc>
        <w:tc>
          <w:tcPr>
            <w:tcW w:w="520" w:type="dxa"/>
            <w:tcBorders>
              <w:top w:val="nil"/>
              <w:left w:val="nil"/>
              <w:bottom w:val="single" w:sz="4" w:space="0" w:color="auto"/>
              <w:right w:val="single" w:sz="4" w:space="0" w:color="auto"/>
            </w:tcBorders>
            <w:shd w:val="clear" w:color="000000" w:fill="FFFFFF"/>
            <w:noWrap/>
            <w:vAlign w:val="center"/>
            <w:hideMark/>
          </w:tcPr>
          <w:p w14:paraId="567B541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+35%</w:t>
            </w:r>
          </w:p>
        </w:tc>
        <w:tc>
          <w:tcPr>
            <w:tcW w:w="520" w:type="dxa"/>
            <w:tcBorders>
              <w:top w:val="nil"/>
              <w:left w:val="nil"/>
              <w:bottom w:val="single" w:sz="4" w:space="0" w:color="auto"/>
              <w:right w:val="single" w:sz="4" w:space="0" w:color="auto"/>
            </w:tcBorders>
            <w:shd w:val="clear" w:color="000000" w:fill="FFFFFF"/>
            <w:noWrap/>
            <w:vAlign w:val="center"/>
            <w:hideMark/>
          </w:tcPr>
          <w:p w14:paraId="5454E1B2"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+41%</w:t>
            </w:r>
          </w:p>
        </w:tc>
        <w:tc>
          <w:tcPr>
            <w:tcW w:w="520" w:type="dxa"/>
            <w:tcBorders>
              <w:top w:val="nil"/>
              <w:left w:val="nil"/>
              <w:bottom w:val="single" w:sz="4" w:space="0" w:color="auto"/>
              <w:right w:val="single" w:sz="4" w:space="0" w:color="auto"/>
            </w:tcBorders>
            <w:shd w:val="clear" w:color="000000" w:fill="D9E1F2"/>
            <w:noWrap/>
            <w:vAlign w:val="center"/>
            <w:hideMark/>
          </w:tcPr>
          <w:p w14:paraId="57635B7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162</w:t>
            </w:r>
          </w:p>
        </w:tc>
        <w:tc>
          <w:tcPr>
            <w:tcW w:w="520" w:type="dxa"/>
            <w:tcBorders>
              <w:top w:val="nil"/>
              <w:left w:val="nil"/>
              <w:bottom w:val="single" w:sz="4" w:space="0" w:color="auto"/>
              <w:right w:val="single" w:sz="4" w:space="0" w:color="auto"/>
            </w:tcBorders>
            <w:shd w:val="clear" w:color="000000" w:fill="D9E1F2"/>
            <w:noWrap/>
            <w:vAlign w:val="center"/>
            <w:hideMark/>
          </w:tcPr>
          <w:p w14:paraId="19B9542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117</w:t>
            </w:r>
          </w:p>
        </w:tc>
        <w:tc>
          <w:tcPr>
            <w:tcW w:w="520" w:type="dxa"/>
            <w:tcBorders>
              <w:top w:val="nil"/>
              <w:left w:val="nil"/>
              <w:bottom w:val="single" w:sz="4" w:space="0" w:color="auto"/>
              <w:right w:val="single" w:sz="4" w:space="0" w:color="auto"/>
            </w:tcBorders>
            <w:shd w:val="clear" w:color="000000" w:fill="D9E1F2"/>
            <w:noWrap/>
            <w:vAlign w:val="center"/>
            <w:hideMark/>
          </w:tcPr>
          <w:p w14:paraId="75DE272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+38%</w:t>
            </w:r>
          </w:p>
        </w:tc>
        <w:tc>
          <w:tcPr>
            <w:tcW w:w="520" w:type="dxa"/>
            <w:tcBorders>
              <w:top w:val="nil"/>
              <w:left w:val="nil"/>
              <w:bottom w:val="single" w:sz="4" w:space="0" w:color="auto"/>
              <w:right w:val="single" w:sz="4" w:space="0" w:color="auto"/>
            </w:tcBorders>
            <w:shd w:val="clear" w:color="000000" w:fill="D9E1F2"/>
            <w:noWrap/>
            <w:vAlign w:val="center"/>
            <w:hideMark/>
          </w:tcPr>
          <w:p w14:paraId="6691960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+34%</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7A34881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1,650</w:t>
            </w:r>
          </w:p>
        </w:tc>
        <w:tc>
          <w:tcPr>
            <w:tcW w:w="520" w:type="dxa"/>
            <w:tcBorders>
              <w:top w:val="nil"/>
              <w:left w:val="nil"/>
              <w:bottom w:val="single" w:sz="4" w:space="0" w:color="auto"/>
              <w:right w:val="single" w:sz="4" w:space="0" w:color="auto"/>
            </w:tcBorders>
            <w:shd w:val="clear" w:color="000000" w:fill="FCE4D6"/>
            <w:noWrap/>
            <w:vAlign w:val="center"/>
            <w:hideMark/>
          </w:tcPr>
          <w:p w14:paraId="4C55D17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1,409</w:t>
            </w:r>
          </w:p>
        </w:tc>
        <w:tc>
          <w:tcPr>
            <w:tcW w:w="520" w:type="dxa"/>
            <w:tcBorders>
              <w:top w:val="nil"/>
              <w:left w:val="nil"/>
              <w:bottom w:val="single" w:sz="4" w:space="0" w:color="auto"/>
              <w:right w:val="single" w:sz="4" w:space="0" w:color="auto"/>
            </w:tcBorders>
            <w:shd w:val="clear" w:color="000000" w:fill="FCE4D6"/>
            <w:noWrap/>
            <w:vAlign w:val="center"/>
            <w:hideMark/>
          </w:tcPr>
          <w:p w14:paraId="1352A16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+17%</w:t>
            </w:r>
          </w:p>
        </w:tc>
        <w:tc>
          <w:tcPr>
            <w:tcW w:w="520" w:type="dxa"/>
            <w:tcBorders>
              <w:top w:val="nil"/>
              <w:left w:val="nil"/>
              <w:bottom w:val="single" w:sz="4" w:space="0" w:color="auto"/>
              <w:right w:val="single" w:sz="8" w:space="0" w:color="auto"/>
            </w:tcBorders>
            <w:shd w:val="clear" w:color="000000" w:fill="FCE4D6"/>
            <w:noWrap/>
            <w:vAlign w:val="center"/>
            <w:hideMark/>
          </w:tcPr>
          <w:p w14:paraId="64076D1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+18%</w:t>
            </w:r>
          </w:p>
        </w:tc>
      </w:tr>
      <w:tr w:rsidR="008801D7" w:rsidRPr="008801D7" w14:paraId="29139C2C" w14:textId="77777777" w:rsidTr="008801D7">
        <w:trPr>
          <w:trHeight w:val="78"/>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34E1B33" w14:textId="77777777" w:rsidR="008801D7" w:rsidRPr="008801D7" w:rsidRDefault="008801D7" w:rsidP="008801D7">
            <w:pPr>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46765E73"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46124355"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45AE00C0"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3F5F9CAB"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520A1A92"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68AA33B2"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648E19A4"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3A7A8A96"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0A236673"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0B1E07F9"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auto" w:fill="auto"/>
            <w:noWrap/>
            <w:vAlign w:val="center"/>
            <w:hideMark/>
          </w:tcPr>
          <w:p w14:paraId="1A2485CB"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062D8847"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1BD1C2DE"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592D858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426885CD"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3EE1E9AE"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7BCE9ABD"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40133F65"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3D73CD8C"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1EA1551E"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2E4B30E6"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8" w:space="0" w:color="auto"/>
            </w:tcBorders>
            <w:shd w:val="clear" w:color="000000" w:fill="FCE4D6"/>
            <w:noWrap/>
            <w:vAlign w:val="center"/>
            <w:hideMark/>
          </w:tcPr>
          <w:p w14:paraId="159FA898"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r>
      <w:tr w:rsidR="008801D7" w:rsidRPr="008801D7" w14:paraId="0925851F"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05B0C5D"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Sales &amp; marketing</w:t>
            </w:r>
          </w:p>
        </w:tc>
        <w:tc>
          <w:tcPr>
            <w:tcW w:w="520" w:type="dxa"/>
            <w:tcBorders>
              <w:top w:val="nil"/>
              <w:left w:val="nil"/>
              <w:bottom w:val="single" w:sz="4" w:space="0" w:color="auto"/>
              <w:right w:val="single" w:sz="4" w:space="0" w:color="auto"/>
            </w:tcBorders>
            <w:shd w:val="clear" w:color="000000" w:fill="FFF2CC"/>
            <w:noWrap/>
            <w:vAlign w:val="center"/>
            <w:hideMark/>
          </w:tcPr>
          <w:p w14:paraId="6FF6377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(127)</w:t>
            </w:r>
          </w:p>
        </w:tc>
        <w:tc>
          <w:tcPr>
            <w:tcW w:w="520" w:type="dxa"/>
            <w:tcBorders>
              <w:top w:val="nil"/>
              <w:left w:val="nil"/>
              <w:bottom w:val="single" w:sz="4" w:space="0" w:color="auto"/>
              <w:right w:val="single" w:sz="4" w:space="0" w:color="auto"/>
            </w:tcBorders>
            <w:shd w:val="clear" w:color="000000" w:fill="FFF2CC"/>
            <w:noWrap/>
            <w:vAlign w:val="center"/>
            <w:hideMark/>
          </w:tcPr>
          <w:p w14:paraId="53BA5E1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(133)</w:t>
            </w:r>
          </w:p>
        </w:tc>
        <w:tc>
          <w:tcPr>
            <w:tcW w:w="520" w:type="dxa"/>
            <w:tcBorders>
              <w:top w:val="nil"/>
              <w:left w:val="nil"/>
              <w:bottom w:val="single" w:sz="4" w:space="0" w:color="auto"/>
              <w:right w:val="single" w:sz="4" w:space="0" w:color="auto"/>
            </w:tcBorders>
            <w:shd w:val="clear" w:color="000000" w:fill="FFF2CC"/>
            <w:noWrap/>
            <w:vAlign w:val="center"/>
            <w:hideMark/>
          </w:tcPr>
          <w:p w14:paraId="2FB8896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w:t>
            </w:r>
          </w:p>
        </w:tc>
        <w:tc>
          <w:tcPr>
            <w:tcW w:w="520" w:type="dxa"/>
            <w:tcBorders>
              <w:top w:val="nil"/>
              <w:left w:val="nil"/>
              <w:bottom w:val="single" w:sz="4" w:space="0" w:color="auto"/>
              <w:right w:val="single" w:sz="4" w:space="0" w:color="auto"/>
            </w:tcBorders>
            <w:shd w:val="clear" w:color="000000" w:fill="C6E0B4"/>
            <w:noWrap/>
            <w:vAlign w:val="center"/>
            <w:hideMark/>
          </w:tcPr>
          <w:p w14:paraId="557CD1B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w:t>
            </w:r>
            <w:r w:rsidR="00C0438C">
              <w:rPr>
                <w:rFonts w:ascii="Calibri" w:hAnsi="Calibri" w:cs="Calibri"/>
                <w:color w:val="000000"/>
                <w:sz w:val="14"/>
                <w:szCs w:val="14"/>
                <w:lang w:eastAsia="en-GB"/>
              </w:rPr>
              <w:t>0</w:t>
            </w:r>
            <w:r w:rsidRPr="008801D7">
              <w:rPr>
                <w:rFonts w:ascii="Calibri" w:hAnsi="Calibri" w:cs="Calibri"/>
                <w:color w:val="000000"/>
                <w:sz w:val="14"/>
                <w:szCs w:val="14"/>
                <w:lang w:eastAsia="en-GB"/>
              </w:rPr>
              <w:t>)</w:t>
            </w:r>
          </w:p>
        </w:tc>
        <w:tc>
          <w:tcPr>
            <w:tcW w:w="520" w:type="dxa"/>
            <w:tcBorders>
              <w:top w:val="nil"/>
              <w:left w:val="nil"/>
              <w:bottom w:val="single" w:sz="4" w:space="0" w:color="auto"/>
              <w:right w:val="single" w:sz="4" w:space="0" w:color="auto"/>
            </w:tcBorders>
            <w:shd w:val="clear" w:color="000000" w:fill="C6E0B4"/>
            <w:noWrap/>
            <w:vAlign w:val="center"/>
            <w:hideMark/>
          </w:tcPr>
          <w:p w14:paraId="30875A3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(73)</w:t>
            </w:r>
          </w:p>
        </w:tc>
        <w:tc>
          <w:tcPr>
            <w:tcW w:w="520" w:type="dxa"/>
            <w:tcBorders>
              <w:top w:val="nil"/>
              <w:left w:val="nil"/>
              <w:bottom w:val="single" w:sz="4" w:space="0" w:color="auto"/>
              <w:right w:val="single" w:sz="4" w:space="0" w:color="auto"/>
            </w:tcBorders>
            <w:shd w:val="clear" w:color="000000" w:fill="C6E0B4"/>
            <w:noWrap/>
            <w:vAlign w:val="center"/>
            <w:hideMark/>
          </w:tcPr>
          <w:p w14:paraId="539DA56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w:t>
            </w:r>
            <w:r w:rsidR="00C0438C">
              <w:rPr>
                <w:rFonts w:ascii="Calibri" w:hAnsi="Calibri" w:cs="Calibri"/>
                <w:color w:val="000000"/>
                <w:sz w:val="14"/>
                <w:szCs w:val="14"/>
                <w:lang w:eastAsia="en-GB"/>
              </w:rPr>
              <w:t>4</w:t>
            </w:r>
            <w:r w:rsidRPr="008801D7">
              <w:rPr>
                <w:rFonts w:ascii="Calibri" w:hAnsi="Calibri" w:cs="Calibri"/>
                <w:color w:val="000000"/>
                <w:sz w:val="14"/>
                <w:szCs w:val="14"/>
                <w:lang w:eastAsia="en-GB"/>
              </w:rPr>
              <w:t>%</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61E073E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(82)</w:t>
            </w:r>
          </w:p>
        </w:tc>
        <w:tc>
          <w:tcPr>
            <w:tcW w:w="520" w:type="dxa"/>
            <w:tcBorders>
              <w:top w:val="nil"/>
              <w:left w:val="nil"/>
              <w:bottom w:val="single" w:sz="4" w:space="0" w:color="auto"/>
              <w:right w:val="single" w:sz="4" w:space="0" w:color="auto"/>
            </w:tcBorders>
            <w:shd w:val="clear" w:color="000000" w:fill="BFBFBF"/>
            <w:noWrap/>
            <w:vAlign w:val="center"/>
            <w:hideMark/>
          </w:tcPr>
          <w:p w14:paraId="7ACB6A4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(74)</w:t>
            </w:r>
          </w:p>
        </w:tc>
        <w:tc>
          <w:tcPr>
            <w:tcW w:w="520" w:type="dxa"/>
            <w:tcBorders>
              <w:top w:val="nil"/>
              <w:left w:val="nil"/>
              <w:bottom w:val="single" w:sz="4" w:space="0" w:color="auto"/>
              <w:right w:val="single" w:sz="4" w:space="0" w:color="auto"/>
            </w:tcBorders>
            <w:shd w:val="clear" w:color="000000" w:fill="BFBFBF"/>
            <w:noWrap/>
            <w:vAlign w:val="center"/>
            <w:hideMark/>
          </w:tcPr>
          <w:p w14:paraId="68B97F0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w:t>
            </w:r>
          </w:p>
        </w:tc>
        <w:tc>
          <w:tcPr>
            <w:tcW w:w="520" w:type="dxa"/>
            <w:tcBorders>
              <w:top w:val="nil"/>
              <w:left w:val="nil"/>
              <w:bottom w:val="single" w:sz="4" w:space="0" w:color="auto"/>
              <w:right w:val="single" w:sz="4" w:space="0" w:color="auto"/>
            </w:tcBorders>
            <w:shd w:val="clear" w:color="000000" w:fill="BFBFBF"/>
            <w:noWrap/>
            <w:vAlign w:val="center"/>
            <w:hideMark/>
          </w:tcPr>
          <w:p w14:paraId="2F4A5FB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w:t>
            </w:r>
          </w:p>
        </w:tc>
        <w:tc>
          <w:tcPr>
            <w:tcW w:w="520" w:type="dxa"/>
            <w:tcBorders>
              <w:top w:val="nil"/>
              <w:left w:val="nil"/>
              <w:bottom w:val="single" w:sz="4" w:space="0" w:color="auto"/>
              <w:right w:val="single" w:sz="4" w:space="0" w:color="auto"/>
            </w:tcBorders>
            <w:shd w:val="clear" w:color="auto" w:fill="auto"/>
            <w:noWrap/>
            <w:vAlign w:val="center"/>
            <w:hideMark/>
          </w:tcPr>
          <w:p w14:paraId="5347EB1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(59)</w:t>
            </w:r>
          </w:p>
        </w:tc>
        <w:tc>
          <w:tcPr>
            <w:tcW w:w="520" w:type="dxa"/>
            <w:tcBorders>
              <w:top w:val="nil"/>
              <w:left w:val="nil"/>
              <w:bottom w:val="single" w:sz="4" w:space="0" w:color="auto"/>
              <w:right w:val="single" w:sz="4" w:space="0" w:color="auto"/>
            </w:tcBorders>
            <w:shd w:val="clear" w:color="000000" w:fill="FFFFFF"/>
            <w:noWrap/>
            <w:vAlign w:val="center"/>
            <w:hideMark/>
          </w:tcPr>
          <w:p w14:paraId="0911CC5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(56)</w:t>
            </w:r>
          </w:p>
        </w:tc>
        <w:tc>
          <w:tcPr>
            <w:tcW w:w="520" w:type="dxa"/>
            <w:tcBorders>
              <w:top w:val="nil"/>
              <w:left w:val="nil"/>
              <w:bottom w:val="single" w:sz="4" w:space="0" w:color="auto"/>
              <w:right w:val="single" w:sz="4" w:space="0" w:color="auto"/>
            </w:tcBorders>
            <w:shd w:val="clear" w:color="auto" w:fill="auto"/>
            <w:noWrap/>
            <w:vAlign w:val="center"/>
            <w:hideMark/>
          </w:tcPr>
          <w:p w14:paraId="0AD9AF7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w:t>
            </w:r>
          </w:p>
        </w:tc>
        <w:tc>
          <w:tcPr>
            <w:tcW w:w="520" w:type="dxa"/>
            <w:tcBorders>
              <w:top w:val="nil"/>
              <w:left w:val="nil"/>
              <w:bottom w:val="single" w:sz="4" w:space="0" w:color="auto"/>
              <w:right w:val="single" w:sz="4" w:space="0" w:color="auto"/>
            </w:tcBorders>
            <w:shd w:val="clear" w:color="auto" w:fill="auto"/>
            <w:noWrap/>
            <w:vAlign w:val="center"/>
            <w:hideMark/>
          </w:tcPr>
          <w:p w14:paraId="5C2CBA4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w:t>
            </w:r>
          </w:p>
        </w:tc>
        <w:tc>
          <w:tcPr>
            <w:tcW w:w="520" w:type="dxa"/>
            <w:tcBorders>
              <w:top w:val="nil"/>
              <w:left w:val="nil"/>
              <w:bottom w:val="single" w:sz="4" w:space="0" w:color="auto"/>
              <w:right w:val="single" w:sz="4" w:space="0" w:color="auto"/>
            </w:tcBorders>
            <w:shd w:val="clear" w:color="000000" w:fill="D9E1F2"/>
            <w:noWrap/>
            <w:vAlign w:val="center"/>
            <w:hideMark/>
          </w:tcPr>
          <w:p w14:paraId="3AF3E88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(88)</w:t>
            </w:r>
          </w:p>
        </w:tc>
        <w:tc>
          <w:tcPr>
            <w:tcW w:w="520" w:type="dxa"/>
            <w:tcBorders>
              <w:top w:val="nil"/>
              <w:left w:val="nil"/>
              <w:bottom w:val="single" w:sz="4" w:space="0" w:color="auto"/>
              <w:right w:val="single" w:sz="4" w:space="0" w:color="auto"/>
            </w:tcBorders>
            <w:shd w:val="clear" w:color="000000" w:fill="D9E1F2"/>
            <w:noWrap/>
            <w:vAlign w:val="center"/>
            <w:hideMark/>
          </w:tcPr>
          <w:p w14:paraId="3A2D352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(53)</w:t>
            </w:r>
          </w:p>
        </w:tc>
        <w:tc>
          <w:tcPr>
            <w:tcW w:w="520" w:type="dxa"/>
            <w:tcBorders>
              <w:top w:val="nil"/>
              <w:left w:val="nil"/>
              <w:bottom w:val="single" w:sz="4" w:space="0" w:color="auto"/>
              <w:right w:val="single" w:sz="4" w:space="0" w:color="auto"/>
            </w:tcBorders>
            <w:shd w:val="clear" w:color="000000" w:fill="D9E1F2"/>
            <w:noWrap/>
            <w:vAlign w:val="center"/>
            <w:hideMark/>
          </w:tcPr>
          <w:p w14:paraId="735BE68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+67%</w:t>
            </w:r>
          </w:p>
        </w:tc>
        <w:tc>
          <w:tcPr>
            <w:tcW w:w="520" w:type="dxa"/>
            <w:tcBorders>
              <w:top w:val="nil"/>
              <w:left w:val="nil"/>
              <w:bottom w:val="single" w:sz="4" w:space="0" w:color="auto"/>
              <w:right w:val="single" w:sz="4" w:space="0" w:color="auto"/>
            </w:tcBorders>
            <w:shd w:val="clear" w:color="000000" w:fill="D9E1F2"/>
            <w:noWrap/>
            <w:vAlign w:val="center"/>
            <w:hideMark/>
          </w:tcPr>
          <w:p w14:paraId="27A814C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+63%</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7631C5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(42</w:t>
            </w:r>
            <w:r w:rsidR="00C0438C">
              <w:rPr>
                <w:rFonts w:ascii="Calibri" w:hAnsi="Calibri" w:cs="Calibri"/>
                <w:color w:val="000000"/>
                <w:sz w:val="14"/>
                <w:szCs w:val="14"/>
                <w:lang w:eastAsia="en-GB"/>
              </w:rPr>
              <w:t>6</w:t>
            </w:r>
            <w:r w:rsidRPr="008801D7">
              <w:rPr>
                <w:rFonts w:ascii="Calibri" w:hAnsi="Calibri" w:cs="Calibri"/>
                <w:color w:val="000000"/>
                <w:sz w:val="14"/>
                <w:szCs w:val="14"/>
                <w:lang w:eastAsia="en-GB"/>
              </w:rPr>
              <w:t>)</w:t>
            </w:r>
          </w:p>
        </w:tc>
        <w:tc>
          <w:tcPr>
            <w:tcW w:w="520" w:type="dxa"/>
            <w:tcBorders>
              <w:top w:val="nil"/>
              <w:left w:val="nil"/>
              <w:bottom w:val="single" w:sz="4" w:space="0" w:color="auto"/>
              <w:right w:val="single" w:sz="4" w:space="0" w:color="auto"/>
            </w:tcBorders>
            <w:shd w:val="clear" w:color="000000" w:fill="FCE4D6"/>
            <w:noWrap/>
            <w:vAlign w:val="center"/>
            <w:hideMark/>
          </w:tcPr>
          <w:p w14:paraId="6E69E3F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(389)</w:t>
            </w:r>
          </w:p>
        </w:tc>
        <w:tc>
          <w:tcPr>
            <w:tcW w:w="520" w:type="dxa"/>
            <w:tcBorders>
              <w:top w:val="nil"/>
              <w:left w:val="nil"/>
              <w:bottom w:val="single" w:sz="4" w:space="0" w:color="auto"/>
              <w:right w:val="single" w:sz="4" w:space="0" w:color="auto"/>
            </w:tcBorders>
            <w:shd w:val="clear" w:color="000000" w:fill="FCE4D6"/>
            <w:noWrap/>
            <w:vAlign w:val="center"/>
            <w:hideMark/>
          </w:tcPr>
          <w:p w14:paraId="6F5C984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w:t>
            </w:r>
            <w:r w:rsidR="00C0438C">
              <w:rPr>
                <w:rFonts w:ascii="Calibri" w:hAnsi="Calibri" w:cs="Calibri"/>
                <w:color w:val="000000"/>
                <w:sz w:val="14"/>
                <w:szCs w:val="14"/>
                <w:lang w:eastAsia="en-GB"/>
              </w:rPr>
              <w:t>9</w:t>
            </w:r>
            <w:r w:rsidRPr="008801D7">
              <w:rPr>
                <w:rFonts w:ascii="Calibri" w:hAnsi="Calibri" w:cs="Calibri"/>
                <w:color w:val="000000"/>
                <w:sz w:val="14"/>
                <w:szCs w:val="14"/>
                <w:lang w:eastAsia="en-GB"/>
              </w:rPr>
              <w:t>%</w:t>
            </w:r>
          </w:p>
        </w:tc>
        <w:tc>
          <w:tcPr>
            <w:tcW w:w="520" w:type="dxa"/>
            <w:tcBorders>
              <w:top w:val="nil"/>
              <w:left w:val="nil"/>
              <w:bottom w:val="single" w:sz="4" w:space="0" w:color="auto"/>
              <w:right w:val="single" w:sz="8" w:space="0" w:color="auto"/>
            </w:tcBorders>
            <w:shd w:val="clear" w:color="000000" w:fill="FCE4D6"/>
            <w:noWrap/>
            <w:vAlign w:val="center"/>
            <w:hideMark/>
          </w:tcPr>
          <w:p w14:paraId="4E4A081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w:t>
            </w:r>
          </w:p>
        </w:tc>
      </w:tr>
      <w:tr w:rsidR="008801D7" w:rsidRPr="008801D7" w14:paraId="1A8A3A57"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F70A829"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Contribution</w:t>
            </w:r>
          </w:p>
        </w:tc>
        <w:tc>
          <w:tcPr>
            <w:tcW w:w="520" w:type="dxa"/>
            <w:tcBorders>
              <w:top w:val="nil"/>
              <w:left w:val="nil"/>
              <w:bottom w:val="single" w:sz="4" w:space="0" w:color="auto"/>
              <w:right w:val="single" w:sz="4" w:space="0" w:color="auto"/>
            </w:tcBorders>
            <w:shd w:val="clear" w:color="000000" w:fill="FFF2CC"/>
            <w:noWrap/>
            <w:vAlign w:val="center"/>
            <w:hideMark/>
          </w:tcPr>
          <w:p w14:paraId="1FF02C0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256</w:t>
            </w:r>
          </w:p>
        </w:tc>
        <w:tc>
          <w:tcPr>
            <w:tcW w:w="520" w:type="dxa"/>
            <w:tcBorders>
              <w:top w:val="nil"/>
              <w:left w:val="nil"/>
              <w:bottom w:val="single" w:sz="4" w:space="0" w:color="auto"/>
              <w:right w:val="single" w:sz="4" w:space="0" w:color="auto"/>
            </w:tcBorders>
            <w:shd w:val="clear" w:color="000000" w:fill="FFF2CC"/>
            <w:noWrap/>
            <w:vAlign w:val="center"/>
            <w:hideMark/>
          </w:tcPr>
          <w:p w14:paraId="5BD6ABA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350</w:t>
            </w:r>
          </w:p>
        </w:tc>
        <w:tc>
          <w:tcPr>
            <w:tcW w:w="520" w:type="dxa"/>
            <w:tcBorders>
              <w:top w:val="nil"/>
              <w:left w:val="nil"/>
              <w:bottom w:val="single" w:sz="4" w:space="0" w:color="auto"/>
              <w:right w:val="single" w:sz="4" w:space="0" w:color="auto"/>
            </w:tcBorders>
            <w:shd w:val="clear" w:color="000000" w:fill="FFF2CC"/>
            <w:noWrap/>
            <w:vAlign w:val="center"/>
            <w:hideMark/>
          </w:tcPr>
          <w:p w14:paraId="55837FE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-27%</w:t>
            </w:r>
          </w:p>
        </w:tc>
        <w:tc>
          <w:tcPr>
            <w:tcW w:w="520" w:type="dxa"/>
            <w:tcBorders>
              <w:top w:val="nil"/>
              <w:left w:val="nil"/>
              <w:bottom w:val="single" w:sz="4" w:space="0" w:color="auto"/>
              <w:right w:val="single" w:sz="4" w:space="0" w:color="auto"/>
            </w:tcBorders>
            <w:shd w:val="clear" w:color="000000" w:fill="C6E0B4"/>
            <w:noWrap/>
            <w:vAlign w:val="center"/>
            <w:hideMark/>
          </w:tcPr>
          <w:p w14:paraId="30CEAC2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w:t>
            </w:r>
            <w:r w:rsidR="00C0438C">
              <w:rPr>
                <w:rFonts w:ascii="Calibri" w:hAnsi="Calibri" w:cs="Calibri"/>
                <w:b/>
                <w:bCs/>
                <w:color w:val="000000"/>
                <w:sz w:val="14"/>
                <w:szCs w:val="14"/>
                <w:lang w:eastAsia="en-GB"/>
              </w:rPr>
              <w:t>50</w:t>
            </w:r>
          </w:p>
        </w:tc>
        <w:tc>
          <w:tcPr>
            <w:tcW w:w="520" w:type="dxa"/>
            <w:tcBorders>
              <w:top w:val="nil"/>
              <w:left w:val="nil"/>
              <w:bottom w:val="single" w:sz="4" w:space="0" w:color="auto"/>
              <w:right w:val="single" w:sz="4" w:space="0" w:color="auto"/>
            </w:tcBorders>
            <w:shd w:val="clear" w:color="000000" w:fill="C6E0B4"/>
            <w:noWrap/>
            <w:vAlign w:val="center"/>
            <w:hideMark/>
          </w:tcPr>
          <w:p w14:paraId="03AEB82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167</w:t>
            </w:r>
          </w:p>
        </w:tc>
        <w:tc>
          <w:tcPr>
            <w:tcW w:w="520" w:type="dxa"/>
            <w:tcBorders>
              <w:top w:val="nil"/>
              <w:left w:val="nil"/>
              <w:bottom w:val="single" w:sz="4" w:space="0" w:color="auto"/>
              <w:right w:val="single" w:sz="4" w:space="0" w:color="auto"/>
            </w:tcBorders>
            <w:shd w:val="clear" w:color="000000" w:fill="C6E0B4"/>
            <w:noWrap/>
            <w:vAlign w:val="center"/>
            <w:hideMark/>
          </w:tcPr>
          <w:p w14:paraId="60DB3FD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w:t>
            </w:r>
            <w:r w:rsidR="00C0438C">
              <w:rPr>
                <w:rFonts w:ascii="Calibri" w:hAnsi="Calibri" w:cs="Calibri"/>
                <w:b/>
                <w:bCs/>
                <w:color w:val="000000"/>
                <w:sz w:val="14"/>
                <w:szCs w:val="14"/>
                <w:lang w:eastAsia="en-GB"/>
              </w:rPr>
              <w:t>50</w:t>
            </w:r>
            <w:r w:rsidRPr="008801D7">
              <w:rPr>
                <w:rFonts w:ascii="Calibri" w:hAnsi="Calibri" w:cs="Calibri"/>
                <w:b/>
                <w:bCs/>
                <w:color w:val="000000"/>
                <w:sz w:val="14"/>
                <w:szCs w:val="14"/>
                <w:lang w:eastAsia="en-GB"/>
              </w:rPr>
              <w:t>%</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562C806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469</w:t>
            </w:r>
          </w:p>
        </w:tc>
        <w:tc>
          <w:tcPr>
            <w:tcW w:w="520" w:type="dxa"/>
            <w:tcBorders>
              <w:top w:val="nil"/>
              <w:left w:val="nil"/>
              <w:bottom w:val="single" w:sz="4" w:space="0" w:color="auto"/>
              <w:right w:val="single" w:sz="4" w:space="0" w:color="auto"/>
            </w:tcBorders>
            <w:shd w:val="clear" w:color="000000" w:fill="BFBFBF"/>
            <w:noWrap/>
            <w:vAlign w:val="center"/>
            <w:hideMark/>
          </w:tcPr>
          <w:p w14:paraId="0447E2B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321</w:t>
            </w:r>
          </w:p>
        </w:tc>
        <w:tc>
          <w:tcPr>
            <w:tcW w:w="520" w:type="dxa"/>
            <w:tcBorders>
              <w:top w:val="nil"/>
              <w:left w:val="nil"/>
              <w:bottom w:val="single" w:sz="4" w:space="0" w:color="auto"/>
              <w:right w:val="single" w:sz="4" w:space="0" w:color="auto"/>
            </w:tcBorders>
            <w:shd w:val="clear" w:color="000000" w:fill="BFBFBF"/>
            <w:noWrap/>
            <w:vAlign w:val="center"/>
            <w:hideMark/>
          </w:tcPr>
          <w:p w14:paraId="54D054E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+46%</w:t>
            </w:r>
          </w:p>
        </w:tc>
        <w:tc>
          <w:tcPr>
            <w:tcW w:w="520" w:type="dxa"/>
            <w:tcBorders>
              <w:top w:val="nil"/>
              <w:left w:val="nil"/>
              <w:bottom w:val="single" w:sz="4" w:space="0" w:color="auto"/>
              <w:right w:val="single" w:sz="4" w:space="0" w:color="auto"/>
            </w:tcBorders>
            <w:shd w:val="clear" w:color="000000" w:fill="BFBFBF"/>
            <w:noWrap/>
            <w:vAlign w:val="center"/>
            <w:hideMark/>
          </w:tcPr>
          <w:p w14:paraId="5755E90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+51%</w:t>
            </w:r>
          </w:p>
        </w:tc>
        <w:tc>
          <w:tcPr>
            <w:tcW w:w="520" w:type="dxa"/>
            <w:tcBorders>
              <w:top w:val="nil"/>
              <w:left w:val="nil"/>
              <w:bottom w:val="single" w:sz="4" w:space="0" w:color="auto"/>
              <w:right w:val="single" w:sz="4" w:space="0" w:color="auto"/>
            </w:tcBorders>
            <w:shd w:val="clear" w:color="auto" w:fill="auto"/>
            <w:noWrap/>
            <w:vAlign w:val="center"/>
            <w:hideMark/>
          </w:tcPr>
          <w:p w14:paraId="15D9737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176</w:t>
            </w:r>
          </w:p>
        </w:tc>
        <w:tc>
          <w:tcPr>
            <w:tcW w:w="520" w:type="dxa"/>
            <w:tcBorders>
              <w:top w:val="nil"/>
              <w:left w:val="nil"/>
              <w:bottom w:val="single" w:sz="4" w:space="0" w:color="auto"/>
              <w:right w:val="single" w:sz="4" w:space="0" w:color="auto"/>
            </w:tcBorders>
            <w:shd w:val="clear" w:color="000000" w:fill="FFFFFF"/>
            <w:noWrap/>
            <w:vAlign w:val="center"/>
            <w:hideMark/>
          </w:tcPr>
          <w:p w14:paraId="5230098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118</w:t>
            </w:r>
          </w:p>
        </w:tc>
        <w:tc>
          <w:tcPr>
            <w:tcW w:w="520" w:type="dxa"/>
            <w:tcBorders>
              <w:top w:val="nil"/>
              <w:left w:val="nil"/>
              <w:bottom w:val="single" w:sz="4" w:space="0" w:color="auto"/>
              <w:right w:val="single" w:sz="4" w:space="0" w:color="auto"/>
            </w:tcBorders>
            <w:shd w:val="clear" w:color="auto" w:fill="auto"/>
            <w:noWrap/>
            <w:vAlign w:val="center"/>
            <w:hideMark/>
          </w:tcPr>
          <w:p w14:paraId="17EA63B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+49%</w:t>
            </w:r>
          </w:p>
        </w:tc>
        <w:tc>
          <w:tcPr>
            <w:tcW w:w="520" w:type="dxa"/>
            <w:tcBorders>
              <w:top w:val="nil"/>
              <w:left w:val="nil"/>
              <w:bottom w:val="single" w:sz="4" w:space="0" w:color="auto"/>
              <w:right w:val="single" w:sz="4" w:space="0" w:color="auto"/>
            </w:tcBorders>
            <w:shd w:val="clear" w:color="auto" w:fill="auto"/>
            <w:noWrap/>
            <w:vAlign w:val="center"/>
            <w:hideMark/>
          </w:tcPr>
          <w:p w14:paraId="15FF93D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+56%</w:t>
            </w:r>
          </w:p>
        </w:tc>
        <w:tc>
          <w:tcPr>
            <w:tcW w:w="520" w:type="dxa"/>
            <w:tcBorders>
              <w:top w:val="nil"/>
              <w:left w:val="nil"/>
              <w:bottom w:val="single" w:sz="4" w:space="0" w:color="auto"/>
              <w:right w:val="single" w:sz="4" w:space="0" w:color="auto"/>
            </w:tcBorders>
            <w:shd w:val="clear" w:color="000000" w:fill="D9E1F2"/>
            <w:noWrap/>
            <w:vAlign w:val="center"/>
            <w:hideMark/>
          </w:tcPr>
          <w:p w14:paraId="08D7290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73</w:t>
            </w:r>
          </w:p>
        </w:tc>
        <w:tc>
          <w:tcPr>
            <w:tcW w:w="520" w:type="dxa"/>
            <w:tcBorders>
              <w:top w:val="nil"/>
              <w:left w:val="nil"/>
              <w:bottom w:val="single" w:sz="4" w:space="0" w:color="auto"/>
              <w:right w:val="single" w:sz="4" w:space="0" w:color="auto"/>
            </w:tcBorders>
            <w:shd w:val="clear" w:color="000000" w:fill="D9E1F2"/>
            <w:noWrap/>
            <w:vAlign w:val="center"/>
            <w:hideMark/>
          </w:tcPr>
          <w:p w14:paraId="414C979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64</w:t>
            </w:r>
          </w:p>
        </w:tc>
        <w:tc>
          <w:tcPr>
            <w:tcW w:w="520" w:type="dxa"/>
            <w:tcBorders>
              <w:top w:val="nil"/>
              <w:left w:val="nil"/>
              <w:bottom w:val="single" w:sz="4" w:space="0" w:color="auto"/>
              <w:right w:val="single" w:sz="4" w:space="0" w:color="auto"/>
            </w:tcBorders>
            <w:shd w:val="clear" w:color="000000" w:fill="D9E1F2"/>
            <w:noWrap/>
            <w:vAlign w:val="center"/>
            <w:hideMark/>
          </w:tcPr>
          <w:p w14:paraId="325FD38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+14%</w:t>
            </w:r>
          </w:p>
        </w:tc>
        <w:tc>
          <w:tcPr>
            <w:tcW w:w="520" w:type="dxa"/>
            <w:tcBorders>
              <w:top w:val="nil"/>
              <w:left w:val="nil"/>
              <w:bottom w:val="single" w:sz="4" w:space="0" w:color="auto"/>
              <w:right w:val="single" w:sz="4" w:space="0" w:color="auto"/>
            </w:tcBorders>
            <w:shd w:val="clear" w:color="000000" w:fill="D9E1F2"/>
            <w:noWrap/>
            <w:vAlign w:val="center"/>
            <w:hideMark/>
          </w:tcPr>
          <w:p w14:paraId="21435FF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30C5C38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1,22</w:t>
            </w:r>
            <w:r w:rsidR="00C0438C">
              <w:rPr>
                <w:rFonts w:ascii="Calibri" w:hAnsi="Calibri" w:cs="Calibri"/>
                <w:b/>
                <w:bCs/>
                <w:color w:val="000000"/>
                <w:sz w:val="14"/>
                <w:szCs w:val="14"/>
                <w:lang w:eastAsia="en-GB"/>
              </w:rPr>
              <w:t>4</w:t>
            </w:r>
          </w:p>
        </w:tc>
        <w:tc>
          <w:tcPr>
            <w:tcW w:w="520" w:type="dxa"/>
            <w:tcBorders>
              <w:top w:val="nil"/>
              <w:left w:val="nil"/>
              <w:bottom w:val="single" w:sz="4" w:space="0" w:color="auto"/>
              <w:right w:val="single" w:sz="4" w:space="0" w:color="auto"/>
            </w:tcBorders>
            <w:shd w:val="clear" w:color="000000" w:fill="FCE4D6"/>
            <w:noWrap/>
            <w:vAlign w:val="center"/>
            <w:hideMark/>
          </w:tcPr>
          <w:p w14:paraId="2DEBC7D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1,020</w:t>
            </w:r>
          </w:p>
        </w:tc>
        <w:tc>
          <w:tcPr>
            <w:tcW w:w="520" w:type="dxa"/>
            <w:tcBorders>
              <w:top w:val="nil"/>
              <w:left w:val="nil"/>
              <w:bottom w:val="single" w:sz="4" w:space="0" w:color="auto"/>
              <w:right w:val="single" w:sz="4" w:space="0" w:color="auto"/>
            </w:tcBorders>
            <w:shd w:val="clear" w:color="000000" w:fill="FCE4D6"/>
            <w:noWrap/>
            <w:vAlign w:val="center"/>
            <w:hideMark/>
          </w:tcPr>
          <w:p w14:paraId="495F931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+20%</w:t>
            </w:r>
          </w:p>
        </w:tc>
        <w:tc>
          <w:tcPr>
            <w:tcW w:w="520" w:type="dxa"/>
            <w:tcBorders>
              <w:top w:val="nil"/>
              <w:left w:val="nil"/>
              <w:bottom w:val="single" w:sz="4" w:space="0" w:color="auto"/>
              <w:right w:val="single" w:sz="8" w:space="0" w:color="auto"/>
            </w:tcBorders>
            <w:shd w:val="clear" w:color="000000" w:fill="FCE4D6"/>
            <w:noWrap/>
            <w:vAlign w:val="center"/>
            <w:hideMark/>
          </w:tcPr>
          <w:p w14:paraId="729A0A4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+22%</w:t>
            </w:r>
          </w:p>
        </w:tc>
      </w:tr>
      <w:tr w:rsidR="008801D7" w:rsidRPr="008801D7" w14:paraId="7ADCDAF5" w14:textId="77777777" w:rsidTr="008801D7">
        <w:trPr>
          <w:trHeight w:val="377"/>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43ECD394"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Other</w:t>
            </w:r>
            <w:r w:rsidRPr="008801D7">
              <w:rPr>
                <w:rFonts w:ascii="Calibri" w:hAnsi="Calibri" w:cs="Calibri"/>
                <w:color w:val="000000"/>
                <w:sz w:val="14"/>
                <w:szCs w:val="14"/>
                <w:lang w:eastAsia="en-GB"/>
              </w:rPr>
              <w:br/>
              <w:t>Operating Costs</w:t>
            </w:r>
          </w:p>
        </w:tc>
        <w:tc>
          <w:tcPr>
            <w:tcW w:w="520" w:type="dxa"/>
            <w:tcBorders>
              <w:top w:val="nil"/>
              <w:left w:val="nil"/>
              <w:bottom w:val="single" w:sz="4" w:space="0" w:color="auto"/>
              <w:right w:val="single" w:sz="4" w:space="0" w:color="auto"/>
            </w:tcBorders>
            <w:shd w:val="clear" w:color="000000" w:fill="FFF2CC"/>
            <w:noWrap/>
            <w:vAlign w:val="center"/>
            <w:hideMark/>
          </w:tcPr>
          <w:p w14:paraId="6F7DA28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(171)</w:t>
            </w:r>
          </w:p>
        </w:tc>
        <w:tc>
          <w:tcPr>
            <w:tcW w:w="520" w:type="dxa"/>
            <w:tcBorders>
              <w:top w:val="nil"/>
              <w:left w:val="nil"/>
              <w:bottom w:val="single" w:sz="4" w:space="0" w:color="auto"/>
              <w:right w:val="single" w:sz="4" w:space="0" w:color="auto"/>
            </w:tcBorders>
            <w:shd w:val="clear" w:color="000000" w:fill="FFF2CC"/>
            <w:noWrap/>
            <w:vAlign w:val="center"/>
            <w:hideMark/>
          </w:tcPr>
          <w:p w14:paraId="41D176C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(170)</w:t>
            </w:r>
          </w:p>
        </w:tc>
        <w:tc>
          <w:tcPr>
            <w:tcW w:w="520" w:type="dxa"/>
            <w:tcBorders>
              <w:top w:val="nil"/>
              <w:left w:val="nil"/>
              <w:bottom w:val="single" w:sz="4" w:space="0" w:color="auto"/>
              <w:right w:val="single" w:sz="4" w:space="0" w:color="auto"/>
            </w:tcBorders>
            <w:shd w:val="clear" w:color="000000" w:fill="FFF2CC"/>
            <w:noWrap/>
            <w:vAlign w:val="center"/>
            <w:hideMark/>
          </w:tcPr>
          <w:p w14:paraId="1BC77B4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w:t>
            </w:r>
          </w:p>
        </w:tc>
        <w:tc>
          <w:tcPr>
            <w:tcW w:w="520" w:type="dxa"/>
            <w:tcBorders>
              <w:top w:val="nil"/>
              <w:left w:val="nil"/>
              <w:bottom w:val="single" w:sz="4" w:space="0" w:color="auto"/>
              <w:right w:val="single" w:sz="4" w:space="0" w:color="auto"/>
            </w:tcBorders>
            <w:shd w:val="clear" w:color="000000" w:fill="C6E0B4"/>
            <w:noWrap/>
            <w:vAlign w:val="center"/>
            <w:hideMark/>
          </w:tcPr>
          <w:p w14:paraId="4ED02BD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r w:rsidR="00C0438C">
              <w:rPr>
                <w:rFonts w:ascii="Calibri" w:hAnsi="Calibri" w:cs="Calibri"/>
                <w:color w:val="000000"/>
                <w:sz w:val="14"/>
                <w:szCs w:val="14"/>
                <w:lang w:eastAsia="en-GB"/>
              </w:rPr>
              <w:t>6</w:t>
            </w:r>
            <w:r w:rsidRPr="008801D7">
              <w:rPr>
                <w:rFonts w:ascii="Calibri" w:hAnsi="Calibri" w:cs="Calibri"/>
                <w:color w:val="000000"/>
                <w:sz w:val="14"/>
                <w:szCs w:val="14"/>
                <w:lang w:eastAsia="en-GB"/>
              </w:rPr>
              <w:t>)</w:t>
            </w:r>
          </w:p>
        </w:tc>
        <w:tc>
          <w:tcPr>
            <w:tcW w:w="520" w:type="dxa"/>
            <w:tcBorders>
              <w:top w:val="nil"/>
              <w:left w:val="nil"/>
              <w:bottom w:val="single" w:sz="4" w:space="0" w:color="auto"/>
              <w:right w:val="single" w:sz="4" w:space="0" w:color="auto"/>
            </w:tcBorders>
            <w:shd w:val="clear" w:color="000000" w:fill="C6E0B4"/>
            <w:noWrap/>
            <w:vAlign w:val="center"/>
            <w:hideMark/>
          </w:tcPr>
          <w:p w14:paraId="232F2FB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(56)</w:t>
            </w:r>
          </w:p>
        </w:tc>
        <w:tc>
          <w:tcPr>
            <w:tcW w:w="520" w:type="dxa"/>
            <w:tcBorders>
              <w:top w:val="nil"/>
              <w:left w:val="nil"/>
              <w:bottom w:val="single" w:sz="4" w:space="0" w:color="auto"/>
              <w:right w:val="single" w:sz="4" w:space="0" w:color="auto"/>
            </w:tcBorders>
            <w:shd w:val="clear" w:color="000000" w:fill="C6E0B4"/>
            <w:noWrap/>
            <w:vAlign w:val="center"/>
            <w:hideMark/>
          </w:tcPr>
          <w:p w14:paraId="6446AAC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w:t>
            </w:r>
            <w:r w:rsidR="00C0438C">
              <w:rPr>
                <w:rFonts w:ascii="Calibri" w:hAnsi="Calibri" w:cs="Calibri"/>
                <w:color w:val="000000"/>
                <w:sz w:val="14"/>
                <w:szCs w:val="14"/>
                <w:lang w:eastAsia="en-GB"/>
              </w:rPr>
              <w:t>7</w:t>
            </w:r>
            <w:r w:rsidRPr="008801D7">
              <w:rPr>
                <w:rFonts w:ascii="Calibri" w:hAnsi="Calibri" w:cs="Calibri"/>
                <w:color w:val="000000"/>
                <w:sz w:val="14"/>
                <w:szCs w:val="14"/>
                <w:lang w:eastAsia="en-GB"/>
              </w:rPr>
              <w:t>%</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061203E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(89)</w:t>
            </w:r>
          </w:p>
        </w:tc>
        <w:tc>
          <w:tcPr>
            <w:tcW w:w="520" w:type="dxa"/>
            <w:tcBorders>
              <w:top w:val="nil"/>
              <w:left w:val="nil"/>
              <w:bottom w:val="single" w:sz="4" w:space="0" w:color="auto"/>
              <w:right w:val="single" w:sz="4" w:space="0" w:color="auto"/>
            </w:tcBorders>
            <w:shd w:val="clear" w:color="000000" w:fill="BFBFBF"/>
            <w:noWrap/>
            <w:vAlign w:val="center"/>
            <w:hideMark/>
          </w:tcPr>
          <w:p w14:paraId="7C2BD76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(84)</w:t>
            </w:r>
          </w:p>
        </w:tc>
        <w:tc>
          <w:tcPr>
            <w:tcW w:w="520" w:type="dxa"/>
            <w:tcBorders>
              <w:top w:val="nil"/>
              <w:left w:val="nil"/>
              <w:bottom w:val="single" w:sz="4" w:space="0" w:color="auto"/>
              <w:right w:val="single" w:sz="4" w:space="0" w:color="auto"/>
            </w:tcBorders>
            <w:shd w:val="clear" w:color="000000" w:fill="BFBFBF"/>
            <w:noWrap/>
            <w:vAlign w:val="center"/>
            <w:hideMark/>
          </w:tcPr>
          <w:p w14:paraId="38F3969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p>
        </w:tc>
        <w:tc>
          <w:tcPr>
            <w:tcW w:w="520" w:type="dxa"/>
            <w:tcBorders>
              <w:top w:val="nil"/>
              <w:left w:val="nil"/>
              <w:bottom w:val="single" w:sz="4" w:space="0" w:color="auto"/>
              <w:right w:val="single" w:sz="4" w:space="0" w:color="auto"/>
            </w:tcBorders>
            <w:shd w:val="clear" w:color="000000" w:fill="BFBFBF"/>
            <w:noWrap/>
            <w:vAlign w:val="center"/>
            <w:hideMark/>
          </w:tcPr>
          <w:p w14:paraId="73E5B2D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p>
        </w:tc>
        <w:tc>
          <w:tcPr>
            <w:tcW w:w="520" w:type="dxa"/>
            <w:tcBorders>
              <w:top w:val="nil"/>
              <w:left w:val="nil"/>
              <w:bottom w:val="single" w:sz="4" w:space="0" w:color="auto"/>
              <w:right w:val="single" w:sz="4" w:space="0" w:color="auto"/>
            </w:tcBorders>
            <w:shd w:val="clear" w:color="auto" w:fill="auto"/>
            <w:noWrap/>
            <w:vAlign w:val="center"/>
            <w:hideMark/>
          </w:tcPr>
          <w:p w14:paraId="4E09D51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(55)</w:t>
            </w:r>
          </w:p>
        </w:tc>
        <w:tc>
          <w:tcPr>
            <w:tcW w:w="520" w:type="dxa"/>
            <w:tcBorders>
              <w:top w:val="nil"/>
              <w:left w:val="nil"/>
              <w:bottom w:val="single" w:sz="4" w:space="0" w:color="auto"/>
              <w:right w:val="single" w:sz="4" w:space="0" w:color="auto"/>
            </w:tcBorders>
            <w:shd w:val="clear" w:color="000000" w:fill="FFFFFF"/>
            <w:noWrap/>
            <w:vAlign w:val="center"/>
            <w:hideMark/>
          </w:tcPr>
          <w:p w14:paraId="6A40B33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(49)</w:t>
            </w:r>
          </w:p>
        </w:tc>
        <w:tc>
          <w:tcPr>
            <w:tcW w:w="520" w:type="dxa"/>
            <w:tcBorders>
              <w:top w:val="nil"/>
              <w:left w:val="nil"/>
              <w:bottom w:val="single" w:sz="4" w:space="0" w:color="auto"/>
              <w:right w:val="single" w:sz="4" w:space="0" w:color="auto"/>
            </w:tcBorders>
            <w:shd w:val="clear" w:color="auto" w:fill="auto"/>
            <w:noWrap/>
            <w:vAlign w:val="center"/>
            <w:hideMark/>
          </w:tcPr>
          <w:p w14:paraId="4F271E7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20" w:type="dxa"/>
            <w:tcBorders>
              <w:top w:val="nil"/>
              <w:left w:val="nil"/>
              <w:bottom w:val="single" w:sz="4" w:space="0" w:color="auto"/>
              <w:right w:val="single" w:sz="4" w:space="0" w:color="auto"/>
            </w:tcBorders>
            <w:shd w:val="clear" w:color="auto" w:fill="auto"/>
            <w:noWrap/>
            <w:vAlign w:val="center"/>
            <w:hideMark/>
          </w:tcPr>
          <w:p w14:paraId="2AC98A6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w:t>
            </w:r>
          </w:p>
        </w:tc>
        <w:tc>
          <w:tcPr>
            <w:tcW w:w="520" w:type="dxa"/>
            <w:tcBorders>
              <w:top w:val="nil"/>
              <w:left w:val="nil"/>
              <w:bottom w:val="single" w:sz="4" w:space="0" w:color="auto"/>
              <w:right w:val="single" w:sz="4" w:space="0" w:color="auto"/>
            </w:tcBorders>
            <w:shd w:val="clear" w:color="000000" w:fill="D9E1F2"/>
            <w:noWrap/>
            <w:vAlign w:val="center"/>
            <w:hideMark/>
          </w:tcPr>
          <w:p w14:paraId="10CEBDC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(92)</w:t>
            </w:r>
          </w:p>
        </w:tc>
        <w:tc>
          <w:tcPr>
            <w:tcW w:w="520" w:type="dxa"/>
            <w:tcBorders>
              <w:top w:val="nil"/>
              <w:left w:val="nil"/>
              <w:bottom w:val="single" w:sz="4" w:space="0" w:color="auto"/>
              <w:right w:val="single" w:sz="4" w:space="0" w:color="auto"/>
            </w:tcBorders>
            <w:shd w:val="clear" w:color="000000" w:fill="D9E1F2"/>
            <w:noWrap/>
            <w:vAlign w:val="center"/>
            <w:hideMark/>
          </w:tcPr>
          <w:p w14:paraId="6654200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(75)</w:t>
            </w:r>
          </w:p>
        </w:tc>
        <w:tc>
          <w:tcPr>
            <w:tcW w:w="520" w:type="dxa"/>
            <w:tcBorders>
              <w:top w:val="nil"/>
              <w:left w:val="nil"/>
              <w:bottom w:val="single" w:sz="4" w:space="0" w:color="auto"/>
              <w:right w:val="single" w:sz="4" w:space="0" w:color="auto"/>
            </w:tcBorders>
            <w:shd w:val="clear" w:color="000000" w:fill="D9E1F2"/>
            <w:noWrap/>
            <w:vAlign w:val="center"/>
            <w:hideMark/>
          </w:tcPr>
          <w:p w14:paraId="445DECC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w:t>
            </w:r>
          </w:p>
        </w:tc>
        <w:tc>
          <w:tcPr>
            <w:tcW w:w="520" w:type="dxa"/>
            <w:tcBorders>
              <w:top w:val="nil"/>
              <w:left w:val="nil"/>
              <w:bottom w:val="single" w:sz="4" w:space="0" w:color="auto"/>
              <w:right w:val="single" w:sz="4" w:space="0" w:color="auto"/>
            </w:tcBorders>
            <w:shd w:val="clear" w:color="000000" w:fill="D9E1F2"/>
            <w:noWrap/>
            <w:vAlign w:val="center"/>
            <w:hideMark/>
          </w:tcPr>
          <w:p w14:paraId="62529E7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+19%</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696DA5C" w14:textId="77777777" w:rsidR="008801D7" w:rsidRPr="008801D7" w:rsidRDefault="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(47</w:t>
            </w:r>
            <w:r w:rsidR="00C0438C">
              <w:rPr>
                <w:rFonts w:ascii="Calibri" w:hAnsi="Calibri" w:cs="Calibri"/>
                <w:color w:val="000000"/>
                <w:sz w:val="14"/>
                <w:szCs w:val="14"/>
                <w:lang w:eastAsia="en-GB"/>
              </w:rPr>
              <w:t>3</w:t>
            </w:r>
            <w:r w:rsidRPr="008801D7">
              <w:rPr>
                <w:rFonts w:ascii="Calibri" w:hAnsi="Calibri" w:cs="Calibri"/>
                <w:color w:val="000000"/>
                <w:sz w:val="14"/>
                <w:szCs w:val="14"/>
                <w:lang w:eastAsia="en-GB"/>
              </w:rPr>
              <w:t>)</w:t>
            </w:r>
          </w:p>
        </w:tc>
        <w:tc>
          <w:tcPr>
            <w:tcW w:w="520" w:type="dxa"/>
            <w:tcBorders>
              <w:top w:val="nil"/>
              <w:left w:val="nil"/>
              <w:bottom w:val="single" w:sz="4" w:space="0" w:color="auto"/>
              <w:right w:val="single" w:sz="4" w:space="0" w:color="auto"/>
            </w:tcBorders>
            <w:shd w:val="clear" w:color="000000" w:fill="FCE4D6"/>
            <w:noWrap/>
            <w:vAlign w:val="center"/>
            <w:hideMark/>
          </w:tcPr>
          <w:p w14:paraId="3443B0B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(435)</w:t>
            </w:r>
          </w:p>
        </w:tc>
        <w:tc>
          <w:tcPr>
            <w:tcW w:w="520" w:type="dxa"/>
            <w:tcBorders>
              <w:top w:val="nil"/>
              <w:left w:val="nil"/>
              <w:bottom w:val="single" w:sz="4" w:space="0" w:color="auto"/>
              <w:right w:val="single" w:sz="4" w:space="0" w:color="auto"/>
            </w:tcBorders>
            <w:shd w:val="clear" w:color="000000" w:fill="FCE4D6"/>
            <w:noWrap/>
            <w:vAlign w:val="center"/>
            <w:hideMark/>
          </w:tcPr>
          <w:p w14:paraId="23DE7C2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w:t>
            </w:r>
          </w:p>
        </w:tc>
        <w:tc>
          <w:tcPr>
            <w:tcW w:w="520" w:type="dxa"/>
            <w:tcBorders>
              <w:top w:val="nil"/>
              <w:left w:val="nil"/>
              <w:bottom w:val="single" w:sz="4" w:space="0" w:color="auto"/>
              <w:right w:val="single" w:sz="8" w:space="0" w:color="auto"/>
            </w:tcBorders>
            <w:shd w:val="clear" w:color="000000" w:fill="FCE4D6"/>
            <w:noWrap/>
            <w:vAlign w:val="center"/>
            <w:hideMark/>
          </w:tcPr>
          <w:p w14:paraId="294C9AD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w:t>
            </w:r>
          </w:p>
        </w:tc>
      </w:tr>
      <w:tr w:rsidR="008801D7" w:rsidRPr="008801D7" w14:paraId="62355720"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5C8D355" w14:textId="77777777" w:rsidR="008801D7" w:rsidRPr="008801D7" w:rsidRDefault="008D3E34" w:rsidP="008D3E34">
            <w:pPr>
              <w:rPr>
                <w:rFonts w:ascii="Calibri" w:hAnsi="Calibri" w:cs="Calibri"/>
                <w:color w:val="000000"/>
                <w:sz w:val="14"/>
                <w:szCs w:val="14"/>
                <w:lang w:eastAsia="en-GB"/>
              </w:rPr>
            </w:pPr>
            <w:r>
              <w:rPr>
                <w:rFonts w:ascii="Calibri" w:hAnsi="Calibri" w:cs="Calibri"/>
                <w:color w:val="000000"/>
                <w:sz w:val="14"/>
                <w:szCs w:val="14"/>
                <w:lang w:eastAsia="en-GB"/>
              </w:rPr>
              <w:t>Corporate</w:t>
            </w:r>
            <w:r w:rsidR="008801D7" w:rsidRPr="008801D7">
              <w:rPr>
                <w:rFonts w:ascii="Calibri" w:hAnsi="Calibri" w:cs="Calibri"/>
                <w:color w:val="000000"/>
                <w:sz w:val="14"/>
                <w:szCs w:val="14"/>
                <w:lang w:eastAsia="en-GB"/>
              </w:rPr>
              <w:t xml:space="preserve"> costs</w:t>
            </w:r>
          </w:p>
        </w:tc>
        <w:tc>
          <w:tcPr>
            <w:tcW w:w="520" w:type="dxa"/>
            <w:tcBorders>
              <w:top w:val="nil"/>
              <w:left w:val="nil"/>
              <w:bottom w:val="single" w:sz="4" w:space="0" w:color="auto"/>
              <w:right w:val="single" w:sz="4" w:space="0" w:color="auto"/>
            </w:tcBorders>
            <w:shd w:val="clear" w:color="000000" w:fill="FFF2CC"/>
            <w:noWrap/>
            <w:vAlign w:val="center"/>
            <w:hideMark/>
          </w:tcPr>
          <w:p w14:paraId="04600DC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73FCE04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4735205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5C25AE7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2CA42DA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31775E1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4B627C9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1C518E1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7FC4997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343F476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auto" w:fill="auto"/>
            <w:noWrap/>
            <w:vAlign w:val="center"/>
            <w:hideMark/>
          </w:tcPr>
          <w:p w14:paraId="7AA36C5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A81618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00889E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142C5F1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0548944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4C6E33F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3ACD433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6F98967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4BD0DB8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(67)</w:t>
            </w:r>
          </w:p>
        </w:tc>
        <w:tc>
          <w:tcPr>
            <w:tcW w:w="520" w:type="dxa"/>
            <w:tcBorders>
              <w:top w:val="nil"/>
              <w:left w:val="nil"/>
              <w:bottom w:val="single" w:sz="4" w:space="0" w:color="auto"/>
              <w:right w:val="single" w:sz="4" w:space="0" w:color="auto"/>
            </w:tcBorders>
            <w:shd w:val="clear" w:color="000000" w:fill="FCE4D6"/>
            <w:noWrap/>
            <w:vAlign w:val="center"/>
            <w:hideMark/>
          </w:tcPr>
          <w:p w14:paraId="268369F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(62)</w:t>
            </w:r>
          </w:p>
        </w:tc>
        <w:tc>
          <w:tcPr>
            <w:tcW w:w="520" w:type="dxa"/>
            <w:tcBorders>
              <w:top w:val="nil"/>
              <w:left w:val="nil"/>
              <w:bottom w:val="single" w:sz="4" w:space="0" w:color="auto"/>
              <w:right w:val="single" w:sz="4" w:space="0" w:color="auto"/>
            </w:tcBorders>
            <w:shd w:val="clear" w:color="000000" w:fill="FCE4D6"/>
            <w:noWrap/>
            <w:vAlign w:val="center"/>
            <w:hideMark/>
          </w:tcPr>
          <w:p w14:paraId="1A8610D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w:t>
            </w:r>
          </w:p>
        </w:tc>
        <w:tc>
          <w:tcPr>
            <w:tcW w:w="520" w:type="dxa"/>
            <w:tcBorders>
              <w:top w:val="nil"/>
              <w:left w:val="nil"/>
              <w:bottom w:val="single" w:sz="4" w:space="0" w:color="auto"/>
              <w:right w:val="single" w:sz="8" w:space="0" w:color="auto"/>
            </w:tcBorders>
            <w:shd w:val="clear" w:color="000000" w:fill="FCE4D6"/>
            <w:noWrap/>
            <w:vAlign w:val="center"/>
            <w:hideMark/>
          </w:tcPr>
          <w:p w14:paraId="2440BA3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w:t>
            </w:r>
          </w:p>
        </w:tc>
      </w:tr>
      <w:tr w:rsidR="008801D7" w:rsidRPr="008801D7" w14:paraId="6B72E072" w14:textId="77777777" w:rsidTr="008801D7">
        <w:trPr>
          <w:trHeight w:val="78"/>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35C63D5" w14:textId="77777777" w:rsidR="008801D7" w:rsidRPr="008801D7" w:rsidRDefault="008801D7" w:rsidP="008801D7">
            <w:pPr>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7A6EA9DB"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027741B4"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2CC"/>
            <w:noWrap/>
            <w:vAlign w:val="center"/>
            <w:hideMark/>
          </w:tcPr>
          <w:p w14:paraId="342055B5"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5784C6E3"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1BCEE3E9"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C6E0B4"/>
            <w:noWrap/>
            <w:vAlign w:val="center"/>
            <w:hideMark/>
          </w:tcPr>
          <w:p w14:paraId="6B0A1545"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7CDED7AC"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0C04D900"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31057DB0"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BFBFBF"/>
            <w:noWrap/>
            <w:vAlign w:val="center"/>
            <w:hideMark/>
          </w:tcPr>
          <w:p w14:paraId="3AB3949E"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auto" w:fill="auto"/>
            <w:noWrap/>
            <w:vAlign w:val="center"/>
            <w:hideMark/>
          </w:tcPr>
          <w:p w14:paraId="16593669"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778918C8"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188AB2A"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531B437F"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57F945CA"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10F72A61"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75219677" w14:textId="77777777" w:rsidR="008801D7" w:rsidRPr="008801D7" w:rsidRDefault="008801D7" w:rsidP="008801D7">
            <w:pPr>
              <w:jc w:val="right"/>
              <w:rPr>
                <w:rFonts w:ascii="Calibri" w:hAnsi="Calibri" w:cs="Calibri"/>
                <w:color w:val="000000"/>
                <w:sz w:val="2"/>
                <w:szCs w:val="2"/>
                <w:lang w:eastAsia="en-GB"/>
              </w:rPr>
            </w:pPr>
            <w:r w:rsidRPr="008801D7">
              <w:rPr>
                <w:rFonts w:ascii="Calibri" w:hAnsi="Calibri" w:cs="Calibri"/>
                <w:color w:val="000000"/>
                <w:sz w:val="2"/>
                <w:szCs w:val="2"/>
                <w:lang w:eastAsia="en-GB"/>
              </w:rPr>
              <w:t> </w:t>
            </w:r>
          </w:p>
        </w:tc>
        <w:tc>
          <w:tcPr>
            <w:tcW w:w="520" w:type="dxa"/>
            <w:tcBorders>
              <w:top w:val="nil"/>
              <w:left w:val="nil"/>
              <w:bottom w:val="single" w:sz="4" w:space="0" w:color="auto"/>
              <w:right w:val="single" w:sz="4" w:space="0" w:color="auto"/>
            </w:tcBorders>
            <w:shd w:val="clear" w:color="000000" w:fill="D9E1F2"/>
            <w:noWrap/>
            <w:vAlign w:val="center"/>
            <w:hideMark/>
          </w:tcPr>
          <w:p w14:paraId="24963B28"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326844F9"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652ADD52"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4" w:space="0" w:color="auto"/>
            </w:tcBorders>
            <w:shd w:val="clear" w:color="000000" w:fill="FCE4D6"/>
            <w:noWrap/>
            <w:vAlign w:val="center"/>
            <w:hideMark/>
          </w:tcPr>
          <w:p w14:paraId="38797CF7"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c>
          <w:tcPr>
            <w:tcW w:w="520" w:type="dxa"/>
            <w:tcBorders>
              <w:top w:val="nil"/>
              <w:left w:val="nil"/>
              <w:bottom w:val="single" w:sz="4" w:space="0" w:color="auto"/>
              <w:right w:val="single" w:sz="8" w:space="0" w:color="auto"/>
            </w:tcBorders>
            <w:shd w:val="clear" w:color="000000" w:fill="FCE4D6"/>
            <w:noWrap/>
            <w:vAlign w:val="center"/>
            <w:hideMark/>
          </w:tcPr>
          <w:p w14:paraId="27BBD1F8" w14:textId="77777777" w:rsidR="008801D7" w:rsidRPr="008801D7" w:rsidRDefault="008801D7" w:rsidP="008801D7">
            <w:pPr>
              <w:jc w:val="right"/>
              <w:rPr>
                <w:rFonts w:ascii="Calibri" w:hAnsi="Calibri" w:cs="Calibri"/>
                <w:b/>
                <w:bCs/>
                <w:color w:val="000000"/>
                <w:sz w:val="2"/>
                <w:szCs w:val="2"/>
                <w:lang w:eastAsia="en-GB"/>
              </w:rPr>
            </w:pPr>
            <w:r w:rsidRPr="008801D7">
              <w:rPr>
                <w:rFonts w:ascii="Calibri" w:hAnsi="Calibri" w:cs="Calibri"/>
                <w:b/>
                <w:bCs/>
                <w:color w:val="000000"/>
                <w:sz w:val="2"/>
                <w:szCs w:val="2"/>
                <w:lang w:eastAsia="en-GB"/>
              </w:rPr>
              <w:t> </w:t>
            </w:r>
          </w:p>
        </w:tc>
      </w:tr>
      <w:tr w:rsidR="008801D7" w:rsidRPr="008801D7" w14:paraId="4DDCE680" w14:textId="77777777" w:rsidTr="008801D7">
        <w:trPr>
          <w:trHeight w:val="24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1196EF3"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Adjusted EBITDA</w:t>
            </w:r>
          </w:p>
        </w:tc>
        <w:tc>
          <w:tcPr>
            <w:tcW w:w="520" w:type="dxa"/>
            <w:tcBorders>
              <w:top w:val="nil"/>
              <w:left w:val="nil"/>
              <w:bottom w:val="single" w:sz="4" w:space="0" w:color="auto"/>
              <w:right w:val="single" w:sz="4" w:space="0" w:color="auto"/>
            </w:tcBorders>
            <w:shd w:val="clear" w:color="000000" w:fill="FFF2CC"/>
            <w:noWrap/>
            <w:vAlign w:val="center"/>
            <w:hideMark/>
          </w:tcPr>
          <w:p w14:paraId="37C22BB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85</w:t>
            </w:r>
          </w:p>
        </w:tc>
        <w:tc>
          <w:tcPr>
            <w:tcW w:w="520" w:type="dxa"/>
            <w:tcBorders>
              <w:top w:val="nil"/>
              <w:left w:val="nil"/>
              <w:bottom w:val="single" w:sz="4" w:space="0" w:color="auto"/>
              <w:right w:val="single" w:sz="4" w:space="0" w:color="auto"/>
            </w:tcBorders>
            <w:shd w:val="clear" w:color="000000" w:fill="FFF2CC"/>
            <w:noWrap/>
            <w:vAlign w:val="center"/>
            <w:hideMark/>
          </w:tcPr>
          <w:p w14:paraId="2F147B6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179</w:t>
            </w:r>
          </w:p>
        </w:tc>
        <w:tc>
          <w:tcPr>
            <w:tcW w:w="520" w:type="dxa"/>
            <w:tcBorders>
              <w:top w:val="nil"/>
              <w:left w:val="nil"/>
              <w:bottom w:val="single" w:sz="4" w:space="0" w:color="auto"/>
              <w:right w:val="single" w:sz="4" w:space="0" w:color="auto"/>
            </w:tcBorders>
            <w:shd w:val="clear" w:color="000000" w:fill="FFF2CC"/>
            <w:noWrap/>
            <w:vAlign w:val="center"/>
            <w:hideMark/>
          </w:tcPr>
          <w:p w14:paraId="3FCEE96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-53%</w:t>
            </w:r>
          </w:p>
        </w:tc>
        <w:tc>
          <w:tcPr>
            <w:tcW w:w="520" w:type="dxa"/>
            <w:tcBorders>
              <w:top w:val="nil"/>
              <w:left w:val="nil"/>
              <w:bottom w:val="single" w:sz="4" w:space="0" w:color="auto"/>
              <w:right w:val="single" w:sz="4" w:space="0" w:color="auto"/>
            </w:tcBorders>
            <w:shd w:val="clear" w:color="000000" w:fill="C6E0B4"/>
            <w:noWrap/>
            <w:vAlign w:val="center"/>
            <w:hideMark/>
          </w:tcPr>
          <w:p w14:paraId="7FDDA74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184</w:t>
            </w:r>
          </w:p>
        </w:tc>
        <w:tc>
          <w:tcPr>
            <w:tcW w:w="520" w:type="dxa"/>
            <w:tcBorders>
              <w:top w:val="nil"/>
              <w:left w:val="nil"/>
              <w:bottom w:val="single" w:sz="4" w:space="0" w:color="auto"/>
              <w:right w:val="single" w:sz="4" w:space="0" w:color="auto"/>
            </w:tcBorders>
            <w:shd w:val="clear" w:color="000000" w:fill="C6E0B4"/>
            <w:noWrap/>
            <w:vAlign w:val="center"/>
            <w:hideMark/>
          </w:tcPr>
          <w:p w14:paraId="75664C5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111</w:t>
            </w:r>
          </w:p>
        </w:tc>
        <w:tc>
          <w:tcPr>
            <w:tcW w:w="520" w:type="dxa"/>
            <w:tcBorders>
              <w:top w:val="nil"/>
              <w:left w:val="nil"/>
              <w:bottom w:val="single" w:sz="4" w:space="0" w:color="auto"/>
              <w:right w:val="single" w:sz="4" w:space="0" w:color="auto"/>
            </w:tcBorders>
            <w:shd w:val="clear" w:color="000000" w:fill="C6E0B4"/>
            <w:noWrap/>
            <w:vAlign w:val="center"/>
            <w:hideMark/>
          </w:tcPr>
          <w:p w14:paraId="708B9CD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+66%</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370BD77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380</w:t>
            </w:r>
          </w:p>
        </w:tc>
        <w:tc>
          <w:tcPr>
            <w:tcW w:w="520" w:type="dxa"/>
            <w:tcBorders>
              <w:top w:val="nil"/>
              <w:left w:val="nil"/>
              <w:bottom w:val="single" w:sz="4" w:space="0" w:color="auto"/>
              <w:right w:val="single" w:sz="4" w:space="0" w:color="auto"/>
            </w:tcBorders>
            <w:shd w:val="clear" w:color="000000" w:fill="BFBFBF"/>
            <w:noWrap/>
            <w:vAlign w:val="center"/>
            <w:hideMark/>
          </w:tcPr>
          <w:p w14:paraId="5C55CC7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237</w:t>
            </w:r>
          </w:p>
        </w:tc>
        <w:tc>
          <w:tcPr>
            <w:tcW w:w="520" w:type="dxa"/>
            <w:tcBorders>
              <w:top w:val="nil"/>
              <w:left w:val="nil"/>
              <w:bottom w:val="single" w:sz="4" w:space="0" w:color="auto"/>
              <w:right w:val="single" w:sz="4" w:space="0" w:color="auto"/>
            </w:tcBorders>
            <w:shd w:val="clear" w:color="000000" w:fill="BFBFBF"/>
            <w:noWrap/>
            <w:vAlign w:val="center"/>
            <w:hideMark/>
          </w:tcPr>
          <w:p w14:paraId="6291E212" w14:textId="77777777" w:rsidR="008801D7" w:rsidRPr="008801D7" w:rsidRDefault="00842960" w:rsidP="008801D7">
            <w:pPr>
              <w:jc w:val="right"/>
              <w:rPr>
                <w:rFonts w:ascii="Calibri" w:hAnsi="Calibri" w:cs="Calibri"/>
                <w:b/>
                <w:bCs/>
                <w:color w:val="000000"/>
                <w:sz w:val="14"/>
                <w:szCs w:val="14"/>
                <w:lang w:eastAsia="en-GB"/>
              </w:rPr>
            </w:pPr>
            <w:r>
              <w:rPr>
                <w:rFonts w:ascii="Calibri" w:hAnsi="Calibri" w:cs="Calibri"/>
                <w:b/>
                <w:bCs/>
                <w:color w:val="000000"/>
                <w:sz w:val="14"/>
                <w:szCs w:val="14"/>
                <w:lang w:eastAsia="en-GB"/>
              </w:rPr>
              <w:t>+</w:t>
            </w:r>
            <w:r w:rsidR="008801D7" w:rsidRPr="008801D7">
              <w:rPr>
                <w:rFonts w:ascii="Calibri" w:hAnsi="Calibri" w:cs="Calibri"/>
                <w:b/>
                <w:bCs/>
                <w:color w:val="000000"/>
                <w:sz w:val="14"/>
                <w:szCs w:val="14"/>
                <w:lang w:eastAsia="en-GB"/>
              </w:rPr>
              <w:t>60%</w:t>
            </w:r>
          </w:p>
        </w:tc>
        <w:tc>
          <w:tcPr>
            <w:tcW w:w="520" w:type="dxa"/>
            <w:tcBorders>
              <w:top w:val="nil"/>
              <w:left w:val="nil"/>
              <w:bottom w:val="single" w:sz="4" w:space="0" w:color="auto"/>
              <w:right w:val="single" w:sz="4" w:space="0" w:color="auto"/>
            </w:tcBorders>
            <w:shd w:val="clear" w:color="000000" w:fill="BFBFBF"/>
            <w:noWrap/>
            <w:vAlign w:val="center"/>
            <w:hideMark/>
          </w:tcPr>
          <w:p w14:paraId="119ABB83" w14:textId="77777777" w:rsidR="008801D7" w:rsidRPr="008801D7" w:rsidRDefault="00842960" w:rsidP="008801D7">
            <w:pPr>
              <w:jc w:val="right"/>
              <w:rPr>
                <w:rFonts w:ascii="Calibri" w:hAnsi="Calibri" w:cs="Calibri"/>
                <w:b/>
                <w:bCs/>
                <w:color w:val="000000"/>
                <w:sz w:val="14"/>
                <w:szCs w:val="14"/>
                <w:lang w:eastAsia="en-GB"/>
              </w:rPr>
            </w:pPr>
            <w:r>
              <w:rPr>
                <w:rFonts w:ascii="Calibri" w:hAnsi="Calibri" w:cs="Calibri"/>
                <w:b/>
                <w:bCs/>
                <w:color w:val="000000"/>
                <w:sz w:val="14"/>
                <w:szCs w:val="14"/>
                <w:lang w:eastAsia="en-GB"/>
              </w:rPr>
              <w:t>+</w:t>
            </w:r>
            <w:r w:rsidR="008801D7" w:rsidRPr="008801D7">
              <w:rPr>
                <w:rFonts w:ascii="Calibri" w:hAnsi="Calibri" w:cs="Calibri"/>
                <w:b/>
                <w:bCs/>
                <w:color w:val="000000"/>
                <w:sz w:val="14"/>
                <w:szCs w:val="14"/>
                <w:lang w:eastAsia="en-GB"/>
              </w:rPr>
              <w:t>67%</w:t>
            </w:r>
          </w:p>
        </w:tc>
        <w:tc>
          <w:tcPr>
            <w:tcW w:w="520" w:type="dxa"/>
            <w:tcBorders>
              <w:top w:val="nil"/>
              <w:left w:val="nil"/>
              <w:bottom w:val="single" w:sz="4" w:space="0" w:color="auto"/>
              <w:right w:val="single" w:sz="4" w:space="0" w:color="auto"/>
            </w:tcBorders>
            <w:shd w:val="clear" w:color="auto" w:fill="auto"/>
            <w:noWrap/>
            <w:vAlign w:val="center"/>
            <w:hideMark/>
          </w:tcPr>
          <w:p w14:paraId="7818447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121</w:t>
            </w:r>
          </w:p>
        </w:tc>
        <w:tc>
          <w:tcPr>
            <w:tcW w:w="520" w:type="dxa"/>
            <w:tcBorders>
              <w:top w:val="nil"/>
              <w:left w:val="nil"/>
              <w:bottom w:val="single" w:sz="4" w:space="0" w:color="auto"/>
              <w:right w:val="single" w:sz="4" w:space="0" w:color="auto"/>
            </w:tcBorders>
            <w:shd w:val="clear" w:color="000000" w:fill="FFFFFF"/>
            <w:noWrap/>
            <w:vAlign w:val="center"/>
            <w:hideMark/>
          </w:tcPr>
          <w:p w14:paraId="5606713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69</w:t>
            </w:r>
          </w:p>
        </w:tc>
        <w:tc>
          <w:tcPr>
            <w:tcW w:w="520" w:type="dxa"/>
            <w:tcBorders>
              <w:top w:val="nil"/>
              <w:left w:val="nil"/>
              <w:bottom w:val="single" w:sz="4" w:space="0" w:color="auto"/>
              <w:right w:val="single" w:sz="4" w:space="0" w:color="auto"/>
            </w:tcBorders>
            <w:shd w:val="clear" w:color="000000" w:fill="FFFFFF"/>
            <w:noWrap/>
            <w:vAlign w:val="center"/>
            <w:hideMark/>
          </w:tcPr>
          <w:p w14:paraId="50319CC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+76%</w:t>
            </w:r>
          </w:p>
        </w:tc>
        <w:tc>
          <w:tcPr>
            <w:tcW w:w="520" w:type="dxa"/>
            <w:tcBorders>
              <w:top w:val="nil"/>
              <w:left w:val="nil"/>
              <w:bottom w:val="single" w:sz="4" w:space="0" w:color="auto"/>
              <w:right w:val="single" w:sz="4" w:space="0" w:color="auto"/>
            </w:tcBorders>
            <w:shd w:val="clear" w:color="000000" w:fill="FFFFFF"/>
            <w:noWrap/>
            <w:vAlign w:val="center"/>
            <w:hideMark/>
          </w:tcPr>
          <w:p w14:paraId="1A5748D2"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+84%</w:t>
            </w:r>
          </w:p>
        </w:tc>
        <w:tc>
          <w:tcPr>
            <w:tcW w:w="520" w:type="dxa"/>
            <w:tcBorders>
              <w:top w:val="nil"/>
              <w:left w:val="nil"/>
              <w:bottom w:val="single" w:sz="4" w:space="0" w:color="auto"/>
              <w:right w:val="single" w:sz="4" w:space="0" w:color="auto"/>
            </w:tcBorders>
            <w:shd w:val="clear" w:color="000000" w:fill="D9E1F2"/>
            <w:noWrap/>
            <w:vAlign w:val="center"/>
            <w:hideMark/>
          </w:tcPr>
          <w:p w14:paraId="2191565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(19)</w:t>
            </w:r>
          </w:p>
        </w:tc>
        <w:tc>
          <w:tcPr>
            <w:tcW w:w="520" w:type="dxa"/>
            <w:tcBorders>
              <w:top w:val="nil"/>
              <w:left w:val="nil"/>
              <w:bottom w:val="single" w:sz="4" w:space="0" w:color="auto"/>
              <w:right w:val="single" w:sz="4" w:space="0" w:color="auto"/>
            </w:tcBorders>
            <w:shd w:val="clear" w:color="000000" w:fill="D9E1F2"/>
            <w:noWrap/>
            <w:vAlign w:val="center"/>
            <w:hideMark/>
          </w:tcPr>
          <w:p w14:paraId="5FA9137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w:t>
            </w:r>
          </w:p>
        </w:tc>
        <w:tc>
          <w:tcPr>
            <w:tcW w:w="520" w:type="dxa"/>
            <w:tcBorders>
              <w:top w:val="nil"/>
              <w:left w:val="nil"/>
              <w:bottom w:val="single" w:sz="4" w:space="0" w:color="auto"/>
              <w:right w:val="single" w:sz="4" w:space="0" w:color="auto"/>
            </w:tcBorders>
            <w:shd w:val="clear" w:color="000000" w:fill="D9E1F2"/>
            <w:noWrap/>
            <w:vAlign w:val="center"/>
            <w:hideMark/>
          </w:tcPr>
          <w:p w14:paraId="745D160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+69%</w:t>
            </w:r>
          </w:p>
        </w:tc>
        <w:tc>
          <w:tcPr>
            <w:tcW w:w="520" w:type="dxa"/>
            <w:tcBorders>
              <w:top w:val="nil"/>
              <w:left w:val="nil"/>
              <w:bottom w:val="single" w:sz="4" w:space="0" w:color="auto"/>
              <w:right w:val="single" w:sz="4" w:space="0" w:color="auto"/>
            </w:tcBorders>
            <w:shd w:val="clear" w:color="000000" w:fill="D9E1F2"/>
            <w:noWrap/>
            <w:vAlign w:val="center"/>
            <w:hideMark/>
          </w:tcPr>
          <w:p w14:paraId="3223A55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+68%</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C8A286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684</w:t>
            </w:r>
          </w:p>
        </w:tc>
        <w:tc>
          <w:tcPr>
            <w:tcW w:w="520" w:type="dxa"/>
            <w:tcBorders>
              <w:top w:val="nil"/>
              <w:left w:val="nil"/>
              <w:bottom w:val="single" w:sz="4" w:space="0" w:color="auto"/>
              <w:right w:val="single" w:sz="4" w:space="0" w:color="auto"/>
            </w:tcBorders>
            <w:shd w:val="clear" w:color="000000" w:fill="FCE4D6"/>
            <w:noWrap/>
            <w:vAlign w:val="center"/>
            <w:hideMark/>
          </w:tcPr>
          <w:p w14:paraId="7B3D140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523</w:t>
            </w:r>
          </w:p>
        </w:tc>
        <w:tc>
          <w:tcPr>
            <w:tcW w:w="520" w:type="dxa"/>
            <w:tcBorders>
              <w:top w:val="nil"/>
              <w:left w:val="nil"/>
              <w:bottom w:val="single" w:sz="4" w:space="0" w:color="auto"/>
              <w:right w:val="single" w:sz="4" w:space="0" w:color="auto"/>
            </w:tcBorders>
            <w:shd w:val="clear" w:color="000000" w:fill="FCE4D6"/>
            <w:noWrap/>
            <w:vAlign w:val="center"/>
            <w:hideMark/>
          </w:tcPr>
          <w:p w14:paraId="7135CF6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+31%</w:t>
            </w:r>
          </w:p>
        </w:tc>
        <w:tc>
          <w:tcPr>
            <w:tcW w:w="520" w:type="dxa"/>
            <w:tcBorders>
              <w:top w:val="nil"/>
              <w:left w:val="nil"/>
              <w:bottom w:val="single" w:sz="4" w:space="0" w:color="auto"/>
              <w:right w:val="single" w:sz="8" w:space="0" w:color="auto"/>
            </w:tcBorders>
            <w:shd w:val="clear" w:color="000000" w:fill="FCE4D6"/>
            <w:noWrap/>
            <w:vAlign w:val="center"/>
            <w:hideMark/>
          </w:tcPr>
          <w:p w14:paraId="3863205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+35%</w:t>
            </w:r>
          </w:p>
        </w:tc>
      </w:tr>
      <w:tr w:rsidR="008801D7" w:rsidRPr="008801D7" w14:paraId="2917D7EF" w14:textId="77777777" w:rsidTr="008801D7">
        <w:trPr>
          <w:trHeight w:val="31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E83931E" w14:textId="77777777" w:rsidR="008801D7" w:rsidRPr="008801D7" w:rsidRDefault="008801D7" w:rsidP="008801D7">
            <w:pPr>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Adjusted EBITDA margin</w:t>
            </w:r>
          </w:p>
        </w:tc>
        <w:tc>
          <w:tcPr>
            <w:tcW w:w="520" w:type="dxa"/>
            <w:tcBorders>
              <w:top w:val="nil"/>
              <w:left w:val="nil"/>
              <w:bottom w:val="single" w:sz="4" w:space="0" w:color="auto"/>
              <w:right w:val="single" w:sz="4" w:space="0" w:color="auto"/>
            </w:tcBorders>
            <w:shd w:val="clear" w:color="000000" w:fill="FFF2CC"/>
            <w:noWrap/>
            <w:vAlign w:val="center"/>
            <w:hideMark/>
          </w:tcPr>
          <w:p w14:paraId="08AFBED8"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15.7%</w:t>
            </w:r>
          </w:p>
        </w:tc>
        <w:tc>
          <w:tcPr>
            <w:tcW w:w="520" w:type="dxa"/>
            <w:tcBorders>
              <w:top w:val="nil"/>
              <w:left w:val="nil"/>
              <w:bottom w:val="single" w:sz="4" w:space="0" w:color="auto"/>
              <w:right w:val="single" w:sz="4" w:space="0" w:color="auto"/>
            </w:tcBorders>
            <w:shd w:val="clear" w:color="000000" w:fill="FFF2CC"/>
            <w:noWrap/>
            <w:vAlign w:val="center"/>
            <w:hideMark/>
          </w:tcPr>
          <w:p w14:paraId="593908E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27.3%</w:t>
            </w:r>
          </w:p>
        </w:tc>
        <w:tc>
          <w:tcPr>
            <w:tcW w:w="520" w:type="dxa"/>
            <w:tcBorders>
              <w:top w:val="nil"/>
              <w:left w:val="nil"/>
              <w:bottom w:val="single" w:sz="4" w:space="0" w:color="auto"/>
              <w:right w:val="single" w:sz="4" w:space="0" w:color="auto"/>
            </w:tcBorders>
            <w:shd w:val="clear" w:color="000000" w:fill="FFF2CC"/>
            <w:noWrap/>
            <w:tcMar>
              <w:left w:w="28" w:type="dxa"/>
              <w:right w:w="28" w:type="dxa"/>
            </w:tcMar>
            <w:vAlign w:val="center"/>
            <w:hideMark/>
          </w:tcPr>
          <w:p w14:paraId="7C16AA9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w:t>
            </w:r>
            <w:r>
              <w:rPr>
                <w:rFonts w:ascii="Calibri" w:hAnsi="Calibri" w:cs="Calibri"/>
                <w:i/>
                <w:iCs/>
                <w:color w:val="000000"/>
                <w:sz w:val="12"/>
                <w:szCs w:val="12"/>
                <w:lang w:eastAsia="en-GB"/>
              </w:rPr>
              <w:t>,</w:t>
            </w:r>
            <w:r w:rsidRPr="008801D7">
              <w:rPr>
                <w:rFonts w:ascii="Calibri" w:hAnsi="Calibri" w:cs="Calibri"/>
                <w:i/>
                <w:iCs/>
                <w:color w:val="000000"/>
                <w:sz w:val="12"/>
                <w:szCs w:val="12"/>
                <w:lang w:eastAsia="en-GB"/>
              </w:rPr>
              <w:t>160bps</w:t>
            </w:r>
          </w:p>
        </w:tc>
        <w:tc>
          <w:tcPr>
            <w:tcW w:w="520" w:type="dxa"/>
            <w:tcBorders>
              <w:top w:val="nil"/>
              <w:left w:val="nil"/>
              <w:bottom w:val="single" w:sz="4" w:space="0" w:color="auto"/>
              <w:right w:val="single" w:sz="4" w:space="0" w:color="auto"/>
            </w:tcBorders>
            <w:shd w:val="clear" w:color="000000" w:fill="C6E0B4"/>
            <w:noWrap/>
            <w:vAlign w:val="center"/>
            <w:hideMark/>
          </w:tcPr>
          <w:p w14:paraId="0C9ADFDD"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41.9%</w:t>
            </w:r>
          </w:p>
        </w:tc>
        <w:tc>
          <w:tcPr>
            <w:tcW w:w="520" w:type="dxa"/>
            <w:tcBorders>
              <w:top w:val="nil"/>
              <w:left w:val="nil"/>
              <w:bottom w:val="single" w:sz="4" w:space="0" w:color="auto"/>
              <w:right w:val="single" w:sz="4" w:space="0" w:color="auto"/>
            </w:tcBorders>
            <w:shd w:val="clear" w:color="000000" w:fill="C6E0B4"/>
            <w:noWrap/>
            <w:vAlign w:val="center"/>
            <w:hideMark/>
          </w:tcPr>
          <w:p w14:paraId="2C8ACA9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33.4%</w:t>
            </w:r>
          </w:p>
        </w:tc>
        <w:tc>
          <w:tcPr>
            <w:tcW w:w="520" w:type="dxa"/>
            <w:tcBorders>
              <w:top w:val="nil"/>
              <w:left w:val="nil"/>
              <w:bottom w:val="single" w:sz="4" w:space="0" w:color="auto"/>
              <w:right w:val="single" w:sz="4" w:space="0" w:color="auto"/>
            </w:tcBorders>
            <w:shd w:val="clear" w:color="000000" w:fill="C6E0B4"/>
            <w:noWrap/>
            <w:vAlign w:val="center"/>
            <w:hideMark/>
          </w:tcPr>
          <w:p w14:paraId="638A2019"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+860bps</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44FE4FD9"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54.5%</w:t>
            </w:r>
          </w:p>
        </w:tc>
        <w:tc>
          <w:tcPr>
            <w:tcW w:w="520" w:type="dxa"/>
            <w:tcBorders>
              <w:top w:val="nil"/>
              <w:left w:val="nil"/>
              <w:bottom w:val="single" w:sz="4" w:space="0" w:color="auto"/>
              <w:right w:val="single" w:sz="4" w:space="0" w:color="auto"/>
            </w:tcBorders>
            <w:shd w:val="clear" w:color="000000" w:fill="BFBFBF"/>
            <w:noWrap/>
            <w:vAlign w:val="center"/>
            <w:hideMark/>
          </w:tcPr>
          <w:p w14:paraId="6B4A1FD5"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46.6%</w:t>
            </w:r>
          </w:p>
        </w:tc>
        <w:tc>
          <w:tcPr>
            <w:tcW w:w="520" w:type="dxa"/>
            <w:tcBorders>
              <w:top w:val="nil"/>
              <w:left w:val="nil"/>
              <w:bottom w:val="single" w:sz="4" w:space="0" w:color="auto"/>
              <w:right w:val="single" w:sz="4" w:space="0" w:color="auto"/>
            </w:tcBorders>
            <w:shd w:val="clear" w:color="000000" w:fill="BFBFBF"/>
            <w:noWrap/>
            <w:vAlign w:val="center"/>
            <w:hideMark/>
          </w:tcPr>
          <w:p w14:paraId="15B40CB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+780bps</w:t>
            </w:r>
          </w:p>
        </w:tc>
        <w:tc>
          <w:tcPr>
            <w:tcW w:w="520" w:type="dxa"/>
            <w:tcBorders>
              <w:top w:val="nil"/>
              <w:left w:val="nil"/>
              <w:bottom w:val="single" w:sz="4" w:space="0" w:color="auto"/>
              <w:right w:val="single" w:sz="4" w:space="0" w:color="auto"/>
            </w:tcBorders>
            <w:shd w:val="clear" w:color="000000" w:fill="BFBFBF"/>
            <w:noWrap/>
            <w:vAlign w:val="center"/>
            <w:hideMark/>
          </w:tcPr>
          <w:p w14:paraId="37589655"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+900bps</w:t>
            </w:r>
          </w:p>
        </w:tc>
        <w:tc>
          <w:tcPr>
            <w:tcW w:w="520" w:type="dxa"/>
            <w:tcBorders>
              <w:top w:val="nil"/>
              <w:left w:val="nil"/>
              <w:bottom w:val="single" w:sz="4" w:space="0" w:color="auto"/>
              <w:right w:val="single" w:sz="4" w:space="0" w:color="auto"/>
            </w:tcBorders>
            <w:shd w:val="clear" w:color="auto" w:fill="auto"/>
            <w:noWrap/>
            <w:vAlign w:val="center"/>
            <w:hideMark/>
          </w:tcPr>
          <w:p w14:paraId="5C8C0A2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27.9%</w:t>
            </w:r>
          </w:p>
        </w:tc>
        <w:tc>
          <w:tcPr>
            <w:tcW w:w="520" w:type="dxa"/>
            <w:tcBorders>
              <w:top w:val="nil"/>
              <w:left w:val="nil"/>
              <w:bottom w:val="single" w:sz="4" w:space="0" w:color="auto"/>
              <w:right w:val="single" w:sz="4" w:space="0" w:color="auto"/>
            </w:tcBorders>
            <w:shd w:val="clear" w:color="000000" w:fill="FFFFFF"/>
            <w:noWrap/>
            <w:vAlign w:val="center"/>
            <w:hideMark/>
          </w:tcPr>
          <w:p w14:paraId="036E5AC1"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21.9%</w:t>
            </w:r>
          </w:p>
        </w:tc>
        <w:tc>
          <w:tcPr>
            <w:tcW w:w="520" w:type="dxa"/>
            <w:tcBorders>
              <w:top w:val="nil"/>
              <w:left w:val="nil"/>
              <w:bottom w:val="single" w:sz="4" w:space="0" w:color="auto"/>
              <w:right w:val="single" w:sz="4" w:space="0" w:color="auto"/>
            </w:tcBorders>
            <w:shd w:val="clear" w:color="000000" w:fill="FFFFFF"/>
            <w:noWrap/>
            <w:vAlign w:val="center"/>
            <w:hideMark/>
          </w:tcPr>
          <w:p w14:paraId="3B9C56C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+600bps</w:t>
            </w:r>
          </w:p>
        </w:tc>
        <w:tc>
          <w:tcPr>
            <w:tcW w:w="520" w:type="dxa"/>
            <w:tcBorders>
              <w:top w:val="nil"/>
              <w:left w:val="nil"/>
              <w:bottom w:val="single" w:sz="4" w:space="0" w:color="auto"/>
              <w:right w:val="single" w:sz="4" w:space="0" w:color="auto"/>
            </w:tcBorders>
            <w:shd w:val="clear" w:color="000000" w:fill="FFFFFF"/>
            <w:noWrap/>
            <w:vAlign w:val="center"/>
            <w:hideMark/>
          </w:tcPr>
          <w:p w14:paraId="77B9369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+600bps</w:t>
            </w:r>
          </w:p>
        </w:tc>
        <w:tc>
          <w:tcPr>
            <w:tcW w:w="520" w:type="dxa"/>
            <w:tcBorders>
              <w:top w:val="nil"/>
              <w:left w:val="nil"/>
              <w:bottom w:val="single" w:sz="4" w:space="0" w:color="auto"/>
              <w:right w:val="single" w:sz="4" w:space="0" w:color="auto"/>
            </w:tcBorders>
            <w:shd w:val="clear" w:color="000000" w:fill="D9E1F2"/>
            <w:noWrap/>
            <w:vAlign w:val="center"/>
            <w:hideMark/>
          </w:tcPr>
          <w:p w14:paraId="1770A1E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-6.9%</w:t>
            </w:r>
          </w:p>
        </w:tc>
        <w:tc>
          <w:tcPr>
            <w:tcW w:w="520" w:type="dxa"/>
            <w:tcBorders>
              <w:top w:val="nil"/>
              <w:left w:val="nil"/>
              <w:bottom w:val="single" w:sz="4" w:space="0" w:color="auto"/>
              <w:right w:val="single" w:sz="4" w:space="0" w:color="auto"/>
            </w:tcBorders>
            <w:shd w:val="clear" w:color="000000" w:fill="D9E1F2"/>
            <w:noWrap/>
            <w:vAlign w:val="center"/>
            <w:hideMark/>
          </w:tcPr>
          <w:p w14:paraId="56FF69B0"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-7.0%</w:t>
            </w:r>
          </w:p>
        </w:tc>
        <w:tc>
          <w:tcPr>
            <w:tcW w:w="520" w:type="dxa"/>
            <w:tcBorders>
              <w:top w:val="nil"/>
              <w:left w:val="nil"/>
              <w:bottom w:val="single" w:sz="4" w:space="0" w:color="auto"/>
              <w:right w:val="single" w:sz="4" w:space="0" w:color="auto"/>
            </w:tcBorders>
            <w:shd w:val="clear" w:color="000000" w:fill="D9E1F2"/>
            <w:noWrap/>
            <w:vAlign w:val="center"/>
            <w:hideMark/>
          </w:tcPr>
          <w:p w14:paraId="1F86782E"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+10bps</w:t>
            </w:r>
          </w:p>
        </w:tc>
        <w:tc>
          <w:tcPr>
            <w:tcW w:w="520" w:type="dxa"/>
            <w:tcBorders>
              <w:top w:val="nil"/>
              <w:left w:val="nil"/>
              <w:bottom w:val="single" w:sz="4" w:space="0" w:color="auto"/>
              <w:right w:val="single" w:sz="4" w:space="0" w:color="auto"/>
            </w:tcBorders>
            <w:shd w:val="clear" w:color="000000" w:fill="D9E1F2"/>
            <w:noWrap/>
            <w:vAlign w:val="center"/>
            <w:hideMark/>
          </w:tcPr>
          <w:p w14:paraId="04BD3E21" w14:textId="77777777" w:rsidR="008801D7" w:rsidRPr="008801D7" w:rsidRDefault="00CA2EED" w:rsidP="008801D7">
            <w:pPr>
              <w:jc w:val="right"/>
              <w:rPr>
                <w:rFonts w:ascii="Calibri" w:hAnsi="Calibri" w:cs="Calibri"/>
                <w:i/>
                <w:iCs/>
                <w:color w:val="000000"/>
                <w:sz w:val="12"/>
                <w:szCs w:val="12"/>
                <w:lang w:eastAsia="en-GB"/>
              </w:rPr>
            </w:pPr>
            <w:r>
              <w:rPr>
                <w:rFonts w:ascii="Calibri" w:hAnsi="Calibri" w:cs="Calibri"/>
                <w:i/>
                <w:iCs/>
                <w:color w:val="000000"/>
                <w:sz w:val="12"/>
                <w:szCs w:val="12"/>
                <w:lang w:eastAsia="en-GB"/>
              </w:rPr>
              <w:t>-</w:t>
            </w:r>
            <w:r w:rsidR="008801D7" w:rsidRPr="008801D7">
              <w:rPr>
                <w:rFonts w:ascii="Calibri" w:hAnsi="Calibri" w:cs="Calibri"/>
                <w:i/>
                <w:iCs/>
                <w:color w:val="000000"/>
                <w:sz w:val="12"/>
                <w:szCs w:val="12"/>
                <w:lang w:eastAsia="en-GB"/>
              </w:rPr>
              <w:t>10bps</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6B051B0D"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28.6%</w:t>
            </w:r>
          </w:p>
        </w:tc>
        <w:tc>
          <w:tcPr>
            <w:tcW w:w="520" w:type="dxa"/>
            <w:tcBorders>
              <w:top w:val="nil"/>
              <w:left w:val="nil"/>
              <w:bottom w:val="single" w:sz="4" w:space="0" w:color="auto"/>
              <w:right w:val="single" w:sz="4" w:space="0" w:color="auto"/>
            </w:tcBorders>
            <w:shd w:val="clear" w:color="000000" w:fill="FCE4D6"/>
            <w:noWrap/>
            <w:vAlign w:val="center"/>
            <w:hideMark/>
          </w:tcPr>
          <w:p w14:paraId="3DEBC23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26.5%</w:t>
            </w:r>
          </w:p>
        </w:tc>
        <w:tc>
          <w:tcPr>
            <w:tcW w:w="520" w:type="dxa"/>
            <w:tcBorders>
              <w:top w:val="nil"/>
              <w:left w:val="nil"/>
              <w:bottom w:val="single" w:sz="4" w:space="0" w:color="auto"/>
              <w:right w:val="single" w:sz="4" w:space="0" w:color="auto"/>
            </w:tcBorders>
            <w:shd w:val="clear" w:color="000000" w:fill="FCE4D6"/>
            <w:noWrap/>
            <w:vAlign w:val="center"/>
            <w:hideMark/>
          </w:tcPr>
          <w:p w14:paraId="1886F25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+210bps</w:t>
            </w:r>
          </w:p>
        </w:tc>
        <w:tc>
          <w:tcPr>
            <w:tcW w:w="520" w:type="dxa"/>
            <w:tcBorders>
              <w:top w:val="nil"/>
              <w:left w:val="nil"/>
              <w:bottom w:val="single" w:sz="4" w:space="0" w:color="auto"/>
              <w:right w:val="single" w:sz="8" w:space="0" w:color="auto"/>
            </w:tcBorders>
            <w:shd w:val="clear" w:color="000000" w:fill="FCE4D6"/>
            <w:noWrap/>
            <w:vAlign w:val="center"/>
            <w:hideMark/>
          </w:tcPr>
          <w:p w14:paraId="0C0B5065"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+260bps</w:t>
            </w:r>
          </w:p>
        </w:tc>
      </w:tr>
      <w:tr w:rsidR="008801D7" w:rsidRPr="008801D7" w14:paraId="3B06EA43" w14:textId="77777777" w:rsidTr="008801D7">
        <w:trPr>
          <w:trHeight w:val="377"/>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2C3A9DE"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Depreciation &amp; amortisation</w:t>
            </w:r>
          </w:p>
        </w:tc>
        <w:tc>
          <w:tcPr>
            <w:tcW w:w="520" w:type="dxa"/>
            <w:tcBorders>
              <w:top w:val="nil"/>
              <w:left w:val="nil"/>
              <w:bottom w:val="single" w:sz="4" w:space="0" w:color="auto"/>
              <w:right w:val="single" w:sz="4" w:space="0" w:color="auto"/>
            </w:tcBorders>
            <w:shd w:val="clear" w:color="000000" w:fill="FFF2CC"/>
            <w:noWrap/>
            <w:vAlign w:val="center"/>
            <w:hideMark/>
          </w:tcPr>
          <w:p w14:paraId="77586C6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(47)</w:t>
            </w:r>
          </w:p>
        </w:tc>
        <w:tc>
          <w:tcPr>
            <w:tcW w:w="520" w:type="dxa"/>
            <w:tcBorders>
              <w:top w:val="nil"/>
              <w:left w:val="nil"/>
              <w:bottom w:val="single" w:sz="4" w:space="0" w:color="auto"/>
              <w:right w:val="single" w:sz="4" w:space="0" w:color="auto"/>
            </w:tcBorders>
            <w:shd w:val="clear" w:color="000000" w:fill="FFF2CC"/>
            <w:noWrap/>
            <w:vAlign w:val="center"/>
            <w:hideMark/>
          </w:tcPr>
          <w:p w14:paraId="1643CBE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(45)</w:t>
            </w:r>
          </w:p>
        </w:tc>
        <w:tc>
          <w:tcPr>
            <w:tcW w:w="520" w:type="dxa"/>
            <w:tcBorders>
              <w:top w:val="nil"/>
              <w:left w:val="nil"/>
              <w:bottom w:val="single" w:sz="4" w:space="0" w:color="auto"/>
              <w:right w:val="single" w:sz="4" w:space="0" w:color="auto"/>
            </w:tcBorders>
            <w:shd w:val="clear" w:color="000000" w:fill="FFF2CC"/>
            <w:noWrap/>
            <w:vAlign w:val="center"/>
            <w:hideMark/>
          </w:tcPr>
          <w:p w14:paraId="41F2ACD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p>
        </w:tc>
        <w:tc>
          <w:tcPr>
            <w:tcW w:w="520" w:type="dxa"/>
            <w:tcBorders>
              <w:top w:val="nil"/>
              <w:left w:val="nil"/>
              <w:bottom w:val="single" w:sz="4" w:space="0" w:color="auto"/>
              <w:right w:val="single" w:sz="4" w:space="0" w:color="auto"/>
            </w:tcBorders>
            <w:shd w:val="clear" w:color="000000" w:fill="C6E0B4"/>
            <w:noWrap/>
            <w:vAlign w:val="center"/>
            <w:hideMark/>
          </w:tcPr>
          <w:p w14:paraId="15DDB65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(12)</w:t>
            </w:r>
          </w:p>
        </w:tc>
        <w:tc>
          <w:tcPr>
            <w:tcW w:w="520" w:type="dxa"/>
            <w:tcBorders>
              <w:top w:val="nil"/>
              <w:left w:val="nil"/>
              <w:bottom w:val="single" w:sz="4" w:space="0" w:color="auto"/>
              <w:right w:val="single" w:sz="4" w:space="0" w:color="auto"/>
            </w:tcBorders>
            <w:shd w:val="clear" w:color="000000" w:fill="C6E0B4"/>
            <w:noWrap/>
            <w:vAlign w:val="center"/>
            <w:hideMark/>
          </w:tcPr>
          <w:p w14:paraId="75A8A8E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20" w:type="dxa"/>
            <w:tcBorders>
              <w:top w:val="nil"/>
              <w:left w:val="nil"/>
              <w:bottom w:val="single" w:sz="4" w:space="0" w:color="auto"/>
              <w:right w:val="single" w:sz="4" w:space="0" w:color="auto"/>
            </w:tcBorders>
            <w:shd w:val="clear" w:color="000000" w:fill="C6E0B4"/>
            <w:noWrap/>
            <w:vAlign w:val="center"/>
            <w:hideMark/>
          </w:tcPr>
          <w:p w14:paraId="62639CF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2288EE9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w:t>
            </w:r>
          </w:p>
        </w:tc>
        <w:tc>
          <w:tcPr>
            <w:tcW w:w="520" w:type="dxa"/>
            <w:tcBorders>
              <w:top w:val="nil"/>
              <w:left w:val="nil"/>
              <w:bottom w:val="single" w:sz="4" w:space="0" w:color="auto"/>
              <w:right w:val="single" w:sz="4" w:space="0" w:color="auto"/>
            </w:tcBorders>
            <w:shd w:val="clear" w:color="000000" w:fill="BFBFBF"/>
            <w:noWrap/>
            <w:vAlign w:val="center"/>
            <w:hideMark/>
          </w:tcPr>
          <w:p w14:paraId="7A37032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w:t>
            </w:r>
          </w:p>
        </w:tc>
        <w:tc>
          <w:tcPr>
            <w:tcW w:w="520" w:type="dxa"/>
            <w:tcBorders>
              <w:top w:val="nil"/>
              <w:left w:val="nil"/>
              <w:bottom w:val="single" w:sz="4" w:space="0" w:color="auto"/>
              <w:right w:val="single" w:sz="4" w:space="0" w:color="auto"/>
            </w:tcBorders>
            <w:shd w:val="clear" w:color="000000" w:fill="BFBFBF"/>
            <w:noWrap/>
            <w:vAlign w:val="center"/>
            <w:hideMark/>
          </w:tcPr>
          <w:p w14:paraId="2B80F49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20" w:type="dxa"/>
            <w:tcBorders>
              <w:top w:val="nil"/>
              <w:left w:val="nil"/>
              <w:bottom w:val="single" w:sz="4" w:space="0" w:color="auto"/>
              <w:right w:val="single" w:sz="4" w:space="0" w:color="auto"/>
            </w:tcBorders>
            <w:shd w:val="clear" w:color="000000" w:fill="BFBFBF"/>
            <w:noWrap/>
            <w:vAlign w:val="center"/>
            <w:hideMark/>
          </w:tcPr>
          <w:p w14:paraId="0D35183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20" w:type="dxa"/>
            <w:tcBorders>
              <w:top w:val="nil"/>
              <w:left w:val="nil"/>
              <w:bottom w:val="single" w:sz="4" w:space="0" w:color="auto"/>
              <w:right w:val="single" w:sz="4" w:space="0" w:color="auto"/>
            </w:tcBorders>
            <w:shd w:val="clear" w:color="auto" w:fill="auto"/>
            <w:noWrap/>
            <w:vAlign w:val="center"/>
            <w:hideMark/>
          </w:tcPr>
          <w:p w14:paraId="48EE75A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c>
          <w:tcPr>
            <w:tcW w:w="520" w:type="dxa"/>
            <w:tcBorders>
              <w:top w:val="nil"/>
              <w:left w:val="nil"/>
              <w:bottom w:val="single" w:sz="4" w:space="0" w:color="auto"/>
              <w:right w:val="single" w:sz="4" w:space="0" w:color="auto"/>
            </w:tcBorders>
            <w:shd w:val="clear" w:color="000000" w:fill="FFFFFF"/>
            <w:noWrap/>
            <w:vAlign w:val="center"/>
            <w:hideMark/>
          </w:tcPr>
          <w:p w14:paraId="7F25788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w:t>
            </w:r>
          </w:p>
        </w:tc>
        <w:tc>
          <w:tcPr>
            <w:tcW w:w="520" w:type="dxa"/>
            <w:tcBorders>
              <w:top w:val="nil"/>
              <w:left w:val="nil"/>
              <w:bottom w:val="single" w:sz="4" w:space="0" w:color="auto"/>
              <w:right w:val="single" w:sz="4" w:space="0" w:color="auto"/>
            </w:tcBorders>
            <w:shd w:val="clear" w:color="auto" w:fill="auto"/>
            <w:noWrap/>
            <w:vAlign w:val="center"/>
            <w:hideMark/>
          </w:tcPr>
          <w:p w14:paraId="5B8E284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w:t>
            </w:r>
          </w:p>
        </w:tc>
        <w:tc>
          <w:tcPr>
            <w:tcW w:w="520" w:type="dxa"/>
            <w:tcBorders>
              <w:top w:val="nil"/>
              <w:left w:val="nil"/>
              <w:bottom w:val="single" w:sz="4" w:space="0" w:color="auto"/>
              <w:right w:val="single" w:sz="4" w:space="0" w:color="auto"/>
            </w:tcBorders>
            <w:shd w:val="clear" w:color="auto" w:fill="auto"/>
            <w:noWrap/>
            <w:vAlign w:val="center"/>
            <w:hideMark/>
          </w:tcPr>
          <w:p w14:paraId="77AC76E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w:t>
            </w:r>
          </w:p>
        </w:tc>
        <w:tc>
          <w:tcPr>
            <w:tcW w:w="520" w:type="dxa"/>
            <w:tcBorders>
              <w:top w:val="nil"/>
              <w:left w:val="nil"/>
              <w:bottom w:val="single" w:sz="4" w:space="0" w:color="auto"/>
              <w:right w:val="single" w:sz="4" w:space="0" w:color="auto"/>
            </w:tcBorders>
            <w:shd w:val="clear" w:color="000000" w:fill="D9E1F2"/>
            <w:noWrap/>
            <w:vAlign w:val="center"/>
            <w:hideMark/>
          </w:tcPr>
          <w:p w14:paraId="2E5B25F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w:t>
            </w:r>
          </w:p>
        </w:tc>
        <w:tc>
          <w:tcPr>
            <w:tcW w:w="520" w:type="dxa"/>
            <w:tcBorders>
              <w:top w:val="nil"/>
              <w:left w:val="nil"/>
              <w:bottom w:val="single" w:sz="4" w:space="0" w:color="auto"/>
              <w:right w:val="single" w:sz="4" w:space="0" w:color="auto"/>
            </w:tcBorders>
            <w:shd w:val="clear" w:color="000000" w:fill="D9E1F2"/>
            <w:noWrap/>
            <w:vAlign w:val="center"/>
            <w:hideMark/>
          </w:tcPr>
          <w:p w14:paraId="79CCFDE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20" w:type="dxa"/>
            <w:tcBorders>
              <w:top w:val="nil"/>
              <w:left w:val="nil"/>
              <w:bottom w:val="single" w:sz="4" w:space="0" w:color="auto"/>
              <w:right w:val="single" w:sz="4" w:space="0" w:color="auto"/>
            </w:tcBorders>
            <w:shd w:val="clear" w:color="000000" w:fill="D9E1F2"/>
            <w:noWrap/>
            <w:vAlign w:val="center"/>
            <w:hideMark/>
          </w:tcPr>
          <w:p w14:paraId="48355A1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+61%</w:t>
            </w:r>
          </w:p>
        </w:tc>
        <w:tc>
          <w:tcPr>
            <w:tcW w:w="520" w:type="dxa"/>
            <w:tcBorders>
              <w:top w:val="nil"/>
              <w:left w:val="nil"/>
              <w:bottom w:val="single" w:sz="4" w:space="0" w:color="auto"/>
              <w:right w:val="single" w:sz="4" w:space="0" w:color="auto"/>
            </w:tcBorders>
            <w:shd w:val="clear" w:color="000000" w:fill="D9E1F2"/>
            <w:noWrap/>
            <w:vAlign w:val="center"/>
            <w:hideMark/>
          </w:tcPr>
          <w:p w14:paraId="41CDEFC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+57%</w:t>
            </w:r>
          </w:p>
        </w:tc>
        <w:tc>
          <w:tcPr>
            <w:tcW w:w="520" w:type="dxa"/>
            <w:tcBorders>
              <w:top w:val="nil"/>
              <w:left w:val="single" w:sz="8" w:space="0" w:color="auto"/>
              <w:bottom w:val="single" w:sz="4" w:space="0" w:color="auto"/>
              <w:right w:val="single" w:sz="4" w:space="0" w:color="auto"/>
            </w:tcBorders>
            <w:shd w:val="clear" w:color="000000" w:fill="FCE4D6"/>
            <w:noWrap/>
            <w:vAlign w:val="center"/>
            <w:hideMark/>
          </w:tcPr>
          <w:p w14:paraId="1475AEA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(117)</w:t>
            </w:r>
          </w:p>
        </w:tc>
        <w:tc>
          <w:tcPr>
            <w:tcW w:w="520" w:type="dxa"/>
            <w:tcBorders>
              <w:top w:val="nil"/>
              <w:left w:val="nil"/>
              <w:bottom w:val="single" w:sz="4" w:space="0" w:color="auto"/>
              <w:right w:val="single" w:sz="4" w:space="0" w:color="auto"/>
            </w:tcBorders>
            <w:shd w:val="clear" w:color="000000" w:fill="FCE4D6"/>
            <w:noWrap/>
            <w:vAlign w:val="center"/>
            <w:hideMark/>
          </w:tcPr>
          <w:p w14:paraId="01BAA12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(103)</w:t>
            </w:r>
          </w:p>
        </w:tc>
        <w:tc>
          <w:tcPr>
            <w:tcW w:w="520" w:type="dxa"/>
            <w:tcBorders>
              <w:top w:val="nil"/>
              <w:left w:val="nil"/>
              <w:bottom w:val="single" w:sz="4" w:space="0" w:color="auto"/>
              <w:right w:val="single" w:sz="4" w:space="0" w:color="auto"/>
            </w:tcBorders>
            <w:shd w:val="clear" w:color="000000" w:fill="FCE4D6"/>
            <w:noWrap/>
            <w:vAlign w:val="center"/>
            <w:hideMark/>
          </w:tcPr>
          <w:p w14:paraId="6FC41BA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c>
          <w:tcPr>
            <w:tcW w:w="520" w:type="dxa"/>
            <w:tcBorders>
              <w:top w:val="nil"/>
              <w:left w:val="nil"/>
              <w:bottom w:val="single" w:sz="4" w:space="0" w:color="auto"/>
              <w:right w:val="single" w:sz="8" w:space="0" w:color="auto"/>
            </w:tcBorders>
            <w:shd w:val="clear" w:color="000000" w:fill="FCE4D6"/>
            <w:noWrap/>
            <w:vAlign w:val="center"/>
            <w:hideMark/>
          </w:tcPr>
          <w:p w14:paraId="51656CA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r>
      <w:tr w:rsidR="008801D7" w:rsidRPr="008801D7" w14:paraId="73ED3970" w14:textId="77777777" w:rsidTr="008801D7">
        <w:trPr>
          <w:trHeight w:val="388"/>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355D5C6"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Adjusted operating profit / (loss)</w:t>
            </w:r>
          </w:p>
        </w:tc>
        <w:tc>
          <w:tcPr>
            <w:tcW w:w="520" w:type="dxa"/>
            <w:tcBorders>
              <w:top w:val="nil"/>
              <w:left w:val="nil"/>
              <w:bottom w:val="single" w:sz="4" w:space="0" w:color="auto"/>
              <w:right w:val="single" w:sz="4" w:space="0" w:color="auto"/>
            </w:tcBorders>
            <w:shd w:val="clear" w:color="000000" w:fill="FFF2CC"/>
            <w:noWrap/>
            <w:vAlign w:val="center"/>
            <w:hideMark/>
          </w:tcPr>
          <w:p w14:paraId="5EF6C0B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37</w:t>
            </w:r>
          </w:p>
        </w:tc>
        <w:tc>
          <w:tcPr>
            <w:tcW w:w="520" w:type="dxa"/>
            <w:tcBorders>
              <w:top w:val="nil"/>
              <w:left w:val="nil"/>
              <w:bottom w:val="single" w:sz="4" w:space="0" w:color="auto"/>
              <w:right w:val="single" w:sz="4" w:space="0" w:color="auto"/>
            </w:tcBorders>
            <w:shd w:val="clear" w:color="000000" w:fill="FFF2CC"/>
            <w:noWrap/>
            <w:vAlign w:val="center"/>
            <w:hideMark/>
          </w:tcPr>
          <w:p w14:paraId="3B4BA6F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134</w:t>
            </w:r>
          </w:p>
        </w:tc>
        <w:tc>
          <w:tcPr>
            <w:tcW w:w="520" w:type="dxa"/>
            <w:tcBorders>
              <w:top w:val="nil"/>
              <w:left w:val="nil"/>
              <w:bottom w:val="single" w:sz="4" w:space="0" w:color="auto"/>
              <w:right w:val="single" w:sz="4" w:space="0" w:color="auto"/>
            </w:tcBorders>
            <w:shd w:val="clear" w:color="000000" w:fill="FFF2CC"/>
            <w:noWrap/>
            <w:vAlign w:val="center"/>
            <w:hideMark/>
          </w:tcPr>
          <w:p w14:paraId="60500E1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-72%</w:t>
            </w:r>
          </w:p>
        </w:tc>
        <w:tc>
          <w:tcPr>
            <w:tcW w:w="520" w:type="dxa"/>
            <w:tcBorders>
              <w:top w:val="nil"/>
              <w:left w:val="nil"/>
              <w:bottom w:val="single" w:sz="4" w:space="0" w:color="auto"/>
              <w:right w:val="single" w:sz="4" w:space="0" w:color="auto"/>
            </w:tcBorders>
            <w:shd w:val="clear" w:color="000000" w:fill="C6E0B4"/>
            <w:noWrap/>
            <w:vAlign w:val="center"/>
            <w:hideMark/>
          </w:tcPr>
          <w:p w14:paraId="7A397E7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172</w:t>
            </w:r>
          </w:p>
        </w:tc>
        <w:tc>
          <w:tcPr>
            <w:tcW w:w="520" w:type="dxa"/>
            <w:tcBorders>
              <w:top w:val="nil"/>
              <w:left w:val="nil"/>
              <w:bottom w:val="single" w:sz="4" w:space="0" w:color="auto"/>
              <w:right w:val="single" w:sz="4" w:space="0" w:color="auto"/>
            </w:tcBorders>
            <w:shd w:val="clear" w:color="000000" w:fill="C6E0B4"/>
            <w:noWrap/>
            <w:vAlign w:val="center"/>
            <w:hideMark/>
          </w:tcPr>
          <w:p w14:paraId="0AB4991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99</w:t>
            </w:r>
          </w:p>
        </w:tc>
        <w:tc>
          <w:tcPr>
            <w:tcW w:w="520" w:type="dxa"/>
            <w:tcBorders>
              <w:top w:val="nil"/>
              <w:left w:val="nil"/>
              <w:bottom w:val="single" w:sz="4" w:space="0" w:color="auto"/>
              <w:right w:val="single" w:sz="4" w:space="0" w:color="auto"/>
            </w:tcBorders>
            <w:shd w:val="clear" w:color="000000" w:fill="C6E0B4"/>
            <w:noWrap/>
            <w:vAlign w:val="center"/>
            <w:hideMark/>
          </w:tcPr>
          <w:p w14:paraId="4D6180F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+73%</w:t>
            </w:r>
          </w:p>
        </w:tc>
        <w:tc>
          <w:tcPr>
            <w:tcW w:w="520" w:type="dxa"/>
            <w:tcBorders>
              <w:top w:val="nil"/>
              <w:left w:val="single" w:sz="4" w:space="0" w:color="auto"/>
              <w:bottom w:val="single" w:sz="4" w:space="0" w:color="auto"/>
              <w:right w:val="single" w:sz="4" w:space="0" w:color="auto"/>
            </w:tcBorders>
            <w:shd w:val="clear" w:color="000000" w:fill="BFBFBF"/>
            <w:noWrap/>
            <w:vAlign w:val="center"/>
            <w:hideMark/>
          </w:tcPr>
          <w:p w14:paraId="309E32E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357</w:t>
            </w:r>
          </w:p>
        </w:tc>
        <w:tc>
          <w:tcPr>
            <w:tcW w:w="520" w:type="dxa"/>
            <w:tcBorders>
              <w:top w:val="nil"/>
              <w:left w:val="nil"/>
              <w:bottom w:val="single" w:sz="4" w:space="0" w:color="auto"/>
              <w:right w:val="single" w:sz="4" w:space="0" w:color="auto"/>
            </w:tcBorders>
            <w:shd w:val="clear" w:color="000000" w:fill="BFBFBF"/>
            <w:noWrap/>
            <w:vAlign w:val="center"/>
            <w:hideMark/>
          </w:tcPr>
          <w:p w14:paraId="40132B8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220</w:t>
            </w:r>
          </w:p>
        </w:tc>
        <w:tc>
          <w:tcPr>
            <w:tcW w:w="520" w:type="dxa"/>
            <w:tcBorders>
              <w:top w:val="nil"/>
              <w:left w:val="nil"/>
              <w:bottom w:val="single" w:sz="4" w:space="0" w:color="auto"/>
              <w:right w:val="single" w:sz="4" w:space="0" w:color="auto"/>
            </w:tcBorders>
            <w:shd w:val="clear" w:color="000000" w:fill="BFBFBF"/>
            <w:noWrap/>
            <w:vAlign w:val="center"/>
            <w:hideMark/>
          </w:tcPr>
          <w:p w14:paraId="3A796D3A" w14:textId="77777777" w:rsidR="008801D7" w:rsidRPr="008801D7" w:rsidRDefault="00842960" w:rsidP="008801D7">
            <w:pPr>
              <w:jc w:val="right"/>
              <w:rPr>
                <w:rFonts w:ascii="Calibri" w:hAnsi="Calibri" w:cs="Calibri"/>
                <w:b/>
                <w:bCs/>
                <w:color w:val="000000"/>
                <w:sz w:val="14"/>
                <w:szCs w:val="14"/>
                <w:lang w:eastAsia="en-GB"/>
              </w:rPr>
            </w:pPr>
            <w:r>
              <w:rPr>
                <w:rFonts w:ascii="Calibri" w:hAnsi="Calibri" w:cs="Calibri"/>
                <w:b/>
                <w:bCs/>
                <w:color w:val="000000"/>
                <w:sz w:val="14"/>
                <w:szCs w:val="14"/>
                <w:lang w:eastAsia="en-GB"/>
              </w:rPr>
              <w:t>+</w:t>
            </w:r>
            <w:r w:rsidR="008801D7" w:rsidRPr="008801D7">
              <w:rPr>
                <w:rFonts w:ascii="Calibri" w:hAnsi="Calibri" w:cs="Calibri"/>
                <w:b/>
                <w:bCs/>
                <w:color w:val="000000"/>
                <w:sz w:val="14"/>
                <w:szCs w:val="14"/>
                <w:lang w:eastAsia="en-GB"/>
              </w:rPr>
              <w:t>63%</w:t>
            </w:r>
          </w:p>
        </w:tc>
        <w:tc>
          <w:tcPr>
            <w:tcW w:w="520" w:type="dxa"/>
            <w:tcBorders>
              <w:top w:val="nil"/>
              <w:left w:val="nil"/>
              <w:bottom w:val="single" w:sz="4" w:space="0" w:color="auto"/>
              <w:right w:val="single" w:sz="4" w:space="0" w:color="auto"/>
            </w:tcBorders>
            <w:shd w:val="clear" w:color="000000" w:fill="BFBFBF"/>
            <w:noWrap/>
            <w:vAlign w:val="center"/>
            <w:hideMark/>
          </w:tcPr>
          <w:p w14:paraId="5F6010BA" w14:textId="77777777" w:rsidR="008801D7" w:rsidRPr="008801D7" w:rsidRDefault="00842960" w:rsidP="008801D7">
            <w:pPr>
              <w:jc w:val="right"/>
              <w:rPr>
                <w:rFonts w:ascii="Calibri" w:hAnsi="Calibri" w:cs="Calibri"/>
                <w:b/>
                <w:bCs/>
                <w:color w:val="000000"/>
                <w:sz w:val="14"/>
                <w:szCs w:val="14"/>
                <w:lang w:eastAsia="en-GB"/>
              </w:rPr>
            </w:pPr>
            <w:r>
              <w:rPr>
                <w:rFonts w:ascii="Calibri" w:hAnsi="Calibri" w:cs="Calibri"/>
                <w:b/>
                <w:bCs/>
                <w:color w:val="000000"/>
                <w:sz w:val="14"/>
                <w:szCs w:val="14"/>
                <w:lang w:eastAsia="en-GB"/>
              </w:rPr>
              <w:t>+</w:t>
            </w:r>
            <w:r w:rsidR="008801D7" w:rsidRPr="008801D7">
              <w:rPr>
                <w:rFonts w:ascii="Calibri" w:hAnsi="Calibri" w:cs="Calibri"/>
                <w:b/>
                <w:bCs/>
                <w:color w:val="000000"/>
                <w:sz w:val="14"/>
                <w:szCs w:val="14"/>
                <w:lang w:eastAsia="en-GB"/>
              </w:rPr>
              <w:t>70%</w:t>
            </w:r>
          </w:p>
        </w:tc>
        <w:tc>
          <w:tcPr>
            <w:tcW w:w="520" w:type="dxa"/>
            <w:tcBorders>
              <w:top w:val="nil"/>
              <w:left w:val="nil"/>
              <w:bottom w:val="single" w:sz="4" w:space="0" w:color="auto"/>
              <w:right w:val="single" w:sz="4" w:space="0" w:color="auto"/>
            </w:tcBorders>
            <w:shd w:val="clear" w:color="auto" w:fill="auto"/>
            <w:noWrap/>
            <w:vAlign w:val="center"/>
            <w:hideMark/>
          </w:tcPr>
          <w:p w14:paraId="036E946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107</w:t>
            </w:r>
          </w:p>
        </w:tc>
        <w:tc>
          <w:tcPr>
            <w:tcW w:w="520" w:type="dxa"/>
            <w:tcBorders>
              <w:top w:val="nil"/>
              <w:left w:val="nil"/>
              <w:bottom w:val="single" w:sz="4" w:space="0" w:color="auto"/>
              <w:right w:val="single" w:sz="4" w:space="0" w:color="auto"/>
            </w:tcBorders>
            <w:shd w:val="clear" w:color="000000" w:fill="FFFFFF"/>
            <w:noWrap/>
            <w:vAlign w:val="center"/>
            <w:hideMark/>
          </w:tcPr>
          <w:p w14:paraId="4440DFC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54</w:t>
            </w:r>
          </w:p>
        </w:tc>
        <w:tc>
          <w:tcPr>
            <w:tcW w:w="520" w:type="dxa"/>
            <w:tcBorders>
              <w:top w:val="nil"/>
              <w:left w:val="nil"/>
              <w:bottom w:val="single" w:sz="4" w:space="0" w:color="auto"/>
              <w:right w:val="single" w:sz="4" w:space="0" w:color="auto"/>
            </w:tcBorders>
            <w:shd w:val="clear" w:color="000000" w:fill="FFFFFF"/>
            <w:noWrap/>
            <w:vAlign w:val="center"/>
            <w:hideMark/>
          </w:tcPr>
          <w:p w14:paraId="07D6C33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+98%</w:t>
            </w:r>
          </w:p>
        </w:tc>
        <w:tc>
          <w:tcPr>
            <w:tcW w:w="520" w:type="dxa"/>
            <w:tcBorders>
              <w:top w:val="nil"/>
              <w:left w:val="nil"/>
              <w:bottom w:val="single" w:sz="4" w:space="0" w:color="auto"/>
              <w:right w:val="single" w:sz="4" w:space="0" w:color="auto"/>
            </w:tcBorders>
            <w:shd w:val="clear" w:color="000000" w:fill="FFFFFF"/>
            <w:noWrap/>
            <w:vAlign w:val="center"/>
            <w:hideMark/>
          </w:tcPr>
          <w:p w14:paraId="550D007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+108%</w:t>
            </w:r>
          </w:p>
        </w:tc>
        <w:tc>
          <w:tcPr>
            <w:tcW w:w="520" w:type="dxa"/>
            <w:tcBorders>
              <w:top w:val="nil"/>
              <w:left w:val="nil"/>
              <w:bottom w:val="single" w:sz="4" w:space="0" w:color="auto"/>
              <w:right w:val="single" w:sz="4" w:space="0" w:color="auto"/>
            </w:tcBorders>
            <w:shd w:val="clear" w:color="000000" w:fill="D9E1F2"/>
            <w:noWrap/>
            <w:vAlign w:val="center"/>
            <w:hideMark/>
          </w:tcPr>
          <w:p w14:paraId="6ED767A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(38)</w:t>
            </w:r>
          </w:p>
        </w:tc>
        <w:tc>
          <w:tcPr>
            <w:tcW w:w="520" w:type="dxa"/>
            <w:tcBorders>
              <w:top w:val="nil"/>
              <w:left w:val="nil"/>
              <w:bottom w:val="single" w:sz="4" w:space="0" w:color="auto"/>
              <w:right w:val="single" w:sz="4" w:space="0" w:color="auto"/>
            </w:tcBorders>
            <w:shd w:val="clear" w:color="000000" w:fill="D9E1F2"/>
            <w:noWrap/>
            <w:vAlign w:val="center"/>
            <w:hideMark/>
          </w:tcPr>
          <w:p w14:paraId="58B0B27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(23)</w:t>
            </w:r>
          </w:p>
        </w:tc>
        <w:tc>
          <w:tcPr>
            <w:tcW w:w="520" w:type="dxa"/>
            <w:tcBorders>
              <w:top w:val="nil"/>
              <w:left w:val="nil"/>
              <w:bottom w:val="single" w:sz="4" w:space="0" w:color="auto"/>
              <w:right w:val="single" w:sz="4" w:space="0" w:color="auto"/>
            </w:tcBorders>
            <w:shd w:val="clear" w:color="000000" w:fill="D9E1F2"/>
            <w:noWrap/>
            <w:vAlign w:val="center"/>
            <w:hideMark/>
          </w:tcPr>
          <w:p w14:paraId="0DBB1A4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+65%</w:t>
            </w:r>
          </w:p>
        </w:tc>
        <w:tc>
          <w:tcPr>
            <w:tcW w:w="520" w:type="dxa"/>
            <w:tcBorders>
              <w:top w:val="nil"/>
              <w:left w:val="nil"/>
              <w:bottom w:val="single" w:sz="4" w:space="0" w:color="auto"/>
              <w:right w:val="single" w:sz="4" w:space="0" w:color="auto"/>
            </w:tcBorders>
            <w:shd w:val="clear" w:color="000000" w:fill="D9E1F2"/>
            <w:noWrap/>
            <w:vAlign w:val="center"/>
            <w:hideMark/>
          </w:tcPr>
          <w:p w14:paraId="5DEC059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+62%</w:t>
            </w:r>
          </w:p>
        </w:tc>
        <w:tc>
          <w:tcPr>
            <w:tcW w:w="520" w:type="dxa"/>
            <w:tcBorders>
              <w:top w:val="nil"/>
              <w:left w:val="single" w:sz="8" w:space="0" w:color="auto"/>
              <w:bottom w:val="single" w:sz="8" w:space="0" w:color="auto"/>
              <w:right w:val="single" w:sz="4" w:space="0" w:color="auto"/>
            </w:tcBorders>
            <w:shd w:val="clear" w:color="000000" w:fill="FCE4D6"/>
            <w:noWrap/>
            <w:vAlign w:val="center"/>
            <w:hideMark/>
          </w:tcPr>
          <w:p w14:paraId="429F25A2"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567</w:t>
            </w:r>
          </w:p>
        </w:tc>
        <w:tc>
          <w:tcPr>
            <w:tcW w:w="520" w:type="dxa"/>
            <w:tcBorders>
              <w:top w:val="nil"/>
              <w:left w:val="nil"/>
              <w:bottom w:val="single" w:sz="8" w:space="0" w:color="auto"/>
              <w:right w:val="single" w:sz="4" w:space="0" w:color="auto"/>
            </w:tcBorders>
            <w:shd w:val="clear" w:color="000000" w:fill="FCE4D6"/>
            <w:noWrap/>
            <w:vAlign w:val="center"/>
            <w:hideMark/>
          </w:tcPr>
          <w:p w14:paraId="6E737F0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420</w:t>
            </w:r>
          </w:p>
        </w:tc>
        <w:tc>
          <w:tcPr>
            <w:tcW w:w="520" w:type="dxa"/>
            <w:tcBorders>
              <w:top w:val="nil"/>
              <w:left w:val="nil"/>
              <w:bottom w:val="single" w:sz="8" w:space="0" w:color="auto"/>
              <w:right w:val="single" w:sz="4" w:space="0" w:color="auto"/>
            </w:tcBorders>
            <w:shd w:val="clear" w:color="000000" w:fill="FCE4D6"/>
            <w:noWrap/>
            <w:vAlign w:val="center"/>
            <w:hideMark/>
          </w:tcPr>
          <w:p w14:paraId="5FDD452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+35%</w:t>
            </w:r>
          </w:p>
        </w:tc>
        <w:tc>
          <w:tcPr>
            <w:tcW w:w="520" w:type="dxa"/>
            <w:tcBorders>
              <w:top w:val="nil"/>
              <w:left w:val="nil"/>
              <w:bottom w:val="single" w:sz="8" w:space="0" w:color="auto"/>
              <w:right w:val="single" w:sz="8" w:space="0" w:color="auto"/>
            </w:tcBorders>
            <w:shd w:val="clear" w:color="000000" w:fill="FCE4D6"/>
            <w:noWrap/>
            <w:vAlign w:val="center"/>
            <w:hideMark/>
          </w:tcPr>
          <w:p w14:paraId="46B39F2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+40%</w:t>
            </w:r>
          </w:p>
        </w:tc>
      </w:tr>
    </w:tbl>
    <w:p w14:paraId="6EC16636" w14:textId="77777777" w:rsidR="00942D68" w:rsidRDefault="00942D68" w:rsidP="00942D68">
      <w:pPr>
        <w:pStyle w:val="HTMLPreformatted"/>
        <w:rPr>
          <w:rFonts w:ascii="Times New Roman" w:hAnsi="Times New Roman" w:cs="Times New Roman"/>
          <w:color w:val="FF0000"/>
          <w:sz w:val="10"/>
          <w:szCs w:val="10"/>
          <w:highlight w:val="yellow"/>
          <w:lang w:eastAsia="en-IE"/>
        </w:rPr>
      </w:pPr>
    </w:p>
    <w:p w14:paraId="0C7B0E72" w14:textId="77777777" w:rsidR="00942D68" w:rsidRDefault="00942D68" w:rsidP="00942D68">
      <w:pPr>
        <w:pStyle w:val="HTMLPreformatted"/>
        <w:rPr>
          <w:rFonts w:ascii="Times New Roman" w:hAnsi="Times New Roman" w:cs="Times New Roman"/>
          <w:color w:val="FF0000"/>
          <w:sz w:val="10"/>
          <w:szCs w:val="10"/>
          <w:highlight w:val="yellow"/>
          <w:lang w:eastAsia="en-IE"/>
        </w:rPr>
      </w:pPr>
    </w:p>
    <w:p w14:paraId="67E5E362" w14:textId="77777777" w:rsidR="00942D68" w:rsidRDefault="00942D68" w:rsidP="00942D68">
      <w:pPr>
        <w:pStyle w:val="HTMLPreformatted"/>
        <w:rPr>
          <w:rFonts w:asciiTheme="minorHAnsi" w:hAnsiTheme="minorHAnsi"/>
          <w:sz w:val="16"/>
          <w:szCs w:val="16"/>
          <w:vertAlign w:val="superscript"/>
        </w:rPr>
      </w:pPr>
      <w:r>
        <w:rPr>
          <w:rFonts w:asciiTheme="minorHAnsi" w:hAnsiTheme="minorHAnsi"/>
          <w:sz w:val="16"/>
          <w:szCs w:val="16"/>
          <w:vertAlign w:val="superscript"/>
        </w:rPr>
        <w:t xml:space="preserve">1 </w:t>
      </w:r>
      <w:r>
        <w:rPr>
          <w:rFonts w:asciiTheme="minorHAnsi" w:hAnsiTheme="minorHAnsi"/>
          <w:sz w:val="16"/>
          <w:szCs w:val="16"/>
        </w:rPr>
        <w:t>Flutter’s combination with TSG completed on May 5 2020. The pro forma numbers presented show Group financials with TSG included for a full 6-month period in both 2019 and 2020. The pro forma numbers include a 6-month contribution from Adjarabet in 2019 (completion date: Feb 1 2019).</w:t>
      </w:r>
    </w:p>
    <w:p w14:paraId="79511ABD" w14:textId="77777777" w:rsidR="00942D68" w:rsidRDefault="00942D68" w:rsidP="00942D68">
      <w:pPr>
        <w:pStyle w:val="HTMLPreformatted"/>
        <w:rPr>
          <w:rFonts w:asciiTheme="minorHAnsi" w:hAnsiTheme="minorHAnsi"/>
          <w:sz w:val="16"/>
          <w:szCs w:val="16"/>
        </w:rPr>
      </w:pPr>
      <w:r>
        <w:rPr>
          <w:rFonts w:asciiTheme="minorHAnsi" w:hAnsiTheme="minorHAnsi"/>
          <w:sz w:val="16"/>
          <w:szCs w:val="16"/>
          <w:vertAlign w:val="superscript"/>
        </w:rPr>
        <w:t>2</w:t>
      </w:r>
      <w:r>
        <w:rPr>
          <w:rFonts w:asciiTheme="minorHAnsi" w:hAnsiTheme="minorHAnsi"/>
          <w:sz w:val="16"/>
          <w:szCs w:val="16"/>
        </w:rPr>
        <w:t xml:space="preserve"> Constant currency (“cc”) growth is calculated by retranslating non-sterling denominated component of H1 2019 at H1 2020 exchange </w:t>
      </w:r>
      <w:r w:rsidRPr="00670082">
        <w:rPr>
          <w:rFonts w:asciiTheme="minorHAnsi" w:hAnsiTheme="minorHAnsi"/>
          <w:sz w:val="16"/>
          <w:szCs w:val="16"/>
        </w:rPr>
        <w:t>rates (</w:t>
      </w:r>
      <w:r w:rsidRPr="00856AC3">
        <w:rPr>
          <w:rFonts w:asciiTheme="minorHAnsi" w:hAnsiTheme="minorHAnsi"/>
          <w:sz w:val="16"/>
          <w:szCs w:val="16"/>
        </w:rPr>
        <w:t xml:space="preserve">see Appendix </w:t>
      </w:r>
      <w:r w:rsidR="00670082" w:rsidRPr="00856AC3">
        <w:rPr>
          <w:rFonts w:asciiTheme="minorHAnsi" w:hAnsiTheme="minorHAnsi"/>
          <w:sz w:val="16"/>
          <w:szCs w:val="16"/>
        </w:rPr>
        <w:t>5</w:t>
      </w:r>
      <w:r w:rsidRPr="00856AC3">
        <w:rPr>
          <w:rFonts w:asciiTheme="minorHAnsi" w:hAnsiTheme="minorHAnsi"/>
          <w:sz w:val="16"/>
          <w:szCs w:val="16"/>
        </w:rPr>
        <w:t>)</w:t>
      </w:r>
    </w:p>
    <w:p w14:paraId="377BB355" w14:textId="77777777" w:rsidR="00C845DA" w:rsidRDefault="00C845DA" w:rsidP="00942D68">
      <w:pPr>
        <w:pStyle w:val="HTMLPreformatted"/>
        <w:rPr>
          <w:rFonts w:asciiTheme="minorHAnsi" w:hAnsiTheme="minorHAnsi"/>
          <w:sz w:val="16"/>
          <w:szCs w:val="16"/>
        </w:rPr>
      </w:pPr>
      <w:r w:rsidRPr="00C9669A">
        <w:rPr>
          <w:rFonts w:asciiTheme="minorHAnsi" w:hAnsiTheme="minorHAnsi"/>
          <w:sz w:val="16"/>
          <w:szCs w:val="16"/>
          <w:vertAlign w:val="superscript"/>
        </w:rPr>
        <w:t>3</w:t>
      </w:r>
      <w:r>
        <w:rPr>
          <w:rFonts w:asciiTheme="minorHAnsi" w:hAnsiTheme="minorHAnsi"/>
          <w:sz w:val="16"/>
          <w:szCs w:val="16"/>
        </w:rPr>
        <w:t xml:space="preserve"> For split of PPB between Online and Retail, please see the KPIs section of our investor relations website.</w:t>
      </w:r>
    </w:p>
    <w:p w14:paraId="1F9B824C" w14:textId="77777777" w:rsidR="00942D68" w:rsidRDefault="00942D68" w:rsidP="00942D68">
      <w:pPr>
        <w:pStyle w:val="HTMLPreformatted"/>
        <w:rPr>
          <w:rFonts w:ascii="Times New Roman" w:hAnsi="Times New Roman" w:cs="Times New Roman"/>
          <w:color w:val="FF0000"/>
          <w:sz w:val="16"/>
          <w:szCs w:val="16"/>
          <w:highlight w:val="yellow"/>
          <w:lang w:eastAsia="en-IE"/>
        </w:rPr>
      </w:pPr>
    </w:p>
    <w:p w14:paraId="2BE25CDA" w14:textId="77777777" w:rsidR="00942D68" w:rsidRDefault="00942D68" w:rsidP="00942D68">
      <w:pPr>
        <w:tabs>
          <w:tab w:val="left" w:pos="720"/>
        </w:tabs>
        <w:rPr>
          <w:highlight w:val="yellow"/>
        </w:rPr>
      </w:pPr>
      <w:r>
        <w:rPr>
          <w:highlight w:val="yellow"/>
        </w:rPr>
        <w:br w:type="page"/>
      </w:r>
    </w:p>
    <w:tbl>
      <w:tblPr>
        <w:tblW w:w="15420" w:type="dxa"/>
        <w:tblLayout w:type="fixed"/>
        <w:tblLook w:val="01E0" w:firstRow="1" w:lastRow="1" w:firstColumn="1" w:lastColumn="1" w:noHBand="0" w:noVBand="0"/>
      </w:tblPr>
      <w:tblGrid>
        <w:gridCol w:w="15420"/>
      </w:tblGrid>
      <w:tr w:rsidR="00942D68" w14:paraId="4027E037" w14:textId="77777777" w:rsidTr="00942D68">
        <w:trPr>
          <w:trHeight w:val="1162"/>
        </w:trPr>
        <w:tc>
          <w:tcPr>
            <w:tcW w:w="15417" w:type="dxa"/>
          </w:tcPr>
          <w:p w14:paraId="2610D65D" w14:textId="77777777" w:rsidR="00942D68" w:rsidRDefault="00942D68" w:rsidP="00942D68">
            <w:pPr>
              <w:rPr>
                <w:rFonts w:asciiTheme="minorHAnsi" w:hAnsiTheme="minorHAnsi"/>
                <w:b/>
                <w:sz w:val="20"/>
                <w:lang w:eastAsia="en-IE"/>
              </w:rPr>
            </w:pPr>
            <w:r>
              <w:rPr>
                <w:rFonts w:asciiTheme="minorHAnsi" w:hAnsiTheme="minorHAnsi"/>
                <w:b/>
                <w:sz w:val="20"/>
                <w:lang w:eastAsia="en-IE"/>
              </w:rPr>
              <w:lastRenderedPageBreak/>
              <w:t xml:space="preserve">Appendix 2: Divisional Key Performance Indicators </w:t>
            </w:r>
          </w:p>
          <w:p w14:paraId="6EFC65FB" w14:textId="77777777" w:rsidR="00942D68" w:rsidRDefault="00942D68" w:rsidP="00942D68">
            <w:pPr>
              <w:rPr>
                <w:rFonts w:asciiTheme="minorHAnsi" w:hAnsiTheme="minorHAnsi"/>
                <w:i/>
                <w:sz w:val="20"/>
                <w:lang w:eastAsia="en-IE"/>
              </w:rPr>
            </w:pPr>
            <w:r>
              <w:rPr>
                <w:rFonts w:asciiTheme="minorHAnsi" w:hAnsiTheme="minorHAnsi"/>
                <w:i/>
                <w:sz w:val="20"/>
                <w:lang w:eastAsia="en-IE"/>
              </w:rPr>
              <w:t>Quarterly, unaudited</w:t>
            </w:r>
          </w:p>
          <w:p w14:paraId="63E130DD" w14:textId="77777777" w:rsidR="00942D68" w:rsidRDefault="00942D68" w:rsidP="00942D68">
            <w:pPr>
              <w:rPr>
                <w:color w:val="FF0000"/>
                <w:sz w:val="10"/>
                <w:szCs w:val="10"/>
                <w:lang w:eastAsia="en-IE"/>
              </w:rPr>
            </w:pPr>
          </w:p>
          <w:tbl>
            <w:tblPr>
              <w:tblW w:w="14340" w:type="dxa"/>
              <w:tblLayout w:type="fixed"/>
              <w:tblCellMar>
                <w:left w:w="57" w:type="dxa"/>
                <w:right w:w="57" w:type="dxa"/>
              </w:tblCellMar>
              <w:tblLook w:val="04A0" w:firstRow="1" w:lastRow="0" w:firstColumn="1" w:lastColumn="0" w:noHBand="0" w:noVBand="1"/>
            </w:tblPr>
            <w:tblGrid>
              <w:gridCol w:w="1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tblGrid>
            <w:tr w:rsidR="008801D7" w:rsidRPr="008801D7" w14:paraId="693D1588" w14:textId="77777777" w:rsidTr="008801D7">
              <w:trPr>
                <w:trHeight w:val="236"/>
              </w:trPr>
              <w:tc>
                <w:tcPr>
                  <w:tcW w:w="1580" w:type="dxa"/>
                  <w:tcBorders>
                    <w:top w:val="nil"/>
                    <w:left w:val="nil"/>
                    <w:bottom w:val="nil"/>
                    <w:right w:val="nil"/>
                  </w:tcBorders>
                  <w:shd w:val="clear" w:color="auto" w:fill="auto"/>
                  <w:noWrap/>
                  <w:vAlign w:val="center"/>
                  <w:hideMark/>
                </w:tcPr>
                <w:p w14:paraId="511C70AA" w14:textId="77777777" w:rsidR="008801D7" w:rsidRPr="008801D7" w:rsidRDefault="008801D7" w:rsidP="008801D7">
                  <w:pPr>
                    <w:rPr>
                      <w:rFonts w:ascii="Times New Roman" w:hAnsi="Times New Roman"/>
                      <w:sz w:val="20"/>
                      <w:szCs w:val="24"/>
                      <w:lang w:eastAsia="en-GB"/>
                    </w:rPr>
                  </w:pPr>
                </w:p>
              </w:tc>
              <w:tc>
                <w:tcPr>
                  <w:tcW w:w="12760" w:type="dxa"/>
                  <w:gridSpan w:val="2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1B168E"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Pro forma basis</w:t>
                  </w:r>
                  <w:r w:rsidRPr="008801D7">
                    <w:rPr>
                      <w:rFonts w:ascii="Calibri" w:hAnsi="Calibri" w:cs="Calibri"/>
                      <w:b/>
                      <w:bCs/>
                      <w:color w:val="000000"/>
                      <w:sz w:val="14"/>
                      <w:szCs w:val="14"/>
                      <w:vertAlign w:val="superscript"/>
                      <w:lang w:eastAsia="en-GB"/>
                    </w:rPr>
                    <w:t>1</w:t>
                  </w:r>
                </w:p>
              </w:tc>
            </w:tr>
            <w:tr w:rsidR="008801D7" w:rsidRPr="008801D7" w14:paraId="434A52DD" w14:textId="77777777" w:rsidTr="008801D7">
              <w:trPr>
                <w:trHeight w:val="236"/>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FFB57"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£m</w:t>
                  </w:r>
                </w:p>
              </w:tc>
              <w:tc>
                <w:tcPr>
                  <w:tcW w:w="174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4E0A18E3"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PPB</w:t>
                  </w:r>
                </w:p>
              </w:tc>
              <w:tc>
                <w:tcPr>
                  <w:tcW w:w="1740" w:type="dxa"/>
                  <w:gridSpan w:val="3"/>
                  <w:tcBorders>
                    <w:top w:val="single" w:sz="4" w:space="0" w:color="auto"/>
                    <w:left w:val="single" w:sz="4" w:space="0" w:color="auto"/>
                    <w:bottom w:val="single" w:sz="4" w:space="0" w:color="auto"/>
                    <w:right w:val="nil"/>
                  </w:tcBorders>
                  <w:shd w:val="clear" w:color="000000" w:fill="C6E0B4"/>
                  <w:noWrap/>
                  <w:vAlign w:val="center"/>
                  <w:hideMark/>
                </w:tcPr>
                <w:p w14:paraId="7469A5F6"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SBG</w:t>
                  </w:r>
                </w:p>
              </w:tc>
              <w:tc>
                <w:tcPr>
                  <w:tcW w:w="2320"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1410C4FB"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PokerStars</w:t>
                  </w:r>
                </w:p>
              </w:tc>
              <w:tc>
                <w:tcPr>
                  <w:tcW w:w="232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2619956"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Australia</w:t>
                  </w:r>
                </w:p>
              </w:tc>
              <w:tc>
                <w:tcPr>
                  <w:tcW w:w="2320" w:type="dxa"/>
                  <w:gridSpan w:val="4"/>
                  <w:tcBorders>
                    <w:top w:val="single" w:sz="4" w:space="0" w:color="auto"/>
                    <w:left w:val="nil"/>
                    <w:bottom w:val="single" w:sz="4" w:space="0" w:color="auto"/>
                    <w:right w:val="single" w:sz="4" w:space="0" w:color="auto"/>
                  </w:tcBorders>
                  <w:shd w:val="clear" w:color="000000" w:fill="D9E1F2"/>
                  <w:noWrap/>
                  <w:vAlign w:val="center"/>
                  <w:hideMark/>
                </w:tcPr>
                <w:p w14:paraId="5544755F"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US</w:t>
                  </w:r>
                </w:p>
              </w:tc>
              <w:tc>
                <w:tcPr>
                  <w:tcW w:w="2320" w:type="dxa"/>
                  <w:gridSpan w:val="4"/>
                  <w:tcBorders>
                    <w:top w:val="single" w:sz="8" w:space="0" w:color="auto"/>
                    <w:left w:val="single" w:sz="8" w:space="0" w:color="auto"/>
                    <w:bottom w:val="single" w:sz="4" w:space="0" w:color="auto"/>
                    <w:right w:val="single" w:sz="8" w:space="0" w:color="000000"/>
                  </w:tcBorders>
                  <w:shd w:val="clear" w:color="000000" w:fill="FCE4D6"/>
                  <w:noWrap/>
                  <w:vAlign w:val="center"/>
                  <w:hideMark/>
                </w:tcPr>
                <w:p w14:paraId="3E57A464"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Group</w:t>
                  </w:r>
                </w:p>
              </w:tc>
            </w:tr>
            <w:tr w:rsidR="008801D7" w:rsidRPr="008801D7" w14:paraId="18C205CD" w14:textId="77777777" w:rsidTr="008801D7">
              <w:trPr>
                <w:trHeight w:val="290"/>
              </w:trPr>
              <w:tc>
                <w:tcPr>
                  <w:tcW w:w="15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59CD84"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w:t>
                  </w:r>
                </w:p>
              </w:tc>
              <w:tc>
                <w:tcPr>
                  <w:tcW w:w="580" w:type="dxa"/>
                  <w:vMerge w:val="restart"/>
                  <w:tcBorders>
                    <w:top w:val="nil"/>
                    <w:left w:val="single" w:sz="4" w:space="0" w:color="auto"/>
                    <w:bottom w:val="single" w:sz="4" w:space="0" w:color="auto"/>
                    <w:right w:val="single" w:sz="4" w:space="0" w:color="auto"/>
                  </w:tcBorders>
                  <w:shd w:val="clear" w:color="000000" w:fill="FFF2CC"/>
                  <w:vAlign w:val="center"/>
                  <w:hideMark/>
                </w:tcPr>
                <w:p w14:paraId="312E03A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Q1</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FFF2CC"/>
                  <w:vAlign w:val="center"/>
                  <w:hideMark/>
                </w:tcPr>
                <w:p w14:paraId="4D4E776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Q1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5646A50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C6E0B4"/>
                  <w:vAlign w:val="center"/>
                  <w:hideMark/>
                </w:tcPr>
                <w:p w14:paraId="6F368AE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Q1</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C6E0B4"/>
                  <w:vAlign w:val="center"/>
                  <w:hideMark/>
                </w:tcPr>
                <w:p w14:paraId="1A7BE66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Q1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E43150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0E89661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Q1</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481E1F9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Q1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46AF26F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4876D1A2"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CC</w:t>
                  </w:r>
                  <w:r w:rsidRPr="008801D7">
                    <w:rPr>
                      <w:rFonts w:ascii="Calibri" w:hAnsi="Calibri" w:cs="Calibri"/>
                      <w:b/>
                      <w:bCs/>
                      <w:color w:val="000000"/>
                      <w:sz w:val="14"/>
                      <w:szCs w:val="14"/>
                      <w:vertAlign w:val="superscript"/>
                      <w:lang w:eastAsia="en-GB"/>
                    </w:rPr>
                    <w:t>2</w:t>
                  </w:r>
                  <w:r w:rsidRPr="008801D7">
                    <w:rPr>
                      <w:rFonts w:ascii="Calibri" w:hAnsi="Calibri" w:cs="Calibri"/>
                      <w:b/>
                      <w:bCs/>
                      <w:color w:val="000000"/>
                      <w:sz w:val="14"/>
                      <w:szCs w:val="14"/>
                      <w:lang w:eastAsia="en-GB"/>
                    </w:rPr>
                    <w:t xml:space="preserve"> % Change</w:t>
                  </w:r>
                </w:p>
              </w:tc>
              <w:tc>
                <w:tcPr>
                  <w:tcW w:w="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5100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Q1</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542CF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Q1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4DCC7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A97E5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 % Change</w:t>
                  </w:r>
                </w:p>
              </w:tc>
              <w:tc>
                <w:tcPr>
                  <w:tcW w:w="580" w:type="dxa"/>
                  <w:vMerge w:val="restart"/>
                  <w:tcBorders>
                    <w:top w:val="nil"/>
                    <w:left w:val="single" w:sz="4" w:space="0" w:color="auto"/>
                    <w:bottom w:val="single" w:sz="4" w:space="0" w:color="auto"/>
                    <w:right w:val="single" w:sz="4" w:space="0" w:color="auto"/>
                  </w:tcBorders>
                  <w:shd w:val="clear" w:color="000000" w:fill="D9E1F2"/>
                  <w:vAlign w:val="center"/>
                  <w:hideMark/>
                </w:tcPr>
                <w:p w14:paraId="7360C7A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Q1</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D9E1F2"/>
                  <w:vAlign w:val="center"/>
                  <w:hideMark/>
                </w:tcPr>
                <w:p w14:paraId="62D7B7F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Q1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D9E1F2"/>
                  <w:vAlign w:val="center"/>
                  <w:hideMark/>
                </w:tcPr>
                <w:p w14:paraId="08B9736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D9E1F2"/>
                  <w:vAlign w:val="center"/>
                  <w:hideMark/>
                </w:tcPr>
                <w:p w14:paraId="4D8CBC6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US$ % </w:t>
                  </w:r>
                  <w:r w:rsidRPr="008801D7">
                    <w:rPr>
                      <w:rFonts w:ascii="Calibri" w:hAnsi="Calibri" w:cs="Calibri"/>
                      <w:b/>
                      <w:bCs/>
                      <w:color w:val="000000"/>
                      <w:sz w:val="14"/>
                      <w:szCs w:val="14"/>
                      <w:lang w:eastAsia="en-GB"/>
                    </w:rPr>
                    <w:br/>
                    <w:t>Change</w:t>
                  </w:r>
                </w:p>
              </w:tc>
              <w:tc>
                <w:tcPr>
                  <w:tcW w:w="580" w:type="dxa"/>
                  <w:vMerge w:val="restart"/>
                  <w:tcBorders>
                    <w:top w:val="nil"/>
                    <w:left w:val="single" w:sz="8" w:space="0" w:color="auto"/>
                    <w:bottom w:val="single" w:sz="4" w:space="0" w:color="auto"/>
                    <w:right w:val="single" w:sz="4" w:space="0" w:color="auto"/>
                  </w:tcBorders>
                  <w:shd w:val="clear" w:color="000000" w:fill="FCE4D6"/>
                  <w:vAlign w:val="center"/>
                  <w:hideMark/>
                </w:tcPr>
                <w:p w14:paraId="2B24F65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Q1</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FCE4D6"/>
                  <w:vAlign w:val="center"/>
                  <w:hideMark/>
                </w:tcPr>
                <w:p w14:paraId="440C2F0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Q1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227589F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8" w:space="0" w:color="auto"/>
                  </w:tcBorders>
                  <w:shd w:val="clear" w:color="000000" w:fill="FCE4D6"/>
                  <w:vAlign w:val="center"/>
                  <w:hideMark/>
                </w:tcPr>
                <w:p w14:paraId="123BBCA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CC</w:t>
                  </w:r>
                  <w:r w:rsidRPr="008801D7">
                    <w:rPr>
                      <w:rFonts w:ascii="Calibri" w:hAnsi="Calibri" w:cs="Calibri"/>
                      <w:b/>
                      <w:bCs/>
                      <w:color w:val="000000"/>
                      <w:sz w:val="14"/>
                      <w:szCs w:val="14"/>
                      <w:vertAlign w:val="superscript"/>
                      <w:lang w:eastAsia="en-GB"/>
                    </w:rPr>
                    <w:t>2</w:t>
                  </w:r>
                  <w:r w:rsidRPr="008801D7">
                    <w:rPr>
                      <w:rFonts w:ascii="Calibri" w:hAnsi="Calibri" w:cs="Calibri"/>
                      <w:b/>
                      <w:bCs/>
                      <w:color w:val="000000"/>
                      <w:sz w:val="14"/>
                      <w:szCs w:val="14"/>
                      <w:lang w:eastAsia="en-GB"/>
                    </w:rPr>
                    <w:t xml:space="preserve"> % Change</w:t>
                  </w:r>
                </w:p>
              </w:tc>
            </w:tr>
            <w:tr w:rsidR="008801D7" w:rsidRPr="008801D7" w14:paraId="37DB0071" w14:textId="77777777" w:rsidTr="008801D7">
              <w:trPr>
                <w:trHeight w:val="290"/>
              </w:trPr>
              <w:tc>
                <w:tcPr>
                  <w:tcW w:w="1580" w:type="dxa"/>
                  <w:vMerge/>
                  <w:tcBorders>
                    <w:top w:val="nil"/>
                    <w:left w:val="single" w:sz="4" w:space="0" w:color="auto"/>
                    <w:bottom w:val="single" w:sz="4" w:space="0" w:color="auto"/>
                    <w:right w:val="single" w:sz="4" w:space="0" w:color="auto"/>
                  </w:tcBorders>
                  <w:vAlign w:val="center"/>
                  <w:hideMark/>
                </w:tcPr>
                <w:p w14:paraId="666551DA"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580203DE"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605B3629"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2639ACEC"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0DAB8E0A"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0974C0DF"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5F17D711"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30A29FE3"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69DC92D7"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4DFA37F8"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1341F439"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6442DAFD"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73D80329"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40FE2146"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704F4B20"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2D01FC84"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40413164"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20109036"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36793B03"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8" w:space="0" w:color="auto"/>
                    <w:bottom w:val="single" w:sz="4" w:space="0" w:color="auto"/>
                    <w:right w:val="single" w:sz="4" w:space="0" w:color="auto"/>
                  </w:tcBorders>
                  <w:vAlign w:val="center"/>
                  <w:hideMark/>
                </w:tcPr>
                <w:p w14:paraId="63D9C24C"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33FFC024"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757AF972"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8" w:space="0" w:color="auto"/>
                  </w:tcBorders>
                  <w:vAlign w:val="center"/>
                  <w:hideMark/>
                </w:tcPr>
                <w:p w14:paraId="09C0787D" w14:textId="77777777" w:rsidR="008801D7" w:rsidRPr="008801D7" w:rsidRDefault="008801D7" w:rsidP="008801D7">
                  <w:pPr>
                    <w:rPr>
                      <w:rFonts w:ascii="Calibri" w:hAnsi="Calibri" w:cs="Calibri"/>
                      <w:b/>
                      <w:bCs/>
                      <w:color w:val="000000"/>
                      <w:sz w:val="14"/>
                      <w:szCs w:val="14"/>
                      <w:lang w:eastAsia="en-GB"/>
                    </w:rPr>
                  </w:pPr>
                </w:p>
              </w:tc>
            </w:tr>
            <w:tr w:rsidR="008801D7" w:rsidRPr="008801D7" w14:paraId="64DCFC6D" w14:textId="77777777" w:rsidTr="008801D7">
              <w:trPr>
                <w:trHeight w:val="2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7ACCF42"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Sportsbook stakes</w:t>
                  </w:r>
                </w:p>
              </w:tc>
              <w:tc>
                <w:tcPr>
                  <w:tcW w:w="580" w:type="dxa"/>
                  <w:tcBorders>
                    <w:top w:val="nil"/>
                    <w:left w:val="nil"/>
                    <w:bottom w:val="single" w:sz="4" w:space="0" w:color="auto"/>
                    <w:right w:val="single" w:sz="4" w:space="0" w:color="auto"/>
                  </w:tcBorders>
                  <w:shd w:val="clear" w:color="000000" w:fill="FFF2CC"/>
                  <w:noWrap/>
                  <w:vAlign w:val="center"/>
                  <w:hideMark/>
                </w:tcPr>
                <w:p w14:paraId="6B97F98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1,433</w:t>
                  </w:r>
                </w:p>
              </w:tc>
              <w:tc>
                <w:tcPr>
                  <w:tcW w:w="580" w:type="dxa"/>
                  <w:tcBorders>
                    <w:top w:val="nil"/>
                    <w:left w:val="nil"/>
                    <w:bottom w:val="single" w:sz="4" w:space="0" w:color="auto"/>
                    <w:right w:val="single" w:sz="4" w:space="0" w:color="auto"/>
                  </w:tcBorders>
                  <w:shd w:val="clear" w:color="000000" w:fill="FFF2CC"/>
                  <w:noWrap/>
                  <w:vAlign w:val="center"/>
                  <w:hideMark/>
                </w:tcPr>
                <w:p w14:paraId="404BC49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1,777</w:t>
                  </w:r>
                </w:p>
              </w:tc>
              <w:tc>
                <w:tcPr>
                  <w:tcW w:w="580" w:type="dxa"/>
                  <w:tcBorders>
                    <w:top w:val="nil"/>
                    <w:left w:val="nil"/>
                    <w:bottom w:val="single" w:sz="4" w:space="0" w:color="auto"/>
                    <w:right w:val="single" w:sz="4" w:space="0" w:color="auto"/>
                  </w:tcBorders>
                  <w:shd w:val="clear" w:color="000000" w:fill="FFF2CC"/>
                  <w:noWrap/>
                  <w:vAlign w:val="center"/>
                  <w:hideMark/>
                </w:tcPr>
                <w:p w14:paraId="35C1E97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-19%</w:t>
                  </w:r>
                </w:p>
              </w:tc>
              <w:tc>
                <w:tcPr>
                  <w:tcW w:w="580" w:type="dxa"/>
                  <w:tcBorders>
                    <w:top w:val="nil"/>
                    <w:left w:val="nil"/>
                    <w:bottom w:val="single" w:sz="4" w:space="0" w:color="auto"/>
                    <w:right w:val="single" w:sz="4" w:space="0" w:color="auto"/>
                  </w:tcBorders>
                  <w:shd w:val="clear" w:color="000000" w:fill="C6E0B4"/>
                  <w:noWrap/>
                  <w:vAlign w:val="center"/>
                  <w:hideMark/>
                </w:tcPr>
                <w:p w14:paraId="6B254EF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960</w:t>
                  </w:r>
                </w:p>
              </w:tc>
              <w:tc>
                <w:tcPr>
                  <w:tcW w:w="580" w:type="dxa"/>
                  <w:tcBorders>
                    <w:top w:val="nil"/>
                    <w:left w:val="nil"/>
                    <w:bottom w:val="single" w:sz="4" w:space="0" w:color="auto"/>
                    <w:right w:val="single" w:sz="4" w:space="0" w:color="auto"/>
                  </w:tcBorders>
                  <w:shd w:val="clear" w:color="000000" w:fill="C6E0B4"/>
                  <w:noWrap/>
                  <w:vAlign w:val="center"/>
                  <w:hideMark/>
                </w:tcPr>
                <w:p w14:paraId="11526AE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1,168</w:t>
                  </w:r>
                </w:p>
              </w:tc>
              <w:tc>
                <w:tcPr>
                  <w:tcW w:w="580" w:type="dxa"/>
                  <w:tcBorders>
                    <w:top w:val="nil"/>
                    <w:left w:val="nil"/>
                    <w:bottom w:val="single" w:sz="4" w:space="0" w:color="auto"/>
                    <w:right w:val="single" w:sz="4" w:space="0" w:color="auto"/>
                  </w:tcBorders>
                  <w:shd w:val="clear" w:color="000000" w:fill="C6E0B4"/>
                  <w:noWrap/>
                  <w:vAlign w:val="center"/>
                  <w:hideMark/>
                </w:tcPr>
                <w:p w14:paraId="21DC541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w:t>
                  </w:r>
                </w:p>
              </w:tc>
              <w:tc>
                <w:tcPr>
                  <w:tcW w:w="580" w:type="dxa"/>
                  <w:tcBorders>
                    <w:top w:val="nil"/>
                    <w:left w:val="single" w:sz="4" w:space="0" w:color="auto"/>
                    <w:bottom w:val="single" w:sz="4" w:space="0" w:color="auto"/>
                    <w:right w:val="single" w:sz="4" w:space="0" w:color="auto"/>
                  </w:tcBorders>
                  <w:shd w:val="clear" w:color="000000" w:fill="BFBFBF"/>
                  <w:noWrap/>
                  <w:vAlign w:val="center"/>
                  <w:hideMark/>
                </w:tcPr>
                <w:p w14:paraId="1C93FD2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158</w:t>
                  </w:r>
                </w:p>
              </w:tc>
              <w:tc>
                <w:tcPr>
                  <w:tcW w:w="580" w:type="dxa"/>
                  <w:tcBorders>
                    <w:top w:val="nil"/>
                    <w:left w:val="nil"/>
                    <w:bottom w:val="single" w:sz="4" w:space="0" w:color="auto"/>
                    <w:right w:val="single" w:sz="4" w:space="0" w:color="auto"/>
                  </w:tcBorders>
                  <w:shd w:val="clear" w:color="000000" w:fill="BFBFBF"/>
                  <w:noWrap/>
                  <w:vAlign w:val="center"/>
                  <w:hideMark/>
                </w:tcPr>
                <w:p w14:paraId="7464B85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202</w:t>
                  </w:r>
                </w:p>
              </w:tc>
              <w:tc>
                <w:tcPr>
                  <w:tcW w:w="580" w:type="dxa"/>
                  <w:tcBorders>
                    <w:top w:val="nil"/>
                    <w:left w:val="nil"/>
                    <w:bottom w:val="single" w:sz="4" w:space="0" w:color="auto"/>
                    <w:right w:val="single" w:sz="4" w:space="0" w:color="auto"/>
                  </w:tcBorders>
                  <w:shd w:val="clear" w:color="000000" w:fill="BFBFBF"/>
                  <w:noWrap/>
                  <w:vAlign w:val="center"/>
                  <w:hideMark/>
                </w:tcPr>
                <w:p w14:paraId="570080E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-22%</w:t>
                  </w:r>
                </w:p>
              </w:tc>
              <w:tc>
                <w:tcPr>
                  <w:tcW w:w="580" w:type="dxa"/>
                  <w:tcBorders>
                    <w:top w:val="nil"/>
                    <w:left w:val="nil"/>
                    <w:bottom w:val="single" w:sz="4" w:space="0" w:color="auto"/>
                    <w:right w:val="single" w:sz="4" w:space="0" w:color="auto"/>
                  </w:tcBorders>
                  <w:shd w:val="clear" w:color="000000" w:fill="BFBFBF"/>
                  <w:noWrap/>
                  <w:vAlign w:val="center"/>
                  <w:hideMark/>
                </w:tcPr>
                <w:p w14:paraId="495EDB3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-20%</w:t>
                  </w:r>
                </w:p>
              </w:tc>
              <w:tc>
                <w:tcPr>
                  <w:tcW w:w="580" w:type="dxa"/>
                  <w:tcBorders>
                    <w:top w:val="nil"/>
                    <w:left w:val="nil"/>
                    <w:bottom w:val="single" w:sz="4" w:space="0" w:color="auto"/>
                    <w:right w:val="single" w:sz="4" w:space="0" w:color="auto"/>
                  </w:tcBorders>
                  <w:shd w:val="clear" w:color="auto" w:fill="auto"/>
                  <w:noWrap/>
                  <w:vAlign w:val="center"/>
                  <w:hideMark/>
                </w:tcPr>
                <w:p w14:paraId="570D968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1,545</w:t>
                  </w:r>
                </w:p>
              </w:tc>
              <w:tc>
                <w:tcPr>
                  <w:tcW w:w="580" w:type="dxa"/>
                  <w:tcBorders>
                    <w:top w:val="nil"/>
                    <w:left w:val="nil"/>
                    <w:bottom w:val="single" w:sz="4" w:space="0" w:color="auto"/>
                    <w:right w:val="single" w:sz="4" w:space="0" w:color="auto"/>
                  </w:tcBorders>
                  <w:shd w:val="clear" w:color="000000" w:fill="FFFFFF"/>
                  <w:noWrap/>
                  <w:vAlign w:val="center"/>
                  <w:hideMark/>
                </w:tcPr>
                <w:p w14:paraId="3F541A3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1,641</w:t>
                  </w:r>
                </w:p>
              </w:tc>
              <w:tc>
                <w:tcPr>
                  <w:tcW w:w="580" w:type="dxa"/>
                  <w:tcBorders>
                    <w:top w:val="nil"/>
                    <w:left w:val="nil"/>
                    <w:bottom w:val="single" w:sz="4" w:space="0" w:color="auto"/>
                    <w:right w:val="single" w:sz="4" w:space="0" w:color="auto"/>
                  </w:tcBorders>
                  <w:shd w:val="clear" w:color="auto" w:fill="auto"/>
                  <w:noWrap/>
                  <w:vAlign w:val="center"/>
                  <w:hideMark/>
                </w:tcPr>
                <w:p w14:paraId="187FC9F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p>
              </w:tc>
              <w:tc>
                <w:tcPr>
                  <w:tcW w:w="580" w:type="dxa"/>
                  <w:tcBorders>
                    <w:top w:val="nil"/>
                    <w:left w:val="nil"/>
                    <w:bottom w:val="single" w:sz="4" w:space="0" w:color="auto"/>
                    <w:right w:val="single" w:sz="4" w:space="0" w:color="auto"/>
                  </w:tcBorders>
                  <w:shd w:val="clear" w:color="auto" w:fill="auto"/>
                  <w:noWrap/>
                  <w:vAlign w:val="center"/>
                  <w:hideMark/>
                </w:tcPr>
                <w:p w14:paraId="7974C65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80" w:type="dxa"/>
                  <w:tcBorders>
                    <w:top w:val="nil"/>
                    <w:left w:val="nil"/>
                    <w:bottom w:val="single" w:sz="4" w:space="0" w:color="auto"/>
                    <w:right w:val="single" w:sz="4" w:space="0" w:color="auto"/>
                  </w:tcBorders>
                  <w:shd w:val="clear" w:color="000000" w:fill="D9E1F2"/>
                  <w:noWrap/>
                  <w:vAlign w:val="center"/>
                  <w:hideMark/>
                </w:tcPr>
                <w:p w14:paraId="0FEA439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864</w:t>
                  </w:r>
                </w:p>
              </w:tc>
              <w:tc>
                <w:tcPr>
                  <w:tcW w:w="580" w:type="dxa"/>
                  <w:tcBorders>
                    <w:top w:val="nil"/>
                    <w:left w:val="nil"/>
                    <w:bottom w:val="single" w:sz="4" w:space="0" w:color="auto"/>
                    <w:right w:val="single" w:sz="4" w:space="0" w:color="auto"/>
                  </w:tcBorders>
                  <w:shd w:val="clear" w:color="000000" w:fill="D9E1F2"/>
                  <w:noWrap/>
                  <w:vAlign w:val="center"/>
                  <w:hideMark/>
                </w:tcPr>
                <w:p w14:paraId="292EAF4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469</w:t>
                  </w:r>
                </w:p>
              </w:tc>
              <w:tc>
                <w:tcPr>
                  <w:tcW w:w="580" w:type="dxa"/>
                  <w:tcBorders>
                    <w:top w:val="nil"/>
                    <w:left w:val="nil"/>
                    <w:bottom w:val="single" w:sz="4" w:space="0" w:color="auto"/>
                    <w:right w:val="single" w:sz="4" w:space="0" w:color="auto"/>
                  </w:tcBorders>
                  <w:shd w:val="clear" w:color="000000" w:fill="D9E1F2"/>
                  <w:noWrap/>
                  <w:vAlign w:val="center"/>
                  <w:hideMark/>
                </w:tcPr>
                <w:p w14:paraId="7F06E09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+84%</w:t>
                  </w:r>
                </w:p>
              </w:tc>
              <w:tc>
                <w:tcPr>
                  <w:tcW w:w="580" w:type="dxa"/>
                  <w:tcBorders>
                    <w:top w:val="nil"/>
                    <w:left w:val="nil"/>
                    <w:bottom w:val="single" w:sz="4" w:space="0" w:color="auto"/>
                    <w:right w:val="single" w:sz="4" w:space="0" w:color="auto"/>
                  </w:tcBorders>
                  <w:shd w:val="clear" w:color="000000" w:fill="D9E1F2"/>
                  <w:noWrap/>
                  <w:vAlign w:val="center"/>
                  <w:hideMark/>
                </w:tcPr>
                <w:p w14:paraId="45E35B6C" w14:textId="77777777" w:rsidR="008801D7" w:rsidRPr="008801D7" w:rsidRDefault="006D5E0F" w:rsidP="008801D7">
                  <w:pPr>
                    <w:jc w:val="right"/>
                    <w:rPr>
                      <w:rFonts w:ascii="Calibri" w:hAnsi="Calibri" w:cs="Calibri"/>
                      <w:color w:val="000000"/>
                      <w:sz w:val="14"/>
                      <w:szCs w:val="14"/>
                      <w:lang w:eastAsia="en-GB"/>
                    </w:rPr>
                  </w:pPr>
                  <w:r>
                    <w:rPr>
                      <w:rFonts w:ascii="Calibri" w:hAnsi="Calibri" w:cs="Calibri"/>
                      <w:color w:val="000000"/>
                      <w:sz w:val="14"/>
                      <w:szCs w:val="14"/>
                      <w:lang w:eastAsia="en-GB"/>
                    </w:rPr>
                    <w:t>+</w:t>
                  </w:r>
                  <w:r w:rsidR="008801D7" w:rsidRPr="008801D7">
                    <w:rPr>
                      <w:rFonts w:ascii="Calibri" w:hAnsi="Calibri" w:cs="Calibri"/>
                      <w:color w:val="000000"/>
                      <w:sz w:val="14"/>
                      <w:szCs w:val="14"/>
                      <w:lang w:eastAsia="en-GB"/>
                    </w:rPr>
                    <w:t>81%</w:t>
                  </w:r>
                </w:p>
              </w:tc>
              <w:tc>
                <w:tcPr>
                  <w:tcW w:w="580" w:type="dxa"/>
                  <w:tcBorders>
                    <w:top w:val="nil"/>
                    <w:left w:val="single" w:sz="8" w:space="0" w:color="auto"/>
                    <w:bottom w:val="single" w:sz="4" w:space="0" w:color="auto"/>
                    <w:right w:val="single" w:sz="4" w:space="0" w:color="auto"/>
                  </w:tcBorders>
                  <w:shd w:val="clear" w:color="000000" w:fill="FCE4D6"/>
                  <w:noWrap/>
                  <w:vAlign w:val="center"/>
                  <w:hideMark/>
                </w:tcPr>
                <w:p w14:paraId="3E37123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4,959</w:t>
                  </w:r>
                </w:p>
              </w:tc>
              <w:tc>
                <w:tcPr>
                  <w:tcW w:w="580" w:type="dxa"/>
                  <w:tcBorders>
                    <w:top w:val="nil"/>
                    <w:left w:val="nil"/>
                    <w:bottom w:val="single" w:sz="4" w:space="0" w:color="auto"/>
                    <w:right w:val="single" w:sz="4" w:space="0" w:color="auto"/>
                  </w:tcBorders>
                  <w:shd w:val="clear" w:color="000000" w:fill="FCE4D6"/>
                  <w:noWrap/>
                  <w:vAlign w:val="center"/>
                  <w:hideMark/>
                </w:tcPr>
                <w:p w14:paraId="61C32CA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5,258</w:t>
                  </w:r>
                </w:p>
              </w:tc>
              <w:tc>
                <w:tcPr>
                  <w:tcW w:w="580" w:type="dxa"/>
                  <w:tcBorders>
                    <w:top w:val="nil"/>
                    <w:left w:val="nil"/>
                    <w:bottom w:val="single" w:sz="4" w:space="0" w:color="auto"/>
                    <w:right w:val="single" w:sz="4" w:space="0" w:color="auto"/>
                  </w:tcBorders>
                  <w:shd w:val="clear" w:color="000000" w:fill="FCE4D6"/>
                  <w:noWrap/>
                  <w:vAlign w:val="center"/>
                  <w:hideMark/>
                </w:tcPr>
                <w:p w14:paraId="1795375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p>
              </w:tc>
              <w:tc>
                <w:tcPr>
                  <w:tcW w:w="580" w:type="dxa"/>
                  <w:tcBorders>
                    <w:top w:val="nil"/>
                    <w:left w:val="nil"/>
                    <w:bottom w:val="single" w:sz="4" w:space="0" w:color="auto"/>
                    <w:right w:val="single" w:sz="8" w:space="0" w:color="auto"/>
                  </w:tcBorders>
                  <w:shd w:val="clear" w:color="000000" w:fill="FCE4D6"/>
                  <w:noWrap/>
                  <w:vAlign w:val="center"/>
                  <w:hideMark/>
                </w:tcPr>
                <w:p w14:paraId="52781C2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w:t>
                  </w:r>
                </w:p>
              </w:tc>
            </w:tr>
            <w:tr w:rsidR="008801D7" w:rsidRPr="008801D7" w14:paraId="4042BDC0" w14:textId="77777777" w:rsidTr="008801D7">
              <w:trPr>
                <w:trHeight w:val="311"/>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CCCCFE5" w14:textId="77777777" w:rsidR="008801D7" w:rsidRPr="008801D7" w:rsidRDefault="008801D7" w:rsidP="008801D7">
                  <w:pPr>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Sportsbook net revenue margin</w:t>
                  </w:r>
                </w:p>
              </w:tc>
              <w:tc>
                <w:tcPr>
                  <w:tcW w:w="580" w:type="dxa"/>
                  <w:tcBorders>
                    <w:top w:val="nil"/>
                    <w:left w:val="nil"/>
                    <w:bottom w:val="single" w:sz="4" w:space="0" w:color="auto"/>
                    <w:right w:val="single" w:sz="4" w:space="0" w:color="auto"/>
                  </w:tcBorders>
                  <w:shd w:val="clear" w:color="000000" w:fill="FFF2CC"/>
                  <w:noWrap/>
                  <w:vAlign w:val="center"/>
                  <w:hideMark/>
                </w:tcPr>
                <w:p w14:paraId="2850460E"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11.3%</w:t>
                  </w:r>
                </w:p>
              </w:tc>
              <w:tc>
                <w:tcPr>
                  <w:tcW w:w="580" w:type="dxa"/>
                  <w:tcBorders>
                    <w:top w:val="nil"/>
                    <w:left w:val="nil"/>
                    <w:bottom w:val="single" w:sz="4" w:space="0" w:color="auto"/>
                    <w:right w:val="single" w:sz="4" w:space="0" w:color="auto"/>
                  </w:tcBorders>
                  <w:shd w:val="clear" w:color="000000" w:fill="FFF2CC"/>
                  <w:noWrap/>
                  <w:vAlign w:val="center"/>
                  <w:hideMark/>
                </w:tcPr>
                <w:p w14:paraId="2A9C53F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7.7%</w:t>
                  </w:r>
                </w:p>
              </w:tc>
              <w:tc>
                <w:tcPr>
                  <w:tcW w:w="580" w:type="dxa"/>
                  <w:tcBorders>
                    <w:top w:val="nil"/>
                    <w:left w:val="nil"/>
                    <w:bottom w:val="single" w:sz="4" w:space="0" w:color="auto"/>
                    <w:right w:val="single" w:sz="4" w:space="0" w:color="auto"/>
                  </w:tcBorders>
                  <w:shd w:val="clear" w:color="000000" w:fill="FFF2CC"/>
                  <w:noWrap/>
                  <w:vAlign w:val="center"/>
                  <w:hideMark/>
                </w:tcPr>
                <w:p w14:paraId="4A4DEC24" w14:textId="77777777" w:rsidR="008801D7" w:rsidRPr="008801D7" w:rsidRDefault="008801D7" w:rsidP="00927076">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+3</w:t>
                  </w:r>
                  <w:r w:rsidR="00927076">
                    <w:rPr>
                      <w:rFonts w:ascii="Calibri" w:hAnsi="Calibri" w:cs="Calibri"/>
                      <w:i/>
                      <w:iCs/>
                      <w:color w:val="000000"/>
                      <w:sz w:val="12"/>
                      <w:szCs w:val="12"/>
                      <w:lang w:eastAsia="en-GB"/>
                    </w:rPr>
                    <w:t>6</w:t>
                  </w:r>
                  <w:r w:rsidRPr="008801D7">
                    <w:rPr>
                      <w:rFonts w:ascii="Calibri" w:hAnsi="Calibri" w:cs="Calibri"/>
                      <w:i/>
                      <w:iCs/>
                      <w:color w:val="000000"/>
                      <w:sz w:val="12"/>
                      <w:szCs w:val="12"/>
                      <w:lang w:eastAsia="en-GB"/>
                    </w:rPr>
                    <w:t>0bps</w:t>
                  </w:r>
                </w:p>
              </w:tc>
              <w:tc>
                <w:tcPr>
                  <w:tcW w:w="580" w:type="dxa"/>
                  <w:tcBorders>
                    <w:top w:val="nil"/>
                    <w:left w:val="nil"/>
                    <w:bottom w:val="single" w:sz="4" w:space="0" w:color="auto"/>
                    <w:right w:val="single" w:sz="4" w:space="0" w:color="auto"/>
                  </w:tcBorders>
                  <w:shd w:val="clear" w:color="000000" w:fill="C6E0B4"/>
                  <w:noWrap/>
                  <w:vAlign w:val="center"/>
                  <w:hideMark/>
                </w:tcPr>
                <w:p w14:paraId="2A6910D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15.0%</w:t>
                  </w:r>
                </w:p>
              </w:tc>
              <w:tc>
                <w:tcPr>
                  <w:tcW w:w="580" w:type="dxa"/>
                  <w:tcBorders>
                    <w:top w:val="nil"/>
                    <w:left w:val="nil"/>
                    <w:bottom w:val="single" w:sz="4" w:space="0" w:color="auto"/>
                    <w:right w:val="single" w:sz="4" w:space="0" w:color="auto"/>
                  </w:tcBorders>
                  <w:shd w:val="clear" w:color="000000" w:fill="C6E0B4"/>
                  <w:noWrap/>
                  <w:vAlign w:val="center"/>
                  <w:hideMark/>
                </w:tcPr>
                <w:p w14:paraId="1BB9152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5.0%</w:t>
                  </w:r>
                </w:p>
              </w:tc>
              <w:tc>
                <w:tcPr>
                  <w:tcW w:w="580"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266D405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+1000bps</w:t>
                  </w:r>
                </w:p>
              </w:tc>
              <w:tc>
                <w:tcPr>
                  <w:tcW w:w="580" w:type="dxa"/>
                  <w:tcBorders>
                    <w:top w:val="nil"/>
                    <w:left w:val="single" w:sz="4" w:space="0" w:color="auto"/>
                    <w:bottom w:val="single" w:sz="4" w:space="0" w:color="auto"/>
                    <w:right w:val="single" w:sz="4" w:space="0" w:color="auto"/>
                  </w:tcBorders>
                  <w:shd w:val="clear" w:color="000000" w:fill="BFBFBF"/>
                  <w:noWrap/>
                  <w:vAlign w:val="center"/>
                  <w:hideMark/>
                </w:tcPr>
                <w:p w14:paraId="484A859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10.4%</w:t>
                  </w:r>
                </w:p>
              </w:tc>
              <w:tc>
                <w:tcPr>
                  <w:tcW w:w="580" w:type="dxa"/>
                  <w:tcBorders>
                    <w:top w:val="nil"/>
                    <w:left w:val="nil"/>
                    <w:bottom w:val="single" w:sz="4" w:space="0" w:color="auto"/>
                    <w:right w:val="single" w:sz="4" w:space="0" w:color="auto"/>
                  </w:tcBorders>
                  <w:shd w:val="clear" w:color="000000" w:fill="BFBFBF"/>
                  <w:noWrap/>
                  <w:vAlign w:val="center"/>
                  <w:hideMark/>
                </w:tcPr>
                <w:p w14:paraId="6DF434AB"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7.6%</w:t>
                  </w:r>
                </w:p>
              </w:tc>
              <w:tc>
                <w:tcPr>
                  <w:tcW w:w="580" w:type="dxa"/>
                  <w:tcBorders>
                    <w:top w:val="nil"/>
                    <w:left w:val="nil"/>
                    <w:bottom w:val="single" w:sz="4" w:space="0" w:color="auto"/>
                    <w:right w:val="single" w:sz="4" w:space="0" w:color="auto"/>
                  </w:tcBorders>
                  <w:shd w:val="clear" w:color="000000" w:fill="BFBFBF"/>
                  <w:noWrap/>
                  <w:vAlign w:val="center"/>
                  <w:hideMark/>
                </w:tcPr>
                <w:p w14:paraId="4C956826"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+280bps</w:t>
                  </w:r>
                </w:p>
              </w:tc>
              <w:tc>
                <w:tcPr>
                  <w:tcW w:w="580" w:type="dxa"/>
                  <w:tcBorders>
                    <w:top w:val="nil"/>
                    <w:left w:val="nil"/>
                    <w:bottom w:val="single" w:sz="4" w:space="0" w:color="auto"/>
                    <w:right w:val="single" w:sz="4" w:space="0" w:color="auto"/>
                  </w:tcBorders>
                  <w:shd w:val="clear" w:color="000000" w:fill="BFBFBF"/>
                  <w:noWrap/>
                  <w:vAlign w:val="center"/>
                  <w:hideMark/>
                </w:tcPr>
                <w:p w14:paraId="1AC9668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+280bps</w:t>
                  </w:r>
                </w:p>
              </w:tc>
              <w:tc>
                <w:tcPr>
                  <w:tcW w:w="580" w:type="dxa"/>
                  <w:tcBorders>
                    <w:top w:val="nil"/>
                    <w:left w:val="nil"/>
                    <w:bottom w:val="single" w:sz="4" w:space="0" w:color="auto"/>
                    <w:right w:val="single" w:sz="4" w:space="0" w:color="auto"/>
                  </w:tcBorders>
                  <w:shd w:val="clear" w:color="auto" w:fill="auto"/>
                  <w:noWrap/>
                  <w:vAlign w:val="center"/>
                  <w:hideMark/>
                </w:tcPr>
                <w:p w14:paraId="3B6F1206"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10.4%</w:t>
                  </w:r>
                </w:p>
              </w:tc>
              <w:tc>
                <w:tcPr>
                  <w:tcW w:w="580" w:type="dxa"/>
                  <w:tcBorders>
                    <w:top w:val="nil"/>
                    <w:left w:val="nil"/>
                    <w:bottom w:val="single" w:sz="4" w:space="0" w:color="auto"/>
                    <w:right w:val="single" w:sz="4" w:space="0" w:color="auto"/>
                  </w:tcBorders>
                  <w:shd w:val="clear" w:color="auto" w:fill="auto"/>
                  <w:noWrap/>
                  <w:vAlign w:val="center"/>
                  <w:hideMark/>
                </w:tcPr>
                <w:p w14:paraId="2F1346E0"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9.0%</w:t>
                  </w:r>
                </w:p>
              </w:tc>
              <w:tc>
                <w:tcPr>
                  <w:tcW w:w="580" w:type="dxa"/>
                  <w:tcBorders>
                    <w:top w:val="nil"/>
                    <w:left w:val="nil"/>
                    <w:bottom w:val="single" w:sz="4" w:space="0" w:color="auto"/>
                    <w:right w:val="single" w:sz="4" w:space="0" w:color="auto"/>
                  </w:tcBorders>
                  <w:shd w:val="clear" w:color="auto" w:fill="auto"/>
                  <w:noWrap/>
                  <w:vAlign w:val="center"/>
                  <w:hideMark/>
                </w:tcPr>
                <w:p w14:paraId="1192B8EC"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+140bps</w:t>
                  </w:r>
                </w:p>
              </w:tc>
              <w:tc>
                <w:tcPr>
                  <w:tcW w:w="580" w:type="dxa"/>
                  <w:tcBorders>
                    <w:top w:val="nil"/>
                    <w:left w:val="nil"/>
                    <w:bottom w:val="single" w:sz="4" w:space="0" w:color="auto"/>
                    <w:right w:val="single" w:sz="4" w:space="0" w:color="auto"/>
                  </w:tcBorders>
                  <w:shd w:val="clear" w:color="auto" w:fill="auto"/>
                  <w:noWrap/>
                  <w:vAlign w:val="center"/>
                  <w:hideMark/>
                </w:tcPr>
                <w:p w14:paraId="44CCFC6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+140bps</w:t>
                  </w:r>
                </w:p>
              </w:tc>
              <w:tc>
                <w:tcPr>
                  <w:tcW w:w="580" w:type="dxa"/>
                  <w:tcBorders>
                    <w:top w:val="nil"/>
                    <w:left w:val="nil"/>
                    <w:bottom w:val="single" w:sz="4" w:space="0" w:color="auto"/>
                    <w:right w:val="single" w:sz="4" w:space="0" w:color="auto"/>
                  </w:tcBorders>
                  <w:shd w:val="clear" w:color="000000" w:fill="D9E1F2"/>
                  <w:noWrap/>
                  <w:vAlign w:val="center"/>
                  <w:hideMark/>
                </w:tcPr>
                <w:p w14:paraId="06FB6D2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4.6%</w:t>
                  </w:r>
                </w:p>
              </w:tc>
              <w:tc>
                <w:tcPr>
                  <w:tcW w:w="580" w:type="dxa"/>
                  <w:tcBorders>
                    <w:top w:val="nil"/>
                    <w:left w:val="nil"/>
                    <w:bottom w:val="single" w:sz="4" w:space="0" w:color="auto"/>
                    <w:right w:val="single" w:sz="4" w:space="0" w:color="auto"/>
                  </w:tcBorders>
                  <w:shd w:val="clear" w:color="000000" w:fill="D9E1F2"/>
                  <w:noWrap/>
                  <w:vAlign w:val="center"/>
                  <w:hideMark/>
                </w:tcPr>
                <w:p w14:paraId="76986A4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3.9%</w:t>
                  </w:r>
                </w:p>
              </w:tc>
              <w:tc>
                <w:tcPr>
                  <w:tcW w:w="580" w:type="dxa"/>
                  <w:tcBorders>
                    <w:top w:val="nil"/>
                    <w:left w:val="nil"/>
                    <w:bottom w:val="single" w:sz="4" w:space="0" w:color="auto"/>
                    <w:right w:val="single" w:sz="4" w:space="0" w:color="auto"/>
                  </w:tcBorders>
                  <w:shd w:val="clear" w:color="000000" w:fill="D9E1F2"/>
                  <w:noWrap/>
                  <w:vAlign w:val="center"/>
                  <w:hideMark/>
                </w:tcPr>
                <w:p w14:paraId="50322D90" w14:textId="77777777" w:rsidR="008801D7" w:rsidRPr="008801D7" w:rsidRDefault="008801D7" w:rsidP="00927076">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w:t>
                  </w:r>
                  <w:r w:rsidR="00927076">
                    <w:rPr>
                      <w:rFonts w:ascii="Calibri" w:hAnsi="Calibri" w:cs="Calibri"/>
                      <w:i/>
                      <w:iCs/>
                      <w:color w:val="000000"/>
                      <w:sz w:val="12"/>
                      <w:szCs w:val="12"/>
                      <w:lang w:eastAsia="en-GB"/>
                    </w:rPr>
                    <w:t>7</w:t>
                  </w:r>
                  <w:r w:rsidRPr="008801D7">
                    <w:rPr>
                      <w:rFonts w:ascii="Calibri" w:hAnsi="Calibri" w:cs="Calibri"/>
                      <w:i/>
                      <w:iCs/>
                      <w:color w:val="000000"/>
                      <w:sz w:val="12"/>
                      <w:szCs w:val="12"/>
                      <w:lang w:eastAsia="en-GB"/>
                    </w:rPr>
                    <w:t>0bps</w:t>
                  </w:r>
                </w:p>
              </w:tc>
              <w:tc>
                <w:tcPr>
                  <w:tcW w:w="580" w:type="dxa"/>
                  <w:tcBorders>
                    <w:top w:val="nil"/>
                    <w:left w:val="nil"/>
                    <w:bottom w:val="single" w:sz="4" w:space="0" w:color="auto"/>
                    <w:right w:val="single" w:sz="4" w:space="0" w:color="auto"/>
                  </w:tcBorders>
                  <w:shd w:val="clear" w:color="000000" w:fill="D9E1F2"/>
                  <w:noWrap/>
                  <w:vAlign w:val="center"/>
                  <w:hideMark/>
                </w:tcPr>
                <w:p w14:paraId="300ACC3F" w14:textId="77777777" w:rsidR="008801D7" w:rsidRPr="008801D7" w:rsidRDefault="008801D7" w:rsidP="00927076">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w:t>
                  </w:r>
                  <w:r w:rsidR="00927076">
                    <w:rPr>
                      <w:rFonts w:ascii="Calibri" w:hAnsi="Calibri" w:cs="Calibri"/>
                      <w:i/>
                      <w:iCs/>
                      <w:color w:val="000000"/>
                      <w:sz w:val="12"/>
                      <w:szCs w:val="12"/>
                      <w:lang w:eastAsia="en-GB"/>
                    </w:rPr>
                    <w:t>7</w:t>
                  </w:r>
                  <w:r w:rsidRPr="008801D7">
                    <w:rPr>
                      <w:rFonts w:ascii="Calibri" w:hAnsi="Calibri" w:cs="Calibri"/>
                      <w:i/>
                      <w:iCs/>
                      <w:color w:val="000000"/>
                      <w:sz w:val="12"/>
                      <w:szCs w:val="12"/>
                      <w:lang w:eastAsia="en-GB"/>
                    </w:rPr>
                    <w:t>0bps</w:t>
                  </w:r>
                </w:p>
              </w:tc>
              <w:tc>
                <w:tcPr>
                  <w:tcW w:w="580" w:type="dxa"/>
                  <w:tcBorders>
                    <w:top w:val="nil"/>
                    <w:left w:val="single" w:sz="8" w:space="0" w:color="auto"/>
                    <w:bottom w:val="single" w:sz="4" w:space="0" w:color="auto"/>
                    <w:right w:val="single" w:sz="4" w:space="0" w:color="auto"/>
                  </w:tcBorders>
                  <w:shd w:val="clear" w:color="000000" w:fill="FCE4D6"/>
                  <w:noWrap/>
                  <w:vAlign w:val="center"/>
                  <w:hideMark/>
                </w:tcPr>
                <w:p w14:paraId="294A6C0C"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10.5%</w:t>
                  </w:r>
                </w:p>
              </w:tc>
              <w:tc>
                <w:tcPr>
                  <w:tcW w:w="580" w:type="dxa"/>
                  <w:tcBorders>
                    <w:top w:val="nil"/>
                    <w:left w:val="nil"/>
                    <w:bottom w:val="single" w:sz="4" w:space="0" w:color="auto"/>
                    <w:right w:val="single" w:sz="4" w:space="0" w:color="auto"/>
                  </w:tcBorders>
                  <w:shd w:val="clear" w:color="000000" w:fill="FCE4D6"/>
                  <w:noWrap/>
                  <w:vAlign w:val="center"/>
                  <w:hideMark/>
                </w:tcPr>
                <w:p w14:paraId="271FD610"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7.2%</w:t>
                  </w:r>
                </w:p>
              </w:tc>
              <w:tc>
                <w:tcPr>
                  <w:tcW w:w="580" w:type="dxa"/>
                  <w:tcBorders>
                    <w:top w:val="nil"/>
                    <w:left w:val="nil"/>
                    <w:bottom w:val="single" w:sz="4" w:space="0" w:color="auto"/>
                    <w:right w:val="single" w:sz="4" w:space="0" w:color="auto"/>
                  </w:tcBorders>
                  <w:shd w:val="clear" w:color="000000" w:fill="FCE4D6"/>
                  <w:noWrap/>
                  <w:vAlign w:val="center"/>
                  <w:hideMark/>
                </w:tcPr>
                <w:p w14:paraId="0B63E52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+330bps</w:t>
                  </w:r>
                </w:p>
              </w:tc>
              <w:tc>
                <w:tcPr>
                  <w:tcW w:w="580" w:type="dxa"/>
                  <w:tcBorders>
                    <w:top w:val="nil"/>
                    <w:left w:val="nil"/>
                    <w:bottom w:val="single" w:sz="4" w:space="0" w:color="auto"/>
                    <w:right w:val="single" w:sz="8" w:space="0" w:color="auto"/>
                  </w:tcBorders>
                  <w:shd w:val="clear" w:color="000000" w:fill="FCE4D6"/>
                  <w:noWrap/>
                  <w:vAlign w:val="center"/>
                  <w:hideMark/>
                </w:tcPr>
                <w:p w14:paraId="125ACBA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+330bps</w:t>
                  </w:r>
                </w:p>
              </w:tc>
            </w:tr>
            <w:tr w:rsidR="008801D7" w:rsidRPr="008801D7" w14:paraId="2E3C9D0B" w14:textId="77777777" w:rsidTr="008801D7">
              <w:trPr>
                <w:trHeight w:val="1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5B76358E"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2CC"/>
                  <w:noWrap/>
                  <w:vAlign w:val="center"/>
                  <w:hideMark/>
                </w:tcPr>
                <w:p w14:paraId="60F17B6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2CC"/>
                  <w:noWrap/>
                  <w:vAlign w:val="center"/>
                  <w:hideMark/>
                </w:tcPr>
                <w:p w14:paraId="2B16F63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2CC"/>
                  <w:noWrap/>
                  <w:vAlign w:val="center"/>
                  <w:hideMark/>
                </w:tcPr>
                <w:p w14:paraId="2AF00B0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C6E0B4"/>
                  <w:noWrap/>
                  <w:vAlign w:val="center"/>
                  <w:hideMark/>
                </w:tcPr>
                <w:p w14:paraId="55E4A34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C6E0B4"/>
                  <w:noWrap/>
                  <w:vAlign w:val="center"/>
                  <w:hideMark/>
                </w:tcPr>
                <w:p w14:paraId="3F57AA9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C6E0B4"/>
                  <w:noWrap/>
                  <w:vAlign w:val="center"/>
                  <w:hideMark/>
                </w:tcPr>
                <w:p w14:paraId="213727C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single" w:sz="4" w:space="0" w:color="auto"/>
                    <w:bottom w:val="single" w:sz="4" w:space="0" w:color="auto"/>
                    <w:right w:val="single" w:sz="4" w:space="0" w:color="auto"/>
                  </w:tcBorders>
                  <w:shd w:val="clear" w:color="000000" w:fill="BFBFBF"/>
                  <w:noWrap/>
                  <w:vAlign w:val="center"/>
                  <w:hideMark/>
                </w:tcPr>
                <w:p w14:paraId="5BFD285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BFBFBF"/>
                  <w:noWrap/>
                  <w:vAlign w:val="center"/>
                  <w:hideMark/>
                </w:tcPr>
                <w:p w14:paraId="1A00D2B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BFBFBF"/>
                  <w:noWrap/>
                  <w:vAlign w:val="center"/>
                  <w:hideMark/>
                </w:tcPr>
                <w:p w14:paraId="2CA18DA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BFBFBF"/>
                  <w:noWrap/>
                  <w:vAlign w:val="center"/>
                  <w:hideMark/>
                </w:tcPr>
                <w:p w14:paraId="4CC4163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auto" w:fill="auto"/>
                  <w:noWrap/>
                  <w:vAlign w:val="center"/>
                  <w:hideMark/>
                </w:tcPr>
                <w:p w14:paraId="1994E79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FFF"/>
                  <w:noWrap/>
                  <w:vAlign w:val="center"/>
                  <w:hideMark/>
                </w:tcPr>
                <w:p w14:paraId="00855AC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FFF"/>
                  <w:noWrap/>
                  <w:vAlign w:val="center"/>
                  <w:hideMark/>
                </w:tcPr>
                <w:p w14:paraId="16F7823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FFF"/>
                  <w:noWrap/>
                  <w:vAlign w:val="center"/>
                  <w:hideMark/>
                </w:tcPr>
                <w:p w14:paraId="304B6B9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586B95F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32655B4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756C28B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5162872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single" w:sz="8" w:space="0" w:color="auto"/>
                    <w:bottom w:val="single" w:sz="4" w:space="0" w:color="auto"/>
                    <w:right w:val="single" w:sz="4" w:space="0" w:color="auto"/>
                  </w:tcBorders>
                  <w:shd w:val="clear" w:color="000000" w:fill="FCE4D6"/>
                  <w:noWrap/>
                  <w:vAlign w:val="center"/>
                  <w:hideMark/>
                </w:tcPr>
                <w:p w14:paraId="4BE72C6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CE4D6"/>
                  <w:noWrap/>
                  <w:vAlign w:val="center"/>
                  <w:hideMark/>
                </w:tcPr>
                <w:p w14:paraId="7E9F00F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CE4D6"/>
                  <w:noWrap/>
                  <w:vAlign w:val="center"/>
                  <w:hideMark/>
                </w:tcPr>
                <w:p w14:paraId="34F61C7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8" w:space="0" w:color="auto"/>
                  </w:tcBorders>
                  <w:shd w:val="clear" w:color="000000" w:fill="FCE4D6"/>
                  <w:noWrap/>
                  <w:vAlign w:val="center"/>
                  <w:hideMark/>
                </w:tcPr>
                <w:p w14:paraId="60AED56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r>
            <w:tr w:rsidR="008801D7" w:rsidRPr="008801D7" w14:paraId="15AC1393" w14:textId="77777777" w:rsidTr="008801D7">
              <w:trPr>
                <w:trHeight w:val="2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66616850"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Sports revenue</w:t>
                  </w:r>
                </w:p>
              </w:tc>
              <w:tc>
                <w:tcPr>
                  <w:tcW w:w="580" w:type="dxa"/>
                  <w:tcBorders>
                    <w:top w:val="nil"/>
                    <w:left w:val="nil"/>
                    <w:bottom w:val="single" w:sz="4" w:space="0" w:color="auto"/>
                    <w:right w:val="single" w:sz="4" w:space="0" w:color="auto"/>
                  </w:tcBorders>
                  <w:shd w:val="clear" w:color="000000" w:fill="FFF2CC"/>
                  <w:noWrap/>
                  <w:vAlign w:val="center"/>
                  <w:hideMark/>
                </w:tcPr>
                <w:p w14:paraId="41EBC38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211</w:t>
                  </w:r>
                </w:p>
              </w:tc>
              <w:tc>
                <w:tcPr>
                  <w:tcW w:w="580" w:type="dxa"/>
                  <w:tcBorders>
                    <w:top w:val="nil"/>
                    <w:left w:val="nil"/>
                    <w:bottom w:val="single" w:sz="4" w:space="0" w:color="auto"/>
                    <w:right w:val="single" w:sz="4" w:space="0" w:color="auto"/>
                  </w:tcBorders>
                  <w:shd w:val="clear" w:color="000000" w:fill="FFF2CC"/>
                  <w:noWrap/>
                  <w:vAlign w:val="center"/>
                  <w:hideMark/>
                </w:tcPr>
                <w:p w14:paraId="0CB9765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201</w:t>
                  </w:r>
                </w:p>
              </w:tc>
              <w:tc>
                <w:tcPr>
                  <w:tcW w:w="580" w:type="dxa"/>
                  <w:tcBorders>
                    <w:top w:val="nil"/>
                    <w:left w:val="nil"/>
                    <w:bottom w:val="single" w:sz="4" w:space="0" w:color="auto"/>
                    <w:right w:val="single" w:sz="4" w:space="0" w:color="auto"/>
                  </w:tcBorders>
                  <w:shd w:val="clear" w:color="000000" w:fill="FFF2CC"/>
                  <w:noWrap/>
                  <w:vAlign w:val="center"/>
                  <w:hideMark/>
                </w:tcPr>
                <w:p w14:paraId="41FE1FC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w:t>
                  </w:r>
                </w:p>
              </w:tc>
              <w:tc>
                <w:tcPr>
                  <w:tcW w:w="580" w:type="dxa"/>
                  <w:tcBorders>
                    <w:top w:val="nil"/>
                    <w:left w:val="nil"/>
                    <w:bottom w:val="single" w:sz="4" w:space="0" w:color="auto"/>
                    <w:right w:val="single" w:sz="4" w:space="0" w:color="auto"/>
                  </w:tcBorders>
                  <w:shd w:val="clear" w:color="000000" w:fill="C6E0B4"/>
                  <w:noWrap/>
                  <w:vAlign w:val="center"/>
                  <w:hideMark/>
                </w:tcPr>
                <w:p w14:paraId="4D16014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151</w:t>
                  </w:r>
                </w:p>
              </w:tc>
              <w:tc>
                <w:tcPr>
                  <w:tcW w:w="580" w:type="dxa"/>
                  <w:tcBorders>
                    <w:top w:val="nil"/>
                    <w:left w:val="nil"/>
                    <w:bottom w:val="single" w:sz="4" w:space="0" w:color="auto"/>
                    <w:right w:val="single" w:sz="4" w:space="0" w:color="auto"/>
                  </w:tcBorders>
                  <w:shd w:val="clear" w:color="000000" w:fill="C6E0B4"/>
                  <w:noWrap/>
                  <w:vAlign w:val="center"/>
                  <w:hideMark/>
                </w:tcPr>
                <w:p w14:paraId="603B5DB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65</w:t>
                  </w:r>
                </w:p>
              </w:tc>
              <w:tc>
                <w:tcPr>
                  <w:tcW w:w="580" w:type="dxa"/>
                  <w:tcBorders>
                    <w:top w:val="nil"/>
                    <w:left w:val="nil"/>
                    <w:bottom w:val="single" w:sz="4" w:space="0" w:color="auto"/>
                    <w:right w:val="single" w:sz="4" w:space="0" w:color="auto"/>
                  </w:tcBorders>
                  <w:shd w:val="clear" w:color="000000" w:fill="C6E0B4"/>
                  <w:noWrap/>
                  <w:vAlign w:val="center"/>
                  <w:hideMark/>
                </w:tcPr>
                <w:p w14:paraId="6087821C" w14:textId="77777777" w:rsidR="008801D7" w:rsidRPr="008801D7" w:rsidRDefault="008801D7" w:rsidP="00CA2EED">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+13</w:t>
                  </w:r>
                  <w:r w:rsidR="00CA2EED">
                    <w:rPr>
                      <w:rFonts w:ascii="Calibri" w:hAnsi="Calibri" w:cs="Calibri"/>
                      <w:color w:val="000000"/>
                      <w:sz w:val="14"/>
                      <w:szCs w:val="14"/>
                      <w:lang w:eastAsia="en-GB"/>
                    </w:rPr>
                    <w:t>1</w:t>
                  </w:r>
                  <w:r w:rsidRPr="008801D7">
                    <w:rPr>
                      <w:rFonts w:ascii="Calibri" w:hAnsi="Calibri" w:cs="Calibri"/>
                      <w:color w:val="000000"/>
                      <w:sz w:val="14"/>
                      <w:szCs w:val="14"/>
                      <w:lang w:eastAsia="en-GB"/>
                    </w:rPr>
                    <w:t>%</w:t>
                  </w:r>
                </w:p>
              </w:tc>
              <w:tc>
                <w:tcPr>
                  <w:tcW w:w="580" w:type="dxa"/>
                  <w:tcBorders>
                    <w:top w:val="nil"/>
                    <w:left w:val="single" w:sz="4" w:space="0" w:color="auto"/>
                    <w:bottom w:val="single" w:sz="4" w:space="0" w:color="auto"/>
                    <w:right w:val="single" w:sz="4" w:space="0" w:color="auto"/>
                  </w:tcBorders>
                  <w:shd w:val="clear" w:color="000000" w:fill="BFBFBF"/>
                  <w:noWrap/>
                  <w:vAlign w:val="center"/>
                  <w:hideMark/>
                </w:tcPr>
                <w:p w14:paraId="4997485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w:t>
                  </w:r>
                </w:p>
              </w:tc>
              <w:tc>
                <w:tcPr>
                  <w:tcW w:w="580" w:type="dxa"/>
                  <w:tcBorders>
                    <w:top w:val="nil"/>
                    <w:left w:val="nil"/>
                    <w:bottom w:val="single" w:sz="4" w:space="0" w:color="auto"/>
                    <w:right w:val="single" w:sz="4" w:space="0" w:color="auto"/>
                  </w:tcBorders>
                  <w:shd w:val="clear" w:color="000000" w:fill="BFBFBF"/>
                  <w:noWrap/>
                  <w:vAlign w:val="center"/>
                  <w:hideMark/>
                </w:tcPr>
                <w:p w14:paraId="4BBECEC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w:t>
                  </w:r>
                </w:p>
              </w:tc>
              <w:tc>
                <w:tcPr>
                  <w:tcW w:w="580" w:type="dxa"/>
                  <w:tcBorders>
                    <w:top w:val="nil"/>
                    <w:left w:val="nil"/>
                    <w:bottom w:val="single" w:sz="4" w:space="0" w:color="auto"/>
                    <w:right w:val="single" w:sz="4" w:space="0" w:color="auto"/>
                  </w:tcBorders>
                  <w:shd w:val="clear" w:color="000000" w:fill="BFBFBF"/>
                  <w:noWrap/>
                  <w:vAlign w:val="center"/>
                  <w:hideMark/>
                </w:tcPr>
                <w:p w14:paraId="720E8ED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w:t>
                  </w:r>
                </w:p>
              </w:tc>
              <w:tc>
                <w:tcPr>
                  <w:tcW w:w="580" w:type="dxa"/>
                  <w:tcBorders>
                    <w:top w:val="nil"/>
                    <w:left w:val="nil"/>
                    <w:bottom w:val="single" w:sz="4" w:space="0" w:color="auto"/>
                    <w:right w:val="single" w:sz="4" w:space="0" w:color="auto"/>
                  </w:tcBorders>
                  <w:shd w:val="clear" w:color="000000" w:fill="BFBFBF"/>
                  <w:noWrap/>
                  <w:vAlign w:val="center"/>
                  <w:hideMark/>
                </w:tcPr>
                <w:p w14:paraId="338AA7F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w:t>
                  </w:r>
                </w:p>
              </w:tc>
              <w:tc>
                <w:tcPr>
                  <w:tcW w:w="580" w:type="dxa"/>
                  <w:tcBorders>
                    <w:top w:val="nil"/>
                    <w:left w:val="nil"/>
                    <w:bottom w:val="single" w:sz="4" w:space="0" w:color="auto"/>
                    <w:right w:val="single" w:sz="4" w:space="0" w:color="auto"/>
                  </w:tcBorders>
                  <w:shd w:val="clear" w:color="auto" w:fill="auto"/>
                  <w:noWrap/>
                  <w:vAlign w:val="center"/>
                  <w:hideMark/>
                </w:tcPr>
                <w:p w14:paraId="6959C0A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161</w:t>
                  </w:r>
                </w:p>
              </w:tc>
              <w:tc>
                <w:tcPr>
                  <w:tcW w:w="580" w:type="dxa"/>
                  <w:tcBorders>
                    <w:top w:val="nil"/>
                    <w:left w:val="nil"/>
                    <w:bottom w:val="single" w:sz="4" w:space="0" w:color="auto"/>
                    <w:right w:val="single" w:sz="4" w:space="0" w:color="auto"/>
                  </w:tcBorders>
                  <w:shd w:val="clear" w:color="000000" w:fill="FFFFFF"/>
                  <w:noWrap/>
                  <w:vAlign w:val="center"/>
                  <w:hideMark/>
                </w:tcPr>
                <w:p w14:paraId="3340F3C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148</w:t>
                  </w:r>
                </w:p>
              </w:tc>
              <w:tc>
                <w:tcPr>
                  <w:tcW w:w="580" w:type="dxa"/>
                  <w:tcBorders>
                    <w:top w:val="nil"/>
                    <w:left w:val="nil"/>
                    <w:bottom w:val="single" w:sz="4" w:space="0" w:color="auto"/>
                    <w:right w:val="single" w:sz="4" w:space="0" w:color="auto"/>
                  </w:tcBorders>
                  <w:shd w:val="clear" w:color="auto" w:fill="auto"/>
                  <w:noWrap/>
                  <w:vAlign w:val="center"/>
                  <w:hideMark/>
                </w:tcPr>
                <w:p w14:paraId="5DD3FD3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+9%</w:t>
                  </w:r>
                </w:p>
              </w:tc>
              <w:tc>
                <w:tcPr>
                  <w:tcW w:w="580" w:type="dxa"/>
                  <w:tcBorders>
                    <w:top w:val="nil"/>
                    <w:left w:val="nil"/>
                    <w:bottom w:val="single" w:sz="4" w:space="0" w:color="auto"/>
                    <w:right w:val="single" w:sz="4" w:space="0" w:color="auto"/>
                  </w:tcBorders>
                  <w:shd w:val="clear" w:color="auto" w:fill="auto"/>
                  <w:noWrap/>
                  <w:vAlign w:val="center"/>
                  <w:hideMark/>
                </w:tcPr>
                <w:p w14:paraId="28A6197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w:t>
                  </w:r>
                </w:p>
              </w:tc>
              <w:tc>
                <w:tcPr>
                  <w:tcW w:w="580" w:type="dxa"/>
                  <w:tcBorders>
                    <w:top w:val="nil"/>
                    <w:left w:val="nil"/>
                    <w:bottom w:val="single" w:sz="4" w:space="0" w:color="auto"/>
                    <w:right w:val="single" w:sz="4" w:space="0" w:color="auto"/>
                  </w:tcBorders>
                  <w:shd w:val="clear" w:color="000000" w:fill="D9E1F2"/>
                  <w:noWrap/>
                  <w:vAlign w:val="center"/>
                  <w:hideMark/>
                </w:tcPr>
                <w:p w14:paraId="072BFF6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88</w:t>
                  </w:r>
                </w:p>
              </w:tc>
              <w:tc>
                <w:tcPr>
                  <w:tcW w:w="580" w:type="dxa"/>
                  <w:tcBorders>
                    <w:top w:val="nil"/>
                    <w:left w:val="nil"/>
                    <w:bottom w:val="single" w:sz="4" w:space="0" w:color="auto"/>
                    <w:right w:val="single" w:sz="4" w:space="0" w:color="auto"/>
                  </w:tcBorders>
                  <w:shd w:val="clear" w:color="000000" w:fill="D9E1F2"/>
                  <w:noWrap/>
                  <w:vAlign w:val="center"/>
                  <w:hideMark/>
                </w:tcPr>
                <w:p w14:paraId="3DF251C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69</w:t>
                  </w:r>
                </w:p>
              </w:tc>
              <w:tc>
                <w:tcPr>
                  <w:tcW w:w="580" w:type="dxa"/>
                  <w:tcBorders>
                    <w:top w:val="nil"/>
                    <w:left w:val="nil"/>
                    <w:bottom w:val="single" w:sz="4" w:space="0" w:color="auto"/>
                    <w:right w:val="single" w:sz="4" w:space="0" w:color="auto"/>
                  </w:tcBorders>
                  <w:shd w:val="clear" w:color="000000" w:fill="D9E1F2"/>
                  <w:noWrap/>
                  <w:vAlign w:val="center"/>
                  <w:hideMark/>
                </w:tcPr>
                <w:p w14:paraId="1438626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+28%</w:t>
                  </w:r>
                </w:p>
              </w:tc>
              <w:tc>
                <w:tcPr>
                  <w:tcW w:w="580" w:type="dxa"/>
                  <w:tcBorders>
                    <w:top w:val="nil"/>
                    <w:left w:val="nil"/>
                    <w:bottom w:val="single" w:sz="4" w:space="0" w:color="auto"/>
                    <w:right w:val="single" w:sz="4" w:space="0" w:color="auto"/>
                  </w:tcBorders>
                  <w:shd w:val="clear" w:color="000000" w:fill="D9E1F2"/>
                  <w:noWrap/>
                  <w:vAlign w:val="center"/>
                  <w:hideMark/>
                </w:tcPr>
                <w:p w14:paraId="5224408B"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+25%</w:t>
                  </w:r>
                </w:p>
              </w:tc>
              <w:tc>
                <w:tcPr>
                  <w:tcW w:w="580" w:type="dxa"/>
                  <w:tcBorders>
                    <w:top w:val="nil"/>
                    <w:left w:val="single" w:sz="8" w:space="0" w:color="auto"/>
                    <w:bottom w:val="single" w:sz="4" w:space="0" w:color="auto"/>
                    <w:right w:val="single" w:sz="4" w:space="0" w:color="auto"/>
                  </w:tcBorders>
                  <w:shd w:val="clear" w:color="000000" w:fill="FCE4D6"/>
                  <w:noWrap/>
                  <w:vAlign w:val="center"/>
                  <w:hideMark/>
                </w:tcPr>
                <w:p w14:paraId="53CCEBA3" w14:textId="77777777" w:rsidR="008801D7" w:rsidRPr="008801D7" w:rsidRDefault="008801D7" w:rsidP="00CA2EED">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62</w:t>
                  </w:r>
                  <w:r w:rsidR="00CA2EED">
                    <w:rPr>
                      <w:rFonts w:ascii="Calibri" w:hAnsi="Calibri" w:cs="Calibri"/>
                      <w:color w:val="000000"/>
                      <w:sz w:val="14"/>
                      <w:szCs w:val="14"/>
                      <w:lang w:eastAsia="en-GB"/>
                    </w:rPr>
                    <w:t>7</w:t>
                  </w:r>
                </w:p>
              </w:tc>
              <w:tc>
                <w:tcPr>
                  <w:tcW w:w="580" w:type="dxa"/>
                  <w:tcBorders>
                    <w:top w:val="nil"/>
                    <w:left w:val="nil"/>
                    <w:bottom w:val="single" w:sz="4" w:space="0" w:color="auto"/>
                    <w:right w:val="single" w:sz="4" w:space="0" w:color="auto"/>
                  </w:tcBorders>
                  <w:shd w:val="clear" w:color="000000" w:fill="FCE4D6"/>
                  <w:noWrap/>
                  <w:vAlign w:val="center"/>
                  <w:hideMark/>
                </w:tcPr>
                <w:p w14:paraId="7778AF9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499</w:t>
                  </w:r>
                </w:p>
              </w:tc>
              <w:tc>
                <w:tcPr>
                  <w:tcW w:w="580" w:type="dxa"/>
                  <w:tcBorders>
                    <w:top w:val="nil"/>
                    <w:left w:val="nil"/>
                    <w:bottom w:val="single" w:sz="4" w:space="0" w:color="auto"/>
                    <w:right w:val="single" w:sz="4" w:space="0" w:color="auto"/>
                  </w:tcBorders>
                  <w:shd w:val="clear" w:color="000000" w:fill="FCE4D6"/>
                  <w:noWrap/>
                  <w:vAlign w:val="center"/>
                  <w:hideMark/>
                </w:tcPr>
                <w:p w14:paraId="6BF4485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+26%</w:t>
                  </w:r>
                </w:p>
              </w:tc>
              <w:tc>
                <w:tcPr>
                  <w:tcW w:w="580" w:type="dxa"/>
                  <w:tcBorders>
                    <w:top w:val="nil"/>
                    <w:left w:val="nil"/>
                    <w:bottom w:val="single" w:sz="4" w:space="0" w:color="auto"/>
                    <w:right w:val="single" w:sz="8" w:space="0" w:color="auto"/>
                  </w:tcBorders>
                  <w:shd w:val="clear" w:color="000000" w:fill="FCE4D6"/>
                  <w:noWrap/>
                  <w:vAlign w:val="center"/>
                  <w:hideMark/>
                </w:tcPr>
                <w:p w14:paraId="1587CC0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+28%</w:t>
                  </w:r>
                </w:p>
              </w:tc>
            </w:tr>
            <w:tr w:rsidR="008801D7" w:rsidRPr="008801D7" w14:paraId="42888F24" w14:textId="77777777" w:rsidTr="008801D7">
              <w:trPr>
                <w:trHeight w:val="2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577A3C1"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Gaming revenue</w:t>
                  </w:r>
                </w:p>
              </w:tc>
              <w:tc>
                <w:tcPr>
                  <w:tcW w:w="580" w:type="dxa"/>
                  <w:tcBorders>
                    <w:top w:val="nil"/>
                    <w:left w:val="nil"/>
                    <w:bottom w:val="single" w:sz="4" w:space="0" w:color="auto"/>
                    <w:right w:val="single" w:sz="4" w:space="0" w:color="auto"/>
                  </w:tcBorders>
                  <w:shd w:val="clear" w:color="000000" w:fill="FFF2CC"/>
                  <w:noWrap/>
                  <w:vAlign w:val="center"/>
                  <w:hideMark/>
                </w:tcPr>
                <w:p w14:paraId="59D1E32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107</w:t>
                  </w:r>
                </w:p>
              </w:tc>
              <w:tc>
                <w:tcPr>
                  <w:tcW w:w="580" w:type="dxa"/>
                  <w:tcBorders>
                    <w:top w:val="nil"/>
                    <w:left w:val="nil"/>
                    <w:bottom w:val="single" w:sz="4" w:space="0" w:color="auto"/>
                    <w:right w:val="single" w:sz="4" w:space="0" w:color="auto"/>
                  </w:tcBorders>
                  <w:shd w:val="clear" w:color="000000" w:fill="FFF2CC"/>
                  <w:noWrap/>
                  <w:vAlign w:val="center"/>
                  <w:hideMark/>
                </w:tcPr>
                <w:p w14:paraId="64051AC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108</w:t>
                  </w:r>
                </w:p>
              </w:tc>
              <w:tc>
                <w:tcPr>
                  <w:tcW w:w="580" w:type="dxa"/>
                  <w:tcBorders>
                    <w:top w:val="nil"/>
                    <w:left w:val="nil"/>
                    <w:bottom w:val="single" w:sz="4" w:space="0" w:color="auto"/>
                    <w:right w:val="single" w:sz="4" w:space="0" w:color="auto"/>
                  </w:tcBorders>
                  <w:shd w:val="clear" w:color="000000" w:fill="FFF2CC"/>
                  <w:noWrap/>
                  <w:vAlign w:val="center"/>
                  <w:hideMark/>
                </w:tcPr>
                <w:p w14:paraId="32E2021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w:t>
                  </w:r>
                </w:p>
              </w:tc>
              <w:tc>
                <w:tcPr>
                  <w:tcW w:w="580" w:type="dxa"/>
                  <w:tcBorders>
                    <w:top w:val="nil"/>
                    <w:left w:val="nil"/>
                    <w:bottom w:val="single" w:sz="4" w:space="0" w:color="auto"/>
                    <w:right w:val="single" w:sz="4" w:space="0" w:color="auto"/>
                  </w:tcBorders>
                  <w:shd w:val="clear" w:color="000000" w:fill="C6E0B4"/>
                  <w:noWrap/>
                  <w:vAlign w:val="center"/>
                  <w:hideMark/>
                </w:tcPr>
                <w:p w14:paraId="2376069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80</w:t>
                  </w:r>
                </w:p>
              </w:tc>
              <w:tc>
                <w:tcPr>
                  <w:tcW w:w="580" w:type="dxa"/>
                  <w:tcBorders>
                    <w:top w:val="nil"/>
                    <w:left w:val="nil"/>
                    <w:bottom w:val="single" w:sz="4" w:space="0" w:color="auto"/>
                    <w:right w:val="single" w:sz="4" w:space="0" w:color="auto"/>
                  </w:tcBorders>
                  <w:shd w:val="clear" w:color="000000" w:fill="C6E0B4"/>
                  <w:noWrap/>
                  <w:vAlign w:val="center"/>
                  <w:hideMark/>
                </w:tcPr>
                <w:p w14:paraId="01E896F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72</w:t>
                  </w:r>
                </w:p>
              </w:tc>
              <w:tc>
                <w:tcPr>
                  <w:tcW w:w="580" w:type="dxa"/>
                  <w:tcBorders>
                    <w:top w:val="nil"/>
                    <w:left w:val="nil"/>
                    <w:bottom w:val="single" w:sz="4" w:space="0" w:color="auto"/>
                    <w:right w:val="single" w:sz="4" w:space="0" w:color="auto"/>
                  </w:tcBorders>
                  <w:shd w:val="clear" w:color="000000" w:fill="C6E0B4"/>
                  <w:noWrap/>
                  <w:vAlign w:val="center"/>
                  <w:hideMark/>
                </w:tcPr>
                <w:p w14:paraId="52F46B1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80" w:type="dxa"/>
                  <w:tcBorders>
                    <w:top w:val="nil"/>
                    <w:left w:val="single" w:sz="4" w:space="0" w:color="auto"/>
                    <w:bottom w:val="single" w:sz="4" w:space="0" w:color="auto"/>
                    <w:right w:val="single" w:sz="4" w:space="0" w:color="auto"/>
                  </w:tcBorders>
                  <w:shd w:val="clear" w:color="000000" w:fill="BFBFBF"/>
                  <w:noWrap/>
                  <w:vAlign w:val="center"/>
                  <w:hideMark/>
                </w:tcPr>
                <w:p w14:paraId="05BCC6F2" w14:textId="77777777" w:rsidR="008801D7" w:rsidRPr="008801D7" w:rsidRDefault="008801D7" w:rsidP="00CA2EED">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26</w:t>
                  </w:r>
                  <w:r w:rsidR="00CA2EED">
                    <w:rPr>
                      <w:rFonts w:ascii="Calibri" w:hAnsi="Calibri" w:cs="Calibri"/>
                      <w:color w:val="000000"/>
                      <w:sz w:val="14"/>
                      <w:szCs w:val="14"/>
                      <w:lang w:eastAsia="en-GB"/>
                    </w:rPr>
                    <w:t>8</w:t>
                  </w:r>
                </w:p>
              </w:tc>
              <w:tc>
                <w:tcPr>
                  <w:tcW w:w="580" w:type="dxa"/>
                  <w:tcBorders>
                    <w:top w:val="nil"/>
                    <w:left w:val="nil"/>
                    <w:bottom w:val="single" w:sz="4" w:space="0" w:color="auto"/>
                    <w:right w:val="single" w:sz="4" w:space="0" w:color="auto"/>
                  </w:tcBorders>
                  <w:shd w:val="clear" w:color="000000" w:fill="BFBFBF"/>
                  <w:noWrap/>
                  <w:vAlign w:val="center"/>
                  <w:hideMark/>
                </w:tcPr>
                <w:p w14:paraId="3628F2E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245</w:t>
                  </w:r>
                </w:p>
              </w:tc>
              <w:tc>
                <w:tcPr>
                  <w:tcW w:w="580" w:type="dxa"/>
                  <w:tcBorders>
                    <w:top w:val="nil"/>
                    <w:left w:val="nil"/>
                    <w:bottom w:val="single" w:sz="4" w:space="0" w:color="auto"/>
                    <w:right w:val="single" w:sz="4" w:space="0" w:color="auto"/>
                  </w:tcBorders>
                  <w:shd w:val="clear" w:color="000000" w:fill="BFBFBF"/>
                  <w:noWrap/>
                  <w:vAlign w:val="center"/>
                  <w:hideMark/>
                </w:tcPr>
                <w:p w14:paraId="5BFA67B8" w14:textId="77777777" w:rsidR="008801D7" w:rsidRPr="008801D7" w:rsidRDefault="008801D7" w:rsidP="00CA2EED">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w:t>
                  </w:r>
                  <w:r w:rsidR="00CA2EED">
                    <w:rPr>
                      <w:rFonts w:ascii="Calibri" w:hAnsi="Calibri" w:cs="Calibri"/>
                      <w:color w:val="000000"/>
                      <w:sz w:val="14"/>
                      <w:szCs w:val="14"/>
                      <w:lang w:eastAsia="en-GB"/>
                    </w:rPr>
                    <w:t>10</w:t>
                  </w:r>
                  <w:r w:rsidRPr="008801D7">
                    <w:rPr>
                      <w:rFonts w:ascii="Calibri" w:hAnsi="Calibri" w:cs="Calibri"/>
                      <w:color w:val="000000"/>
                      <w:sz w:val="14"/>
                      <w:szCs w:val="14"/>
                      <w:lang w:eastAsia="en-GB"/>
                    </w:rPr>
                    <w:t>%</w:t>
                  </w:r>
                </w:p>
              </w:tc>
              <w:tc>
                <w:tcPr>
                  <w:tcW w:w="580" w:type="dxa"/>
                  <w:tcBorders>
                    <w:top w:val="nil"/>
                    <w:left w:val="nil"/>
                    <w:bottom w:val="single" w:sz="4" w:space="0" w:color="auto"/>
                    <w:right w:val="single" w:sz="4" w:space="0" w:color="auto"/>
                  </w:tcBorders>
                  <w:shd w:val="clear" w:color="000000" w:fill="BFBFBF"/>
                  <w:noWrap/>
                  <w:vAlign w:val="center"/>
                  <w:hideMark/>
                </w:tcPr>
                <w:p w14:paraId="3069F0B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80" w:type="dxa"/>
                  <w:tcBorders>
                    <w:top w:val="nil"/>
                    <w:left w:val="nil"/>
                    <w:bottom w:val="single" w:sz="4" w:space="0" w:color="auto"/>
                    <w:right w:val="single" w:sz="4" w:space="0" w:color="auto"/>
                  </w:tcBorders>
                  <w:shd w:val="clear" w:color="000000" w:fill="FFFFFF"/>
                  <w:noWrap/>
                  <w:vAlign w:val="center"/>
                  <w:hideMark/>
                </w:tcPr>
                <w:p w14:paraId="6B443B0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80" w:type="dxa"/>
                  <w:tcBorders>
                    <w:top w:val="nil"/>
                    <w:left w:val="nil"/>
                    <w:bottom w:val="single" w:sz="4" w:space="0" w:color="auto"/>
                    <w:right w:val="single" w:sz="4" w:space="0" w:color="auto"/>
                  </w:tcBorders>
                  <w:shd w:val="clear" w:color="000000" w:fill="FFFFFF"/>
                  <w:noWrap/>
                  <w:vAlign w:val="center"/>
                  <w:hideMark/>
                </w:tcPr>
                <w:p w14:paraId="339A3FC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80" w:type="dxa"/>
                  <w:tcBorders>
                    <w:top w:val="nil"/>
                    <w:left w:val="nil"/>
                    <w:bottom w:val="single" w:sz="4" w:space="0" w:color="auto"/>
                    <w:right w:val="single" w:sz="4" w:space="0" w:color="auto"/>
                  </w:tcBorders>
                  <w:shd w:val="clear" w:color="000000" w:fill="FFFFFF"/>
                  <w:noWrap/>
                  <w:vAlign w:val="center"/>
                  <w:hideMark/>
                </w:tcPr>
                <w:p w14:paraId="3F8CCDD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n/a</w:t>
                  </w:r>
                </w:p>
              </w:tc>
              <w:tc>
                <w:tcPr>
                  <w:tcW w:w="580" w:type="dxa"/>
                  <w:tcBorders>
                    <w:top w:val="nil"/>
                    <w:left w:val="nil"/>
                    <w:bottom w:val="single" w:sz="4" w:space="0" w:color="auto"/>
                    <w:right w:val="single" w:sz="4" w:space="0" w:color="auto"/>
                  </w:tcBorders>
                  <w:shd w:val="clear" w:color="000000" w:fill="FFFFFF"/>
                  <w:noWrap/>
                  <w:vAlign w:val="center"/>
                  <w:hideMark/>
                </w:tcPr>
                <w:p w14:paraId="17C0AAB0" w14:textId="77777777" w:rsidR="008801D7" w:rsidRPr="008801D7" w:rsidRDefault="00CA2EED" w:rsidP="008801D7">
                  <w:pPr>
                    <w:jc w:val="right"/>
                    <w:rPr>
                      <w:rFonts w:ascii="Calibri" w:hAnsi="Calibri" w:cs="Calibri"/>
                      <w:color w:val="000000"/>
                      <w:sz w:val="14"/>
                      <w:szCs w:val="14"/>
                      <w:lang w:eastAsia="en-GB"/>
                    </w:rPr>
                  </w:pPr>
                  <w:r>
                    <w:rPr>
                      <w:rFonts w:ascii="Calibri" w:hAnsi="Calibri" w:cs="Calibri"/>
                      <w:color w:val="000000"/>
                      <w:sz w:val="14"/>
                      <w:szCs w:val="14"/>
                      <w:lang w:eastAsia="en-GB"/>
                    </w:rPr>
                    <w:t>n/a</w:t>
                  </w:r>
                  <w:r w:rsidR="008801D7"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5560DAA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w:t>
                  </w:r>
                </w:p>
              </w:tc>
              <w:tc>
                <w:tcPr>
                  <w:tcW w:w="580" w:type="dxa"/>
                  <w:tcBorders>
                    <w:top w:val="nil"/>
                    <w:left w:val="nil"/>
                    <w:bottom w:val="single" w:sz="4" w:space="0" w:color="auto"/>
                    <w:right w:val="single" w:sz="4" w:space="0" w:color="auto"/>
                  </w:tcBorders>
                  <w:shd w:val="clear" w:color="000000" w:fill="D9E1F2"/>
                  <w:noWrap/>
                  <w:vAlign w:val="center"/>
                  <w:hideMark/>
                </w:tcPr>
                <w:p w14:paraId="7FB14C2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80" w:type="dxa"/>
                  <w:tcBorders>
                    <w:top w:val="nil"/>
                    <w:left w:val="nil"/>
                    <w:bottom w:val="single" w:sz="4" w:space="0" w:color="auto"/>
                    <w:right w:val="single" w:sz="4" w:space="0" w:color="auto"/>
                  </w:tcBorders>
                  <w:shd w:val="clear" w:color="000000" w:fill="D9E1F2"/>
                  <w:noWrap/>
                  <w:vAlign w:val="center"/>
                  <w:hideMark/>
                </w:tcPr>
                <w:p w14:paraId="4FC2537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+313%</w:t>
                  </w:r>
                </w:p>
              </w:tc>
              <w:tc>
                <w:tcPr>
                  <w:tcW w:w="580" w:type="dxa"/>
                  <w:tcBorders>
                    <w:top w:val="nil"/>
                    <w:left w:val="nil"/>
                    <w:bottom w:val="single" w:sz="4" w:space="0" w:color="auto"/>
                    <w:right w:val="single" w:sz="4" w:space="0" w:color="auto"/>
                  </w:tcBorders>
                  <w:shd w:val="clear" w:color="000000" w:fill="D9E1F2"/>
                  <w:noWrap/>
                  <w:vAlign w:val="center"/>
                  <w:hideMark/>
                </w:tcPr>
                <w:p w14:paraId="6D0824F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+304%</w:t>
                  </w:r>
                </w:p>
              </w:tc>
              <w:tc>
                <w:tcPr>
                  <w:tcW w:w="580" w:type="dxa"/>
                  <w:tcBorders>
                    <w:top w:val="nil"/>
                    <w:left w:val="single" w:sz="8" w:space="0" w:color="auto"/>
                    <w:bottom w:val="single" w:sz="4" w:space="0" w:color="auto"/>
                    <w:right w:val="single" w:sz="4" w:space="0" w:color="auto"/>
                  </w:tcBorders>
                  <w:shd w:val="clear" w:color="000000" w:fill="FCE4D6"/>
                  <w:noWrap/>
                  <w:vAlign w:val="center"/>
                  <w:hideMark/>
                </w:tcPr>
                <w:p w14:paraId="6C7DF3E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498</w:t>
                  </w:r>
                </w:p>
              </w:tc>
              <w:tc>
                <w:tcPr>
                  <w:tcW w:w="580" w:type="dxa"/>
                  <w:tcBorders>
                    <w:top w:val="nil"/>
                    <w:left w:val="nil"/>
                    <w:bottom w:val="single" w:sz="4" w:space="0" w:color="auto"/>
                    <w:right w:val="single" w:sz="4" w:space="0" w:color="auto"/>
                  </w:tcBorders>
                  <w:shd w:val="clear" w:color="000000" w:fill="FCE4D6"/>
                  <w:noWrap/>
                  <w:vAlign w:val="center"/>
                  <w:hideMark/>
                </w:tcPr>
                <w:p w14:paraId="370415A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435</w:t>
                  </w:r>
                </w:p>
              </w:tc>
              <w:tc>
                <w:tcPr>
                  <w:tcW w:w="580" w:type="dxa"/>
                  <w:tcBorders>
                    <w:top w:val="nil"/>
                    <w:left w:val="nil"/>
                    <w:bottom w:val="single" w:sz="4" w:space="0" w:color="auto"/>
                    <w:right w:val="single" w:sz="4" w:space="0" w:color="auto"/>
                  </w:tcBorders>
                  <w:shd w:val="clear" w:color="000000" w:fill="FCE4D6"/>
                  <w:noWrap/>
                  <w:vAlign w:val="center"/>
                  <w:hideMark/>
                </w:tcPr>
                <w:p w14:paraId="32BE9A6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c>
                <w:tcPr>
                  <w:tcW w:w="580" w:type="dxa"/>
                  <w:tcBorders>
                    <w:top w:val="nil"/>
                    <w:left w:val="nil"/>
                    <w:bottom w:val="single" w:sz="4" w:space="0" w:color="auto"/>
                    <w:right w:val="single" w:sz="8" w:space="0" w:color="auto"/>
                  </w:tcBorders>
                  <w:shd w:val="clear" w:color="000000" w:fill="FCE4D6"/>
                  <w:noWrap/>
                  <w:vAlign w:val="center"/>
                  <w:hideMark/>
                </w:tcPr>
                <w:p w14:paraId="553738B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w:t>
                  </w:r>
                </w:p>
              </w:tc>
            </w:tr>
            <w:tr w:rsidR="008801D7" w:rsidRPr="008801D7" w14:paraId="21674697" w14:textId="77777777" w:rsidTr="008801D7">
              <w:trPr>
                <w:trHeight w:val="2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14:paraId="0BE821D0"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Total revenue</w:t>
                  </w:r>
                </w:p>
              </w:tc>
              <w:tc>
                <w:tcPr>
                  <w:tcW w:w="580" w:type="dxa"/>
                  <w:tcBorders>
                    <w:top w:val="nil"/>
                    <w:left w:val="nil"/>
                    <w:bottom w:val="single" w:sz="4" w:space="0" w:color="auto"/>
                    <w:right w:val="single" w:sz="4" w:space="0" w:color="auto"/>
                  </w:tcBorders>
                  <w:shd w:val="clear" w:color="000000" w:fill="FFF2CC"/>
                  <w:noWrap/>
                  <w:vAlign w:val="center"/>
                  <w:hideMark/>
                </w:tcPr>
                <w:p w14:paraId="6365D1D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318</w:t>
                  </w:r>
                </w:p>
              </w:tc>
              <w:tc>
                <w:tcPr>
                  <w:tcW w:w="580" w:type="dxa"/>
                  <w:tcBorders>
                    <w:top w:val="nil"/>
                    <w:left w:val="nil"/>
                    <w:bottom w:val="single" w:sz="4" w:space="0" w:color="auto"/>
                    <w:right w:val="single" w:sz="4" w:space="0" w:color="auto"/>
                  </w:tcBorders>
                  <w:shd w:val="clear" w:color="000000" w:fill="FFF2CC"/>
                  <w:noWrap/>
                  <w:vAlign w:val="center"/>
                  <w:hideMark/>
                </w:tcPr>
                <w:p w14:paraId="54304EE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310</w:t>
                  </w:r>
                </w:p>
              </w:tc>
              <w:tc>
                <w:tcPr>
                  <w:tcW w:w="580" w:type="dxa"/>
                  <w:tcBorders>
                    <w:top w:val="nil"/>
                    <w:left w:val="nil"/>
                    <w:bottom w:val="single" w:sz="4" w:space="0" w:color="auto"/>
                    <w:right w:val="single" w:sz="4" w:space="0" w:color="auto"/>
                  </w:tcBorders>
                  <w:shd w:val="clear" w:color="000000" w:fill="FFF2CC"/>
                  <w:noWrap/>
                  <w:vAlign w:val="center"/>
                  <w:hideMark/>
                </w:tcPr>
                <w:p w14:paraId="5C4F719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w:t>
                  </w:r>
                </w:p>
              </w:tc>
              <w:tc>
                <w:tcPr>
                  <w:tcW w:w="580" w:type="dxa"/>
                  <w:tcBorders>
                    <w:top w:val="nil"/>
                    <w:left w:val="nil"/>
                    <w:bottom w:val="single" w:sz="4" w:space="0" w:color="auto"/>
                    <w:right w:val="single" w:sz="4" w:space="0" w:color="auto"/>
                  </w:tcBorders>
                  <w:shd w:val="clear" w:color="000000" w:fill="C6E0B4"/>
                  <w:noWrap/>
                  <w:vAlign w:val="center"/>
                  <w:hideMark/>
                </w:tcPr>
                <w:p w14:paraId="6EC5BC3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231</w:t>
                  </w:r>
                </w:p>
              </w:tc>
              <w:tc>
                <w:tcPr>
                  <w:tcW w:w="580" w:type="dxa"/>
                  <w:tcBorders>
                    <w:top w:val="nil"/>
                    <w:left w:val="nil"/>
                    <w:bottom w:val="single" w:sz="4" w:space="0" w:color="auto"/>
                    <w:right w:val="single" w:sz="4" w:space="0" w:color="auto"/>
                  </w:tcBorders>
                  <w:shd w:val="clear" w:color="000000" w:fill="C6E0B4"/>
                  <w:noWrap/>
                  <w:vAlign w:val="center"/>
                  <w:hideMark/>
                </w:tcPr>
                <w:p w14:paraId="32D28EA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137</w:t>
                  </w:r>
                </w:p>
              </w:tc>
              <w:tc>
                <w:tcPr>
                  <w:tcW w:w="580" w:type="dxa"/>
                  <w:tcBorders>
                    <w:top w:val="nil"/>
                    <w:left w:val="nil"/>
                    <w:bottom w:val="single" w:sz="4" w:space="0" w:color="auto"/>
                    <w:right w:val="single" w:sz="4" w:space="0" w:color="auto"/>
                  </w:tcBorders>
                  <w:shd w:val="clear" w:color="000000" w:fill="C6E0B4"/>
                  <w:noWrap/>
                  <w:vAlign w:val="center"/>
                  <w:hideMark/>
                </w:tcPr>
                <w:p w14:paraId="52B8771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w:t>
                  </w:r>
                  <w:r w:rsidR="00CA2EED">
                    <w:rPr>
                      <w:rFonts w:ascii="Calibri" w:hAnsi="Calibri" w:cs="Calibri"/>
                      <w:b/>
                      <w:bCs/>
                      <w:color w:val="000000"/>
                      <w:sz w:val="14"/>
                      <w:szCs w:val="14"/>
                      <w:lang w:eastAsia="en-GB"/>
                    </w:rPr>
                    <w:t>8</w:t>
                  </w:r>
                  <w:r w:rsidRPr="008801D7">
                    <w:rPr>
                      <w:rFonts w:ascii="Calibri" w:hAnsi="Calibri" w:cs="Calibri"/>
                      <w:b/>
                      <w:bCs/>
                      <w:color w:val="000000"/>
                      <w:sz w:val="14"/>
                      <w:szCs w:val="14"/>
                      <w:lang w:eastAsia="en-GB"/>
                    </w:rPr>
                    <w:t>%</w:t>
                  </w:r>
                </w:p>
              </w:tc>
              <w:tc>
                <w:tcPr>
                  <w:tcW w:w="580" w:type="dxa"/>
                  <w:tcBorders>
                    <w:top w:val="nil"/>
                    <w:left w:val="single" w:sz="4" w:space="0" w:color="auto"/>
                    <w:bottom w:val="single" w:sz="4" w:space="0" w:color="auto"/>
                    <w:right w:val="single" w:sz="4" w:space="0" w:color="auto"/>
                  </w:tcBorders>
                  <w:shd w:val="clear" w:color="000000" w:fill="BFBFBF"/>
                  <w:noWrap/>
                  <w:vAlign w:val="center"/>
                  <w:hideMark/>
                </w:tcPr>
                <w:p w14:paraId="09BC701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284</w:t>
                  </w:r>
                </w:p>
              </w:tc>
              <w:tc>
                <w:tcPr>
                  <w:tcW w:w="580" w:type="dxa"/>
                  <w:tcBorders>
                    <w:top w:val="nil"/>
                    <w:left w:val="nil"/>
                    <w:bottom w:val="single" w:sz="4" w:space="0" w:color="auto"/>
                    <w:right w:val="single" w:sz="4" w:space="0" w:color="auto"/>
                  </w:tcBorders>
                  <w:shd w:val="clear" w:color="000000" w:fill="BFBFBF"/>
                  <w:noWrap/>
                  <w:vAlign w:val="center"/>
                  <w:hideMark/>
                </w:tcPr>
                <w:p w14:paraId="1D24DC9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260</w:t>
                  </w:r>
                </w:p>
              </w:tc>
              <w:tc>
                <w:tcPr>
                  <w:tcW w:w="580" w:type="dxa"/>
                  <w:tcBorders>
                    <w:top w:val="nil"/>
                    <w:left w:val="nil"/>
                    <w:bottom w:val="single" w:sz="4" w:space="0" w:color="auto"/>
                    <w:right w:val="single" w:sz="4" w:space="0" w:color="auto"/>
                  </w:tcBorders>
                  <w:shd w:val="clear" w:color="000000" w:fill="BFBFBF"/>
                  <w:noWrap/>
                  <w:vAlign w:val="center"/>
                  <w:hideMark/>
                </w:tcPr>
                <w:p w14:paraId="2A2ED26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+9%</w:t>
                  </w:r>
                </w:p>
              </w:tc>
              <w:tc>
                <w:tcPr>
                  <w:tcW w:w="580" w:type="dxa"/>
                  <w:tcBorders>
                    <w:top w:val="nil"/>
                    <w:left w:val="nil"/>
                    <w:bottom w:val="single" w:sz="4" w:space="0" w:color="auto"/>
                    <w:right w:val="single" w:sz="4" w:space="0" w:color="auto"/>
                  </w:tcBorders>
                  <w:shd w:val="clear" w:color="000000" w:fill="BFBFBF"/>
                  <w:noWrap/>
                  <w:vAlign w:val="center"/>
                  <w:hideMark/>
                </w:tcPr>
                <w:p w14:paraId="614AEC4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w:t>
                  </w:r>
                </w:p>
              </w:tc>
              <w:tc>
                <w:tcPr>
                  <w:tcW w:w="580" w:type="dxa"/>
                  <w:tcBorders>
                    <w:top w:val="nil"/>
                    <w:left w:val="nil"/>
                    <w:bottom w:val="single" w:sz="4" w:space="0" w:color="auto"/>
                    <w:right w:val="single" w:sz="4" w:space="0" w:color="auto"/>
                  </w:tcBorders>
                  <w:shd w:val="clear" w:color="auto" w:fill="auto"/>
                  <w:noWrap/>
                  <w:vAlign w:val="center"/>
                  <w:hideMark/>
                </w:tcPr>
                <w:p w14:paraId="1257030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161</w:t>
                  </w:r>
                </w:p>
              </w:tc>
              <w:tc>
                <w:tcPr>
                  <w:tcW w:w="580" w:type="dxa"/>
                  <w:tcBorders>
                    <w:top w:val="nil"/>
                    <w:left w:val="nil"/>
                    <w:bottom w:val="single" w:sz="4" w:space="0" w:color="auto"/>
                    <w:right w:val="single" w:sz="4" w:space="0" w:color="auto"/>
                  </w:tcBorders>
                  <w:shd w:val="clear" w:color="000000" w:fill="FFFFFF"/>
                  <w:noWrap/>
                  <w:vAlign w:val="center"/>
                  <w:hideMark/>
                </w:tcPr>
                <w:p w14:paraId="2F1B4BC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148</w:t>
                  </w:r>
                </w:p>
              </w:tc>
              <w:tc>
                <w:tcPr>
                  <w:tcW w:w="580" w:type="dxa"/>
                  <w:tcBorders>
                    <w:top w:val="nil"/>
                    <w:left w:val="nil"/>
                    <w:bottom w:val="single" w:sz="4" w:space="0" w:color="auto"/>
                    <w:right w:val="single" w:sz="4" w:space="0" w:color="auto"/>
                  </w:tcBorders>
                  <w:shd w:val="clear" w:color="000000" w:fill="FFFFFF"/>
                  <w:noWrap/>
                  <w:vAlign w:val="center"/>
                  <w:hideMark/>
                </w:tcPr>
                <w:p w14:paraId="4537DCC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+9%</w:t>
                  </w:r>
                </w:p>
              </w:tc>
              <w:tc>
                <w:tcPr>
                  <w:tcW w:w="580" w:type="dxa"/>
                  <w:tcBorders>
                    <w:top w:val="nil"/>
                    <w:left w:val="nil"/>
                    <w:bottom w:val="single" w:sz="4" w:space="0" w:color="auto"/>
                    <w:right w:val="single" w:sz="4" w:space="0" w:color="auto"/>
                  </w:tcBorders>
                  <w:shd w:val="clear" w:color="auto" w:fill="auto"/>
                  <w:noWrap/>
                  <w:vAlign w:val="center"/>
                  <w:hideMark/>
                </w:tcPr>
                <w:p w14:paraId="0B1D87F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w:t>
                  </w:r>
                </w:p>
              </w:tc>
              <w:tc>
                <w:tcPr>
                  <w:tcW w:w="580" w:type="dxa"/>
                  <w:tcBorders>
                    <w:top w:val="nil"/>
                    <w:left w:val="nil"/>
                    <w:bottom w:val="single" w:sz="4" w:space="0" w:color="auto"/>
                    <w:right w:val="single" w:sz="4" w:space="0" w:color="auto"/>
                  </w:tcBorders>
                  <w:shd w:val="clear" w:color="000000" w:fill="D9E1F2"/>
                  <w:noWrap/>
                  <w:vAlign w:val="center"/>
                  <w:hideMark/>
                </w:tcPr>
                <w:p w14:paraId="06F53DF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132</w:t>
                  </w:r>
                </w:p>
              </w:tc>
              <w:tc>
                <w:tcPr>
                  <w:tcW w:w="580" w:type="dxa"/>
                  <w:tcBorders>
                    <w:top w:val="nil"/>
                    <w:left w:val="nil"/>
                    <w:bottom w:val="single" w:sz="4" w:space="0" w:color="auto"/>
                    <w:right w:val="single" w:sz="4" w:space="0" w:color="auto"/>
                  </w:tcBorders>
                  <w:shd w:val="clear" w:color="000000" w:fill="D9E1F2"/>
                  <w:noWrap/>
                  <w:vAlign w:val="center"/>
                  <w:hideMark/>
                </w:tcPr>
                <w:p w14:paraId="0956C13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79</w:t>
                  </w:r>
                </w:p>
              </w:tc>
              <w:tc>
                <w:tcPr>
                  <w:tcW w:w="580" w:type="dxa"/>
                  <w:tcBorders>
                    <w:top w:val="nil"/>
                    <w:left w:val="nil"/>
                    <w:bottom w:val="single" w:sz="4" w:space="0" w:color="auto"/>
                    <w:right w:val="single" w:sz="4" w:space="0" w:color="auto"/>
                  </w:tcBorders>
                  <w:shd w:val="clear" w:color="000000" w:fill="D9E1F2"/>
                  <w:noWrap/>
                  <w:vAlign w:val="center"/>
                  <w:hideMark/>
                </w:tcPr>
                <w:p w14:paraId="603E187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+66%</w:t>
                  </w:r>
                </w:p>
              </w:tc>
              <w:tc>
                <w:tcPr>
                  <w:tcW w:w="580" w:type="dxa"/>
                  <w:tcBorders>
                    <w:top w:val="nil"/>
                    <w:left w:val="nil"/>
                    <w:bottom w:val="single" w:sz="4" w:space="0" w:color="auto"/>
                    <w:right w:val="single" w:sz="4" w:space="0" w:color="auto"/>
                  </w:tcBorders>
                  <w:shd w:val="clear" w:color="000000" w:fill="D9E1F2"/>
                  <w:noWrap/>
                  <w:vAlign w:val="center"/>
                  <w:hideMark/>
                </w:tcPr>
                <w:p w14:paraId="493D78C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+62%</w:t>
                  </w:r>
                </w:p>
              </w:tc>
              <w:tc>
                <w:tcPr>
                  <w:tcW w:w="580" w:type="dxa"/>
                  <w:tcBorders>
                    <w:top w:val="nil"/>
                    <w:left w:val="single" w:sz="8" w:space="0" w:color="auto"/>
                    <w:bottom w:val="single" w:sz="8" w:space="0" w:color="auto"/>
                    <w:right w:val="single" w:sz="4" w:space="0" w:color="auto"/>
                  </w:tcBorders>
                  <w:shd w:val="clear" w:color="000000" w:fill="FCE4D6"/>
                  <w:noWrap/>
                  <w:vAlign w:val="center"/>
                  <w:hideMark/>
                </w:tcPr>
                <w:p w14:paraId="564E50B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1,126</w:t>
                  </w:r>
                </w:p>
              </w:tc>
              <w:tc>
                <w:tcPr>
                  <w:tcW w:w="580" w:type="dxa"/>
                  <w:tcBorders>
                    <w:top w:val="nil"/>
                    <w:left w:val="nil"/>
                    <w:bottom w:val="single" w:sz="8" w:space="0" w:color="auto"/>
                    <w:right w:val="single" w:sz="4" w:space="0" w:color="auto"/>
                  </w:tcBorders>
                  <w:shd w:val="clear" w:color="000000" w:fill="FCE4D6"/>
                  <w:noWrap/>
                  <w:vAlign w:val="center"/>
                  <w:hideMark/>
                </w:tcPr>
                <w:p w14:paraId="157A623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934</w:t>
                  </w:r>
                </w:p>
              </w:tc>
              <w:tc>
                <w:tcPr>
                  <w:tcW w:w="580" w:type="dxa"/>
                  <w:tcBorders>
                    <w:top w:val="nil"/>
                    <w:left w:val="nil"/>
                    <w:bottom w:val="single" w:sz="8" w:space="0" w:color="auto"/>
                    <w:right w:val="single" w:sz="4" w:space="0" w:color="auto"/>
                  </w:tcBorders>
                  <w:shd w:val="clear" w:color="000000" w:fill="FCE4D6"/>
                  <w:noWrap/>
                  <w:vAlign w:val="center"/>
                  <w:hideMark/>
                </w:tcPr>
                <w:p w14:paraId="13163EC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+21%</w:t>
                  </w:r>
                </w:p>
              </w:tc>
              <w:tc>
                <w:tcPr>
                  <w:tcW w:w="580" w:type="dxa"/>
                  <w:tcBorders>
                    <w:top w:val="nil"/>
                    <w:left w:val="nil"/>
                    <w:bottom w:val="single" w:sz="8" w:space="0" w:color="auto"/>
                    <w:right w:val="single" w:sz="8" w:space="0" w:color="auto"/>
                  </w:tcBorders>
                  <w:shd w:val="clear" w:color="000000" w:fill="FCE4D6"/>
                  <w:noWrap/>
                  <w:vAlign w:val="center"/>
                  <w:hideMark/>
                </w:tcPr>
                <w:p w14:paraId="57743D7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+22%</w:t>
                  </w:r>
                </w:p>
              </w:tc>
            </w:tr>
          </w:tbl>
          <w:p w14:paraId="120BDD75" w14:textId="77777777" w:rsidR="00942D68" w:rsidRDefault="00942D68" w:rsidP="00942D68">
            <w:pPr>
              <w:pStyle w:val="HTMLPreformatted"/>
              <w:rPr>
                <w:rFonts w:ascii="Times New Roman" w:hAnsi="Times New Roman" w:cs="Times New Roman"/>
                <w:color w:val="FF0000"/>
                <w:sz w:val="10"/>
                <w:szCs w:val="10"/>
                <w:lang w:eastAsia="en-IE"/>
              </w:rPr>
            </w:pPr>
          </w:p>
          <w:p w14:paraId="6C3B99BB" w14:textId="77777777" w:rsidR="00942D68" w:rsidRDefault="00942D68" w:rsidP="00942D68">
            <w:pPr>
              <w:pStyle w:val="HTMLPreformatted"/>
              <w:rPr>
                <w:rFonts w:ascii="Times New Roman" w:hAnsi="Times New Roman" w:cs="Times New Roman"/>
                <w:color w:val="FF0000"/>
                <w:sz w:val="10"/>
                <w:szCs w:val="10"/>
                <w:lang w:eastAsia="en-IE"/>
              </w:rPr>
            </w:pPr>
          </w:p>
          <w:p w14:paraId="45859F08" w14:textId="77777777" w:rsidR="00942D68" w:rsidRDefault="00942D68" w:rsidP="00942D68">
            <w:pPr>
              <w:pStyle w:val="HTMLPreformatted"/>
              <w:rPr>
                <w:rFonts w:ascii="Times New Roman" w:hAnsi="Times New Roman" w:cs="Times New Roman"/>
                <w:color w:val="FF0000"/>
                <w:sz w:val="10"/>
                <w:szCs w:val="10"/>
                <w:lang w:eastAsia="en-IE"/>
              </w:rPr>
            </w:pPr>
          </w:p>
          <w:p w14:paraId="3232D8BD" w14:textId="77777777" w:rsidR="00942D68" w:rsidRDefault="00942D68" w:rsidP="00942D68">
            <w:pPr>
              <w:pStyle w:val="HTMLPreformatted"/>
              <w:rPr>
                <w:rFonts w:ascii="Times New Roman" w:hAnsi="Times New Roman" w:cs="Times New Roman"/>
                <w:color w:val="FF0000"/>
                <w:sz w:val="10"/>
                <w:szCs w:val="10"/>
                <w:lang w:eastAsia="en-IE"/>
              </w:rPr>
            </w:pPr>
          </w:p>
          <w:tbl>
            <w:tblPr>
              <w:tblW w:w="14340" w:type="dxa"/>
              <w:tblLayout w:type="fixed"/>
              <w:tblCellMar>
                <w:left w:w="57" w:type="dxa"/>
                <w:right w:w="57" w:type="dxa"/>
              </w:tblCellMar>
              <w:tblLook w:val="04A0" w:firstRow="1" w:lastRow="0" w:firstColumn="1" w:lastColumn="0" w:noHBand="0" w:noVBand="1"/>
            </w:tblPr>
            <w:tblGrid>
              <w:gridCol w:w="1596"/>
              <w:gridCol w:w="578"/>
              <w:gridCol w:w="580"/>
              <w:gridCol w:w="580"/>
              <w:gridCol w:w="579"/>
              <w:gridCol w:w="579"/>
              <w:gridCol w:w="580"/>
              <w:gridCol w:w="579"/>
              <w:gridCol w:w="579"/>
              <w:gridCol w:w="580"/>
              <w:gridCol w:w="580"/>
              <w:gridCol w:w="579"/>
              <w:gridCol w:w="579"/>
              <w:gridCol w:w="580"/>
              <w:gridCol w:w="580"/>
              <w:gridCol w:w="578"/>
              <w:gridCol w:w="578"/>
              <w:gridCol w:w="580"/>
              <w:gridCol w:w="580"/>
              <w:gridCol w:w="578"/>
              <w:gridCol w:w="578"/>
              <w:gridCol w:w="580"/>
              <w:gridCol w:w="580"/>
            </w:tblGrid>
            <w:tr w:rsidR="008801D7" w:rsidRPr="008801D7" w14:paraId="3DAB1AAA" w14:textId="77777777" w:rsidTr="008801D7">
              <w:trPr>
                <w:trHeight w:val="236"/>
              </w:trPr>
              <w:tc>
                <w:tcPr>
                  <w:tcW w:w="1596" w:type="dxa"/>
                  <w:tcBorders>
                    <w:top w:val="nil"/>
                    <w:left w:val="nil"/>
                    <w:bottom w:val="nil"/>
                    <w:right w:val="nil"/>
                  </w:tcBorders>
                  <w:shd w:val="clear" w:color="auto" w:fill="auto"/>
                  <w:noWrap/>
                  <w:vAlign w:val="center"/>
                  <w:hideMark/>
                </w:tcPr>
                <w:p w14:paraId="63B1948A" w14:textId="77777777" w:rsidR="008801D7" w:rsidRPr="008801D7" w:rsidRDefault="008801D7" w:rsidP="008801D7">
                  <w:pPr>
                    <w:rPr>
                      <w:rFonts w:ascii="Times New Roman" w:hAnsi="Times New Roman"/>
                      <w:sz w:val="20"/>
                      <w:szCs w:val="24"/>
                      <w:lang w:eastAsia="en-GB"/>
                    </w:rPr>
                  </w:pPr>
                </w:p>
              </w:tc>
              <w:tc>
                <w:tcPr>
                  <w:tcW w:w="12744" w:type="dxa"/>
                  <w:gridSpan w:val="2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C4FB8"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Pro forma basis</w:t>
                  </w:r>
                  <w:r w:rsidRPr="008801D7">
                    <w:rPr>
                      <w:rFonts w:ascii="Calibri" w:hAnsi="Calibri" w:cs="Calibri"/>
                      <w:b/>
                      <w:bCs/>
                      <w:color w:val="000000"/>
                      <w:sz w:val="14"/>
                      <w:szCs w:val="14"/>
                      <w:vertAlign w:val="superscript"/>
                      <w:lang w:eastAsia="en-GB"/>
                    </w:rPr>
                    <w:t>1</w:t>
                  </w:r>
                </w:p>
              </w:tc>
            </w:tr>
            <w:tr w:rsidR="008801D7" w:rsidRPr="008801D7" w14:paraId="6DEC351A" w14:textId="77777777" w:rsidTr="008801D7">
              <w:trPr>
                <w:trHeight w:val="236"/>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AB6E9"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£m</w:t>
                  </w:r>
                </w:p>
              </w:tc>
              <w:tc>
                <w:tcPr>
                  <w:tcW w:w="1738"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49B7E99A"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PPB</w:t>
                  </w:r>
                </w:p>
              </w:tc>
              <w:tc>
                <w:tcPr>
                  <w:tcW w:w="1738" w:type="dxa"/>
                  <w:gridSpan w:val="3"/>
                  <w:tcBorders>
                    <w:top w:val="single" w:sz="4" w:space="0" w:color="auto"/>
                    <w:left w:val="single" w:sz="4" w:space="0" w:color="auto"/>
                    <w:bottom w:val="single" w:sz="4" w:space="0" w:color="auto"/>
                    <w:right w:val="nil"/>
                  </w:tcBorders>
                  <w:shd w:val="clear" w:color="000000" w:fill="C6E0B4"/>
                  <w:noWrap/>
                  <w:vAlign w:val="center"/>
                  <w:hideMark/>
                </w:tcPr>
                <w:p w14:paraId="2F89946F"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SBG</w:t>
                  </w:r>
                </w:p>
              </w:tc>
              <w:tc>
                <w:tcPr>
                  <w:tcW w:w="2318"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4C1037D9"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PokerStars</w:t>
                  </w:r>
                </w:p>
              </w:tc>
              <w:tc>
                <w:tcPr>
                  <w:tcW w:w="231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253B4B49"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Australia</w:t>
                  </w:r>
                </w:p>
              </w:tc>
              <w:tc>
                <w:tcPr>
                  <w:tcW w:w="2316" w:type="dxa"/>
                  <w:gridSpan w:val="4"/>
                  <w:tcBorders>
                    <w:top w:val="single" w:sz="4" w:space="0" w:color="auto"/>
                    <w:left w:val="nil"/>
                    <w:bottom w:val="single" w:sz="4" w:space="0" w:color="auto"/>
                    <w:right w:val="single" w:sz="4" w:space="0" w:color="000000"/>
                  </w:tcBorders>
                  <w:shd w:val="clear" w:color="000000" w:fill="D9E1F2"/>
                  <w:noWrap/>
                  <w:vAlign w:val="center"/>
                  <w:hideMark/>
                </w:tcPr>
                <w:p w14:paraId="6EC405FC"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US</w:t>
                  </w:r>
                </w:p>
              </w:tc>
              <w:tc>
                <w:tcPr>
                  <w:tcW w:w="2316" w:type="dxa"/>
                  <w:gridSpan w:val="4"/>
                  <w:tcBorders>
                    <w:top w:val="single" w:sz="8" w:space="0" w:color="auto"/>
                    <w:left w:val="single" w:sz="8" w:space="0" w:color="auto"/>
                    <w:bottom w:val="single" w:sz="4" w:space="0" w:color="auto"/>
                    <w:right w:val="single" w:sz="8" w:space="0" w:color="000000"/>
                  </w:tcBorders>
                  <w:shd w:val="clear" w:color="000000" w:fill="FCE4D6"/>
                  <w:noWrap/>
                  <w:vAlign w:val="center"/>
                  <w:hideMark/>
                </w:tcPr>
                <w:p w14:paraId="712685E9" w14:textId="77777777" w:rsidR="008801D7" w:rsidRPr="008801D7" w:rsidRDefault="008801D7" w:rsidP="008801D7">
                  <w:pPr>
                    <w:jc w:val="cente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Group</w:t>
                  </w:r>
                </w:p>
              </w:tc>
            </w:tr>
            <w:tr w:rsidR="008801D7" w:rsidRPr="008801D7" w14:paraId="664061A4" w14:textId="77777777" w:rsidTr="008801D7">
              <w:trPr>
                <w:trHeight w:val="290"/>
              </w:trPr>
              <w:tc>
                <w:tcPr>
                  <w:tcW w:w="15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BE1139"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8" w:type="dxa"/>
                  <w:vMerge w:val="restart"/>
                  <w:tcBorders>
                    <w:top w:val="nil"/>
                    <w:left w:val="single" w:sz="4" w:space="0" w:color="auto"/>
                    <w:bottom w:val="single" w:sz="4" w:space="0" w:color="auto"/>
                    <w:right w:val="single" w:sz="4" w:space="0" w:color="auto"/>
                  </w:tcBorders>
                  <w:shd w:val="clear" w:color="000000" w:fill="FFF2CC"/>
                  <w:vAlign w:val="center"/>
                  <w:hideMark/>
                </w:tcPr>
                <w:p w14:paraId="2BA7650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Q2</w:t>
                  </w:r>
                  <w:r w:rsidRPr="008801D7">
                    <w:rPr>
                      <w:rFonts w:ascii="Calibri" w:hAnsi="Calibri" w:cs="Calibri"/>
                      <w:b/>
                      <w:bCs/>
                      <w:color w:val="000000"/>
                      <w:sz w:val="14"/>
                      <w:szCs w:val="14"/>
                      <w:lang w:eastAsia="en-GB"/>
                    </w:rPr>
                    <w:br/>
                    <w:t>2020</w:t>
                  </w:r>
                </w:p>
              </w:tc>
              <w:tc>
                <w:tcPr>
                  <w:tcW w:w="580" w:type="dxa"/>
                  <w:vMerge w:val="restart"/>
                  <w:tcBorders>
                    <w:top w:val="nil"/>
                    <w:left w:val="single" w:sz="4" w:space="0" w:color="auto"/>
                    <w:bottom w:val="single" w:sz="4" w:space="0" w:color="auto"/>
                    <w:right w:val="single" w:sz="4" w:space="0" w:color="auto"/>
                  </w:tcBorders>
                  <w:shd w:val="clear" w:color="000000" w:fill="FFF2CC"/>
                  <w:vAlign w:val="center"/>
                  <w:hideMark/>
                </w:tcPr>
                <w:p w14:paraId="4FDC065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Q2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46EC7CB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79" w:type="dxa"/>
                  <w:vMerge w:val="restart"/>
                  <w:tcBorders>
                    <w:top w:val="nil"/>
                    <w:left w:val="single" w:sz="4" w:space="0" w:color="auto"/>
                    <w:bottom w:val="single" w:sz="4" w:space="0" w:color="auto"/>
                    <w:right w:val="single" w:sz="4" w:space="0" w:color="auto"/>
                  </w:tcBorders>
                  <w:shd w:val="clear" w:color="000000" w:fill="C6E0B4"/>
                  <w:vAlign w:val="center"/>
                  <w:hideMark/>
                </w:tcPr>
                <w:p w14:paraId="797A5AE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Q2</w:t>
                  </w:r>
                  <w:r w:rsidRPr="008801D7">
                    <w:rPr>
                      <w:rFonts w:ascii="Calibri" w:hAnsi="Calibri" w:cs="Calibri"/>
                      <w:b/>
                      <w:bCs/>
                      <w:color w:val="000000"/>
                      <w:sz w:val="14"/>
                      <w:szCs w:val="14"/>
                      <w:lang w:eastAsia="en-GB"/>
                    </w:rPr>
                    <w:br/>
                    <w:t>2020</w:t>
                  </w:r>
                </w:p>
              </w:tc>
              <w:tc>
                <w:tcPr>
                  <w:tcW w:w="579" w:type="dxa"/>
                  <w:vMerge w:val="restart"/>
                  <w:tcBorders>
                    <w:top w:val="nil"/>
                    <w:left w:val="single" w:sz="4" w:space="0" w:color="auto"/>
                    <w:bottom w:val="single" w:sz="4" w:space="0" w:color="auto"/>
                    <w:right w:val="single" w:sz="4" w:space="0" w:color="auto"/>
                  </w:tcBorders>
                  <w:shd w:val="clear" w:color="000000" w:fill="C6E0B4"/>
                  <w:vAlign w:val="center"/>
                  <w:hideMark/>
                </w:tcPr>
                <w:p w14:paraId="65FDBCC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Q2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5241454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79" w:type="dxa"/>
                  <w:vMerge w:val="restart"/>
                  <w:tcBorders>
                    <w:top w:val="nil"/>
                    <w:left w:val="single" w:sz="4" w:space="0" w:color="auto"/>
                    <w:bottom w:val="single" w:sz="4" w:space="0" w:color="auto"/>
                    <w:right w:val="single" w:sz="4" w:space="0" w:color="auto"/>
                  </w:tcBorders>
                  <w:shd w:val="clear" w:color="000000" w:fill="BFBFBF"/>
                  <w:vAlign w:val="center"/>
                  <w:hideMark/>
                </w:tcPr>
                <w:p w14:paraId="2D0B030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Q2</w:t>
                  </w:r>
                  <w:r w:rsidRPr="008801D7">
                    <w:rPr>
                      <w:rFonts w:ascii="Calibri" w:hAnsi="Calibri" w:cs="Calibri"/>
                      <w:b/>
                      <w:bCs/>
                      <w:color w:val="000000"/>
                      <w:sz w:val="14"/>
                      <w:szCs w:val="14"/>
                      <w:lang w:eastAsia="en-GB"/>
                    </w:rPr>
                    <w:br/>
                    <w:t>2020</w:t>
                  </w:r>
                </w:p>
              </w:tc>
              <w:tc>
                <w:tcPr>
                  <w:tcW w:w="579" w:type="dxa"/>
                  <w:vMerge w:val="restart"/>
                  <w:tcBorders>
                    <w:top w:val="nil"/>
                    <w:left w:val="single" w:sz="4" w:space="0" w:color="auto"/>
                    <w:bottom w:val="single" w:sz="4" w:space="0" w:color="auto"/>
                    <w:right w:val="single" w:sz="4" w:space="0" w:color="auto"/>
                  </w:tcBorders>
                  <w:shd w:val="clear" w:color="000000" w:fill="BFBFBF"/>
                  <w:vAlign w:val="center"/>
                  <w:hideMark/>
                </w:tcPr>
                <w:p w14:paraId="1A807F7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Q2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4EA689C3"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65FFEB02"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CC</w:t>
                  </w:r>
                  <w:r w:rsidRPr="008801D7">
                    <w:rPr>
                      <w:rFonts w:ascii="Calibri" w:hAnsi="Calibri" w:cs="Calibri"/>
                      <w:b/>
                      <w:bCs/>
                      <w:color w:val="000000"/>
                      <w:sz w:val="14"/>
                      <w:szCs w:val="14"/>
                      <w:vertAlign w:val="superscript"/>
                      <w:lang w:eastAsia="en-GB"/>
                    </w:rPr>
                    <w:t>2</w:t>
                  </w:r>
                  <w:r w:rsidRPr="008801D7">
                    <w:rPr>
                      <w:rFonts w:ascii="Calibri" w:hAnsi="Calibri" w:cs="Calibri"/>
                      <w:b/>
                      <w:bCs/>
                      <w:color w:val="000000"/>
                      <w:sz w:val="14"/>
                      <w:szCs w:val="14"/>
                      <w:lang w:eastAsia="en-GB"/>
                    </w:rPr>
                    <w:t xml:space="preserve"> % Change</w:t>
                  </w:r>
                </w:p>
              </w:tc>
              <w:tc>
                <w:tcPr>
                  <w:tcW w:w="5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E79E8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Q2</w:t>
                  </w:r>
                  <w:r w:rsidRPr="008801D7">
                    <w:rPr>
                      <w:rFonts w:ascii="Calibri" w:hAnsi="Calibri" w:cs="Calibri"/>
                      <w:b/>
                      <w:bCs/>
                      <w:color w:val="000000"/>
                      <w:sz w:val="14"/>
                      <w:szCs w:val="14"/>
                      <w:lang w:eastAsia="en-GB"/>
                    </w:rPr>
                    <w:br/>
                    <w:t>2020</w:t>
                  </w:r>
                </w:p>
              </w:tc>
              <w:tc>
                <w:tcPr>
                  <w:tcW w:w="5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B9124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Q2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FF364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372F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A$ % Change</w:t>
                  </w:r>
                </w:p>
              </w:tc>
              <w:tc>
                <w:tcPr>
                  <w:tcW w:w="578" w:type="dxa"/>
                  <w:vMerge w:val="restart"/>
                  <w:tcBorders>
                    <w:top w:val="nil"/>
                    <w:left w:val="single" w:sz="4" w:space="0" w:color="auto"/>
                    <w:bottom w:val="single" w:sz="4" w:space="0" w:color="auto"/>
                    <w:right w:val="single" w:sz="4" w:space="0" w:color="auto"/>
                  </w:tcBorders>
                  <w:shd w:val="clear" w:color="000000" w:fill="D9E1F2"/>
                  <w:vAlign w:val="center"/>
                  <w:hideMark/>
                </w:tcPr>
                <w:p w14:paraId="6AEDD70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Q2</w:t>
                  </w:r>
                  <w:r w:rsidRPr="008801D7">
                    <w:rPr>
                      <w:rFonts w:ascii="Calibri" w:hAnsi="Calibri" w:cs="Calibri"/>
                      <w:b/>
                      <w:bCs/>
                      <w:color w:val="000000"/>
                      <w:sz w:val="14"/>
                      <w:szCs w:val="14"/>
                      <w:lang w:eastAsia="en-GB"/>
                    </w:rPr>
                    <w:br/>
                    <w:t>2020</w:t>
                  </w:r>
                </w:p>
              </w:tc>
              <w:tc>
                <w:tcPr>
                  <w:tcW w:w="578" w:type="dxa"/>
                  <w:vMerge w:val="restart"/>
                  <w:tcBorders>
                    <w:top w:val="nil"/>
                    <w:left w:val="single" w:sz="4" w:space="0" w:color="auto"/>
                    <w:bottom w:val="single" w:sz="4" w:space="0" w:color="auto"/>
                    <w:right w:val="single" w:sz="4" w:space="0" w:color="auto"/>
                  </w:tcBorders>
                  <w:shd w:val="clear" w:color="000000" w:fill="D9E1F2"/>
                  <w:vAlign w:val="center"/>
                  <w:hideMark/>
                </w:tcPr>
                <w:p w14:paraId="415EFFF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Q2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D9E1F2"/>
                  <w:vAlign w:val="center"/>
                  <w:hideMark/>
                </w:tcPr>
                <w:p w14:paraId="748E40B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4" w:space="0" w:color="auto"/>
                  </w:tcBorders>
                  <w:shd w:val="clear" w:color="000000" w:fill="D9E1F2"/>
                  <w:vAlign w:val="center"/>
                  <w:hideMark/>
                </w:tcPr>
                <w:p w14:paraId="105620E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US$ % </w:t>
                  </w:r>
                  <w:r w:rsidRPr="008801D7">
                    <w:rPr>
                      <w:rFonts w:ascii="Calibri" w:hAnsi="Calibri" w:cs="Calibri"/>
                      <w:b/>
                      <w:bCs/>
                      <w:color w:val="000000"/>
                      <w:sz w:val="14"/>
                      <w:szCs w:val="14"/>
                      <w:lang w:eastAsia="en-GB"/>
                    </w:rPr>
                    <w:br/>
                    <w:t>Change</w:t>
                  </w:r>
                </w:p>
              </w:tc>
              <w:tc>
                <w:tcPr>
                  <w:tcW w:w="578" w:type="dxa"/>
                  <w:vMerge w:val="restart"/>
                  <w:tcBorders>
                    <w:top w:val="nil"/>
                    <w:left w:val="single" w:sz="8" w:space="0" w:color="auto"/>
                    <w:bottom w:val="single" w:sz="4" w:space="0" w:color="auto"/>
                    <w:right w:val="single" w:sz="4" w:space="0" w:color="auto"/>
                  </w:tcBorders>
                  <w:shd w:val="clear" w:color="000000" w:fill="FCE4D6"/>
                  <w:vAlign w:val="center"/>
                  <w:hideMark/>
                </w:tcPr>
                <w:p w14:paraId="5338DED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Q2</w:t>
                  </w:r>
                  <w:r w:rsidRPr="008801D7">
                    <w:rPr>
                      <w:rFonts w:ascii="Calibri" w:hAnsi="Calibri" w:cs="Calibri"/>
                      <w:b/>
                      <w:bCs/>
                      <w:color w:val="000000"/>
                      <w:sz w:val="14"/>
                      <w:szCs w:val="14"/>
                      <w:lang w:eastAsia="en-GB"/>
                    </w:rPr>
                    <w:br/>
                    <w:t>2020</w:t>
                  </w:r>
                </w:p>
              </w:tc>
              <w:tc>
                <w:tcPr>
                  <w:tcW w:w="578" w:type="dxa"/>
                  <w:vMerge w:val="restart"/>
                  <w:tcBorders>
                    <w:top w:val="nil"/>
                    <w:left w:val="single" w:sz="4" w:space="0" w:color="auto"/>
                    <w:bottom w:val="single" w:sz="4" w:space="0" w:color="auto"/>
                    <w:right w:val="single" w:sz="4" w:space="0" w:color="auto"/>
                  </w:tcBorders>
                  <w:shd w:val="clear" w:color="000000" w:fill="FCE4D6"/>
                  <w:vAlign w:val="center"/>
                  <w:hideMark/>
                </w:tcPr>
                <w:p w14:paraId="47C8A17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Q2 </w:t>
                  </w:r>
                  <w:r w:rsidRPr="008801D7">
                    <w:rPr>
                      <w:rFonts w:ascii="Calibri" w:hAnsi="Calibri" w:cs="Calibri"/>
                      <w:b/>
                      <w:bCs/>
                      <w:color w:val="000000"/>
                      <w:sz w:val="14"/>
                      <w:szCs w:val="14"/>
                      <w:lang w:eastAsia="en-GB"/>
                    </w:rPr>
                    <w:br/>
                    <w:t>2019</w:t>
                  </w:r>
                </w:p>
              </w:tc>
              <w:tc>
                <w:tcPr>
                  <w:tcW w:w="580" w:type="dxa"/>
                  <w:vMerge w:val="restart"/>
                  <w:tcBorders>
                    <w:top w:val="nil"/>
                    <w:left w:val="single" w:sz="4" w:space="0" w:color="auto"/>
                    <w:bottom w:val="single" w:sz="4" w:space="0" w:color="000000"/>
                    <w:right w:val="single" w:sz="4" w:space="0" w:color="auto"/>
                  </w:tcBorders>
                  <w:shd w:val="clear" w:color="000000" w:fill="FCE4D6"/>
                  <w:vAlign w:val="center"/>
                  <w:hideMark/>
                </w:tcPr>
                <w:p w14:paraId="76E6114A"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 xml:space="preserve">% </w:t>
                  </w:r>
                  <w:r w:rsidRPr="008801D7">
                    <w:rPr>
                      <w:rFonts w:ascii="Calibri" w:hAnsi="Calibri" w:cs="Calibri"/>
                      <w:b/>
                      <w:bCs/>
                      <w:color w:val="000000"/>
                      <w:sz w:val="14"/>
                      <w:szCs w:val="14"/>
                      <w:lang w:eastAsia="en-GB"/>
                    </w:rPr>
                    <w:br/>
                    <w:t>Change</w:t>
                  </w:r>
                </w:p>
              </w:tc>
              <w:tc>
                <w:tcPr>
                  <w:tcW w:w="580" w:type="dxa"/>
                  <w:vMerge w:val="restart"/>
                  <w:tcBorders>
                    <w:top w:val="nil"/>
                    <w:left w:val="single" w:sz="4" w:space="0" w:color="auto"/>
                    <w:bottom w:val="single" w:sz="4" w:space="0" w:color="auto"/>
                    <w:right w:val="single" w:sz="8" w:space="0" w:color="auto"/>
                  </w:tcBorders>
                  <w:shd w:val="clear" w:color="000000" w:fill="FCE4D6"/>
                  <w:vAlign w:val="center"/>
                  <w:hideMark/>
                </w:tcPr>
                <w:p w14:paraId="7332284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CC</w:t>
                  </w:r>
                  <w:r w:rsidRPr="008801D7">
                    <w:rPr>
                      <w:rFonts w:ascii="Calibri" w:hAnsi="Calibri" w:cs="Calibri"/>
                      <w:b/>
                      <w:bCs/>
                      <w:color w:val="000000"/>
                      <w:sz w:val="14"/>
                      <w:szCs w:val="14"/>
                      <w:vertAlign w:val="superscript"/>
                      <w:lang w:eastAsia="en-GB"/>
                    </w:rPr>
                    <w:t>2</w:t>
                  </w:r>
                  <w:r w:rsidRPr="008801D7">
                    <w:rPr>
                      <w:rFonts w:ascii="Calibri" w:hAnsi="Calibri" w:cs="Calibri"/>
                      <w:b/>
                      <w:bCs/>
                      <w:color w:val="000000"/>
                      <w:sz w:val="14"/>
                      <w:szCs w:val="14"/>
                      <w:lang w:eastAsia="en-GB"/>
                    </w:rPr>
                    <w:t xml:space="preserve"> % Change</w:t>
                  </w:r>
                </w:p>
              </w:tc>
            </w:tr>
            <w:tr w:rsidR="008801D7" w:rsidRPr="008801D7" w14:paraId="1FC4BD0A" w14:textId="77777777" w:rsidTr="008801D7">
              <w:trPr>
                <w:trHeight w:val="290"/>
              </w:trPr>
              <w:tc>
                <w:tcPr>
                  <w:tcW w:w="1596" w:type="dxa"/>
                  <w:vMerge/>
                  <w:tcBorders>
                    <w:top w:val="nil"/>
                    <w:left w:val="single" w:sz="4" w:space="0" w:color="auto"/>
                    <w:bottom w:val="single" w:sz="4" w:space="0" w:color="000000"/>
                    <w:right w:val="single" w:sz="4" w:space="0" w:color="auto"/>
                  </w:tcBorders>
                  <w:vAlign w:val="center"/>
                  <w:hideMark/>
                </w:tcPr>
                <w:p w14:paraId="4EEECAC9" w14:textId="77777777" w:rsidR="008801D7" w:rsidRPr="008801D7" w:rsidRDefault="008801D7" w:rsidP="008801D7">
                  <w:pPr>
                    <w:rPr>
                      <w:rFonts w:ascii="Calibri" w:hAnsi="Calibri" w:cs="Calibri"/>
                      <w:color w:val="000000"/>
                      <w:sz w:val="14"/>
                      <w:szCs w:val="14"/>
                      <w:lang w:eastAsia="en-GB"/>
                    </w:rPr>
                  </w:pPr>
                </w:p>
              </w:tc>
              <w:tc>
                <w:tcPr>
                  <w:tcW w:w="578" w:type="dxa"/>
                  <w:vMerge/>
                  <w:tcBorders>
                    <w:top w:val="nil"/>
                    <w:left w:val="single" w:sz="4" w:space="0" w:color="auto"/>
                    <w:bottom w:val="single" w:sz="4" w:space="0" w:color="auto"/>
                    <w:right w:val="single" w:sz="4" w:space="0" w:color="auto"/>
                  </w:tcBorders>
                  <w:vAlign w:val="center"/>
                  <w:hideMark/>
                </w:tcPr>
                <w:p w14:paraId="39E664AD"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56B10AA7"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60F27F49" w14:textId="77777777" w:rsidR="008801D7" w:rsidRPr="008801D7" w:rsidRDefault="008801D7" w:rsidP="008801D7">
                  <w:pPr>
                    <w:rPr>
                      <w:rFonts w:ascii="Calibri" w:hAnsi="Calibri" w:cs="Calibri"/>
                      <w:b/>
                      <w:bCs/>
                      <w:color w:val="000000"/>
                      <w:sz w:val="14"/>
                      <w:szCs w:val="14"/>
                      <w:lang w:eastAsia="en-GB"/>
                    </w:rPr>
                  </w:pPr>
                </w:p>
              </w:tc>
              <w:tc>
                <w:tcPr>
                  <w:tcW w:w="579" w:type="dxa"/>
                  <w:vMerge/>
                  <w:tcBorders>
                    <w:top w:val="nil"/>
                    <w:left w:val="single" w:sz="4" w:space="0" w:color="auto"/>
                    <w:bottom w:val="single" w:sz="4" w:space="0" w:color="auto"/>
                    <w:right w:val="single" w:sz="4" w:space="0" w:color="auto"/>
                  </w:tcBorders>
                  <w:vAlign w:val="center"/>
                  <w:hideMark/>
                </w:tcPr>
                <w:p w14:paraId="5209EC75" w14:textId="77777777" w:rsidR="008801D7" w:rsidRPr="008801D7" w:rsidRDefault="008801D7" w:rsidP="008801D7">
                  <w:pPr>
                    <w:rPr>
                      <w:rFonts w:ascii="Calibri" w:hAnsi="Calibri" w:cs="Calibri"/>
                      <w:b/>
                      <w:bCs/>
                      <w:color w:val="000000"/>
                      <w:sz w:val="14"/>
                      <w:szCs w:val="14"/>
                      <w:lang w:eastAsia="en-GB"/>
                    </w:rPr>
                  </w:pPr>
                </w:p>
              </w:tc>
              <w:tc>
                <w:tcPr>
                  <w:tcW w:w="579" w:type="dxa"/>
                  <w:vMerge/>
                  <w:tcBorders>
                    <w:top w:val="nil"/>
                    <w:left w:val="single" w:sz="4" w:space="0" w:color="auto"/>
                    <w:bottom w:val="single" w:sz="4" w:space="0" w:color="auto"/>
                    <w:right w:val="single" w:sz="4" w:space="0" w:color="auto"/>
                  </w:tcBorders>
                  <w:vAlign w:val="center"/>
                  <w:hideMark/>
                </w:tcPr>
                <w:p w14:paraId="61C135A5"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4C33DF6B" w14:textId="77777777" w:rsidR="008801D7" w:rsidRPr="008801D7" w:rsidRDefault="008801D7" w:rsidP="008801D7">
                  <w:pPr>
                    <w:rPr>
                      <w:rFonts w:ascii="Calibri" w:hAnsi="Calibri" w:cs="Calibri"/>
                      <w:b/>
                      <w:bCs/>
                      <w:color w:val="000000"/>
                      <w:sz w:val="14"/>
                      <w:szCs w:val="14"/>
                      <w:lang w:eastAsia="en-GB"/>
                    </w:rPr>
                  </w:pPr>
                </w:p>
              </w:tc>
              <w:tc>
                <w:tcPr>
                  <w:tcW w:w="579" w:type="dxa"/>
                  <w:vMerge/>
                  <w:tcBorders>
                    <w:top w:val="nil"/>
                    <w:left w:val="single" w:sz="4" w:space="0" w:color="auto"/>
                    <w:bottom w:val="single" w:sz="4" w:space="0" w:color="auto"/>
                    <w:right w:val="single" w:sz="4" w:space="0" w:color="auto"/>
                  </w:tcBorders>
                  <w:vAlign w:val="center"/>
                  <w:hideMark/>
                </w:tcPr>
                <w:p w14:paraId="7D0EFBF6" w14:textId="77777777" w:rsidR="008801D7" w:rsidRPr="008801D7" w:rsidRDefault="008801D7" w:rsidP="008801D7">
                  <w:pPr>
                    <w:rPr>
                      <w:rFonts w:ascii="Calibri" w:hAnsi="Calibri" w:cs="Calibri"/>
                      <w:b/>
                      <w:bCs/>
                      <w:color w:val="000000"/>
                      <w:sz w:val="14"/>
                      <w:szCs w:val="14"/>
                      <w:lang w:eastAsia="en-GB"/>
                    </w:rPr>
                  </w:pPr>
                </w:p>
              </w:tc>
              <w:tc>
                <w:tcPr>
                  <w:tcW w:w="579" w:type="dxa"/>
                  <w:vMerge/>
                  <w:tcBorders>
                    <w:top w:val="nil"/>
                    <w:left w:val="single" w:sz="4" w:space="0" w:color="auto"/>
                    <w:bottom w:val="single" w:sz="4" w:space="0" w:color="auto"/>
                    <w:right w:val="single" w:sz="4" w:space="0" w:color="auto"/>
                  </w:tcBorders>
                  <w:vAlign w:val="center"/>
                  <w:hideMark/>
                </w:tcPr>
                <w:p w14:paraId="42E50261"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6699205F"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1B7BD440" w14:textId="77777777" w:rsidR="008801D7" w:rsidRPr="008801D7" w:rsidRDefault="008801D7" w:rsidP="008801D7">
                  <w:pPr>
                    <w:rPr>
                      <w:rFonts w:ascii="Calibri" w:hAnsi="Calibri" w:cs="Calibri"/>
                      <w:b/>
                      <w:bCs/>
                      <w:color w:val="000000"/>
                      <w:sz w:val="14"/>
                      <w:szCs w:val="14"/>
                      <w:lang w:eastAsia="en-GB"/>
                    </w:rPr>
                  </w:pPr>
                </w:p>
              </w:tc>
              <w:tc>
                <w:tcPr>
                  <w:tcW w:w="579" w:type="dxa"/>
                  <w:vMerge/>
                  <w:tcBorders>
                    <w:top w:val="nil"/>
                    <w:left w:val="single" w:sz="4" w:space="0" w:color="auto"/>
                    <w:bottom w:val="single" w:sz="4" w:space="0" w:color="auto"/>
                    <w:right w:val="single" w:sz="4" w:space="0" w:color="auto"/>
                  </w:tcBorders>
                  <w:vAlign w:val="center"/>
                  <w:hideMark/>
                </w:tcPr>
                <w:p w14:paraId="788A58C3" w14:textId="77777777" w:rsidR="008801D7" w:rsidRPr="008801D7" w:rsidRDefault="008801D7" w:rsidP="008801D7">
                  <w:pPr>
                    <w:rPr>
                      <w:rFonts w:ascii="Calibri" w:hAnsi="Calibri" w:cs="Calibri"/>
                      <w:b/>
                      <w:bCs/>
                      <w:color w:val="000000"/>
                      <w:sz w:val="14"/>
                      <w:szCs w:val="14"/>
                      <w:lang w:eastAsia="en-GB"/>
                    </w:rPr>
                  </w:pPr>
                </w:p>
              </w:tc>
              <w:tc>
                <w:tcPr>
                  <w:tcW w:w="579" w:type="dxa"/>
                  <w:vMerge/>
                  <w:tcBorders>
                    <w:top w:val="nil"/>
                    <w:left w:val="single" w:sz="4" w:space="0" w:color="auto"/>
                    <w:bottom w:val="single" w:sz="4" w:space="0" w:color="auto"/>
                    <w:right w:val="single" w:sz="4" w:space="0" w:color="auto"/>
                  </w:tcBorders>
                  <w:vAlign w:val="center"/>
                  <w:hideMark/>
                </w:tcPr>
                <w:p w14:paraId="6E7C35E9"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2E2D1C43"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13A2107B" w14:textId="77777777" w:rsidR="008801D7" w:rsidRPr="008801D7" w:rsidRDefault="008801D7" w:rsidP="008801D7">
                  <w:pPr>
                    <w:rPr>
                      <w:rFonts w:ascii="Calibri" w:hAnsi="Calibri" w:cs="Calibri"/>
                      <w:b/>
                      <w:bCs/>
                      <w:color w:val="000000"/>
                      <w:sz w:val="14"/>
                      <w:szCs w:val="14"/>
                      <w:lang w:eastAsia="en-GB"/>
                    </w:rPr>
                  </w:pPr>
                </w:p>
              </w:tc>
              <w:tc>
                <w:tcPr>
                  <w:tcW w:w="578" w:type="dxa"/>
                  <w:vMerge/>
                  <w:tcBorders>
                    <w:top w:val="nil"/>
                    <w:left w:val="single" w:sz="4" w:space="0" w:color="auto"/>
                    <w:bottom w:val="single" w:sz="4" w:space="0" w:color="auto"/>
                    <w:right w:val="single" w:sz="4" w:space="0" w:color="auto"/>
                  </w:tcBorders>
                  <w:vAlign w:val="center"/>
                  <w:hideMark/>
                </w:tcPr>
                <w:p w14:paraId="4B5F05DD" w14:textId="77777777" w:rsidR="008801D7" w:rsidRPr="008801D7" w:rsidRDefault="008801D7" w:rsidP="008801D7">
                  <w:pPr>
                    <w:rPr>
                      <w:rFonts w:ascii="Calibri" w:hAnsi="Calibri" w:cs="Calibri"/>
                      <w:b/>
                      <w:bCs/>
                      <w:color w:val="000000"/>
                      <w:sz w:val="14"/>
                      <w:szCs w:val="14"/>
                      <w:lang w:eastAsia="en-GB"/>
                    </w:rPr>
                  </w:pPr>
                </w:p>
              </w:tc>
              <w:tc>
                <w:tcPr>
                  <w:tcW w:w="578" w:type="dxa"/>
                  <w:vMerge/>
                  <w:tcBorders>
                    <w:top w:val="nil"/>
                    <w:left w:val="single" w:sz="4" w:space="0" w:color="auto"/>
                    <w:bottom w:val="single" w:sz="4" w:space="0" w:color="auto"/>
                    <w:right w:val="single" w:sz="4" w:space="0" w:color="auto"/>
                  </w:tcBorders>
                  <w:vAlign w:val="center"/>
                  <w:hideMark/>
                </w:tcPr>
                <w:p w14:paraId="1770DE8E"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6016BD4F"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4" w:space="0" w:color="auto"/>
                  </w:tcBorders>
                  <w:vAlign w:val="center"/>
                  <w:hideMark/>
                </w:tcPr>
                <w:p w14:paraId="636963BA" w14:textId="77777777" w:rsidR="008801D7" w:rsidRPr="008801D7" w:rsidRDefault="008801D7" w:rsidP="008801D7">
                  <w:pPr>
                    <w:rPr>
                      <w:rFonts w:ascii="Calibri" w:hAnsi="Calibri" w:cs="Calibri"/>
                      <w:b/>
                      <w:bCs/>
                      <w:color w:val="000000"/>
                      <w:sz w:val="14"/>
                      <w:szCs w:val="14"/>
                      <w:lang w:eastAsia="en-GB"/>
                    </w:rPr>
                  </w:pPr>
                </w:p>
              </w:tc>
              <w:tc>
                <w:tcPr>
                  <w:tcW w:w="578" w:type="dxa"/>
                  <w:vMerge/>
                  <w:tcBorders>
                    <w:top w:val="nil"/>
                    <w:left w:val="single" w:sz="8" w:space="0" w:color="auto"/>
                    <w:bottom w:val="single" w:sz="4" w:space="0" w:color="auto"/>
                    <w:right w:val="single" w:sz="4" w:space="0" w:color="auto"/>
                  </w:tcBorders>
                  <w:vAlign w:val="center"/>
                  <w:hideMark/>
                </w:tcPr>
                <w:p w14:paraId="5D23C337" w14:textId="77777777" w:rsidR="008801D7" w:rsidRPr="008801D7" w:rsidRDefault="008801D7" w:rsidP="008801D7">
                  <w:pPr>
                    <w:rPr>
                      <w:rFonts w:ascii="Calibri" w:hAnsi="Calibri" w:cs="Calibri"/>
                      <w:b/>
                      <w:bCs/>
                      <w:color w:val="000000"/>
                      <w:sz w:val="14"/>
                      <w:szCs w:val="14"/>
                      <w:lang w:eastAsia="en-GB"/>
                    </w:rPr>
                  </w:pPr>
                </w:p>
              </w:tc>
              <w:tc>
                <w:tcPr>
                  <w:tcW w:w="578" w:type="dxa"/>
                  <w:vMerge/>
                  <w:tcBorders>
                    <w:top w:val="nil"/>
                    <w:left w:val="single" w:sz="4" w:space="0" w:color="auto"/>
                    <w:bottom w:val="single" w:sz="4" w:space="0" w:color="auto"/>
                    <w:right w:val="single" w:sz="4" w:space="0" w:color="auto"/>
                  </w:tcBorders>
                  <w:vAlign w:val="center"/>
                  <w:hideMark/>
                </w:tcPr>
                <w:p w14:paraId="4004FD5B"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000000"/>
                    <w:right w:val="single" w:sz="4" w:space="0" w:color="auto"/>
                  </w:tcBorders>
                  <w:vAlign w:val="center"/>
                  <w:hideMark/>
                </w:tcPr>
                <w:p w14:paraId="1A7866E0" w14:textId="77777777" w:rsidR="008801D7" w:rsidRPr="008801D7" w:rsidRDefault="008801D7" w:rsidP="008801D7">
                  <w:pPr>
                    <w:rPr>
                      <w:rFonts w:ascii="Calibri" w:hAnsi="Calibri" w:cs="Calibri"/>
                      <w:b/>
                      <w:bCs/>
                      <w:color w:val="000000"/>
                      <w:sz w:val="14"/>
                      <w:szCs w:val="14"/>
                      <w:lang w:eastAsia="en-GB"/>
                    </w:rPr>
                  </w:pPr>
                </w:p>
              </w:tc>
              <w:tc>
                <w:tcPr>
                  <w:tcW w:w="580" w:type="dxa"/>
                  <w:vMerge/>
                  <w:tcBorders>
                    <w:top w:val="nil"/>
                    <w:left w:val="single" w:sz="4" w:space="0" w:color="auto"/>
                    <w:bottom w:val="single" w:sz="4" w:space="0" w:color="auto"/>
                    <w:right w:val="single" w:sz="8" w:space="0" w:color="auto"/>
                  </w:tcBorders>
                  <w:vAlign w:val="center"/>
                  <w:hideMark/>
                </w:tcPr>
                <w:p w14:paraId="180F588C" w14:textId="77777777" w:rsidR="008801D7" w:rsidRPr="008801D7" w:rsidRDefault="008801D7" w:rsidP="008801D7">
                  <w:pPr>
                    <w:rPr>
                      <w:rFonts w:ascii="Calibri" w:hAnsi="Calibri" w:cs="Calibri"/>
                      <w:b/>
                      <w:bCs/>
                      <w:color w:val="000000"/>
                      <w:sz w:val="14"/>
                      <w:szCs w:val="14"/>
                      <w:lang w:eastAsia="en-GB"/>
                    </w:rPr>
                  </w:pPr>
                </w:p>
              </w:tc>
            </w:tr>
            <w:tr w:rsidR="008801D7" w:rsidRPr="008801D7" w14:paraId="4A302904" w14:textId="77777777" w:rsidTr="008801D7">
              <w:trPr>
                <w:trHeight w:val="236"/>
              </w:trPr>
              <w:tc>
                <w:tcPr>
                  <w:tcW w:w="1596" w:type="dxa"/>
                  <w:tcBorders>
                    <w:top w:val="nil"/>
                    <w:left w:val="single" w:sz="4" w:space="0" w:color="auto"/>
                    <w:bottom w:val="single" w:sz="4" w:space="0" w:color="auto"/>
                    <w:right w:val="single" w:sz="4" w:space="0" w:color="auto"/>
                  </w:tcBorders>
                  <w:shd w:val="clear" w:color="auto" w:fill="auto"/>
                  <w:noWrap/>
                  <w:vAlign w:val="center"/>
                  <w:hideMark/>
                </w:tcPr>
                <w:p w14:paraId="5994FBBA"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Sportsbook stakes</w:t>
                  </w:r>
                </w:p>
              </w:tc>
              <w:tc>
                <w:tcPr>
                  <w:tcW w:w="578" w:type="dxa"/>
                  <w:tcBorders>
                    <w:top w:val="nil"/>
                    <w:left w:val="nil"/>
                    <w:bottom w:val="single" w:sz="4" w:space="0" w:color="auto"/>
                    <w:right w:val="single" w:sz="4" w:space="0" w:color="auto"/>
                  </w:tcBorders>
                  <w:shd w:val="clear" w:color="000000" w:fill="FFF2CC"/>
                  <w:noWrap/>
                  <w:vAlign w:val="center"/>
                  <w:hideMark/>
                </w:tcPr>
                <w:p w14:paraId="4389F9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789</w:t>
                  </w:r>
                </w:p>
              </w:tc>
              <w:tc>
                <w:tcPr>
                  <w:tcW w:w="580" w:type="dxa"/>
                  <w:tcBorders>
                    <w:top w:val="nil"/>
                    <w:left w:val="nil"/>
                    <w:bottom w:val="single" w:sz="4" w:space="0" w:color="auto"/>
                    <w:right w:val="single" w:sz="4" w:space="0" w:color="auto"/>
                  </w:tcBorders>
                  <w:shd w:val="clear" w:color="000000" w:fill="FFF2CC"/>
                  <w:noWrap/>
                  <w:vAlign w:val="center"/>
                  <w:hideMark/>
                </w:tcPr>
                <w:p w14:paraId="1F2C98B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1,817</w:t>
                  </w:r>
                </w:p>
              </w:tc>
              <w:tc>
                <w:tcPr>
                  <w:tcW w:w="580" w:type="dxa"/>
                  <w:tcBorders>
                    <w:top w:val="nil"/>
                    <w:left w:val="nil"/>
                    <w:bottom w:val="single" w:sz="4" w:space="0" w:color="auto"/>
                    <w:right w:val="single" w:sz="4" w:space="0" w:color="auto"/>
                  </w:tcBorders>
                  <w:shd w:val="clear" w:color="000000" w:fill="FFF2CC"/>
                  <w:noWrap/>
                  <w:vAlign w:val="center"/>
                  <w:hideMark/>
                </w:tcPr>
                <w:p w14:paraId="0CEB9DB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-57%</w:t>
                  </w:r>
                </w:p>
              </w:tc>
              <w:tc>
                <w:tcPr>
                  <w:tcW w:w="579" w:type="dxa"/>
                  <w:tcBorders>
                    <w:top w:val="nil"/>
                    <w:left w:val="nil"/>
                    <w:bottom w:val="single" w:sz="4" w:space="0" w:color="auto"/>
                    <w:right w:val="single" w:sz="4" w:space="0" w:color="auto"/>
                  </w:tcBorders>
                  <w:shd w:val="clear" w:color="000000" w:fill="C6E0B4"/>
                  <w:noWrap/>
                  <w:vAlign w:val="center"/>
                  <w:hideMark/>
                </w:tcPr>
                <w:p w14:paraId="460E4B4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680</w:t>
                  </w:r>
                </w:p>
              </w:tc>
              <w:tc>
                <w:tcPr>
                  <w:tcW w:w="579" w:type="dxa"/>
                  <w:tcBorders>
                    <w:top w:val="nil"/>
                    <w:left w:val="nil"/>
                    <w:bottom w:val="single" w:sz="4" w:space="0" w:color="auto"/>
                    <w:right w:val="single" w:sz="4" w:space="0" w:color="auto"/>
                  </w:tcBorders>
                  <w:shd w:val="clear" w:color="000000" w:fill="C6E0B4"/>
                  <w:noWrap/>
                  <w:vAlign w:val="center"/>
                  <w:hideMark/>
                </w:tcPr>
                <w:p w14:paraId="2D6A957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1,171</w:t>
                  </w:r>
                </w:p>
              </w:tc>
              <w:tc>
                <w:tcPr>
                  <w:tcW w:w="580" w:type="dxa"/>
                  <w:tcBorders>
                    <w:top w:val="nil"/>
                    <w:left w:val="nil"/>
                    <w:bottom w:val="single" w:sz="4" w:space="0" w:color="auto"/>
                    <w:right w:val="single" w:sz="4" w:space="0" w:color="auto"/>
                  </w:tcBorders>
                  <w:shd w:val="clear" w:color="000000" w:fill="C6E0B4"/>
                  <w:noWrap/>
                  <w:vAlign w:val="center"/>
                  <w:hideMark/>
                </w:tcPr>
                <w:p w14:paraId="6CF4082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-42%</w:t>
                  </w:r>
                </w:p>
              </w:tc>
              <w:tc>
                <w:tcPr>
                  <w:tcW w:w="579" w:type="dxa"/>
                  <w:tcBorders>
                    <w:top w:val="nil"/>
                    <w:left w:val="single" w:sz="4" w:space="0" w:color="auto"/>
                    <w:bottom w:val="single" w:sz="4" w:space="0" w:color="auto"/>
                    <w:right w:val="single" w:sz="4" w:space="0" w:color="auto"/>
                  </w:tcBorders>
                  <w:shd w:val="clear" w:color="000000" w:fill="BFBFBF"/>
                  <w:noWrap/>
                  <w:vAlign w:val="center"/>
                  <w:hideMark/>
                </w:tcPr>
                <w:p w14:paraId="68E9ED4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151</w:t>
                  </w:r>
                </w:p>
              </w:tc>
              <w:tc>
                <w:tcPr>
                  <w:tcW w:w="579" w:type="dxa"/>
                  <w:tcBorders>
                    <w:top w:val="nil"/>
                    <w:left w:val="nil"/>
                    <w:bottom w:val="single" w:sz="4" w:space="0" w:color="auto"/>
                    <w:right w:val="single" w:sz="4" w:space="0" w:color="auto"/>
                  </w:tcBorders>
                  <w:shd w:val="clear" w:color="000000" w:fill="BFBFBF"/>
                  <w:noWrap/>
                  <w:vAlign w:val="center"/>
                  <w:hideMark/>
                </w:tcPr>
                <w:p w14:paraId="713FA0D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187</w:t>
                  </w:r>
                </w:p>
              </w:tc>
              <w:tc>
                <w:tcPr>
                  <w:tcW w:w="580" w:type="dxa"/>
                  <w:tcBorders>
                    <w:top w:val="nil"/>
                    <w:left w:val="nil"/>
                    <w:bottom w:val="single" w:sz="4" w:space="0" w:color="auto"/>
                    <w:right w:val="single" w:sz="4" w:space="0" w:color="auto"/>
                  </w:tcBorders>
                  <w:shd w:val="clear" w:color="000000" w:fill="BFBFBF"/>
                  <w:noWrap/>
                  <w:vAlign w:val="center"/>
                  <w:hideMark/>
                </w:tcPr>
                <w:p w14:paraId="310B3EB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-20%</w:t>
                  </w:r>
                </w:p>
              </w:tc>
              <w:tc>
                <w:tcPr>
                  <w:tcW w:w="580" w:type="dxa"/>
                  <w:tcBorders>
                    <w:top w:val="nil"/>
                    <w:left w:val="nil"/>
                    <w:bottom w:val="single" w:sz="4" w:space="0" w:color="auto"/>
                    <w:right w:val="single" w:sz="4" w:space="0" w:color="auto"/>
                  </w:tcBorders>
                  <w:shd w:val="clear" w:color="000000" w:fill="BFBFBF"/>
                  <w:noWrap/>
                  <w:vAlign w:val="center"/>
                  <w:hideMark/>
                </w:tcPr>
                <w:p w14:paraId="1771B2D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-18%</w:t>
                  </w:r>
                </w:p>
              </w:tc>
              <w:tc>
                <w:tcPr>
                  <w:tcW w:w="579" w:type="dxa"/>
                  <w:tcBorders>
                    <w:top w:val="nil"/>
                    <w:left w:val="nil"/>
                    <w:bottom w:val="single" w:sz="4" w:space="0" w:color="auto"/>
                    <w:right w:val="single" w:sz="4" w:space="0" w:color="auto"/>
                  </w:tcBorders>
                  <w:shd w:val="clear" w:color="auto" w:fill="auto"/>
                  <w:noWrap/>
                  <w:vAlign w:val="center"/>
                  <w:hideMark/>
                </w:tcPr>
                <w:p w14:paraId="7FE6E36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2,177</w:t>
                  </w:r>
                </w:p>
              </w:tc>
              <w:tc>
                <w:tcPr>
                  <w:tcW w:w="579" w:type="dxa"/>
                  <w:tcBorders>
                    <w:top w:val="nil"/>
                    <w:left w:val="nil"/>
                    <w:bottom w:val="single" w:sz="4" w:space="0" w:color="auto"/>
                    <w:right w:val="single" w:sz="4" w:space="0" w:color="auto"/>
                  </w:tcBorders>
                  <w:shd w:val="clear" w:color="000000" w:fill="FFFFFF"/>
                  <w:noWrap/>
                  <w:vAlign w:val="center"/>
                  <w:hideMark/>
                </w:tcPr>
                <w:p w14:paraId="57AFE06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1,671</w:t>
                  </w:r>
                </w:p>
              </w:tc>
              <w:tc>
                <w:tcPr>
                  <w:tcW w:w="580" w:type="dxa"/>
                  <w:tcBorders>
                    <w:top w:val="nil"/>
                    <w:left w:val="nil"/>
                    <w:bottom w:val="single" w:sz="4" w:space="0" w:color="auto"/>
                    <w:right w:val="single" w:sz="4" w:space="0" w:color="auto"/>
                  </w:tcBorders>
                  <w:shd w:val="clear" w:color="auto" w:fill="auto"/>
                  <w:noWrap/>
                  <w:vAlign w:val="center"/>
                  <w:hideMark/>
                </w:tcPr>
                <w:p w14:paraId="1141C45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+30%</w:t>
                  </w:r>
                </w:p>
              </w:tc>
              <w:tc>
                <w:tcPr>
                  <w:tcW w:w="580" w:type="dxa"/>
                  <w:tcBorders>
                    <w:top w:val="nil"/>
                    <w:left w:val="nil"/>
                    <w:bottom w:val="single" w:sz="4" w:space="0" w:color="auto"/>
                    <w:right w:val="single" w:sz="4" w:space="0" w:color="auto"/>
                  </w:tcBorders>
                  <w:shd w:val="clear" w:color="auto" w:fill="auto"/>
                  <w:noWrap/>
                  <w:vAlign w:val="center"/>
                  <w:hideMark/>
                </w:tcPr>
                <w:p w14:paraId="2315F20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+34%</w:t>
                  </w:r>
                </w:p>
              </w:tc>
              <w:tc>
                <w:tcPr>
                  <w:tcW w:w="578" w:type="dxa"/>
                  <w:tcBorders>
                    <w:top w:val="nil"/>
                    <w:left w:val="nil"/>
                    <w:bottom w:val="single" w:sz="4" w:space="0" w:color="auto"/>
                    <w:right w:val="single" w:sz="4" w:space="0" w:color="auto"/>
                  </w:tcBorders>
                  <w:shd w:val="clear" w:color="000000" w:fill="D9E1F2"/>
                  <w:noWrap/>
                  <w:vAlign w:val="center"/>
                  <w:hideMark/>
                </w:tcPr>
                <w:p w14:paraId="1BF3E29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226</w:t>
                  </w:r>
                </w:p>
              </w:tc>
              <w:tc>
                <w:tcPr>
                  <w:tcW w:w="578" w:type="dxa"/>
                  <w:tcBorders>
                    <w:top w:val="nil"/>
                    <w:left w:val="nil"/>
                    <w:bottom w:val="single" w:sz="4" w:space="0" w:color="auto"/>
                    <w:right w:val="single" w:sz="4" w:space="0" w:color="auto"/>
                  </w:tcBorders>
                  <w:shd w:val="clear" w:color="000000" w:fill="D9E1F2"/>
                  <w:noWrap/>
                  <w:vAlign w:val="center"/>
                  <w:hideMark/>
                </w:tcPr>
                <w:p w14:paraId="7649B7F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393</w:t>
                  </w:r>
                </w:p>
              </w:tc>
              <w:tc>
                <w:tcPr>
                  <w:tcW w:w="580" w:type="dxa"/>
                  <w:tcBorders>
                    <w:top w:val="nil"/>
                    <w:left w:val="nil"/>
                    <w:bottom w:val="single" w:sz="4" w:space="0" w:color="auto"/>
                    <w:right w:val="single" w:sz="4" w:space="0" w:color="auto"/>
                  </w:tcBorders>
                  <w:shd w:val="clear" w:color="000000" w:fill="D9E1F2"/>
                  <w:noWrap/>
                  <w:vAlign w:val="center"/>
                  <w:hideMark/>
                </w:tcPr>
                <w:p w14:paraId="05226BA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-42%</w:t>
                  </w:r>
                </w:p>
              </w:tc>
              <w:tc>
                <w:tcPr>
                  <w:tcW w:w="580" w:type="dxa"/>
                  <w:tcBorders>
                    <w:top w:val="nil"/>
                    <w:left w:val="nil"/>
                    <w:bottom w:val="single" w:sz="4" w:space="0" w:color="auto"/>
                    <w:right w:val="single" w:sz="4" w:space="0" w:color="auto"/>
                  </w:tcBorders>
                  <w:shd w:val="clear" w:color="000000" w:fill="D9E1F2"/>
                  <w:noWrap/>
                  <w:vAlign w:val="center"/>
                  <w:hideMark/>
                </w:tcPr>
                <w:p w14:paraId="148883B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-44%</w:t>
                  </w:r>
                </w:p>
              </w:tc>
              <w:tc>
                <w:tcPr>
                  <w:tcW w:w="578" w:type="dxa"/>
                  <w:tcBorders>
                    <w:top w:val="nil"/>
                    <w:left w:val="single" w:sz="8" w:space="0" w:color="auto"/>
                    <w:bottom w:val="single" w:sz="4" w:space="0" w:color="auto"/>
                    <w:right w:val="single" w:sz="4" w:space="0" w:color="auto"/>
                  </w:tcBorders>
                  <w:shd w:val="clear" w:color="000000" w:fill="FCE4D6"/>
                  <w:noWrap/>
                  <w:vAlign w:val="center"/>
                  <w:hideMark/>
                </w:tcPr>
                <w:p w14:paraId="5431D71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4,023</w:t>
                  </w:r>
                </w:p>
              </w:tc>
              <w:tc>
                <w:tcPr>
                  <w:tcW w:w="578" w:type="dxa"/>
                  <w:tcBorders>
                    <w:top w:val="nil"/>
                    <w:left w:val="nil"/>
                    <w:bottom w:val="single" w:sz="4" w:space="0" w:color="auto"/>
                    <w:right w:val="single" w:sz="4" w:space="0" w:color="auto"/>
                  </w:tcBorders>
                  <w:shd w:val="clear" w:color="000000" w:fill="FCE4D6"/>
                  <w:noWrap/>
                  <w:vAlign w:val="center"/>
                  <w:hideMark/>
                </w:tcPr>
                <w:p w14:paraId="1715CF3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5,239</w:t>
                  </w:r>
                </w:p>
              </w:tc>
              <w:tc>
                <w:tcPr>
                  <w:tcW w:w="580" w:type="dxa"/>
                  <w:tcBorders>
                    <w:top w:val="nil"/>
                    <w:left w:val="nil"/>
                    <w:bottom w:val="single" w:sz="4" w:space="0" w:color="auto"/>
                    <w:right w:val="single" w:sz="4" w:space="0" w:color="auto"/>
                  </w:tcBorders>
                  <w:shd w:val="clear" w:color="000000" w:fill="FCE4D6"/>
                  <w:noWrap/>
                  <w:vAlign w:val="center"/>
                  <w:hideMark/>
                </w:tcPr>
                <w:p w14:paraId="3ABA875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w:t>
                  </w:r>
                </w:p>
              </w:tc>
              <w:tc>
                <w:tcPr>
                  <w:tcW w:w="580" w:type="dxa"/>
                  <w:tcBorders>
                    <w:top w:val="nil"/>
                    <w:left w:val="nil"/>
                    <w:bottom w:val="single" w:sz="4" w:space="0" w:color="auto"/>
                    <w:right w:val="single" w:sz="8" w:space="0" w:color="auto"/>
                  </w:tcBorders>
                  <w:shd w:val="clear" w:color="000000" w:fill="FCE4D6"/>
                  <w:noWrap/>
                  <w:vAlign w:val="center"/>
                  <w:hideMark/>
                </w:tcPr>
                <w:p w14:paraId="20E69D6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w:t>
                  </w:r>
                </w:p>
              </w:tc>
            </w:tr>
            <w:tr w:rsidR="008801D7" w:rsidRPr="008801D7" w14:paraId="1FA2E147" w14:textId="77777777" w:rsidTr="008801D7">
              <w:trPr>
                <w:trHeight w:val="311"/>
              </w:trPr>
              <w:tc>
                <w:tcPr>
                  <w:tcW w:w="1596" w:type="dxa"/>
                  <w:tcBorders>
                    <w:top w:val="nil"/>
                    <w:left w:val="single" w:sz="4" w:space="0" w:color="auto"/>
                    <w:bottom w:val="single" w:sz="4" w:space="0" w:color="auto"/>
                    <w:right w:val="single" w:sz="4" w:space="0" w:color="auto"/>
                  </w:tcBorders>
                  <w:shd w:val="clear" w:color="auto" w:fill="auto"/>
                  <w:vAlign w:val="center"/>
                  <w:hideMark/>
                </w:tcPr>
                <w:p w14:paraId="34A260AF" w14:textId="77777777" w:rsidR="008801D7" w:rsidRPr="008801D7" w:rsidRDefault="008801D7" w:rsidP="008801D7">
                  <w:pPr>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Sportsbook net revenue margin</w:t>
                  </w:r>
                </w:p>
              </w:tc>
              <w:tc>
                <w:tcPr>
                  <w:tcW w:w="578" w:type="dxa"/>
                  <w:tcBorders>
                    <w:top w:val="nil"/>
                    <w:left w:val="nil"/>
                    <w:bottom w:val="single" w:sz="4" w:space="0" w:color="auto"/>
                    <w:right w:val="single" w:sz="4" w:space="0" w:color="auto"/>
                  </w:tcBorders>
                  <w:shd w:val="clear" w:color="000000" w:fill="FFF2CC"/>
                  <w:noWrap/>
                  <w:vAlign w:val="center"/>
                  <w:hideMark/>
                </w:tcPr>
                <w:p w14:paraId="5463F86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10.4%</w:t>
                  </w:r>
                </w:p>
              </w:tc>
              <w:tc>
                <w:tcPr>
                  <w:tcW w:w="580" w:type="dxa"/>
                  <w:tcBorders>
                    <w:top w:val="nil"/>
                    <w:left w:val="nil"/>
                    <w:bottom w:val="single" w:sz="4" w:space="0" w:color="auto"/>
                    <w:right w:val="single" w:sz="4" w:space="0" w:color="auto"/>
                  </w:tcBorders>
                  <w:shd w:val="clear" w:color="000000" w:fill="FFF2CC"/>
                  <w:noWrap/>
                  <w:vAlign w:val="center"/>
                  <w:hideMark/>
                </w:tcPr>
                <w:p w14:paraId="1A3E928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10.0%</w:t>
                  </w:r>
                </w:p>
              </w:tc>
              <w:tc>
                <w:tcPr>
                  <w:tcW w:w="580" w:type="dxa"/>
                  <w:tcBorders>
                    <w:top w:val="nil"/>
                    <w:left w:val="nil"/>
                    <w:bottom w:val="single" w:sz="4" w:space="0" w:color="auto"/>
                    <w:right w:val="single" w:sz="4" w:space="0" w:color="auto"/>
                  </w:tcBorders>
                  <w:shd w:val="clear" w:color="000000" w:fill="FFF2CC"/>
                  <w:noWrap/>
                  <w:vAlign w:val="center"/>
                  <w:hideMark/>
                </w:tcPr>
                <w:p w14:paraId="6D87A3C6" w14:textId="77777777" w:rsidR="008801D7" w:rsidRPr="008801D7" w:rsidRDefault="008801D7" w:rsidP="00927076">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w:t>
                  </w:r>
                  <w:r w:rsidR="00927076">
                    <w:rPr>
                      <w:rFonts w:ascii="Calibri" w:hAnsi="Calibri" w:cs="Calibri"/>
                      <w:i/>
                      <w:iCs/>
                      <w:color w:val="000000"/>
                      <w:sz w:val="12"/>
                      <w:szCs w:val="12"/>
                      <w:lang w:eastAsia="en-GB"/>
                    </w:rPr>
                    <w:t>4</w:t>
                  </w:r>
                  <w:r w:rsidRPr="008801D7">
                    <w:rPr>
                      <w:rFonts w:ascii="Calibri" w:hAnsi="Calibri" w:cs="Calibri"/>
                      <w:i/>
                      <w:iCs/>
                      <w:color w:val="000000"/>
                      <w:sz w:val="12"/>
                      <w:szCs w:val="12"/>
                      <w:lang w:eastAsia="en-GB"/>
                    </w:rPr>
                    <w:t>0bps</w:t>
                  </w:r>
                </w:p>
              </w:tc>
              <w:tc>
                <w:tcPr>
                  <w:tcW w:w="579" w:type="dxa"/>
                  <w:tcBorders>
                    <w:top w:val="nil"/>
                    <w:left w:val="nil"/>
                    <w:bottom w:val="single" w:sz="4" w:space="0" w:color="auto"/>
                    <w:right w:val="single" w:sz="4" w:space="0" w:color="auto"/>
                  </w:tcBorders>
                  <w:shd w:val="clear" w:color="000000" w:fill="C6E0B4"/>
                  <w:noWrap/>
                  <w:vAlign w:val="center"/>
                  <w:hideMark/>
                </w:tcPr>
                <w:p w14:paraId="07A2CA42"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w:t>
                  </w:r>
                  <w:r w:rsidR="00C0438C">
                    <w:rPr>
                      <w:rFonts w:ascii="Calibri" w:hAnsi="Calibri" w:cs="Calibri"/>
                      <w:i/>
                      <w:iCs/>
                      <w:color w:val="000000"/>
                      <w:sz w:val="12"/>
                      <w:szCs w:val="12"/>
                      <w:lang w:eastAsia="en-GB"/>
                    </w:rPr>
                    <w:t>4.5</w:t>
                  </w:r>
                  <w:r w:rsidRPr="008801D7">
                    <w:rPr>
                      <w:rFonts w:ascii="Calibri" w:hAnsi="Calibri" w:cs="Calibri"/>
                      <w:i/>
                      <w:iCs/>
                      <w:color w:val="000000"/>
                      <w:sz w:val="12"/>
                      <w:szCs w:val="12"/>
                      <w:lang w:eastAsia="en-GB"/>
                    </w:rPr>
                    <w:t>%</w:t>
                  </w:r>
                </w:p>
              </w:tc>
              <w:tc>
                <w:tcPr>
                  <w:tcW w:w="579" w:type="dxa"/>
                  <w:tcBorders>
                    <w:top w:val="nil"/>
                    <w:left w:val="nil"/>
                    <w:bottom w:val="single" w:sz="4" w:space="0" w:color="auto"/>
                    <w:right w:val="single" w:sz="4" w:space="0" w:color="auto"/>
                  </w:tcBorders>
                  <w:shd w:val="clear" w:color="000000" w:fill="C6E0B4"/>
                  <w:noWrap/>
                  <w:vAlign w:val="center"/>
                  <w:hideMark/>
                </w:tcPr>
                <w:p w14:paraId="0B360C0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9.8%</w:t>
                  </w:r>
                </w:p>
              </w:tc>
              <w:tc>
                <w:tcPr>
                  <w:tcW w:w="580" w:type="dxa"/>
                  <w:tcBorders>
                    <w:top w:val="nil"/>
                    <w:left w:val="nil"/>
                    <w:bottom w:val="single" w:sz="4" w:space="0" w:color="auto"/>
                    <w:right w:val="single" w:sz="4" w:space="0" w:color="auto"/>
                  </w:tcBorders>
                  <w:shd w:val="clear" w:color="000000" w:fill="C6E0B4"/>
                  <w:noWrap/>
                  <w:vAlign w:val="center"/>
                  <w:hideMark/>
                </w:tcPr>
                <w:p w14:paraId="337888BE" w14:textId="77777777" w:rsidR="008801D7" w:rsidRPr="008801D7" w:rsidRDefault="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w:t>
                  </w:r>
                  <w:r w:rsidR="00C0438C">
                    <w:rPr>
                      <w:rFonts w:ascii="Calibri" w:hAnsi="Calibri" w:cs="Calibri"/>
                      <w:i/>
                      <w:iCs/>
                      <w:color w:val="000000"/>
                      <w:sz w:val="12"/>
                      <w:szCs w:val="12"/>
                      <w:lang w:eastAsia="en-GB"/>
                    </w:rPr>
                    <w:t>7</w:t>
                  </w:r>
                  <w:r w:rsidRPr="008801D7">
                    <w:rPr>
                      <w:rFonts w:ascii="Calibri" w:hAnsi="Calibri" w:cs="Calibri"/>
                      <w:i/>
                      <w:iCs/>
                      <w:color w:val="000000"/>
                      <w:sz w:val="12"/>
                      <w:szCs w:val="12"/>
                      <w:lang w:eastAsia="en-GB"/>
                    </w:rPr>
                    <w:t>0bps</w:t>
                  </w:r>
                </w:p>
              </w:tc>
              <w:tc>
                <w:tcPr>
                  <w:tcW w:w="579" w:type="dxa"/>
                  <w:tcBorders>
                    <w:top w:val="nil"/>
                    <w:left w:val="single" w:sz="4" w:space="0" w:color="auto"/>
                    <w:bottom w:val="single" w:sz="4" w:space="0" w:color="auto"/>
                    <w:right w:val="single" w:sz="4" w:space="0" w:color="auto"/>
                  </w:tcBorders>
                  <w:shd w:val="clear" w:color="000000" w:fill="BFBFBF"/>
                  <w:noWrap/>
                  <w:vAlign w:val="center"/>
                  <w:hideMark/>
                </w:tcPr>
                <w:p w14:paraId="3222A1D6"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6.8%</w:t>
                  </w:r>
                </w:p>
              </w:tc>
              <w:tc>
                <w:tcPr>
                  <w:tcW w:w="579" w:type="dxa"/>
                  <w:tcBorders>
                    <w:top w:val="nil"/>
                    <w:left w:val="nil"/>
                    <w:bottom w:val="single" w:sz="4" w:space="0" w:color="auto"/>
                    <w:right w:val="single" w:sz="4" w:space="0" w:color="auto"/>
                  </w:tcBorders>
                  <w:shd w:val="clear" w:color="000000" w:fill="BFBFBF"/>
                  <w:noWrap/>
                  <w:vAlign w:val="center"/>
                  <w:hideMark/>
                </w:tcPr>
                <w:p w14:paraId="75A76D26"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7.7%</w:t>
                  </w:r>
                </w:p>
              </w:tc>
              <w:tc>
                <w:tcPr>
                  <w:tcW w:w="580" w:type="dxa"/>
                  <w:tcBorders>
                    <w:top w:val="nil"/>
                    <w:left w:val="nil"/>
                    <w:bottom w:val="single" w:sz="4" w:space="0" w:color="auto"/>
                    <w:right w:val="single" w:sz="4" w:space="0" w:color="auto"/>
                  </w:tcBorders>
                  <w:shd w:val="clear" w:color="000000" w:fill="BFBFBF"/>
                  <w:noWrap/>
                  <w:vAlign w:val="center"/>
                  <w:hideMark/>
                </w:tcPr>
                <w:p w14:paraId="331345EA"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-90bps</w:t>
                  </w:r>
                </w:p>
              </w:tc>
              <w:tc>
                <w:tcPr>
                  <w:tcW w:w="580" w:type="dxa"/>
                  <w:tcBorders>
                    <w:top w:val="nil"/>
                    <w:left w:val="nil"/>
                    <w:bottom w:val="single" w:sz="4" w:space="0" w:color="auto"/>
                    <w:right w:val="single" w:sz="4" w:space="0" w:color="auto"/>
                  </w:tcBorders>
                  <w:shd w:val="clear" w:color="000000" w:fill="BFBFBF"/>
                  <w:noWrap/>
                  <w:vAlign w:val="center"/>
                  <w:hideMark/>
                </w:tcPr>
                <w:p w14:paraId="056DE645" w14:textId="77777777" w:rsidR="008801D7" w:rsidRPr="008801D7" w:rsidRDefault="008801D7" w:rsidP="00640B6F">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w:t>
                  </w:r>
                  <w:r w:rsidR="00640B6F">
                    <w:rPr>
                      <w:rFonts w:ascii="Calibri" w:hAnsi="Calibri" w:cs="Calibri"/>
                      <w:i/>
                      <w:iCs/>
                      <w:color w:val="000000"/>
                      <w:sz w:val="12"/>
                      <w:szCs w:val="12"/>
                      <w:lang w:eastAsia="en-GB"/>
                    </w:rPr>
                    <w:t>90</w:t>
                  </w:r>
                  <w:r w:rsidRPr="008801D7">
                    <w:rPr>
                      <w:rFonts w:ascii="Calibri" w:hAnsi="Calibri" w:cs="Calibri"/>
                      <w:i/>
                      <w:iCs/>
                      <w:color w:val="000000"/>
                      <w:sz w:val="12"/>
                      <w:szCs w:val="12"/>
                      <w:lang w:eastAsia="en-GB"/>
                    </w:rPr>
                    <w:t>bps</w:t>
                  </w:r>
                </w:p>
              </w:tc>
              <w:tc>
                <w:tcPr>
                  <w:tcW w:w="579" w:type="dxa"/>
                  <w:tcBorders>
                    <w:top w:val="nil"/>
                    <w:left w:val="nil"/>
                    <w:bottom w:val="single" w:sz="4" w:space="0" w:color="auto"/>
                    <w:right w:val="single" w:sz="4" w:space="0" w:color="auto"/>
                  </w:tcBorders>
                  <w:shd w:val="clear" w:color="auto" w:fill="auto"/>
                  <w:noWrap/>
                  <w:vAlign w:val="center"/>
                  <w:hideMark/>
                </w:tcPr>
                <w:p w14:paraId="6427AAB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12.6%</w:t>
                  </w:r>
                </w:p>
              </w:tc>
              <w:tc>
                <w:tcPr>
                  <w:tcW w:w="579" w:type="dxa"/>
                  <w:tcBorders>
                    <w:top w:val="nil"/>
                    <w:left w:val="nil"/>
                    <w:bottom w:val="single" w:sz="4" w:space="0" w:color="auto"/>
                    <w:right w:val="single" w:sz="4" w:space="0" w:color="auto"/>
                  </w:tcBorders>
                  <w:shd w:val="clear" w:color="auto" w:fill="auto"/>
                  <w:noWrap/>
                  <w:vAlign w:val="center"/>
                  <w:hideMark/>
                </w:tcPr>
                <w:p w14:paraId="60CE5EBD"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9.9%</w:t>
                  </w:r>
                </w:p>
              </w:tc>
              <w:tc>
                <w:tcPr>
                  <w:tcW w:w="580" w:type="dxa"/>
                  <w:tcBorders>
                    <w:top w:val="nil"/>
                    <w:left w:val="nil"/>
                    <w:bottom w:val="single" w:sz="4" w:space="0" w:color="auto"/>
                    <w:right w:val="single" w:sz="4" w:space="0" w:color="auto"/>
                  </w:tcBorders>
                  <w:shd w:val="clear" w:color="auto" w:fill="auto"/>
                  <w:noWrap/>
                  <w:vAlign w:val="center"/>
                  <w:hideMark/>
                </w:tcPr>
                <w:p w14:paraId="68157471" w14:textId="77777777" w:rsidR="008801D7" w:rsidRPr="008801D7" w:rsidRDefault="008801D7" w:rsidP="00927076">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w:t>
                  </w:r>
                  <w:r w:rsidR="00927076">
                    <w:rPr>
                      <w:rFonts w:ascii="Calibri" w:hAnsi="Calibri" w:cs="Calibri"/>
                      <w:i/>
                      <w:iCs/>
                      <w:color w:val="000000"/>
                      <w:sz w:val="12"/>
                      <w:szCs w:val="12"/>
                      <w:lang w:eastAsia="en-GB"/>
                    </w:rPr>
                    <w:t>7</w:t>
                  </w:r>
                  <w:r w:rsidRPr="008801D7">
                    <w:rPr>
                      <w:rFonts w:ascii="Calibri" w:hAnsi="Calibri" w:cs="Calibri"/>
                      <w:i/>
                      <w:iCs/>
                      <w:color w:val="000000"/>
                      <w:sz w:val="12"/>
                      <w:szCs w:val="12"/>
                      <w:lang w:eastAsia="en-GB"/>
                    </w:rPr>
                    <w:t>0bps</w:t>
                  </w:r>
                </w:p>
              </w:tc>
              <w:tc>
                <w:tcPr>
                  <w:tcW w:w="580" w:type="dxa"/>
                  <w:tcBorders>
                    <w:top w:val="nil"/>
                    <w:left w:val="nil"/>
                    <w:bottom w:val="single" w:sz="4" w:space="0" w:color="auto"/>
                    <w:right w:val="single" w:sz="4" w:space="0" w:color="auto"/>
                  </w:tcBorders>
                  <w:shd w:val="clear" w:color="auto" w:fill="auto"/>
                  <w:noWrap/>
                  <w:vAlign w:val="center"/>
                  <w:hideMark/>
                </w:tcPr>
                <w:p w14:paraId="1A20EF97" w14:textId="77777777" w:rsidR="008801D7" w:rsidRPr="008801D7" w:rsidRDefault="008801D7" w:rsidP="00927076">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w:t>
                  </w:r>
                  <w:r w:rsidR="00927076">
                    <w:rPr>
                      <w:rFonts w:ascii="Calibri" w:hAnsi="Calibri" w:cs="Calibri"/>
                      <w:i/>
                      <w:iCs/>
                      <w:color w:val="000000"/>
                      <w:sz w:val="12"/>
                      <w:szCs w:val="12"/>
                      <w:lang w:eastAsia="en-GB"/>
                    </w:rPr>
                    <w:t>7</w:t>
                  </w:r>
                  <w:r w:rsidRPr="008801D7">
                    <w:rPr>
                      <w:rFonts w:ascii="Calibri" w:hAnsi="Calibri" w:cs="Calibri"/>
                      <w:i/>
                      <w:iCs/>
                      <w:color w:val="000000"/>
                      <w:sz w:val="12"/>
                      <w:szCs w:val="12"/>
                      <w:lang w:eastAsia="en-GB"/>
                    </w:rPr>
                    <w:t>0bps</w:t>
                  </w:r>
                </w:p>
              </w:tc>
              <w:tc>
                <w:tcPr>
                  <w:tcW w:w="578" w:type="dxa"/>
                  <w:tcBorders>
                    <w:top w:val="nil"/>
                    <w:left w:val="nil"/>
                    <w:bottom w:val="single" w:sz="4" w:space="0" w:color="auto"/>
                    <w:right w:val="single" w:sz="4" w:space="0" w:color="auto"/>
                  </w:tcBorders>
                  <w:shd w:val="clear" w:color="000000" w:fill="D9E1F2"/>
                  <w:noWrap/>
                  <w:vAlign w:val="center"/>
                  <w:hideMark/>
                </w:tcPr>
                <w:p w14:paraId="7C9433D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6.2%</w:t>
                  </w:r>
                </w:p>
              </w:tc>
              <w:tc>
                <w:tcPr>
                  <w:tcW w:w="578" w:type="dxa"/>
                  <w:tcBorders>
                    <w:top w:val="nil"/>
                    <w:left w:val="nil"/>
                    <w:bottom w:val="single" w:sz="4" w:space="0" w:color="auto"/>
                    <w:right w:val="single" w:sz="4" w:space="0" w:color="auto"/>
                  </w:tcBorders>
                  <w:shd w:val="clear" w:color="000000" w:fill="D9E1F2"/>
                  <w:noWrap/>
                  <w:vAlign w:val="center"/>
                  <w:hideMark/>
                </w:tcPr>
                <w:p w14:paraId="5C95C3F4"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4.2%</w:t>
                  </w:r>
                </w:p>
              </w:tc>
              <w:tc>
                <w:tcPr>
                  <w:tcW w:w="580" w:type="dxa"/>
                  <w:tcBorders>
                    <w:top w:val="nil"/>
                    <w:left w:val="nil"/>
                    <w:bottom w:val="single" w:sz="4" w:space="0" w:color="auto"/>
                    <w:right w:val="single" w:sz="4" w:space="0" w:color="auto"/>
                  </w:tcBorders>
                  <w:shd w:val="clear" w:color="000000" w:fill="D9E1F2"/>
                  <w:noWrap/>
                  <w:vAlign w:val="center"/>
                  <w:hideMark/>
                </w:tcPr>
                <w:p w14:paraId="788B436D"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+200bps</w:t>
                  </w:r>
                </w:p>
              </w:tc>
              <w:tc>
                <w:tcPr>
                  <w:tcW w:w="580" w:type="dxa"/>
                  <w:tcBorders>
                    <w:top w:val="nil"/>
                    <w:left w:val="nil"/>
                    <w:bottom w:val="single" w:sz="4" w:space="0" w:color="auto"/>
                    <w:right w:val="single" w:sz="4" w:space="0" w:color="auto"/>
                  </w:tcBorders>
                  <w:shd w:val="clear" w:color="000000" w:fill="D9E1F2"/>
                  <w:noWrap/>
                  <w:vAlign w:val="center"/>
                  <w:hideMark/>
                </w:tcPr>
                <w:p w14:paraId="11A699FF"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+200bps</w:t>
                  </w:r>
                </w:p>
              </w:tc>
              <w:tc>
                <w:tcPr>
                  <w:tcW w:w="578" w:type="dxa"/>
                  <w:tcBorders>
                    <w:top w:val="nil"/>
                    <w:left w:val="single" w:sz="8" w:space="0" w:color="auto"/>
                    <w:bottom w:val="single" w:sz="4" w:space="0" w:color="auto"/>
                    <w:right w:val="single" w:sz="4" w:space="0" w:color="auto"/>
                  </w:tcBorders>
                  <w:shd w:val="clear" w:color="000000" w:fill="FCE4D6"/>
                  <w:noWrap/>
                  <w:vAlign w:val="center"/>
                  <w:hideMark/>
                </w:tcPr>
                <w:p w14:paraId="3F6E869B"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11.</w:t>
                  </w:r>
                  <w:r w:rsidR="006D5E0F">
                    <w:rPr>
                      <w:rFonts w:ascii="Calibri" w:hAnsi="Calibri" w:cs="Calibri"/>
                      <w:i/>
                      <w:iCs/>
                      <w:color w:val="000000"/>
                      <w:sz w:val="12"/>
                      <w:szCs w:val="12"/>
                      <w:lang w:eastAsia="en-GB"/>
                    </w:rPr>
                    <w:t>9</w:t>
                  </w:r>
                  <w:r w:rsidRPr="008801D7">
                    <w:rPr>
                      <w:rFonts w:ascii="Calibri" w:hAnsi="Calibri" w:cs="Calibri"/>
                      <w:i/>
                      <w:iCs/>
                      <w:color w:val="000000"/>
                      <w:sz w:val="12"/>
                      <w:szCs w:val="12"/>
                      <w:lang w:eastAsia="en-GB"/>
                    </w:rPr>
                    <w:t>%</w:t>
                  </w:r>
                </w:p>
              </w:tc>
              <w:tc>
                <w:tcPr>
                  <w:tcW w:w="578" w:type="dxa"/>
                  <w:tcBorders>
                    <w:top w:val="nil"/>
                    <w:left w:val="nil"/>
                    <w:bottom w:val="single" w:sz="4" w:space="0" w:color="auto"/>
                    <w:right w:val="single" w:sz="4" w:space="0" w:color="auto"/>
                  </w:tcBorders>
                  <w:shd w:val="clear" w:color="000000" w:fill="FCE4D6"/>
                  <w:noWrap/>
                  <w:vAlign w:val="center"/>
                  <w:hideMark/>
                </w:tcPr>
                <w:p w14:paraId="0E2EC047" w14:textId="77777777" w:rsidR="008801D7" w:rsidRPr="008801D7" w:rsidRDefault="008801D7" w:rsidP="008801D7">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9.4%</w:t>
                  </w:r>
                </w:p>
              </w:tc>
              <w:tc>
                <w:tcPr>
                  <w:tcW w:w="580" w:type="dxa"/>
                  <w:tcBorders>
                    <w:top w:val="nil"/>
                    <w:left w:val="nil"/>
                    <w:bottom w:val="single" w:sz="4" w:space="0" w:color="auto"/>
                    <w:right w:val="single" w:sz="4" w:space="0" w:color="auto"/>
                  </w:tcBorders>
                  <w:shd w:val="clear" w:color="000000" w:fill="FCE4D6"/>
                  <w:noWrap/>
                  <w:vAlign w:val="center"/>
                  <w:hideMark/>
                </w:tcPr>
                <w:p w14:paraId="329320B6" w14:textId="77777777" w:rsidR="008801D7" w:rsidRPr="008801D7" w:rsidRDefault="008801D7" w:rsidP="006D5E0F">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w:t>
                  </w:r>
                  <w:r w:rsidR="006D5E0F">
                    <w:rPr>
                      <w:rFonts w:ascii="Calibri" w:hAnsi="Calibri" w:cs="Calibri"/>
                      <w:i/>
                      <w:iCs/>
                      <w:color w:val="000000"/>
                      <w:sz w:val="12"/>
                      <w:szCs w:val="12"/>
                      <w:lang w:eastAsia="en-GB"/>
                    </w:rPr>
                    <w:t>5</w:t>
                  </w:r>
                  <w:r w:rsidRPr="008801D7">
                    <w:rPr>
                      <w:rFonts w:ascii="Calibri" w:hAnsi="Calibri" w:cs="Calibri"/>
                      <w:i/>
                      <w:iCs/>
                      <w:color w:val="000000"/>
                      <w:sz w:val="12"/>
                      <w:szCs w:val="12"/>
                      <w:lang w:eastAsia="en-GB"/>
                    </w:rPr>
                    <w:t>0bps</w:t>
                  </w:r>
                </w:p>
              </w:tc>
              <w:tc>
                <w:tcPr>
                  <w:tcW w:w="580" w:type="dxa"/>
                  <w:tcBorders>
                    <w:top w:val="nil"/>
                    <w:left w:val="nil"/>
                    <w:bottom w:val="single" w:sz="4" w:space="0" w:color="auto"/>
                    <w:right w:val="single" w:sz="8" w:space="0" w:color="auto"/>
                  </w:tcBorders>
                  <w:shd w:val="clear" w:color="000000" w:fill="FCE4D6"/>
                  <w:noWrap/>
                  <w:vAlign w:val="center"/>
                  <w:hideMark/>
                </w:tcPr>
                <w:p w14:paraId="515AB371" w14:textId="77777777" w:rsidR="008801D7" w:rsidRPr="008801D7" w:rsidRDefault="008801D7" w:rsidP="006D5E0F">
                  <w:pPr>
                    <w:jc w:val="right"/>
                    <w:rPr>
                      <w:rFonts w:ascii="Calibri" w:hAnsi="Calibri" w:cs="Calibri"/>
                      <w:i/>
                      <w:iCs/>
                      <w:color w:val="000000"/>
                      <w:sz w:val="12"/>
                      <w:szCs w:val="12"/>
                      <w:lang w:eastAsia="en-GB"/>
                    </w:rPr>
                  </w:pPr>
                  <w:r w:rsidRPr="008801D7">
                    <w:rPr>
                      <w:rFonts w:ascii="Calibri" w:hAnsi="Calibri" w:cs="Calibri"/>
                      <w:i/>
                      <w:iCs/>
                      <w:color w:val="000000"/>
                      <w:sz w:val="12"/>
                      <w:szCs w:val="12"/>
                      <w:lang w:eastAsia="en-GB"/>
                    </w:rPr>
                    <w:t>+2</w:t>
                  </w:r>
                  <w:r w:rsidR="006D5E0F">
                    <w:rPr>
                      <w:rFonts w:ascii="Calibri" w:hAnsi="Calibri" w:cs="Calibri"/>
                      <w:i/>
                      <w:iCs/>
                      <w:color w:val="000000"/>
                      <w:sz w:val="12"/>
                      <w:szCs w:val="12"/>
                      <w:lang w:eastAsia="en-GB"/>
                    </w:rPr>
                    <w:t>5</w:t>
                  </w:r>
                  <w:r w:rsidRPr="008801D7">
                    <w:rPr>
                      <w:rFonts w:ascii="Calibri" w:hAnsi="Calibri" w:cs="Calibri"/>
                      <w:i/>
                      <w:iCs/>
                      <w:color w:val="000000"/>
                      <w:sz w:val="12"/>
                      <w:szCs w:val="12"/>
                      <w:lang w:eastAsia="en-GB"/>
                    </w:rPr>
                    <w:t>0bps</w:t>
                  </w:r>
                </w:p>
              </w:tc>
            </w:tr>
            <w:tr w:rsidR="008801D7" w:rsidRPr="008801D7" w14:paraId="125E08DE" w14:textId="77777777" w:rsidTr="008801D7">
              <w:trPr>
                <w:trHeight w:val="136"/>
              </w:trPr>
              <w:tc>
                <w:tcPr>
                  <w:tcW w:w="1596" w:type="dxa"/>
                  <w:tcBorders>
                    <w:top w:val="nil"/>
                    <w:left w:val="single" w:sz="4" w:space="0" w:color="auto"/>
                    <w:bottom w:val="single" w:sz="4" w:space="0" w:color="auto"/>
                    <w:right w:val="single" w:sz="4" w:space="0" w:color="auto"/>
                  </w:tcBorders>
                  <w:shd w:val="clear" w:color="auto" w:fill="auto"/>
                  <w:noWrap/>
                  <w:vAlign w:val="center"/>
                  <w:hideMark/>
                </w:tcPr>
                <w:p w14:paraId="46A9117F"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8" w:type="dxa"/>
                  <w:tcBorders>
                    <w:top w:val="nil"/>
                    <w:left w:val="nil"/>
                    <w:bottom w:val="single" w:sz="4" w:space="0" w:color="auto"/>
                    <w:right w:val="single" w:sz="4" w:space="0" w:color="auto"/>
                  </w:tcBorders>
                  <w:shd w:val="clear" w:color="000000" w:fill="FFF2CC"/>
                  <w:noWrap/>
                  <w:vAlign w:val="center"/>
                  <w:hideMark/>
                </w:tcPr>
                <w:p w14:paraId="5F11118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2CC"/>
                  <w:noWrap/>
                  <w:vAlign w:val="center"/>
                  <w:hideMark/>
                </w:tcPr>
                <w:p w14:paraId="2CDA1A1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2CC"/>
                  <w:noWrap/>
                  <w:vAlign w:val="center"/>
                  <w:hideMark/>
                </w:tcPr>
                <w:p w14:paraId="4627F17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9" w:type="dxa"/>
                  <w:tcBorders>
                    <w:top w:val="nil"/>
                    <w:left w:val="nil"/>
                    <w:bottom w:val="single" w:sz="4" w:space="0" w:color="auto"/>
                    <w:right w:val="single" w:sz="4" w:space="0" w:color="auto"/>
                  </w:tcBorders>
                  <w:shd w:val="clear" w:color="000000" w:fill="C6E0B4"/>
                  <w:noWrap/>
                  <w:vAlign w:val="center"/>
                  <w:hideMark/>
                </w:tcPr>
                <w:p w14:paraId="05667D6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9" w:type="dxa"/>
                  <w:tcBorders>
                    <w:top w:val="nil"/>
                    <w:left w:val="nil"/>
                    <w:bottom w:val="single" w:sz="4" w:space="0" w:color="auto"/>
                    <w:right w:val="single" w:sz="4" w:space="0" w:color="auto"/>
                  </w:tcBorders>
                  <w:shd w:val="clear" w:color="000000" w:fill="C6E0B4"/>
                  <w:noWrap/>
                  <w:vAlign w:val="center"/>
                  <w:hideMark/>
                </w:tcPr>
                <w:p w14:paraId="47E4B95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C6E0B4"/>
                  <w:noWrap/>
                  <w:vAlign w:val="center"/>
                  <w:hideMark/>
                </w:tcPr>
                <w:p w14:paraId="2CA74D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9" w:type="dxa"/>
                  <w:tcBorders>
                    <w:top w:val="nil"/>
                    <w:left w:val="single" w:sz="4" w:space="0" w:color="auto"/>
                    <w:bottom w:val="single" w:sz="4" w:space="0" w:color="auto"/>
                    <w:right w:val="single" w:sz="4" w:space="0" w:color="auto"/>
                  </w:tcBorders>
                  <w:shd w:val="clear" w:color="000000" w:fill="BFBFBF"/>
                  <w:noWrap/>
                  <w:vAlign w:val="center"/>
                  <w:hideMark/>
                </w:tcPr>
                <w:p w14:paraId="294C23E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9" w:type="dxa"/>
                  <w:tcBorders>
                    <w:top w:val="nil"/>
                    <w:left w:val="nil"/>
                    <w:bottom w:val="single" w:sz="4" w:space="0" w:color="auto"/>
                    <w:right w:val="single" w:sz="4" w:space="0" w:color="auto"/>
                  </w:tcBorders>
                  <w:shd w:val="clear" w:color="000000" w:fill="BFBFBF"/>
                  <w:noWrap/>
                  <w:vAlign w:val="center"/>
                  <w:hideMark/>
                </w:tcPr>
                <w:p w14:paraId="690A854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BFBFBF"/>
                  <w:noWrap/>
                  <w:vAlign w:val="center"/>
                  <w:hideMark/>
                </w:tcPr>
                <w:p w14:paraId="53A8A4C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BFBFBF"/>
                  <w:noWrap/>
                  <w:vAlign w:val="center"/>
                  <w:hideMark/>
                </w:tcPr>
                <w:p w14:paraId="07C63CE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9" w:type="dxa"/>
                  <w:tcBorders>
                    <w:top w:val="nil"/>
                    <w:left w:val="nil"/>
                    <w:bottom w:val="single" w:sz="4" w:space="0" w:color="auto"/>
                    <w:right w:val="single" w:sz="4" w:space="0" w:color="auto"/>
                  </w:tcBorders>
                  <w:shd w:val="clear" w:color="auto" w:fill="auto"/>
                  <w:noWrap/>
                  <w:vAlign w:val="center"/>
                  <w:hideMark/>
                </w:tcPr>
                <w:p w14:paraId="5B1B8F9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9" w:type="dxa"/>
                  <w:tcBorders>
                    <w:top w:val="nil"/>
                    <w:left w:val="nil"/>
                    <w:bottom w:val="single" w:sz="4" w:space="0" w:color="auto"/>
                    <w:right w:val="single" w:sz="4" w:space="0" w:color="auto"/>
                  </w:tcBorders>
                  <w:shd w:val="clear" w:color="000000" w:fill="FFFFFF"/>
                  <w:noWrap/>
                  <w:vAlign w:val="center"/>
                  <w:hideMark/>
                </w:tcPr>
                <w:p w14:paraId="4B60384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FFF"/>
                  <w:noWrap/>
                  <w:vAlign w:val="center"/>
                  <w:hideMark/>
                </w:tcPr>
                <w:p w14:paraId="455B938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FFFFF"/>
                  <w:noWrap/>
                  <w:vAlign w:val="center"/>
                  <w:hideMark/>
                </w:tcPr>
                <w:p w14:paraId="65382B9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8" w:type="dxa"/>
                  <w:tcBorders>
                    <w:top w:val="nil"/>
                    <w:left w:val="nil"/>
                    <w:bottom w:val="single" w:sz="4" w:space="0" w:color="auto"/>
                    <w:right w:val="single" w:sz="4" w:space="0" w:color="auto"/>
                  </w:tcBorders>
                  <w:shd w:val="clear" w:color="000000" w:fill="D9E1F2"/>
                  <w:noWrap/>
                  <w:vAlign w:val="center"/>
                  <w:hideMark/>
                </w:tcPr>
                <w:p w14:paraId="36ED0F8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8" w:type="dxa"/>
                  <w:tcBorders>
                    <w:top w:val="nil"/>
                    <w:left w:val="nil"/>
                    <w:bottom w:val="single" w:sz="4" w:space="0" w:color="auto"/>
                    <w:right w:val="single" w:sz="4" w:space="0" w:color="auto"/>
                  </w:tcBorders>
                  <w:shd w:val="clear" w:color="000000" w:fill="D9E1F2"/>
                  <w:noWrap/>
                  <w:vAlign w:val="center"/>
                  <w:hideMark/>
                </w:tcPr>
                <w:p w14:paraId="3F78A4E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125BE28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D9E1F2"/>
                  <w:noWrap/>
                  <w:vAlign w:val="center"/>
                  <w:hideMark/>
                </w:tcPr>
                <w:p w14:paraId="6A0D308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8" w:type="dxa"/>
                  <w:tcBorders>
                    <w:top w:val="nil"/>
                    <w:left w:val="single" w:sz="8" w:space="0" w:color="auto"/>
                    <w:bottom w:val="single" w:sz="4" w:space="0" w:color="auto"/>
                    <w:right w:val="single" w:sz="4" w:space="0" w:color="auto"/>
                  </w:tcBorders>
                  <w:shd w:val="clear" w:color="000000" w:fill="FCE4D6"/>
                  <w:noWrap/>
                  <w:vAlign w:val="center"/>
                  <w:hideMark/>
                </w:tcPr>
                <w:p w14:paraId="170A7CD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78" w:type="dxa"/>
                  <w:tcBorders>
                    <w:top w:val="nil"/>
                    <w:left w:val="nil"/>
                    <w:bottom w:val="single" w:sz="4" w:space="0" w:color="auto"/>
                    <w:right w:val="single" w:sz="4" w:space="0" w:color="auto"/>
                  </w:tcBorders>
                  <w:shd w:val="clear" w:color="000000" w:fill="FCE4D6"/>
                  <w:noWrap/>
                  <w:vAlign w:val="center"/>
                  <w:hideMark/>
                </w:tcPr>
                <w:p w14:paraId="0863EB8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4" w:space="0" w:color="auto"/>
                  </w:tcBorders>
                  <w:shd w:val="clear" w:color="000000" w:fill="FCE4D6"/>
                  <w:noWrap/>
                  <w:vAlign w:val="center"/>
                  <w:hideMark/>
                </w:tcPr>
                <w:p w14:paraId="7C4F159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c>
                <w:tcPr>
                  <w:tcW w:w="580" w:type="dxa"/>
                  <w:tcBorders>
                    <w:top w:val="nil"/>
                    <w:left w:val="nil"/>
                    <w:bottom w:val="single" w:sz="4" w:space="0" w:color="auto"/>
                    <w:right w:val="single" w:sz="8" w:space="0" w:color="auto"/>
                  </w:tcBorders>
                  <w:shd w:val="clear" w:color="000000" w:fill="FCE4D6"/>
                  <w:noWrap/>
                  <w:vAlign w:val="center"/>
                  <w:hideMark/>
                </w:tcPr>
                <w:p w14:paraId="00FD597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 </w:t>
                  </w:r>
                </w:p>
              </w:tc>
            </w:tr>
            <w:tr w:rsidR="008801D7" w:rsidRPr="008801D7" w14:paraId="1A4AD907" w14:textId="77777777" w:rsidTr="008801D7">
              <w:trPr>
                <w:trHeight w:val="236"/>
              </w:trPr>
              <w:tc>
                <w:tcPr>
                  <w:tcW w:w="1596" w:type="dxa"/>
                  <w:tcBorders>
                    <w:top w:val="nil"/>
                    <w:left w:val="single" w:sz="4" w:space="0" w:color="auto"/>
                    <w:bottom w:val="single" w:sz="4" w:space="0" w:color="auto"/>
                    <w:right w:val="single" w:sz="4" w:space="0" w:color="auto"/>
                  </w:tcBorders>
                  <w:shd w:val="clear" w:color="auto" w:fill="auto"/>
                  <w:noWrap/>
                  <w:vAlign w:val="center"/>
                  <w:hideMark/>
                </w:tcPr>
                <w:p w14:paraId="3C86EFF0"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Sports revenue</w:t>
                  </w:r>
                </w:p>
              </w:tc>
              <w:tc>
                <w:tcPr>
                  <w:tcW w:w="578" w:type="dxa"/>
                  <w:tcBorders>
                    <w:top w:val="nil"/>
                    <w:left w:val="nil"/>
                    <w:bottom w:val="single" w:sz="4" w:space="0" w:color="auto"/>
                    <w:right w:val="single" w:sz="4" w:space="0" w:color="auto"/>
                  </w:tcBorders>
                  <w:shd w:val="clear" w:color="000000" w:fill="FFF2CC"/>
                  <w:noWrap/>
                  <w:vAlign w:val="center"/>
                  <w:hideMark/>
                </w:tcPr>
                <w:p w14:paraId="1FAF8D8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109</w:t>
                  </w:r>
                </w:p>
              </w:tc>
              <w:tc>
                <w:tcPr>
                  <w:tcW w:w="580" w:type="dxa"/>
                  <w:tcBorders>
                    <w:top w:val="nil"/>
                    <w:left w:val="nil"/>
                    <w:bottom w:val="single" w:sz="4" w:space="0" w:color="auto"/>
                    <w:right w:val="single" w:sz="4" w:space="0" w:color="auto"/>
                  </w:tcBorders>
                  <w:shd w:val="clear" w:color="000000" w:fill="FFF2CC"/>
                  <w:noWrap/>
                  <w:vAlign w:val="center"/>
                  <w:hideMark/>
                </w:tcPr>
                <w:p w14:paraId="2CD4A91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247</w:t>
                  </w:r>
                </w:p>
              </w:tc>
              <w:tc>
                <w:tcPr>
                  <w:tcW w:w="580" w:type="dxa"/>
                  <w:tcBorders>
                    <w:top w:val="nil"/>
                    <w:left w:val="nil"/>
                    <w:bottom w:val="single" w:sz="4" w:space="0" w:color="auto"/>
                    <w:right w:val="single" w:sz="4" w:space="0" w:color="auto"/>
                  </w:tcBorders>
                  <w:shd w:val="clear" w:color="000000" w:fill="FFF2CC"/>
                  <w:noWrap/>
                  <w:vAlign w:val="center"/>
                  <w:hideMark/>
                </w:tcPr>
                <w:p w14:paraId="7568A52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-56%</w:t>
                  </w:r>
                </w:p>
              </w:tc>
              <w:tc>
                <w:tcPr>
                  <w:tcW w:w="579" w:type="dxa"/>
                  <w:tcBorders>
                    <w:top w:val="nil"/>
                    <w:left w:val="nil"/>
                    <w:bottom w:val="single" w:sz="4" w:space="0" w:color="auto"/>
                    <w:right w:val="single" w:sz="4" w:space="0" w:color="auto"/>
                  </w:tcBorders>
                  <w:shd w:val="clear" w:color="000000" w:fill="C6E0B4"/>
                  <w:noWrap/>
                  <w:vAlign w:val="center"/>
                  <w:hideMark/>
                </w:tcPr>
                <w:p w14:paraId="4A94F7C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102</w:t>
                  </w:r>
                </w:p>
              </w:tc>
              <w:tc>
                <w:tcPr>
                  <w:tcW w:w="579" w:type="dxa"/>
                  <w:tcBorders>
                    <w:top w:val="nil"/>
                    <w:left w:val="nil"/>
                    <w:bottom w:val="single" w:sz="4" w:space="0" w:color="auto"/>
                    <w:right w:val="single" w:sz="4" w:space="0" w:color="auto"/>
                  </w:tcBorders>
                  <w:shd w:val="clear" w:color="000000" w:fill="C6E0B4"/>
                  <w:noWrap/>
                  <w:vAlign w:val="center"/>
                  <w:hideMark/>
                </w:tcPr>
                <w:p w14:paraId="4FF1634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120</w:t>
                  </w:r>
                </w:p>
              </w:tc>
              <w:tc>
                <w:tcPr>
                  <w:tcW w:w="580" w:type="dxa"/>
                  <w:tcBorders>
                    <w:top w:val="nil"/>
                    <w:left w:val="nil"/>
                    <w:bottom w:val="single" w:sz="4" w:space="0" w:color="auto"/>
                    <w:right w:val="single" w:sz="4" w:space="0" w:color="auto"/>
                  </w:tcBorders>
                  <w:shd w:val="clear" w:color="000000" w:fill="C6E0B4"/>
                  <w:noWrap/>
                  <w:vAlign w:val="center"/>
                  <w:hideMark/>
                </w:tcPr>
                <w:p w14:paraId="7A7A958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w:t>
                  </w:r>
                  <w:r w:rsidR="006D5E0F">
                    <w:rPr>
                      <w:rFonts w:ascii="Calibri" w:hAnsi="Calibri" w:cs="Calibri"/>
                      <w:color w:val="000000"/>
                      <w:sz w:val="14"/>
                      <w:szCs w:val="14"/>
                      <w:lang w:eastAsia="en-GB"/>
                    </w:rPr>
                    <w:t>5</w:t>
                  </w:r>
                  <w:r w:rsidRPr="008801D7">
                    <w:rPr>
                      <w:rFonts w:ascii="Calibri" w:hAnsi="Calibri" w:cs="Calibri"/>
                      <w:color w:val="000000"/>
                      <w:sz w:val="14"/>
                      <w:szCs w:val="14"/>
                      <w:lang w:eastAsia="en-GB"/>
                    </w:rPr>
                    <w:t>%</w:t>
                  </w:r>
                </w:p>
              </w:tc>
              <w:tc>
                <w:tcPr>
                  <w:tcW w:w="579" w:type="dxa"/>
                  <w:tcBorders>
                    <w:top w:val="nil"/>
                    <w:left w:val="single" w:sz="4" w:space="0" w:color="auto"/>
                    <w:bottom w:val="single" w:sz="4" w:space="0" w:color="auto"/>
                    <w:right w:val="single" w:sz="4" w:space="0" w:color="auto"/>
                  </w:tcBorders>
                  <w:shd w:val="clear" w:color="000000" w:fill="BFBFBF"/>
                  <w:noWrap/>
                  <w:vAlign w:val="center"/>
                  <w:hideMark/>
                </w:tcPr>
                <w:p w14:paraId="4BC723C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w:t>
                  </w:r>
                </w:p>
              </w:tc>
              <w:tc>
                <w:tcPr>
                  <w:tcW w:w="579" w:type="dxa"/>
                  <w:tcBorders>
                    <w:top w:val="nil"/>
                    <w:left w:val="nil"/>
                    <w:bottom w:val="single" w:sz="4" w:space="0" w:color="auto"/>
                    <w:right w:val="single" w:sz="4" w:space="0" w:color="auto"/>
                  </w:tcBorders>
                  <w:shd w:val="clear" w:color="000000" w:fill="BFBFBF"/>
                  <w:noWrap/>
                  <w:vAlign w:val="center"/>
                  <w:hideMark/>
                </w:tcPr>
                <w:p w14:paraId="31B35025"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14</w:t>
                  </w:r>
                </w:p>
              </w:tc>
              <w:tc>
                <w:tcPr>
                  <w:tcW w:w="580" w:type="dxa"/>
                  <w:tcBorders>
                    <w:top w:val="nil"/>
                    <w:left w:val="nil"/>
                    <w:bottom w:val="single" w:sz="4" w:space="0" w:color="auto"/>
                    <w:right w:val="single" w:sz="4" w:space="0" w:color="auto"/>
                  </w:tcBorders>
                  <w:shd w:val="clear" w:color="000000" w:fill="BFBFBF"/>
                  <w:noWrap/>
                  <w:vAlign w:val="center"/>
                  <w:hideMark/>
                </w:tcPr>
                <w:p w14:paraId="47167BA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80" w:type="dxa"/>
                  <w:tcBorders>
                    <w:top w:val="nil"/>
                    <w:left w:val="nil"/>
                    <w:bottom w:val="single" w:sz="4" w:space="0" w:color="auto"/>
                    <w:right w:val="single" w:sz="4" w:space="0" w:color="auto"/>
                  </w:tcBorders>
                  <w:shd w:val="clear" w:color="000000" w:fill="BFBFBF"/>
                  <w:noWrap/>
                  <w:vAlign w:val="center"/>
                  <w:hideMark/>
                </w:tcPr>
                <w:p w14:paraId="449271D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-29%</w:t>
                  </w:r>
                </w:p>
              </w:tc>
              <w:tc>
                <w:tcPr>
                  <w:tcW w:w="579" w:type="dxa"/>
                  <w:tcBorders>
                    <w:top w:val="nil"/>
                    <w:left w:val="nil"/>
                    <w:bottom w:val="single" w:sz="4" w:space="0" w:color="auto"/>
                    <w:right w:val="single" w:sz="4" w:space="0" w:color="auto"/>
                  </w:tcBorders>
                  <w:shd w:val="clear" w:color="auto" w:fill="auto"/>
                  <w:noWrap/>
                  <w:vAlign w:val="center"/>
                  <w:hideMark/>
                </w:tcPr>
                <w:p w14:paraId="4125F31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273</w:t>
                  </w:r>
                </w:p>
              </w:tc>
              <w:tc>
                <w:tcPr>
                  <w:tcW w:w="579" w:type="dxa"/>
                  <w:tcBorders>
                    <w:top w:val="nil"/>
                    <w:left w:val="nil"/>
                    <w:bottom w:val="single" w:sz="4" w:space="0" w:color="auto"/>
                    <w:right w:val="single" w:sz="4" w:space="0" w:color="auto"/>
                  </w:tcBorders>
                  <w:shd w:val="clear" w:color="000000" w:fill="FFFFFF"/>
                  <w:noWrap/>
                  <w:vAlign w:val="center"/>
                  <w:hideMark/>
                </w:tcPr>
                <w:p w14:paraId="67EC673D"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166</w:t>
                  </w:r>
                </w:p>
              </w:tc>
              <w:tc>
                <w:tcPr>
                  <w:tcW w:w="580" w:type="dxa"/>
                  <w:tcBorders>
                    <w:top w:val="nil"/>
                    <w:left w:val="nil"/>
                    <w:bottom w:val="single" w:sz="4" w:space="0" w:color="auto"/>
                    <w:right w:val="single" w:sz="4" w:space="0" w:color="auto"/>
                  </w:tcBorders>
                  <w:shd w:val="clear" w:color="auto" w:fill="auto"/>
                  <w:noWrap/>
                  <w:vAlign w:val="center"/>
                  <w:hideMark/>
                </w:tcPr>
                <w:p w14:paraId="734188D7"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+65%</w:t>
                  </w:r>
                </w:p>
              </w:tc>
              <w:tc>
                <w:tcPr>
                  <w:tcW w:w="580" w:type="dxa"/>
                  <w:tcBorders>
                    <w:top w:val="nil"/>
                    <w:left w:val="nil"/>
                    <w:bottom w:val="single" w:sz="4" w:space="0" w:color="auto"/>
                    <w:right w:val="single" w:sz="4" w:space="0" w:color="auto"/>
                  </w:tcBorders>
                  <w:shd w:val="clear" w:color="auto" w:fill="auto"/>
                  <w:noWrap/>
                  <w:vAlign w:val="center"/>
                  <w:hideMark/>
                </w:tcPr>
                <w:p w14:paraId="342B9FB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+70%</w:t>
                  </w:r>
                </w:p>
              </w:tc>
              <w:tc>
                <w:tcPr>
                  <w:tcW w:w="578" w:type="dxa"/>
                  <w:tcBorders>
                    <w:top w:val="nil"/>
                    <w:left w:val="nil"/>
                    <w:bottom w:val="single" w:sz="4" w:space="0" w:color="auto"/>
                    <w:right w:val="single" w:sz="4" w:space="0" w:color="auto"/>
                  </w:tcBorders>
                  <w:shd w:val="clear" w:color="000000" w:fill="D9E1F2"/>
                  <w:noWrap/>
                  <w:vAlign w:val="center"/>
                  <w:hideMark/>
                </w:tcPr>
                <w:p w14:paraId="089AC97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76</w:t>
                  </w:r>
                </w:p>
              </w:tc>
              <w:tc>
                <w:tcPr>
                  <w:tcW w:w="578" w:type="dxa"/>
                  <w:tcBorders>
                    <w:top w:val="nil"/>
                    <w:left w:val="nil"/>
                    <w:bottom w:val="single" w:sz="4" w:space="0" w:color="auto"/>
                    <w:right w:val="single" w:sz="4" w:space="0" w:color="auto"/>
                  </w:tcBorders>
                  <w:shd w:val="clear" w:color="000000" w:fill="D9E1F2"/>
                  <w:noWrap/>
                  <w:vAlign w:val="center"/>
                  <w:hideMark/>
                </w:tcPr>
                <w:p w14:paraId="35304EA6"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71</w:t>
                  </w:r>
                </w:p>
              </w:tc>
              <w:tc>
                <w:tcPr>
                  <w:tcW w:w="580" w:type="dxa"/>
                  <w:tcBorders>
                    <w:top w:val="nil"/>
                    <w:left w:val="nil"/>
                    <w:bottom w:val="single" w:sz="4" w:space="0" w:color="auto"/>
                    <w:right w:val="single" w:sz="4" w:space="0" w:color="auto"/>
                  </w:tcBorders>
                  <w:shd w:val="clear" w:color="000000" w:fill="D9E1F2"/>
                  <w:noWrap/>
                  <w:vAlign w:val="center"/>
                  <w:hideMark/>
                </w:tcPr>
                <w:p w14:paraId="1945FD6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w:t>
                  </w:r>
                </w:p>
              </w:tc>
              <w:tc>
                <w:tcPr>
                  <w:tcW w:w="580" w:type="dxa"/>
                  <w:tcBorders>
                    <w:top w:val="nil"/>
                    <w:left w:val="nil"/>
                    <w:bottom w:val="single" w:sz="4" w:space="0" w:color="auto"/>
                    <w:right w:val="single" w:sz="4" w:space="0" w:color="auto"/>
                  </w:tcBorders>
                  <w:shd w:val="clear" w:color="000000" w:fill="D9E1F2"/>
                  <w:noWrap/>
                  <w:vAlign w:val="center"/>
                  <w:hideMark/>
                </w:tcPr>
                <w:p w14:paraId="2D178D7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w:t>
                  </w:r>
                </w:p>
              </w:tc>
              <w:tc>
                <w:tcPr>
                  <w:tcW w:w="578" w:type="dxa"/>
                  <w:tcBorders>
                    <w:top w:val="nil"/>
                    <w:left w:val="single" w:sz="8" w:space="0" w:color="auto"/>
                    <w:bottom w:val="single" w:sz="4" w:space="0" w:color="auto"/>
                    <w:right w:val="single" w:sz="4" w:space="0" w:color="auto"/>
                  </w:tcBorders>
                  <w:shd w:val="clear" w:color="000000" w:fill="FCE4D6"/>
                  <w:noWrap/>
                  <w:vAlign w:val="center"/>
                  <w:hideMark/>
                </w:tcPr>
                <w:p w14:paraId="7B9A2241" w14:textId="77777777" w:rsidR="008801D7" w:rsidRPr="008801D7" w:rsidRDefault="008801D7" w:rsidP="006D5E0F">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57</w:t>
                  </w:r>
                  <w:r w:rsidR="006D5E0F">
                    <w:rPr>
                      <w:rFonts w:ascii="Calibri" w:hAnsi="Calibri" w:cs="Calibri"/>
                      <w:color w:val="000000"/>
                      <w:sz w:val="14"/>
                      <w:szCs w:val="14"/>
                      <w:lang w:eastAsia="en-GB"/>
                    </w:rPr>
                    <w:t>1</w:t>
                  </w:r>
                </w:p>
              </w:tc>
              <w:tc>
                <w:tcPr>
                  <w:tcW w:w="578" w:type="dxa"/>
                  <w:tcBorders>
                    <w:top w:val="nil"/>
                    <w:left w:val="nil"/>
                    <w:bottom w:val="single" w:sz="4" w:space="0" w:color="auto"/>
                    <w:right w:val="single" w:sz="4" w:space="0" w:color="auto"/>
                  </w:tcBorders>
                  <w:shd w:val="clear" w:color="000000" w:fill="FCE4D6"/>
                  <w:noWrap/>
                  <w:vAlign w:val="center"/>
                  <w:hideMark/>
                </w:tcPr>
                <w:p w14:paraId="632121A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618</w:t>
                  </w:r>
                </w:p>
              </w:tc>
              <w:tc>
                <w:tcPr>
                  <w:tcW w:w="580" w:type="dxa"/>
                  <w:tcBorders>
                    <w:top w:val="nil"/>
                    <w:left w:val="nil"/>
                    <w:bottom w:val="single" w:sz="4" w:space="0" w:color="auto"/>
                    <w:right w:val="single" w:sz="4" w:space="0" w:color="auto"/>
                  </w:tcBorders>
                  <w:shd w:val="clear" w:color="000000" w:fill="FCE4D6"/>
                  <w:noWrap/>
                  <w:vAlign w:val="center"/>
                  <w:hideMark/>
                </w:tcPr>
                <w:p w14:paraId="09140DC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-8%</w:t>
                  </w:r>
                </w:p>
              </w:tc>
              <w:tc>
                <w:tcPr>
                  <w:tcW w:w="580" w:type="dxa"/>
                  <w:tcBorders>
                    <w:top w:val="nil"/>
                    <w:left w:val="nil"/>
                    <w:bottom w:val="single" w:sz="4" w:space="0" w:color="auto"/>
                    <w:right w:val="single" w:sz="8" w:space="0" w:color="auto"/>
                  </w:tcBorders>
                  <w:shd w:val="clear" w:color="000000" w:fill="FCE4D6"/>
                  <w:noWrap/>
                  <w:vAlign w:val="center"/>
                  <w:hideMark/>
                </w:tcPr>
                <w:p w14:paraId="61627C63" w14:textId="77777777" w:rsidR="008801D7" w:rsidRPr="008801D7" w:rsidRDefault="008801D7" w:rsidP="006D5E0F">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w:t>
                  </w:r>
                  <w:r w:rsidR="006D5E0F">
                    <w:rPr>
                      <w:rFonts w:ascii="Calibri" w:hAnsi="Calibri" w:cs="Calibri"/>
                      <w:color w:val="000000"/>
                      <w:sz w:val="14"/>
                      <w:szCs w:val="14"/>
                      <w:lang w:eastAsia="en-GB"/>
                    </w:rPr>
                    <w:t>7</w:t>
                  </w:r>
                  <w:r w:rsidRPr="008801D7">
                    <w:rPr>
                      <w:rFonts w:ascii="Calibri" w:hAnsi="Calibri" w:cs="Calibri"/>
                      <w:color w:val="000000"/>
                      <w:sz w:val="14"/>
                      <w:szCs w:val="14"/>
                      <w:lang w:eastAsia="en-GB"/>
                    </w:rPr>
                    <w:t>%</w:t>
                  </w:r>
                </w:p>
              </w:tc>
            </w:tr>
            <w:tr w:rsidR="008801D7" w:rsidRPr="008801D7" w14:paraId="3F91A69A" w14:textId="77777777" w:rsidTr="008801D7">
              <w:trPr>
                <w:trHeight w:val="236"/>
              </w:trPr>
              <w:tc>
                <w:tcPr>
                  <w:tcW w:w="1596" w:type="dxa"/>
                  <w:tcBorders>
                    <w:top w:val="nil"/>
                    <w:left w:val="single" w:sz="4" w:space="0" w:color="auto"/>
                    <w:bottom w:val="single" w:sz="4" w:space="0" w:color="auto"/>
                    <w:right w:val="single" w:sz="4" w:space="0" w:color="auto"/>
                  </w:tcBorders>
                  <w:shd w:val="clear" w:color="auto" w:fill="auto"/>
                  <w:noWrap/>
                  <w:vAlign w:val="center"/>
                  <w:hideMark/>
                </w:tcPr>
                <w:p w14:paraId="4474AD12" w14:textId="77777777" w:rsidR="008801D7" w:rsidRPr="008801D7" w:rsidRDefault="008801D7" w:rsidP="008801D7">
                  <w:pPr>
                    <w:rPr>
                      <w:rFonts w:ascii="Calibri" w:hAnsi="Calibri" w:cs="Calibri"/>
                      <w:color w:val="000000"/>
                      <w:sz w:val="14"/>
                      <w:szCs w:val="14"/>
                      <w:lang w:eastAsia="en-GB"/>
                    </w:rPr>
                  </w:pPr>
                  <w:r w:rsidRPr="008801D7">
                    <w:rPr>
                      <w:rFonts w:ascii="Calibri" w:hAnsi="Calibri" w:cs="Calibri"/>
                      <w:color w:val="000000"/>
                      <w:sz w:val="14"/>
                      <w:szCs w:val="14"/>
                      <w:lang w:eastAsia="en-GB"/>
                    </w:rPr>
                    <w:t>Gaming revenue</w:t>
                  </w:r>
                </w:p>
              </w:tc>
              <w:tc>
                <w:tcPr>
                  <w:tcW w:w="578" w:type="dxa"/>
                  <w:tcBorders>
                    <w:top w:val="nil"/>
                    <w:left w:val="nil"/>
                    <w:bottom w:val="single" w:sz="4" w:space="0" w:color="auto"/>
                    <w:right w:val="single" w:sz="4" w:space="0" w:color="auto"/>
                  </w:tcBorders>
                  <w:shd w:val="clear" w:color="000000" w:fill="FFF2CC"/>
                  <w:noWrap/>
                  <w:vAlign w:val="center"/>
                  <w:hideMark/>
                </w:tcPr>
                <w:p w14:paraId="4B2068F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113</w:t>
                  </w:r>
                </w:p>
              </w:tc>
              <w:tc>
                <w:tcPr>
                  <w:tcW w:w="580" w:type="dxa"/>
                  <w:tcBorders>
                    <w:top w:val="nil"/>
                    <w:left w:val="nil"/>
                    <w:bottom w:val="single" w:sz="4" w:space="0" w:color="auto"/>
                    <w:right w:val="single" w:sz="4" w:space="0" w:color="auto"/>
                  </w:tcBorders>
                  <w:shd w:val="clear" w:color="000000" w:fill="FFF2CC"/>
                  <w:noWrap/>
                  <w:vAlign w:val="center"/>
                  <w:hideMark/>
                </w:tcPr>
                <w:p w14:paraId="356805B4"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102</w:t>
                  </w:r>
                </w:p>
              </w:tc>
              <w:tc>
                <w:tcPr>
                  <w:tcW w:w="580" w:type="dxa"/>
                  <w:tcBorders>
                    <w:top w:val="nil"/>
                    <w:left w:val="nil"/>
                    <w:bottom w:val="single" w:sz="4" w:space="0" w:color="auto"/>
                    <w:right w:val="single" w:sz="4" w:space="0" w:color="auto"/>
                  </w:tcBorders>
                  <w:shd w:val="clear" w:color="000000" w:fill="FFF2CC"/>
                  <w:noWrap/>
                  <w:vAlign w:val="center"/>
                  <w:hideMark/>
                </w:tcPr>
                <w:p w14:paraId="72AF9DC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+11%</w:t>
                  </w:r>
                </w:p>
              </w:tc>
              <w:tc>
                <w:tcPr>
                  <w:tcW w:w="579" w:type="dxa"/>
                  <w:tcBorders>
                    <w:top w:val="nil"/>
                    <w:left w:val="nil"/>
                    <w:bottom w:val="single" w:sz="4" w:space="0" w:color="auto"/>
                    <w:right w:val="single" w:sz="4" w:space="0" w:color="auto"/>
                  </w:tcBorders>
                  <w:shd w:val="clear" w:color="000000" w:fill="C6E0B4"/>
                  <w:noWrap/>
                  <w:vAlign w:val="center"/>
                  <w:hideMark/>
                </w:tcPr>
                <w:p w14:paraId="5645083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106</w:t>
                  </w:r>
                </w:p>
              </w:tc>
              <w:tc>
                <w:tcPr>
                  <w:tcW w:w="579" w:type="dxa"/>
                  <w:tcBorders>
                    <w:top w:val="nil"/>
                    <w:left w:val="nil"/>
                    <w:bottom w:val="single" w:sz="4" w:space="0" w:color="auto"/>
                    <w:right w:val="single" w:sz="4" w:space="0" w:color="auto"/>
                  </w:tcBorders>
                  <w:shd w:val="clear" w:color="000000" w:fill="C6E0B4"/>
                  <w:noWrap/>
                  <w:vAlign w:val="center"/>
                  <w:hideMark/>
                </w:tcPr>
                <w:p w14:paraId="31597B9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74</w:t>
                  </w:r>
                </w:p>
              </w:tc>
              <w:tc>
                <w:tcPr>
                  <w:tcW w:w="580" w:type="dxa"/>
                  <w:tcBorders>
                    <w:top w:val="nil"/>
                    <w:left w:val="nil"/>
                    <w:bottom w:val="single" w:sz="4" w:space="0" w:color="auto"/>
                    <w:right w:val="single" w:sz="4" w:space="0" w:color="auto"/>
                  </w:tcBorders>
                  <w:shd w:val="clear" w:color="000000" w:fill="C6E0B4"/>
                  <w:noWrap/>
                  <w:vAlign w:val="center"/>
                  <w:hideMark/>
                </w:tcPr>
                <w:p w14:paraId="50E7975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+43%</w:t>
                  </w:r>
                </w:p>
              </w:tc>
              <w:tc>
                <w:tcPr>
                  <w:tcW w:w="579" w:type="dxa"/>
                  <w:tcBorders>
                    <w:top w:val="nil"/>
                    <w:left w:val="single" w:sz="4" w:space="0" w:color="auto"/>
                    <w:bottom w:val="single" w:sz="4" w:space="0" w:color="auto"/>
                    <w:right w:val="single" w:sz="4" w:space="0" w:color="auto"/>
                  </w:tcBorders>
                  <w:shd w:val="clear" w:color="000000" w:fill="BFBFBF"/>
                  <w:noWrap/>
                  <w:vAlign w:val="center"/>
                  <w:hideMark/>
                </w:tcPr>
                <w:p w14:paraId="5FA4C621"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403</w:t>
                  </w:r>
                </w:p>
              </w:tc>
              <w:tc>
                <w:tcPr>
                  <w:tcW w:w="579" w:type="dxa"/>
                  <w:tcBorders>
                    <w:top w:val="nil"/>
                    <w:left w:val="nil"/>
                    <w:bottom w:val="single" w:sz="4" w:space="0" w:color="auto"/>
                    <w:right w:val="single" w:sz="4" w:space="0" w:color="auto"/>
                  </w:tcBorders>
                  <w:shd w:val="clear" w:color="000000" w:fill="BFBFBF"/>
                  <w:noWrap/>
                  <w:vAlign w:val="center"/>
                  <w:hideMark/>
                </w:tcPr>
                <w:p w14:paraId="4F51D9A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235</w:t>
                  </w:r>
                </w:p>
              </w:tc>
              <w:tc>
                <w:tcPr>
                  <w:tcW w:w="580" w:type="dxa"/>
                  <w:tcBorders>
                    <w:top w:val="nil"/>
                    <w:left w:val="nil"/>
                    <w:bottom w:val="single" w:sz="4" w:space="0" w:color="auto"/>
                    <w:right w:val="single" w:sz="4" w:space="0" w:color="auto"/>
                  </w:tcBorders>
                  <w:shd w:val="clear" w:color="000000" w:fill="BFBFBF"/>
                  <w:noWrap/>
                  <w:vAlign w:val="center"/>
                  <w:hideMark/>
                </w:tcPr>
                <w:p w14:paraId="121874B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+72%</w:t>
                  </w:r>
                </w:p>
              </w:tc>
              <w:tc>
                <w:tcPr>
                  <w:tcW w:w="580" w:type="dxa"/>
                  <w:tcBorders>
                    <w:top w:val="nil"/>
                    <w:left w:val="nil"/>
                    <w:bottom w:val="single" w:sz="4" w:space="0" w:color="auto"/>
                    <w:right w:val="single" w:sz="4" w:space="0" w:color="auto"/>
                  </w:tcBorders>
                  <w:shd w:val="clear" w:color="000000" w:fill="BFBFBF"/>
                  <w:noWrap/>
                  <w:vAlign w:val="center"/>
                  <w:hideMark/>
                </w:tcPr>
                <w:p w14:paraId="4F42C3DC"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w:t>
                  </w:r>
                  <w:r w:rsidR="00F80D8F">
                    <w:rPr>
                      <w:rFonts w:ascii="Calibri" w:hAnsi="Calibri" w:cs="Calibri"/>
                      <w:color w:val="000000"/>
                      <w:sz w:val="14"/>
                      <w:szCs w:val="14"/>
                      <w:lang w:eastAsia="en-GB"/>
                    </w:rPr>
                    <w:t>5</w:t>
                  </w:r>
                  <w:r w:rsidRPr="008801D7">
                    <w:rPr>
                      <w:rFonts w:ascii="Calibri" w:hAnsi="Calibri" w:cs="Calibri"/>
                      <w:color w:val="000000"/>
                      <w:sz w:val="14"/>
                      <w:szCs w:val="14"/>
                      <w:lang w:eastAsia="en-GB"/>
                    </w:rPr>
                    <w:t>%</w:t>
                  </w:r>
                </w:p>
              </w:tc>
              <w:tc>
                <w:tcPr>
                  <w:tcW w:w="579" w:type="dxa"/>
                  <w:tcBorders>
                    <w:top w:val="nil"/>
                    <w:left w:val="nil"/>
                    <w:bottom w:val="single" w:sz="4" w:space="0" w:color="auto"/>
                    <w:right w:val="single" w:sz="4" w:space="0" w:color="auto"/>
                  </w:tcBorders>
                  <w:shd w:val="clear" w:color="000000" w:fill="FFFFFF"/>
                  <w:noWrap/>
                  <w:vAlign w:val="center"/>
                  <w:hideMark/>
                </w:tcPr>
                <w:p w14:paraId="4F60A2E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79" w:type="dxa"/>
                  <w:tcBorders>
                    <w:top w:val="nil"/>
                    <w:left w:val="nil"/>
                    <w:bottom w:val="single" w:sz="4" w:space="0" w:color="auto"/>
                    <w:right w:val="single" w:sz="4" w:space="0" w:color="auto"/>
                  </w:tcBorders>
                  <w:shd w:val="clear" w:color="000000" w:fill="FFFFFF"/>
                  <w:noWrap/>
                  <w:vAlign w:val="center"/>
                  <w:hideMark/>
                </w:tcPr>
                <w:p w14:paraId="4956DC9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0</w:t>
                  </w:r>
                </w:p>
              </w:tc>
              <w:tc>
                <w:tcPr>
                  <w:tcW w:w="580" w:type="dxa"/>
                  <w:tcBorders>
                    <w:top w:val="nil"/>
                    <w:left w:val="nil"/>
                    <w:bottom w:val="single" w:sz="4" w:space="0" w:color="auto"/>
                    <w:right w:val="single" w:sz="4" w:space="0" w:color="auto"/>
                  </w:tcBorders>
                  <w:shd w:val="clear" w:color="000000" w:fill="FFFFFF"/>
                  <w:noWrap/>
                  <w:vAlign w:val="center"/>
                  <w:hideMark/>
                </w:tcPr>
                <w:p w14:paraId="2459C182"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n/a</w:t>
                  </w:r>
                </w:p>
              </w:tc>
              <w:tc>
                <w:tcPr>
                  <w:tcW w:w="580" w:type="dxa"/>
                  <w:tcBorders>
                    <w:top w:val="nil"/>
                    <w:left w:val="nil"/>
                    <w:bottom w:val="single" w:sz="4" w:space="0" w:color="auto"/>
                    <w:right w:val="single" w:sz="4" w:space="0" w:color="auto"/>
                  </w:tcBorders>
                  <w:shd w:val="clear" w:color="000000" w:fill="FFFFFF"/>
                  <w:noWrap/>
                  <w:vAlign w:val="center"/>
                  <w:hideMark/>
                </w:tcPr>
                <w:p w14:paraId="22616F98" w14:textId="77777777" w:rsidR="008801D7" w:rsidRPr="008801D7" w:rsidRDefault="006D5E0F" w:rsidP="008801D7">
                  <w:pPr>
                    <w:jc w:val="right"/>
                    <w:rPr>
                      <w:rFonts w:ascii="Calibri" w:hAnsi="Calibri" w:cs="Calibri"/>
                      <w:color w:val="000000"/>
                      <w:sz w:val="14"/>
                      <w:szCs w:val="14"/>
                      <w:lang w:eastAsia="en-GB"/>
                    </w:rPr>
                  </w:pPr>
                  <w:r>
                    <w:rPr>
                      <w:rFonts w:ascii="Calibri" w:hAnsi="Calibri" w:cs="Calibri"/>
                      <w:color w:val="000000"/>
                      <w:sz w:val="14"/>
                      <w:szCs w:val="14"/>
                      <w:lang w:eastAsia="en-GB"/>
                    </w:rPr>
                    <w:t>n/a</w:t>
                  </w:r>
                  <w:r w:rsidR="008801D7" w:rsidRPr="008801D7">
                    <w:rPr>
                      <w:rFonts w:ascii="Calibri" w:hAnsi="Calibri" w:cs="Calibri"/>
                      <w:color w:val="000000"/>
                      <w:sz w:val="14"/>
                      <w:szCs w:val="14"/>
                      <w:lang w:eastAsia="en-GB"/>
                    </w:rPr>
                    <w:t> </w:t>
                  </w:r>
                </w:p>
              </w:tc>
              <w:tc>
                <w:tcPr>
                  <w:tcW w:w="578" w:type="dxa"/>
                  <w:tcBorders>
                    <w:top w:val="nil"/>
                    <w:left w:val="nil"/>
                    <w:bottom w:val="single" w:sz="4" w:space="0" w:color="auto"/>
                    <w:right w:val="single" w:sz="4" w:space="0" w:color="auto"/>
                  </w:tcBorders>
                  <w:shd w:val="clear" w:color="000000" w:fill="D9E1F2"/>
                  <w:noWrap/>
                  <w:vAlign w:val="center"/>
                  <w:hideMark/>
                </w:tcPr>
                <w:p w14:paraId="0F02EC1E"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70</w:t>
                  </w:r>
                </w:p>
              </w:tc>
              <w:tc>
                <w:tcPr>
                  <w:tcW w:w="578" w:type="dxa"/>
                  <w:tcBorders>
                    <w:top w:val="nil"/>
                    <w:left w:val="nil"/>
                    <w:bottom w:val="single" w:sz="4" w:space="0" w:color="auto"/>
                    <w:right w:val="single" w:sz="4" w:space="0" w:color="auto"/>
                  </w:tcBorders>
                  <w:shd w:val="clear" w:color="000000" w:fill="D9E1F2"/>
                  <w:noWrap/>
                  <w:vAlign w:val="center"/>
                  <w:hideMark/>
                </w:tcPr>
                <w:p w14:paraId="7E2902D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12</w:t>
                  </w:r>
                </w:p>
              </w:tc>
              <w:tc>
                <w:tcPr>
                  <w:tcW w:w="580" w:type="dxa"/>
                  <w:tcBorders>
                    <w:top w:val="nil"/>
                    <w:left w:val="nil"/>
                    <w:bottom w:val="single" w:sz="4" w:space="0" w:color="auto"/>
                    <w:right w:val="single" w:sz="4" w:space="0" w:color="auto"/>
                  </w:tcBorders>
                  <w:shd w:val="clear" w:color="000000" w:fill="D9E1F2"/>
                  <w:noWrap/>
                  <w:vAlign w:val="center"/>
                  <w:hideMark/>
                </w:tcPr>
                <w:p w14:paraId="065E673F"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+464%</w:t>
                  </w:r>
                </w:p>
              </w:tc>
              <w:tc>
                <w:tcPr>
                  <w:tcW w:w="580" w:type="dxa"/>
                  <w:tcBorders>
                    <w:top w:val="nil"/>
                    <w:left w:val="nil"/>
                    <w:bottom w:val="single" w:sz="4" w:space="0" w:color="auto"/>
                    <w:right w:val="single" w:sz="4" w:space="0" w:color="auto"/>
                  </w:tcBorders>
                  <w:shd w:val="clear" w:color="000000" w:fill="D9E1F2"/>
                  <w:noWrap/>
                  <w:vAlign w:val="center"/>
                  <w:hideMark/>
                </w:tcPr>
                <w:p w14:paraId="6EAB8279"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+444%</w:t>
                  </w:r>
                </w:p>
              </w:tc>
              <w:tc>
                <w:tcPr>
                  <w:tcW w:w="578" w:type="dxa"/>
                  <w:tcBorders>
                    <w:top w:val="nil"/>
                    <w:left w:val="single" w:sz="8" w:space="0" w:color="auto"/>
                    <w:bottom w:val="single" w:sz="4" w:space="0" w:color="auto"/>
                    <w:right w:val="single" w:sz="4" w:space="0" w:color="auto"/>
                  </w:tcBorders>
                  <w:shd w:val="clear" w:color="000000" w:fill="FCE4D6"/>
                  <w:noWrap/>
                  <w:vAlign w:val="center"/>
                  <w:hideMark/>
                </w:tcPr>
                <w:p w14:paraId="44B94AB3"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692</w:t>
                  </w:r>
                </w:p>
              </w:tc>
              <w:tc>
                <w:tcPr>
                  <w:tcW w:w="578" w:type="dxa"/>
                  <w:tcBorders>
                    <w:top w:val="nil"/>
                    <w:left w:val="nil"/>
                    <w:bottom w:val="single" w:sz="4" w:space="0" w:color="auto"/>
                    <w:right w:val="single" w:sz="4" w:space="0" w:color="auto"/>
                  </w:tcBorders>
                  <w:shd w:val="clear" w:color="000000" w:fill="FCE4D6"/>
                  <w:noWrap/>
                  <w:vAlign w:val="center"/>
                  <w:hideMark/>
                </w:tcPr>
                <w:p w14:paraId="1373A0DA"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423</w:t>
                  </w:r>
                </w:p>
              </w:tc>
              <w:tc>
                <w:tcPr>
                  <w:tcW w:w="580" w:type="dxa"/>
                  <w:tcBorders>
                    <w:top w:val="nil"/>
                    <w:left w:val="nil"/>
                    <w:bottom w:val="single" w:sz="4" w:space="0" w:color="auto"/>
                    <w:right w:val="single" w:sz="4" w:space="0" w:color="auto"/>
                  </w:tcBorders>
                  <w:shd w:val="clear" w:color="000000" w:fill="FCE4D6"/>
                  <w:noWrap/>
                  <w:vAlign w:val="center"/>
                  <w:hideMark/>
                </w:tcPr>
                <w:p w14:paraId="55EE8D48"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w:t>
                  </w:r>
                  <w:r w:rsidR="006D5E0F">
                    <w:rPr>
                      <w:rFonts w:ascii="Calibri" w:hAnsi="Calibri" w:cs="Calibri"/>
                      <w:color w:val="000000"/>
                      <w:sz w:val="14"/>
                      <w:szCs w:val="14"/>
                      <w:lang w:eastAsia="en-GB"/>
                    </w:rPr>
                    <w:t>3</w:t>
                  </w:r>
                  <w:r w:rsidRPr="008801D7">
                    <w:rPr>
                      <w:rFonts w:ascii="Calibri" w:hAnsi="Calibri" w:cs="Calibri"/>
                      <w:color w:val="000000"/>
                      <w:sz w:val="14"/>
                      <w:szCs w:val="14"/>
                      <w:lang w:eastAsia="en-GB"/>
                    </w:rPr>
                    <w:t>%</w:t>
                  </w:r>
                </w:p>
              </w:tc>
              <w:tc>
                <w:tcPr>
                  <w:tcW w:w="580" w:type="dxa"/>
                  <w:tcBorders>
                    <w:top w:val="nil"/>
                    <w:left w:val="nil"/>
                    <w:bottom w:val="single" w:sz="4" w:space="0" w:color="auto"/>
                    <w:right w:val="single" w:sz="8" w:space="0" w:color="auto"/>
                  </w:tcBorders>
                  <w:shd w:val="clear" w:color="000000" w:fill="FCE4D6"/>
                  <w:noWrap/>
                  <w:vAlign w:val="center"/>
                  <w:hideMark/>
                </w:tcPr>
                <w:p w14:paraId="3BAEE4F0" w14:textId="77777777" w:rsidR="008801D7" w:rsidRPr="008801D7" w:rsidRDefault="008801D7" w:rsidP="008801D7">
                  <w:pPr>
                    <w:jc w:val="right"/>
                    <w:rPr>
                      <w:rFonts w:ascii="Calibri" w:hAnsi="Calibri" w:cs="Calibri"/>
                      <w:color w:val="000000"/>
                      <w:sz w:val="14"/>
                      <w:szCs w:val="14"/>
                      <w:lang w:eastAsia="en-GB"/>
                    </w:rPr>
                  </w:pPr>
                  <w:r w:rsidRPr="008801D7">
                    <w:rPr>
                      <w:rFonts w:ascii="Calibri" w:hAnsi="Calibri" w:cs="Calibri"/>
                      <w:color w:val="000000"/>
                      <w:sz w:val="14"/>
                      <w:szCs w:val="14"/>
                      <w:lang w:eastAsia="en-GB"/>
                    </w:rPr>
                    <w:t>+66%</w:t>
                  </w:r>
                </w:p>
              </w:tc>
            </w:tr>
            <w:tr w:rsidR="008801D7" w:rsidRPr="008801D7" w14:paraId="481B85B8" w14:textId="77777777" w:rsidTr="008801D7">
              <w:trPr>
                <w:trHeight w:val="236"/>
              </w:trPr>
              <w:tc>
                <w:tcPr>
                  <w:tcW w:w="1596" w:type="dxa"/>
                  <w:tcBorders>
                    <w:top w:val="nil"/>
                    <w:left w:val="single" w:sz="4" w:space="0" w:color="auto"/>
                    <w:bottom w:val="single" w:sz="4" w:space="0" w:color="auto"/>
                    <w:right w:val="single" w:sz="4" w:space="0" w:color="auto"/>
                  </w:tcBorders>
                  <w:shd w:val="clear" w:color="auto" w:fill="auto"/>
                  <w:noWrap/>
                  <w:vAlign w:val="center"/>
                  <w:hideMark/>
                </w:tcPr>
                <w:p w14:paraId="51B12C80" w14:textId="77777777" w:rsidR="008801D7" w:rsidRPr="008801D7" w:rsidRDefault="008801D7" w:rsidP="008801D7">
                  <w:pPr>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Total revenue</w:t>
                  </w:r>
                </w:p>
              </w:tc>
              <w:tc>
                <w:tcPr>
                  <w:tcW w:w="578" w:type="dxa"/>
                  <w:tcBorders>
                    <w:top w:val="nil"/>
                    <w:left w:val="nil"/>
                    <w:bottom w:val="single" w:sz="4" w:space="0" w:color="auto"/>
                    <w:right w:val="single" w:sz="4" w:space="0" w:color="auto"/>
                  </w:tcBorders>
                  <w:shd w:val="clear" w:color="000000" w:fill="FFF2CC"/>
                  <w:noWrap/>
                  <w:vAlign w:val="center"/>
                  <w:hideMark/>
                </w:tcPr>
                <w:p w14:paraId="1504FA1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222</w:t>
                  </w:r>
                </w:p>
              </w:tc>
              <w:tc>
                <w:tcPr>
                  <w:tcW w:w="580" w:type="dxa"/>
                  <w:tcBorders>
                    <w:top w:val="nil"/>
                    <w:left w:val="nil"/>
                    <w:bottom w:val="single" w:sz="4" w:space="0" w:color="auto"/>
                    <w:right w:val="single" w:sz="4" w:space="0" w:color="auto"/>
                  </w:tcBorders>
                  <w:shd w:val="clear" w:color="000000" w:fill="FFF2CC"/>
                  <w:noWrap/>
                  <w:vAlign w:val="center"/>
                  <w:hideMark/>
                </w:tcPr>
                <w:p w14:paraId="7AFA80FE"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348</w:t>
                  </w:r>
                </w:p>
              </w:tc>
              <w:tc>
                <w:tcPr>
                  <w:tcW w:w="580" w:type="dxa"/>
                  <w:tcBorders>
                    <w:top w:val="nil"/>
                    <w:left w:val="nil"/>
                    <w:bottom w:val="single" w:sz="4" w:space="0" w:color="auto"/>
                    <w:right w:val="single" w:sz="4" w:space="0" w:color="auto"/>
                  </w:tcBorders>
                  <w:shd w:val="clear" w:color="000000" w:fill="FFF2CC"/>
                  <w:noWrap/>
                  <w:vAlign w:val="center"/>
                  <w:hideMark/>
                </w:tcPr>
                <w:p w14:paraId="7733852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-36%</w:t>
                  </w:r>
                </w:p>
              </w:tc>
              <w:tc>
                <w:tcPr>
                  <w:tcW w:w="579" w:type="dxa"/>
                  <w:tcBorders>
                    <w:top w:val="nil"/>
                    <w:left w:val="nil"/>
                    <w:bottom w:val="single" w:sz="4" w:space="0" w:color="auto"/>
                    <w:right w:val="single" w:sz="4" w:space="0" w:color="auto"/>
                  </w:tcBorders>
                  <w:shd w:val="clear" w:color="000000" w:fill="C6E0B4"/>
                  <w:noWrap/>
                  <w:vAlign w:val="center"/>
                  <w:hideMark/>
                </w:tcPr>
                <w:p w14:paraId="0E885D86" w14:textId="77777777" w:rsidR="008801D7" w:rsidRPr="008801D7" w:rsidRDefault="008801D7" w:rsidP="006D5E0F">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20</w:t>
                  </w:r>
                  <w:r w:rsidR="006D5E0F">
                    <w:rPr>
                      <w:rFonts w:ascii="Calibri" w:hAnsi="Calibri" w:cs="Calibri"/>
                      <w:b/>
                      <w:bCs/>
                      <w:color w:val="000000"/>
                      <w:sz w:val="14"/>
                      <w:szCs w:val="14"/>
                      <w:lang w:eastAsia="en-GB"/>
                    </w:rPr>
                    <w:t>8</w:t>
                  </w:r>
                </w:p>
              </w:tc>
              <w:tc>
                <w:tcPr>
                  <w:tcW w:w="579" w:type="dxa"/>
                  <w:tcBorders>
                    <w:top w:val="nil"/>
                    <w:left w:val="nil"/>
                    <w:bottom w:val="single" w:sz="4" w:space="0" w:color="auto"/>
                    <w:right w:val="single" w:sz="4" w:space="0" w:color="auto"/>
                  </w:tcBorders>
                  <w:shd w:val="clear" w:color="000000" w:fill="C6E0B4"/>
                  <w:noWrap/>
                  <w:vAlign w:val="center"/>
                  <w:hideMark/>
                </w:tcPr>
                <w:p w14:paraId="20789940"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194</w:t>
                  </w:r>
                </w:p>
              </w:tc>
              <w:tc>
                <w:tcPr>
                  <w:tcW w:w="580" w:type="dxa"/>
                  <w:tcBorders>
                    <w:top w:val="nil"/>
                    <w:left w:val="nil"/>
                    <w:bottom w:val="single" w:sz="4" w:space="0" w:color="auto"/>
                    <w:right w:val="single" w:sz="4" w:space="0" w:color="auto"/>
                  </w:tcBorders>
                  <w:shd w:val="clear" w:color="000000" w:fill="C6E0B4"/>
                  <w:noWrap/>
                  <w:vAlign w:val="center"/>
                  <w:hideMark/>
                </w:tcPr>
                <w:p w14:paraId="4D9BEF3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w:t>
                  </w:r>
                </w:p>
              </w:tc>
              <w:tc>
                <w:tcPr>
                  <w:tcW w:w="579" w:type="dxa"/>
                  <w:tcBorders>
                    <w:top w:val="nil"/>
                    <w:left w:val="single" w:sz="4" w:space="0" w:color="auto"/>
                    <w:bottom w:val="single" w:sz="4" w:space="0" w:color="auto"/>
                    <w:right w:val="single" w:sz="4" w:space="0" w:color="auto"/>
                  </w:tcBorders>
                  <w:shd w:val="clear" w:color="000000" w:fill="BFBFBF"/>
                  <w:noWrap/>
                  <w:vAlign w:val="center"/>
                  <w:hideMark/>
                </w:tcPr>
                <w:p w14:paraId="7235B978" w14:textId="77777777" w:rsidR="008801D7" w:rsidRPr="008801D7" w:rsidRDefault="008801D7" w:rsidP="006D5E0F">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41</w:t>
                  </w:r>
                  <w:r w:rsidR="006D5E0F">
                    <w:rPr>
                      <w:rFonts w:ascii="Calibri" w:hAnsi="Calibri" w:cs="Calibri"/>
                      <w:b/>
                      <w:bCs/>
                      <w:color w:val="000000"/>
                      <w:sz w:val="14"/>
                      <w:szCs w:val="14"/>
                      <w:lang w:eastAsia="en-GB"/>
                    </w:rPr>
                    <w:t>3</w:t>
                  </w:r>
                </w:p>
              </w:tc>
              <w:tc>
                <w:tcPr>
                  <w:tcW w:w="579" w:type="dxa"/>
                  <w:tcBorders>
                    <w:top w:val="nil"/>
                    <w:left w:val="nil"/>
                    <w:bottom w:val="single" w:sz="4" w:space="0" w:color="auto"/>
                    <w:right w:val="single" w:sz="4" w:space="0" w:color="auto"/>
                  </w:tcBorders>
                  <w:shd w:val="clear" w:color="000000" w:fill="BFBFBF"/>
                  <w:noWrap/>
                  <w:vAlign w:val="center"/>
                  <w:hideMark/>
                </w:tcPr>
                <w:p w14:paraId="1219274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249</w:t>
                  </w:r>
                </w:p>
              </w:tc>
              <w:tc>
                <w:tcPr>
                  <w:tcW w:w="580" w:type="dxa"/>
                  <w:tcBorders>
                    <w:top w:val="nil"/>
                    <w:left w:val="nil"/>
                    <w:bottom w:val="single" w:sz="4" w:space="0" w:color="auto"/>
                    <w:right w:val="single" w:sz="4" w:space="0" w:color="auto"/>
                  </w:tcBorders>
                  <w:shd w:val="clear" w:color="000000" w:fill="BFBFBF"/>
                  <w:noWrap/>
                  <w:vAlign w:val="center"/>
                  <w:hideMark/>
                </w:tcPr>
                <w:p w14:paraId="6A04C434"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+66%</w:t>
                  </w:r>
                </w:p>
              </w:tc>
              <w:tc>
                <w:tcPr>
                  <w:tcW w:w="580" w:type="dxa"/>
                  <w:tcBorders>
                    <w:top w:val="nil"/>
                    <w:left w:val="nil"/>
                    <w:bottom w:val="single" w:sz="4" w:space="0" w:color="auto"/>
                    <w:right w:val="single" w:sz="4" w:space="0" w:color="auto"/>
                  </w:tcBorders>
                  <w:shd w:val="clear" w:color="000000" w:fill="BFBFBF"/>
                  <w:noWrap/>
                  <w:vAlign w:val="center"/>
                  <w:hideMark/>
                </w:tcPr>
                <w:p w14:paraId="53E7F0EE" w14:textId="77777777" w:rsidR="008801D7" w:rsidRPr="008801D7" w:rsidRDefault="008801D7" w:rsidP="006D5E0F">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w:t>
                  </w:r>
                  <w:r w:rsidR="006D5E0F">
                    <w:rPr>
                      <w:rFonts w:ascii="Calibri" w:hAnsi="Calibri" w:cs="Calibri"/>
                      <w:b/>
                      <w:bCs/>
                      <w:color w:val="000000"/>
                      <w:sz w:val="14"/>
                      <w:szCs w:val="14"/>
                      <w:lang w:eastAsia="en-GB"/>
                    </w:rPr>
                    <w:t>69</w:t>
                  </w:r>
                  <w:r w:rsidRPr="008801D7">
                    <w:rPr>
                      <w:rFonts w:ascii="Calibri" w:hAnsi="Calibri" w:cs="Calibri"/>
                      <w:b/>
                      <w:bCs/>
                      <w:color w:val="000000"/>
                      <w:sz w:val="14"/>
                      <w:szCs w:val="14"/>
                      <w:lang w:eastAsia="en-GB"/>
                    </w:rPr>
                    <w:t>%</w:t>
                  </w:r>
                </w:p>
              </w:tc>
              <w:tc>
                <w:tcPr>
                  <w:tcW w:w="579" w:type="dxa"/>
                  <w:tcBorders>
                    <w:top w:val="nil"/>
                    <w:left w:val="nil"/>
                    <w:bottom w:val="single" w:sz="4" w:space="0" w:color="auto"/>
                    <w:right w:val="single" w:sz="4" w:space="0" w:color="auto"/>
                  </w:tcBorders>
                  <w:shd w:val="clear" w:color="auto" w:fill="auto"/>
                  <w:noWrap/>
                  <w:vAlign w:val="center"/>
                  <w:hideMark/>
                </w:tcPr>
                <w:p w14:paraId="0412C5D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273</w:t>
                  </w:r>
                </w:p>
              </w:tc>
              <w:tc>
                <w:tcPr>
                  <w:tcW w:w="579" w:type="dxa"/>
                  <w:tcBorders>
                    <w:top w:val="nil"/>
                    <w:left w:val="nil"/>
                    <w:bottom w:val="single" w:sz="4" w:space="0" w:color="auto"/>
                    <w:right w:val="single" w:sz="4" w:space="0" w:color="auto"/>
                  </w:tcBorders>
                  <w:shd w:val="clear" w:color="000000" w:fill="FFFFFF"/>
                  <w:noWrap/>
                  <w:vAlign w:val="center"/>
                  <w:hideMark/>
                </w:tcPr>
                <w:p w14:paraId="5F3C6161"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166</w:t>
                  </w:r>
                </w:p>
              </w:tc>
              <w:tc>
                <w:tcPr>
                  <w:tcW w:w="580" w:type="dxa"/>
                  <w:tcBorders>
                    <w:top w:val="nil"/>
                    <w:left w:val="nil"/>
                    <w:bottom w:val="single" w:sz="4" w:space="0" w:color="auto"/>
                    <w:right w:val="single" w:sz="4" w:space="0" w:color="auto"/>
                  </w:tcBorders>
                  <w:shd w:val="clear" w:color="000000" w:fill="FFFFFF"/>
                  <w:noWrap/>
                  <w:vAlign w:val="center"/>
                  <w:hideMark/>
                </w:tcPr>
                <w:p w14:paraId="2A70C0BF"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+65%</w:t>
                  </w:r>
                </w:p>
              </w:tc>
              <w:tc>
                <w:tcPr>
                  <w:tcW w:w="580" w:type="dxa"/>
                  <w:tcBorders>
                    <w:top w:val="nil"/>
                    <w:left w:val="nil"/>
                    <w:bottom w:val="single" w:sz="4" w:space="0" w:color="auto"/>
                    <w:right w:val="single" w:sz="4" w:space="0" w:color="auto"/>
                  </w:tcBorders>
                  <w:shd w:val="clear" w:color="auto" w:fill="auto"/>
                  <w:noWrap/>
                  <w:vAlign w:val="center"/>
                  <w:hideMark/>
                </w:tcPr>
                <w:p w14:paraId="429F388D"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+70%</w:t>
                  </w:r>
                </w:p>
              </w:tc>
              <w:tc>
                <w:tcPr>
                  <w:tcW w:w="578" w:type="dxa"/>
                  <w:tcBorders>
                    <w:top w:val="nil"/>
                    <w:left w:val="nil"/>
                    <w:bottom w:val="single" w:sz="4" w:space="0" w:color="auto"/>
                    <w:right w:val="single" w:sz="4" w:space="0" w:color="auto"/>
                  </w:tcBorders>
                  <w:shd w:val="clear" w:color="000000" w:fill="D9E1F2"/>
                  <w:noWrap/>
                  <w:vAlign w:val="center"/>
                  <w:hideMark/>
                </w:tcPr>
                <w:p w14:paraId="714958E7"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146</w:t>
                  </w:r>
                </w:p>
              </w:tc>
              <w:tc>
                <w:tcPr>
                  <w:tcW w:w="578" w:type="dxa"/>
                  <w:tcBorders>
                    <w:top w:val="nil"/>
                    <w:left w:val="nil"/>
                    <w:bottom w:val="single" w:sz="4" w:space="0" w:color="auto"/>
                    <w:right w:val="single" w:sz="4" w:space="0" w:color="auto"/>
                  </w:tcBorders>
                  <w:shd w:val="clear" w:color="000000" w:fill="D9E1F2"/>
                  <w:noWrap/>
                  <w:vAlign w:val="center"/>
                  <w:hideMark/>
                </w:tcPr>
                <w:p w14:paraId="25E49466"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84</w:t>
                  </w:r>
                </w:p>
              </w:tc>
              <w:tc>
                <w:tcPr>
                  <w:tcW w:w="580" w:type="dxa"/>
                  <w:tcBorders>
                    <w:top w:val="nil"/>
                    <w:left w:val="nil"/>
                    <w:bottom w:val="single" w:sz="4" w:space="0" w:color="auto"/>
                    <w:right w:val="single" w:sz="4" w:space="0" w:color="auto"/>
                  </w:tcBorders>
                  <w:shd w:val="clear" w:color="000000" w:fill="D9E1F2"/>
                  <w:noWrap/>
                  <w:vAlign w:val="center"/>
                  <w:hideMark/>
                </w:tcPr>
                <w:p w14:paraId="4D1DD7E8"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+75%</w:t>
                  </w:r>
                </w:p>
              </w:tc>
              <w:tc>
                <w:tcPr>
                  <w:tcW w:w="580" w:type="dxa"/>
                  <w:tcBorders>
                    <w:top w:val="nil"/>
                    <w:left w:val="nil"/>
                    <w:bottom w:val="single" w:sz="4" w:space="0" w:color="auto"/>
                    <w:right w:val="single" w:sz="4" w:space="0" w:color="auto"/>
                  </w:tcBorders>
                  <w:shd w:val="clear" w:color="000000" w:fill="D9E1F2"/>
                  <w:noWrap/>
                  <w:vAlign w:val="center"/>
                  <w:hideMark/>
                </w:tcPr>
                <w:p w14:paraId="0CF0CAB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+69%</w:t>
                  </w:r>
                </w:p>
              </w:tc>
              <w:tc>
                <w:tcPr>
                  <w:tcW w:w="578" w:type="dxa"/>
                  <w:tcBorders>
                    <w:top w:val="nil"/>
                    <w:left w:val="single" w:sz="8" w:space="0" w:color="auto"/>
                    <w:bottom w:val="single" w:sz="8" w:space="0" w:color="auto"/>
                    <w:right w:val="single" w:sz="4" w:space="0" w:color="auto"/>
                  </w:tcBorders>
                  <w:shd w:val="clear" w:color="000000" w:fill="FCE4D6"/>
                  <w:noWrap/>
                  <w:vAlign w:val="center"/>
                  <w:hideMark/>
                </w:tcPr>
                <w:p w14:paraId="0C9E2D8C"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1,263</w:t>
                  </w:r>
                </w:p>
              </w:tc>
              <w:tc>
                <w:tcPr>
                  <w:tcW w:w="578" w:type="dxa"/>
                  <w:tcBorders>
                    <w:top w:val="nil"/>
                    <w:left w:val="nil"/>
                    <w:bottom w:val="single" w:sz="8" w:space="0" w:color="auto"/>
                    <w:right w:val="single" w:sz="4" w:space="0" w:color="auto"/>
                  </w:tcBorders>
                  <w:shd w:val="clear" w:color="000000" w:fill="FCE4D6"/>
                  <w:noWrap/>
                  <w:vAlign w:val="center"/>
                  <w:hideMark/>
                </w:tcPr>
                <w:p w14:paraId="2B45FD85"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1,041</w:t>
                  </w:r>
                </w:p>
              </w:tc>
              <w:tc>
                <w:tcPr>
                  <w:tcW w:w="580" w:type="dxa"/>
                  <w:tcBorders>
                    <w:top w:val="nil"/>
                    <w:left w:val="nil"/>
                    <w:bottom w:val="single" w:sz="8" w:space="0" w:color="auto"/>
                    <w:right w:val="single" w:sz="4" w:space="0" w:color="auto"/>
                  </w:tcBorders>
                  <w:shd w:val="clear" w:color="000000" w:fill="FCE4D6"/>
                  <w:noWrap/>
                  <w:vAlign w:val="center"/>
                  <w:hideMark/>
                </w:tcPr>
                <w:p w14:paraId="371BB0DB"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+21%</w:t>
                  </w:r>
                </w:p>
              </w:tc>
              <w:tc>
                <w:tcPr>
                  <w:tcW w:w="580" w:type="dxa"/>
                  <w:tcBorders>
                    <w:top w:val="nil"/>
                    <w:left w:val="nil"/>
                    <w:bottom w:val="single" w:sz="8" w:space="0" w:color="auto"/>
                    <w:right w:val="single" w:sz="8" w:space="0" w:color="auto"/>
                  </w:tcBorders>
                  <w:shd w:val="clear" w:color="000000" w:fill="FCE4D6"/>
                  <w:noWrap/>
                  <w:vAlign w:val="center"/>
                  <w:hideMark/>
                </w:tcPr>
                <w:p w14:paraId="3C5C9DB9" w14:textId="77777777" w:rsidR="008801D7" w:rsidRPr="008801D7" w:rsidRDefault="008801D7" w:rsidP="008801D7">
                  <w:pPr>
                    <w:jc w:val="right"/>
                    <w:rPr>
                      <w:rFonts w:ascii="Calibri" w:hAnsi="Calibri" w:cs="Calibri"/>
                      <w:b/>
                      <w:bCs/>
                      <w:color w:val="000000"/>
                      <w:sz w:val="14"/>
                      <w:szCs w:val="14"/>
                      <w:lang w:eastAsia="en-GB"/>
                    </w:rPr>
                  </w:pPr>
                  <w:r w:rsidRPr="008801D7">
                    <w:rPr>
                      <w:rFonts w:ascii="Calibri" w:hAnsi="Calibri" w:cs="Calibri"/>
                      <w:b/>
                      <w:bCs/>
                      <w:color w:val="000000"/>
                      <w:sz w:val="14"/>
                      <w:szCs w:val="14"/>
                      <w:lang w:eastAsia="en-GB"/>
                    </w:rPr>
                    <w:t>+22%</w:t>
                  </w:r>
                </w:p>
              </w:tc>
            </w:tr>
          </w:tbl>
          <w:p w14:paraId="62E5B092" w14:textId="77777777" w:rsidR="00942D68" w:rsidRDefault="00942D68" w:rsidP="00942D68">
            <w:pPr>
              <w:pStyle w:val="HTMLPreformatted"/>
              <w:rPr>
                <w:rFonts w:ascii="Times New Roman" w:hAnsi="Times New Roman" w:cs="Times New Roman"/>
                <w:color w:val="FF0000"/>
                <w:sz w:val="10"/>
                <w:szCs w:val="10"/>
                <w:lang w:eastAsia="en-IE"/>
              </w:rPr>
            </w:pPr>
          </w:p>
          <w:p w14:paraId="20B3AAE1" w14:textId="77777777" w:rsidR="00942D68" w:rsidRDefault="00942D68" w:rsidP="00942D68">
            <w:pPr>
              <w:pStyle w:val="HTMLPreformatted"/>
              <w:rPr>
                <w:rFonts w:ascii="Times New Roman" w:hAnsi="Times New Roman" w:cs="Times New Roman"/>
                <w:color w:val="FF0000"/>
                <w:sz w:val="10"/>
                <w:szCs w:val="10"/>
                <w:lang w:eastAsia="en-IE"/>
              </w:rPr>
            </w:pPr>
          </w:p>
          <w:p w14:paraId="27AF4B69" w14:textId="77777777" w:rsidR="00942D68" w:rsidRDefault="00942D68" w:rsidP="00942D68">
            <w:pPr>
              <w:pStyle w:val="HTMLPreformatted"/>
              <w:rPr>
                <w:rFonts w:ascii="Times New Roman" w:hAnsi="Times New Roman" w:cs="Times New Roman"/>
                <w:color w:val="FF0000"/>
                <w:sz w:val="10"/>
                <w:szCs w:val="10"/>
                <w:lang w:eastAsia="en-IE"/>
              </w:rPr>
            </w:pPr>
          </w:p>
          <w:p w14:paraId="0AECD48A" w14:textId="77777777" w:rsidR="00942D68" w:rsidRDefault="00942D68" w:rsidP="00942D68">
            <w:pPr>
              <w:pStyle w:val="HTMLPreformatted"/>
              <w:rPr>
                <w:rFonts w:asciiTheme="minorHAnsi" w:hAnsiTheme="minorHAnsi"/>
                <w:color w:val="FF0000"/>
                <w:sz w:val="16"/>
                <w:szCs w:val="16"/>
                <w:vertAlign w:val="superscript"/>
              </w:rPr>
            </w:pPr>
          </w:p>
          <w:p w14:paraId="3AA259FF" w14:textId="77777777" w:rsidR="00942D68" w:rsidRDefault="00942D68" w:rsidP="00942D68">
            <w:pPr>
              <w:pStyle w:val="HTMLPreformatted"/>
              <w:rPr>
                <w:rFonts w:asciiTheme="minorHAnsi" w:hAnsiTheme="minorHAnsi"/>
                <w:sz w:val="16"/>
                <w:szCs w:val="16"/>
                <w:vertAlign w:val="superscript"/>
              </w:rPr>
            </w:pPr>
            <w:r>
              <w:rPr>
                <w:rFonts w:asciiTheme="minorHAnsi" w:hAnsiTheme="minorHAnsi"/>
                <w:sz w:val="16"/>
                <w:szCs w:val="16"/>
                <w:vertAlign w:val="superscript"/>
              </w:rPr>
              <w:t xml:space="preserve">1 </w:t>
            </w:r>
            <w:r>
              <w:rPr>
                <w:rFonts w:asciiTheme="minorHAnsi" w:hAnsiTheme="minorHAnsi"/>
                <w:sz w:val="16"/>
                <w:szCs w:val="16"/>
              </w:rPr>
              <w:t>Flutter’s combination with TSG completed on May 5 2020. The pro forma numbers presented show the Group’s financials with TSG included for a full 6-month period in both 2019 and 2020. The pro forma numbers include a 6-month contribution from Adjarabet in 2019 (completion date: Feb 1 2019).</w:t>
            </w:r>
            <w:r w:rsidR="00F93699">
              <w:rPr>
                <w:rFonts w:asciiTheme="minorHAnsi" w:hAnsiTheme="minorHAnsi"/>
                <w:sz w:val="16"/>
                <w:szCs w:val="16"/>
              </w:rPr>
              <w:t xml:space="preserve"> </w:t>
            </w:r>
            <w:r w:rsidR="00F93699" w:rsidRPr="0063100B">
              <w:rPr>
                <w:rFonts w:asciiTheme="minorHAnsi" w:hAnsiTheme="minorHAnsi"/>
                <w:sz w:val="16"/>
                <w:szCs w:val="16"/>
              </w:rPr>
              <w:t xml:space="preserve">Further details on </w:t>
            </w:r>
            <w:r w:rsidR="00670082" w:rsidRPr="0063100B">
              <w:rPr>
                <w:rFonts w:asciiTheme="minorHAnsi" w:hAnsiTheme="minorHAnsi"/>
                <w:sz w:val="16"/>
                <w:szCs w:val="16"/>
              </w:rPr>
              <w:t xml:space="preserve">pro forma </w:t>
            </w:r>
            <w:r w:rsidR="00F93699" w:rsidRPr="0063100B">
              <w:rPr>
                <w:rFonts w:asciiTheme="minorHAnsi" w:hAnsiTheme="minorHAnsi"/>
                <w:sz w:val="16"/>
                <w:szCs w:val="16"/>
              </w:rPr>
              <w:t>Q3 and Q4 2019 revenues are available on Flutter’s website.</w:t>
            </w:r>
          </w:p>
          <w:p w14:paraId="01635765" w14:textId="77777777" w:rsidR="00942D68" w:rsidRDefault="00942D68" w:rsidP="00942D68">
            <w:pPr>
              <w:pStyle w:val="HTMLPreformatted"/>
              <w:rPr>
                <w:rFonts w:asciiTheme="minorHAnsi" w:hAnsiTheme="minorHAnsi"/>
                <w:sz w:val="16"/>
                <w:szCs w:val="16"/>
              </w:rPr>
            </w:pPr>
            <w:r>
              <w:rPr>
                <w:rFonts w:asciiTheme="minorHAnsi" w:hAnsiTheme="minorHAnsi"/>
                <w:sz w:val="16"/>
                <w:szCs w:val="16"/>
                <w:vertAlign w:val="superscript"/>
              </w:rPr>
              <w:t>2</w:t>
            </w:r>
            <w:r>
              <w:rPr>
                <w:rFonts w:asciiTheme="minorHAnsi" w:hAnsiTheme="minorHAnsi"/>
                <w:sz w:val="16"/>
                <w:szCs w:val="16"/>
              </w:rPr>
              <w:t xml:space="preserve"> Constant currency (“cc”) growth is calculated by retranslating non-sterling denominated component of H1 2019 at H1 2020 exchange </w:t>
            </w:r>
            <w:r w:rsidRPr="00670082">
              <w:rPr>
                <w:rFonts w:asciiTheme="minorHAnsi" w:hAnsiTheme="minorHAnsi"/>
                <w:sz w:val="16"/>
                <w:szCs w:val="16"/>
              </w:rPr>
              <w:t>rates (</w:t>
            </w:r>
            <w:r w:rsidRPr="00856AC3">
              <w:rPr>
                <w:rFonts w:asciiTheme="minorHAnsi" w:hAnsiTheme="minorHAnsi"/>
                <w:sz w:val="16"/>
                <w:szCs w:val="16"/>
              </w:rPr>
              <w:t xml:space="preserve">see Appendix </w:t>
            </w:r>
            <w:r w:rsidR="00670082" w:rsidRPr="00856AC3">
              <w:rPr>
                <w:rFonts w:asciiTheme="minorHAnsi" w:hAnsiTheme="minorHAnsi"/>
                <w:sz w:val="16"/>
                <w:szCs w:val="16"/>
              </w:rPr>
              <w:t>5</w:t>
            </w:r>
            <w:r w:rsidRPr="00856AC3">
              <w:rPr>
                <w:rFonts w:asciiTheme="minorHAnsi" w:hAnsiTheme="minorHAnsi"/>
                <w:sz w:val="16"/>
                <w:szCs w:val="16"/>
              </w:rPr>
              <w:t>)</w:t>
            </w:r>
          </w:p>
          <w:p w14:paraId="5B1C634E" w14:textId="77777777" w:rsidR="00C845DA" w:rsidRDefault="00C845DA" w:rsidP="00C845DA">
            <w:pPr>
              <w:pStyle w:val="HTMLPreformatted"/>
              <w:rPr>
                <w:rFonts w:asciiTheme="minorHAnsi" w:hAnsiTheme="minorHAnsi"/>
                <w:sz w:val="16"/>
                <w:szCs w:val="16"/>
              </w:rPr>
            </w:pPr>
            <w:r w:rsidRPr="00700675">
              <w:rPr>
                <w:rFonts w:asciiTheme="minorHAnsi" w:hAnsiTheme="minorHAnsi"/>
                <w:sz w:val="16"/>
                <w:szCs w:val="16"/>
                <w:vertAlign w:val="superscript"/>
              </w:rPr>
              <w:t>3</w:t>
            </w:r>
            <w:r>
              <w:rPr>
                <w:rFonts w:asciiTheme="minorHAnsi" w:hAnsiTheme="minorHAnsi"/>
                <w:sz w:val="16"/>
                <w:szCs w:val="16"/>
              </w:rPr>
              <w:t xml:space="preserve"> For split of PPB between Online and Retail, please see the KPIs section of our investor relations website.</w:t>
            </w:r>
          </w:p>
          <w:p w14:paraId="6B1A8838" w14:textId="77777777" w:rsidR="00C845DA" w:rsidRDefault="00C845DA" w:rsidP="00942D68">
            <w:pPr>
              <w:pStyle w:val="HTMLPreformatted"/>
              <w:rPr>
                <w:rFonts w:asciiTheme="minorHAnsi" w:hAnsiTheme="minorHAnsi"/>
                <w:sz w:val="16"/>
                <w:szCs w:val="16"/>
              </w:rPr>
            </w:pPr>
          </w:p>
          <w:p w14:paraId="73E8AC53" w14:textId="77777777" w:rsidR="00942D68" w:rsidRDefault="00942D68" w:rsidP="00942D68">
            <w:pPr>
              <w:pStyle w:val="BodyText"/>
              <w:widowControl w:val="0"/>
              <w:tabs>
                <w:tab w:val="left" w:pos="720"/>
              </w:tabs>
              <w:autoSpaceDE w:val="0"/>
              <w:autoSpaceDN w:val="0"/>
              <w:adjustRightInd w:val="0"/>
              <w:spacing w:after="40"/>
              <w:jc w:val="both"/>
              <w:rPr>
                <w:rFonts w:asciiTheme="minorHAnsi" w:hAnsiTheme="minorHAnsi"/>
                <w:color w:val="FF0000"/>
                <w:sz w:val="16"/>
                <w:szCs w:val="16"/>
                <w:highlight w:val="yellow"/>
              </w:rPr>
            </w:pPr>
          </w:p>
        </w:tc>
      </w:tr>
    </w:tbl>
    <w:p w14:paraId="54D185C1" w14:textId="77777777" w:rsidR="00942D68" w:rsidRDefault="00942D68" w:rsidP="00942D68">
      <w:pPr>
        <w:tabs>
          <w:tab w:val="left" w:pos="720"/>
        </w:tabs>
        <w:rPr>
          <w:rFonts w:asciiTheme="minorHAnsi" w:hAnsiTheme="minorHAnsi"/>
          <w:color w:val="FF0000"/>
          <w:sz w:val="16"/>
          <w:szCs w:val="16"/>
          <w:highlight w:val="yellow"/>
          <w:lang w:val="en-IE"/>
        </w:rPr>
        <w:sectPr w:rsidR="00942D68">
          <w:pgSz w:w="15840" w:h="12240" w:orient="landscape"/>
          <w:pgMar w:top="720" w:right="624" w:bottom="720" w:left="624" w:header="709" w:footer="709" w:gutter="0"/>
          <w:cols w:space="720"/>
        </w:sectPr>
      </w:pPr>
    </w:p>
    <w:p w14:paraId="05052CE9" w14:textId="77777777" w:rsidR="00670082" w:rsidRDefault="00670082" w:rsidP="00670082">
      <w:pPr>
        <w:rPr>
          <w:rFonts w:asciiTheme="minorHAnsi" w:hAnsiTheme="minorHAnsi"/>
          <w:b/>
          <w:sz w:val="20"/>
          <w:lang w:eastAsia="en-IE"/>
        </w:rPr>
      </w:pPr>
      <w:bookmarkStart w:id="6" w:name="_DV_M63"/>
      <w:bookmarkStart w:id="7" w:name="_DV_M64"/>
      <w:bookmarkEnd w:id="6"/>
      <w:bookmarkEnd w:id="7"/>
      <w:r>
        <w:rPr>
          <w:rFonts w:asciiTheme="minorHAnsi" w:hAnsiTheme="minorHAnsi"/>
          <w:b/>
          <w:sz w:val="20"/>
          <w:lang w:eastAsia="en-IE"/>
        </w:rPr>
        <w:lastRenderedPageBreak/>
        <w:t>Appendix 3 (</w:t>
      </w:r>
      <w:proofErr w:type="spellStart"/>
      <w:r>
        <w:rPr>
          <w:rFonts w:asciiTheme="minorHAnsi" w:hAnsiTheme="minorHAnsi"/>
          <w:b/>
          <w:sz w:val="20"/>
          <w:lang w:eastAsia="en-IE"/>
        </w:rPr>
        <w:t>i</w:t>
      </w:r>
      <w:proofErr w:type="spellEnd"/>
      <w:r>
        <w:rPr>
          <w:rFonts w:asciiTheme="minorHAnsi" w:hAnsiTheme="minorHAnsi"/>
          <w:b/>
          <w:sz w:val="20"/>
          <w:lang w:eastAsia="en-IE"/>
        </w:rPr>
        <w:t>)</w:t>
      </w:r>
      <w:r w:rsidRPr="00B51C38">
        <w:rPr>
          <w:rFonts w:asciiTheme="minorHAnsi" w:hAnsiTheme="minorHAnsi"/>
          <w:b/>
          <w:sz w:val="20"/>
          <w:lang w:eastAsia="en-IE"/>
        </w:rPr>
        <w:t xml:space="preserve">: Reconciliation of </w:t>
      </w:r>
      <w:r>
        <w:rPr>
          <w:rFonts w:asciiTheme="minorHAnsi" w:hAnsiTheme="minorHAnsi"/>
          <w:b/>
          <w:sz w:val="20"/>
          <w:lang w:eastAsia="en-IE"/>
        </w:rPr>
        <w:t>previously reported TSG results to Flutter pro</w:t>
      </w:r>
      <w:r w:rsidR="00956296">
        <w:rPr>
          <w:rFonts w:asciiTheme="minorHAnsi" w:hAnsiTheme="minorHAnsi"/>
          <w:b/>
          <w:sz w:val="20"/>
          <w:lang w:eastAsia="en-IE"/>
        </w:rPr>
        <w:t xml:space="preserve"> </w:t>
      </w:r>
      <w:r>
        <w:rPr>
          <w:rFonts w:asciiTheme="minorHAnsi" w:hAnsiTheme="minorHAnsi"/>
          <w:b/>
          <w:sz w:val="20"/>
          <w:lang w:eastAsia="en-IE"/>
        </w:rPr>
        <w:t>forma results</w:t>
      </w:r>
    </w:p>
    <w:p w14:paraId="32989A6C" w14:textId="77777777" w:rsidR="00670082" w:rsidRDefault="00670082" w:rsidP="00670082">
      <w:pPr>
        <w:rPr>
          <w:rFonts w:asciiTheme="minorHAnsi" w:hAnsiTheme="minorHAnsi"/>
          <w:i/>
          <w:sz w:val="20"/>
          <w:lang w:eastAsia="en-IE"/>
        </w:rPr>
      </w:pPr>
      <w:r>
        <w:rPr>
          <w:rFonts w:asciiTheme="minorHAnsi" w:hAnsiTheme="minorHAnsi"/>
          <w:i/>
          <w:sz w:val="20"/>
          <w:lang w:eastAsia="en-IE"/>
        </w:rPr>
        <w:t>H1 2019</w:t>
      </w:r>
      <w:r w:rsidRPr="00D840C0">
        <w:rPr>
          <w:rFonts w:asciiTheme="minorHAnsi" w:hAnsiTheme="minorHAnsi"/>
          <w:i/>
          <w:sz w:val="20"/>
          <w:lang w:eastAsia="en-IE"/>
        </w:rPr>
        <w:t>, unaudited</w:t>
      </w:r>
    </w:p>
    <w:p w14:paraId="2368E86B" w14:textId="77777777" w:rsidR="00670082" w:rsidRDefault="00670082" w:rsidP="00C9669A">
      <w:pPr>
        <w:jc w:val="both"/>
        <w:rPr>
          <w:rFonts w:asciiTheme="minorHAnsi" w:hAnsiTheme="minorHAnsi"/>
          <w:sz w:val="20"/>
        </w:rPr>
      </w:pPr>
      <w:r>
        <w:rPr>
          <w:rFonts w:asciiTheme="minorHAnsi" w:hAnsiTheme="minorHAnsi"/>
          <w:sz w:val="20"/>
        </w:rPr>
        <w:t xml:space="preserve">TSG previously filed quarterly reported results in </w:t>
      </w:r>
      <w:proofErr w:type="spellStart"/>
      <w:r>
        <w:rPr>
          <w:rFonts w:asciiTheme="minorHAnsi" w:hAnsiTheme="minorHAnsi"/>
          <w:sz w:val="20"/>
        </w:rPr>
        <w:t>US$</w:t>
      </w:r>
      <w:r w:rsidR="00CD6EAD">
        <w:rPr>
          <w:rFonts w:asciiTheme="minorHAnsi" w:hAnsiTheme="minorHAnsi"/>
          <w:sz w:val="20"/>
        </w:rPr>
        <w:t>m</w:t>
      </w:r>
      <w:proofErr w:type="spellEnd"/>
      <w:r>
        <w:rPr>
          <w:rFonts w:asciiTheme="minorHAnsi" w:hAnsiTheme="minorHAnsi"/>
          <w:sz w:val="20"/>
        </w:rPr>
        <w:t>. The table below shows how these previously reported TSG financials translate into the pro</w:t>
      </w:r>
      <w:r w:rsidR="00956296">
        <w:rPr>
          <w:rFonts w:asciiTheme="minorHAnsi" w:hAnsiTheme="minorHAnsi"/>
          <w:sz w:val="20"/>
        </w:rPr>
        <w:t xml:space="preserve"> </w:t>
      </w:r>
      <w:r>
        <w:rPr>
          <w:rFonts w:asciiTheme="minorHAnsi" w:hAnsiTheme="minorHAnsi"/>
          <w:sz w:val="20"/>
        </w:rPr>
        <w:t>forma numbers in £</w:t>
      </w:r>
      <w:r w:rsidR="00CD6EAD">
        <w:rPr>
          <w:rFonts w:asciiTheme="minorHAnsi" w:hAnsiTheme="minorHAnsi"/>
          <w:sz w:val="20"/>
        </w:rPr>
        <w:t>m</w:t>
      </w:r>
      <w:r>
        <w:rPr>
          <w:rFonts w:asciiTheme="minorHAnsi" w:hAnsiTheme="minorHAnsi"/>
          <w:sz w:val="20"/>
        </w:rPr>
        <w:t xml:space="preserve"> shown elsewhere in this document for H1</w:t>
      </w:r>
      <w:r w:rsidR="00CD6EAD">
        <w:rPr>
          <w:rFonts w:asciiTheme="minorHAnsi" w:hAnsiTheme="minorHAnsi"/>
          <w:sz w:val="20"/>
        </w:rPr>
        <w:t xml:space="preserve"> </w:t>
      </w:r>
      <w:r>
        <w:rPr>
          <w:rFonts w:asciiTheme="minorHAnsi" w:hAnsiTheme="minorHAnsi"/>
          <w:sz w:val="20"/>
        </w:rPr>
        <w:t xml:space="preserve">2019. Alongside the change in reporting currency, Flutter made a number of changes to align TSG reporting with its own accounting policies, </w:t>
      </w:r>
      <w:r w:rsidR="00CD6EAD">
        <w:rPr>
          <w:rFonts w:asciiTheme="minorHAnsi" w:hAnsiTheme="minorHAnsi"/>
          <w:sz w:val="20"/>
        </w:rPr>
        <w:t xml:space="preserve">with the summary movements </w:t>
      </w:r>
      <w:r>
        <w:rPr>
          <w:rFonts w:asciiTheme="minorHAnsi" w:hAnsiTheme="minorHAnsi"/>
          <w:sz w:val="20"/>
        </w:rPr>
        <w:t xml:space="preserve">outlined below. </w:t>
      </w:r>
    </w:p>
    <w:p w14:paraId="0AA919C8" w14:textId="77777777" w:rsidR="00670082" w:rsidRPr="00E5112C" w:rsidRDefault="00670082" w:rsidP="00670082">
      <w:pPr>
        <w:rPr>
          <w:rFonts w:asciiTheme="minorHAnsi" w:hAnsiTheme="minorHAnsi"/>
          <w:b/>
          <w:sz w:val="20"/>
          <w:lang w:eastAsia="en-IE"/>
        </w:rPr>
      </w:pPr>
    </w:p>
    <w:tbl>
      <w:tblPr>
        <w:tblW w:w="9220" w:type="dxa"/>
        <w:tblLook w:val="04A0" w:firstRow="1" w:lastRow="0" w:firstColumn="1" w:lastColumn="0" w:noHBand="0" w:noVBand="1"/>
      </w:tblPr>
      <w:tblGrid>
        <w:gridCol w:w="448"/>
        <w:gridCol w:w="1848"/>
        <w:gridCol w:w="960"/>
        <w:gridCol w:w="598"/>
        <w:gridCol w:w="580"/>
        <w:gridCol w:w="598"/>
        <w:gridCol w:w="960"/>
        <w:gridCol w:w="1020"/>
        <w:gridCol w:w="448"/>
        <w:gridCol w:w="1020"/>
        <w:gridCol w:w="1020"/>
      </w:tblGrid>
      <w:tr w:rsidR="00CF46E2" w:rsidRPr="00CF46E2" w14:paraId="2A4BFE19" w14:textId="77777777" w:rsidTr="00CF46E2">
        <w:trPr>
          <w:trHeight w:val="610"/>
        </w:trPr>
        <w:tc>
          <w:tcPr>
            <w:tcW w:w="308" w:type="dxa"/>
            <w:tcBorders>
              <w:top w:val="nil"/>
              <w:left w:val="nil"/>
              <w:bottom w:val="nil"/>
              <w:right w:val="nil"/>
            </w:tcBorders>
            <w:shd w:val="clear" w:color="auto" w:fill="auto"/>
            <w:noWrap/>
            <w:vAlign w:val="center"/>
            <w:hideMark/>
          </w:tcPr>
          <w:p w14:paraId="144EB705" w14:textId="77777777" w:rsidR="00CF46E2" w:rsidRPr="00CF46E2" w:rsidRDefault="00CF46E2" w:rsidP="00CF46E2">
            <w:pPr>
              <w:rPr>
                <w:rFonts w:ascii="Times New Roman" w:hAnsi="Times New Roman"/>
                <w:sz w:val="20"/>
                <w:szCs w:val="24"/>
                <w:lang w:eastAsia="en-GB"/>
              </w:rPr>
            </w:pPr>
          </w:p>
        </w:tc>
        <w:tc>
          <w:tcPr>
            <w:tcW w:w="1848" w:type="dxa"/>
            <w:tcBorders>
              <w:top w:val="nil"/>
              <w:left w:val="nil"/>
              <w:bottom w:val="nil"/>
              <w:right w:val="nil"/>
            </w:tcBorders>
            <w:shd w:val="clear" w:color="auto" w:fill="auto"/>
            <w:noWrap/>
            <w:vAlign w:val="bottom"/>
            <w:hideMark/>
          </w:tcPr>
          <w:p w14:paraId="2ACFF87C" w14:textId="77777777" w:rsidR="00CF46E2" w:rsidRPr="00CF46E2" w:rsidRDefault="00CF46E2" w:rsidP="00CF46E2">
            <w:pPr>
              <w:rPr>
                <w:rFonts w:ascii="Times New Roman" w:hAnsi="Times New Roman"/>
                <w:sz w:val="20"/>
                <w:lang w:eastAsia="en-GB"/>
              </w:rPr>
            </w:pPr>
          </w:p>
        </w:tc>
        <w:tc>
          <w:tcPr>
            <w:tcW w:w="960"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14:paraId="077C7355"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TSG Reported (US</w:t>
            </w:r>
            <w:r w:rsidR="0006187D">
              <w:rPr>
                <w:rFonts w:ascii="Calibri" w:hAnsi="Calibri" w:cs="Calibri"/>
                <w:b/>
                <w:bCs/>
                <w:color w:val="000000"/>
                <w:sz w:val="18"/>
                <w:szCs w:val="18"/>
                <w:lang w:eastAsia="en-GB"/>
              </w:rPr>
              <w:t xml:space="preserve"> </w:t>
            </w:r>
            <w:r w:rsidRPr="00CF46E2">
              <w:rPr>
                <w:rFonts w:ascii="Calibri" w:hAnsi="Calibri" w:cs="Calibri"/>
                <w:b/>
                <w:bCs/>
                <w:color w:val="000000"/>
                <w:sz w:val="18"/>
                <w:szCs w:val="18"/>
                <w:lang w:eastAsia="en-GB"/>
              </w:rPr>
              <w:t>$m)</w:t>
            </w:r>
          </w:p>
        </w:tc>
        <w:tc>
          <w:tcPr>
            <w:tcW w:w="1776" w:type="dxa"/>
            <w:gridSpan w:val="3"/>
            <w:tcBorders>
              <w:top w:val="single" w:sz="4" w:space="0" w:color="auto"/>
              <w:left w:val="nil"/>
              <w:bottom w:val="single" w:sz="4" w:space="0" w:color="auto"/>
              <w:right w:val="nil"/>
            </w:tcBorders>
            <w:shd w:val="clear" w:color="auto" w:fill="auto"/>
            <w:vAlign w:val="bottom"/>
            <w:hideMark/>
          </w:tcPr>
          <w:p w14:paraId="4C6145E4" w14:textId="77777777" w:rsidR="00CF46E2" w:rsidRPr="00CF46E2" w:rsidRDefault="00CF46E2" w:rsidP="00CF46E2">
            <w:pPr>
              <w:jc w:val="center"/>
              <w:rPr>
                <w:rFonts w:ascii="Calibri" w:hAnsi="Calibri" w:cs="Calibri"/>
                <w:b/>
                <w:bCs/>
                <w:color w:val="C00000"/>
                <w:sz w:val="18"/>
                <w:szCs w:val="18"/>
                <w:lang w:eastAsia="en-GB"/>
              </w:rPr>
            </w:pPr>
            <w:r w:rsidRPr="00CF46E2">
              <w:rPr>
                <w:rFonts w:ascii="Calibri" w:hAnsi="Calibri" w:cs="Calibri"/>
                <w:b/>
                <w:bCs/>
                <w:color w:val="C00000"/>
                <w:sz w:val="18"/>
                <w:szCs w:val="18"/>
                <w:lang w:eastAsia="en-GB"/>
              </w:rPr>
              <w:t>Adjustments</w:t>
            </w:r>
            <w:r w:rsidRPr="00CF46E2">
              <w:rPr>
                <w:rFonts w:ascii="Calibri" w:hAnsi="Calibri" w:cs="Calibri"/>
                <w:b/>
                <w:bCs/>
                <w:color w:val="C00000"/>
                <w:sz w:val="18"/>
                <w:szCs w:val="18"/>
                <w:lang w:eastAsia="en-GB"/>
              </w:rPr>
              <w:br/>
              <w:t>(US</w:t>
            </w:r>
            <w:r w:rsidR="0006187D">
              <w:rPr>
                <w:rFonts w:ascii="Calibri" w:hAnsi="Calibri" w:cs="Calibri"/>
                <w:b/>
                <w:bCs/>
                <w:color w:val="C00000"/>
                <w:sz w:val="18"/>
                <w:szCs w:val="18"/>
                <w:lang w:eastAsia="en-GB"/>
              </w:rPr>
              <w:t xml:space="preserve"> </w:t>
            </w:r>
            <w:r w:rsidRPr="00CF46E2">
              <w:rPr>
                <w:rFonts w:ascii="Calibri" w:hAnsi="Calibri" w:cs="Calibri"/>
                <w:b/>
                <w:bCs/>
                <w:color w:val="C00000"/>
                <w:sz w:val="18"/>
                <w:szCs w:val="18"/>
                <w:lang w:eastAsia="en-GB"/>
              </w:rPr>
              <w:t>$m)</w:t>
            </w:r>
          </w:p>
        </w:tc>
        <w:tc>
          <w:tcPr>
            <w:tcW w:w="960"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14:paraId="4AC316A4"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Per Flutter policies (US</w:t>
            </w:r>
            <w:r w:rsidR="0006187D">
              <w:rPr>
                <w:rFonts w:ascii="Calibri" w:hAnsi="Calibri" w:cs="Calibri"/>
                <w:b/>
                <w:bCs/>
                <w:color w:val="000000"/>
                <w:sz w:val="18"/>
                <w:szCs w:val="18"/>
                <w:lang w:eastAsia="en-GB"/>
              </w:rPr>
              <w:t xml:space="preserve"> </w:t>
            </w:r>
            <w:r w:rsidRPr="00CF46E2">
              <w:rPr>
                <w:rFonts w:ascii="Calibri" w:hAnsi="Calibri" w:cs="Calibri"/>
                <w:b/>
                <w:bCs/>
                <w:color w:val="000000"/>
                <w:sz w:val="18"/>
                <w:szCs w:val="18"/>
                <w:lang w:eastAsia="en-GB"/>
              </w:rPr>
              <w:t>$m)</w:t>
            </w:r>
          </w:p>
        </w:tc>
        <w:tc>
          <w:tcPr>
            <w:tcW w:w="1020" w:type="dxa"/>
            <w:vMerge w:val="restart"/>
            <w:tcBorders>
              <w:top w:val="nil"/>
              <w:left w:val="nil"/>
              <w:bottom w:val="single" w:sz="4" w:space="0" w:color="000000"/>
              <w:right w:val="nil"/>
            </w:tcBorders>
            <w:shd w:val="clear" w:color="000000" w:fill="D6DCE4"/>
            <w:vAlign w:val="bottom"/>
            <w:hideMark/>
          </w:tcPr>
          <w:p w14:paraId="3948711D" w14:textId="77777777" w:rsidR="00CF46E2" w:rsidRPr="00CF46E2" w:rsidRDefault="00CF46E2" w:rsidP="00CF46E2">
            <w:pPr>
              <w:jc w:val="center"/>
              <w:rPr>
                <w:rFonts w:ascii="Calibri" w:hAnsi="Calibri" w:cs="Calibri"/>
                <w:b/>
                <w:bCs/>
                <w:color w:val="000000"/>
                <w:sz w:val="18"/>
                <w:szCs w:val="18"/>
                <w:lang w:eastAsia="en-GB"/>
              </w:rPr>
            </w:pPr>
            <w:r>
              <w:rPr>
                <w:rFonts w:ascii="Calibri" w:hAnsi="Calibri" w:cs="Calibri"/>
                <w:b/>
                <w:bCs/>
                <w:color w:val="000000"/>
                <w:sz w:val="18"/>
                <w:szCs w:val="18"/>
                <w:lang w:eastAsia="en-GB"/>
              </w:rPr>
              <w:t>Legacy TSG p</w:t>
            </w:r>
            <w:r w:rsidRPr="00CF46E2">
              <w:rPr>
                <w:rFonts w:ascii="Calibri" w:hAnsi="Calibri" w:cs="Calibri"/>
                <w:b/>
                <w:bCs/>
                <w:color w:val="000000"/>
                <w:sz w:val="18"/>
                <w:szCs w:val="18"/>
                <w:lang w:eastAsia="en-GB"/>
              </w:rPr>
              <w:t>ro forma (£m)</w:t>
            </w:r>
          </w:p>
        </w:tc>
        <w:tc>
          <w:tcPr>
            <w:tcW w:w="308" w:type="dxa"/>
            <w:tcBorders>
              <w:top w:val="nil"/>
              <w:left w:val="nil"/>
              <w:bottom w:val="nil"/>
              <w:right w:val="nil"/>
            </w:tcBorders>
            <w:shd w:val="clear" w:color="auto" w:fill="auto"/>
            <w:noWrap/>
            <w:vAlign w:val="center"/>
            <w:hideMark/>
          </w:tcPr>
          <w:p w14:paraId="2B282FB7" w14:textId="77777777" w:rsidR="00CF46E2" w:rsidRPr="00CF46E2" w:rsidRDefault="00CF46E2" w:rsidP="00CF46E2">
            <w:pPr>
              <w:jc w:val="center"/>
              <w:rPr>
                <w:rFonts w:ascii="Calibri" w:hAnsi="Calibri" w:cs="Calibri"/>
                <w:b/>
                <w:bCs/>
                <w:color w:val="000000"/>
                <w:sz w:val="18"/>
                <w:szCs w:val="18"/>
                <w:lang w:eastAsia="en-GB"/>
              </w:rPr>
            </w:pPr>
          </w:p>
        </w:tc>
        <w:tc>
          <w:tcPr>
            <w:tcW w:w="1020" w:type="dxa"/>
            <w:vMerge w:val="restart"/>
            <w:tcBorders>
              <w:top w:val="nil"/>
              <w:left w:val="nil"/>
              <w:bottom w:val="single" w:sz="4" w:space="0" w:color="000000"/>
              <w:right w:val="nil"/>
            </w:tcBorders>
            <w:shd w:val="clear" w:color="000000" w:fill="D6DCE4"/>
            <w:vAlign w:val="bottom"/>
            <w:hideMark/>
          </w:tcPr>
          <w:p w14:paraId="3FBB5294"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Legacy Flutter pro forma* (£m)</w:t>
            </w:r>
          </w:p>
        </w:tc>
        <w:tc>
          <w:tcPr>
            <w:tcW w:w="1020" w:type="dxa"/>
            <w:vMerge w:val="restart"/>
            <w:tcBorders>
              <w:top w:val="single" w:sz="8" w:space="0" w:color="auto"/>
              <w:left w:val="single" w:sz="8" w:space="0" w:color="auto"/>
              <w:bottom w:val="single" w:sz="4" w:space="0" w:color="000000"/>
              <w:right w:val="single" w:sz="8" w:space="0" w:color="auto"/>
            </w:tcBorders>
            <w:shd w:val="clear" w:color="000000" w:fill="ACB9CA"/>
            <w:vAlign w:val="bottom"/>
            <w:hideMark/>
          </w:tcPr>
          <w:p w14:paraId="105BBC1A"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Flutter pro forma (£m)</w:t>
            </w:r>
          </w:p>
        </w:tc>
      </w:tr>
      <w:tr w:rsidR="00CF46E2" w:rsidRPr="00CF46E2" w14:paraId="75ED232C" w14:textId="77777777" w:rsidTr="00CF46E2">
        <w:trPr>
          <w:trHeight w:val="241"/>
        </w:trPr>
        <w:tc>
          <w:tcPr>
            <w:tcW w:w="308" w:type="dxa"/>
            <w:tcBorders>
              <w:top w:val="nil"/>
              <w:left w:val="nil"/>
              <w:bottom w:val="nil"/>
              <w:right w:val="nil"/>
            </w:tcBorders>
            <w:shd w:val="clear" w:color="auto" w:fill="auto"/>
            <w:noWrap/>
            <w:vAlign w:val="center"/>
            <w:hideMark/>
          </w:tcPr>
          <w:p w14:paraId="405FD7F4" w14:textId="77777777" w:rsidR="00CF46E2" w:rsidRPr="00CF46E2" w:rsidRDefault="00CF46E2" w:rsidP="00CF46E2">
            <w:pPr>
              <w:jc w:val="center"/>
              <w:rPr>
                <w:rFonts w:ascii="Calibri" w:hAnsi="Calibri" w:cs="Calibri"/>
                <w:b/>
                <w:bCs/>
                <w:color w:val="000000"/>
                <w:sz w:val="18"/>
                <w:szCs w:val="18"/>
                <w:lang w:eastAsia="en-GB"/>
              </w:rPr>
            </w:pPr>
          </w:p>
        </w:tc>
        <w:tc>
          <w:tcPr>
            <w:tcW w:w="1848" w:type="dxa"/>
            <w:tcBorders>
              <w:top w:val="nil"/>
              <w:left w:val="nil"/>
              <w:bottom w:val="single" w:sz="4" w:space="0" w:color="auto"/>
              <w:right w:val="nil"/>
            </w:tcBorders>
            <w:shd w:val="clear" w:color="auto" w:fill="auto"/>
            <w:noWrap/>
            <w:vAlign w:val="bottom"/>
            <w:hideMark/>
          </w:tcPr>
          <w:p w14:paraId="37EC816F"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H1 2019</w:t>
            </w:r>
          </w:p>
        </w:tc>
        <w:tc>
          <w:tcPr>
            <w:tcW w:w="960" w:type="dxa"/>
            <w:vMerge/>
            <w:tcBorders>
              <w:top w:val="single" w:sz="8" w:space="0" w:color="auto"/>
              <w:left w:val="single" w:sz="8" w:space="0" w:color="auto"/>
              <w:bottom w:val="single" w:sz="4" w:space="0" w:color="000000"/>
              <w:right w:val="single" w:sz="8" w:space="0" w:color="auto"/>
            </w:tcBorders>
            <w:vAlign w:val="center"/>
            <w:hideMark/>
          </w:tcPr>
          <w:p w14:paraId="072E5858" w14:textId="77777777" w:rsidR="00CF46E2" w:rsidRPr="00CF46E2" w:rsidRDefault="00CF46E2" w:rsidP="00CF46E2">
            <w:pPr>
              <w:rPr>
                <w:rFonts w:ascii="Calibri" w:hAnsi="Calibri" w:cs="Calibri"/>
                <w:b/>
                <w:bCs/>
                <w:color w:val="000000"/>
                <w:sz w:val="18"/>
                <w:szCs w:val="18"/>
                <w:lang w:eastAsia="en-GB"/>
              </w:rPr>
            </w:pPr>
          </w:p>
        </w:tc>
        <w:tc>
          <w:tcPr>
            <w:tcW w:w="598" w:type="dxa"/>
            <w:tcBorders>
              <w:top w:val="nil"/>
              <w:left w:val="nil"/>
              <w:bottom w:val="single" w:sz="4" w:space="0" w:color="auto"/>
              <w:right w:val="nil"/>
            </w:tcBorders>
            <w:shd w:val="clear" w:color="auto" w:fill="auto"/>
            <w:noWrap/>
            <w:vAlign w:val="bottom"/>
            <w:hideMark/>
          </w:tcPr>
          <w:p w14:paraId="17FFD35B"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1</w:t>
            </w:r>
          </w:p>
        </w:tc>
        <w:tc>
          <w:tcPr>
            <w:tcW w:w="580" w:type="dxa"/>
            <w:tcBorders>
              <w:top w:val="nil"/>
              <w:left w:val="nil"/>
              <w:bottom w:val="single" w:sz="4" w:space="0" w:color="auto"/>
              <w:right w:val="nil"/>
            </w:tcBorders>
            <w:shd w:val="clear" w:color="auto" w:fill="auto"/>
            <w:noWrap/>
            <w:vAlign w:val="bottom"/>
            <w:hideMark/>
          </w:tcPr>
          <w:p w14:paraId="4C5C040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2</w:t>
            </w:r>
          </w:p>
        </w:tc>
        <w:tc>
          <w:tcPr>
            <w:tcW w:w="598" w:type="dxa"/>
            <w:tcBorders>
              <w:top w:val="nil"/>
              <w:left w:val="nil"/>
              <w:bottom w:val="single" w:sz="4" w:space="0" w:color="auto"/>
              <w:right w:val="nil"/>
            </w:tcBorders>
            <w:shd w:val="clear" w:color="auto" w:fill="auto"/>
            <w:noWrap/>
            <w:vAlign w:val="bottom"/>
            <w:hideMark/>
          </w:tcPr>
          <w:p w14:paraId="0114573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3</w:t>
            </w:r>
          </w:p>
        </w:tc>
        <w:tc>
          <w:tcPr>
            <w:tcW w:w="960" w:type="dxa"/>
            <w:vMerge/>
            <w:tcBorders>
              <w:top w:val="single" w:sz="8" w:space="0" w:color="auto"/>
              <w:left w:val="single" w:sz="8" w:space="0" w:color="auto"/>
              <w:bottom w:val="single" w:sz="4" w:space="0" w:color="000000"/>
              <w:right w:val="single" w:sz="8" w:space="0" w:color="auto"/>
            </w:tcBorders>
            <w:vAlign w:val="center"/>
            <w:hideMark/>
          </w:tcPr>
          <w:p w14:paraId="0461BEEF"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nil"/>
              <w:left w:val="nil"/>
              <w:bottom w:val="single" w:sz="4" w:space="0" w:color="000000"/>
              <w:right w:val="nil"/>
            </w:tcBorders>
            <w:vAlign w:val="center"/>
            <w:hideMark/>
          </w:tcPr>
          <w:p w14:paraId="34E678EB" w14:textId="77777777" w:rsidR="00CF46E2" w:rsidRPr="00CF46E2" w:rsidRDefault="00CF46E2" w:rsidP="00CF46E2">
            <w:pPr>
              <w:rPr>
                <w:rFonts w:ascii="Calibri" w:hAnsi="Calibri" w:cs="Calibri"/>
                <w:b/>
                <w:bCs/>
                <w:color w:val="000000"/>
                <w:sz w:val="18"/>
                <w:szCs w:val="18"/>
                <w:lang w:eastAsia="en-GB"/>
              </w:rPr>
            </w:pPr>
          </w:p>
        </w:tc>
        <w:tc>
          <w:tcPr>
            <w:tcW w:w="308" w:type="dxa"/>
            <w:tcBorders>
              <w:top w:val="nil"/>
              <w:left w:val="nil"/>
              <w:bottom w:val="nil"/>
              <w:right w:val="nil"/>
            </w:tcBorders>
            <w:shd w:val="clear" w:color="auto" w:fill="auto"/>
            <w:noWrap/>
            <w:vAlign w:val="center"/>
            <w:hideMark/>
          </w:tcPr>
          <w:p w14:paraId="08B9A726" w14:textId="77777777" w:rsidR="00CF46E2" w:rsidRPr="00CF46E2" w:rsidRDefault="00CF46E2" w:rsidP="00CF46E2">
            <w:pPr>
              <w:jc w:val="right"/>
              <w:rPr>
                <w:rFonts w:ascii="Calibri" w:hAnsi="Calibri" w:cs="Calibri"/>
                <w:b/>
                <w:bCs/>
                <w:color w:val="000000"/>
                <w:sz w:val="18"/>
                <w:szCs w:val="18"/>
                <w:lang w:eastAsia="en-GB"/>
              </w:rPr>
            </w:pPr>
          </w:p>
        </w:tc>
        <w:tc>
          <w:tcPr>
            <w:tcW w:w="1020" w:type="dxa"/>
            <w:vMerge/>
            <w:tcBorders>
              <w:top w:val="nil"/>
              <w:left w:val="nil"/>
              <w:bottom w:val="single" w:sz="4" w:space="0" w:color="000000"/>
              <w:right w:val="nil"/>
            </w:tcBorders>
            <w:vAlign w:val="center"/>
            <w:hideMark/>
          </w:tcPr>
          <w:p w14:paraId="554E13D7"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8" w:space="0" w:color="auto"/>
              <w:left w:val="single" w:sz="8" w:space="0" w:color="auto"/>
              <w:bottom w:val="single" w:sz="4" w:space="0" w:color="000000"/>
              <w:right w:val="single" w:sz="8" w:space="0" w:color="auto"/>
            </w:tcBorders>
            <w:vAlign w:val="center"/>
            <w:hideMark/>
          </w:tcPr>
          <w:p w14:paraId="2F5BF5B0" w14:textId="77777777" w:rsidR="00CF46E2" w:rsidRPr="00CF46E2" w:rsidRDefault="00CF46E2" w:rsidP="00CF46E2">
            <w:pPr>
              <w:rPr>
                <w:rFonts w:ascii="Calibri" w:hAnsi="Calibri" w:cs="Calibri"/>
                <w:b/>
                <w:bCs/>
                <w:color w:val="000000"/>
                <w:sz w:val="18"/>
                <w:szCs w:val="18"/>
                <w:lang w:eastAsia="en-GB"/>
              </w:rPr>
            </w:pPr>
          </w:p>
        </w:tc>
      </w:tr>
      <w:tr w:rsidR="00CF46E2" w:rsidRPr="00CF46E2" w14:paraId="32154CA5" w14:textId="77777777" w:rsidTr="00CF46E2">
        <w:trPr>
          <w:trHeight w:val="34"/>
        </w:trPr>
        <w:tc>
          <w:tcPr>
            <w:tcW w:w="308" w:type="dxa"/>
            <w:tcBorders>
              <w:top w:val="nil"/>
              <w:left w:val="nil"/>
              <w:bottom w:val="nil"/>
              <w:right w:val="nil"/>
            </w:tcBorders>
            <w:shd w:val="clear" w:color="auto" w:fill="auto"/>
            <w:noWrap/>
            <w:vAlign w:val="center"/>
            <w:hideMark/>
          </w:tcPr>
          <w:p w14:paraId="256B3EB4" w14:textId="77777777" w:rsidR="00CF46E2" w:rsidRPr="00CF46E2" w:rsidRDefault="00CF46E2" w:rsidP="00CF46E2">
            <w:pPr>
              <w:rPr>
                <w:rFonts w:ascii="Times New Roman" w:hAnsi="Times New Roman"/>
                <w:sz w:val="20"/>
                <w:lang w:eastAsia="en-GB"/>
              </w:rPr>
            </w:pPr>
          </w:p>
        </w:tc>
        <w:tc>
          <w:tcPr>
            <w:tcW w:w="1848" w:type="dxa"/>
            <w:tcBorders>
              <w:top w:val="nil"/>
              <w:left w:val="nil"/>
              <w:bottom w:val="nil"/>
              <w:right w:val="nil"/>
            </w:tcBorders>
            <w:shd w:val="clear" w:color="auto" w:fill="auto"/>
            <w:noWrap/>
            <w:vAlign w:val="bottom"/>
            <w:hideMark/>
          </w:tcPr>
          <w:p w14:paraId="1E5152A3"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bottom"/>
            <w:hideMark/>
          </w:tcPr>
          <w:p w14:paraId="30DC097D"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bottom"/>
            <w:hideMark/>
          </w:tcPr>
          <w:p w14:paraId="0464C4D3"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bottom"/>
            <w:hideMark/>
          </w:tcPr>
          <w:p w14:paraId="28DF7FE9"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bottom"/>
            <w:hideMark/>
          </w:tcPr>
          <w:p w14:paraId="213ADC65"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bottom"/>
            <w:hideMark/>
          </w:tcPr>
          <w:p w14:paraId="6A25E4DB"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bottom"/>
            <w:hideMark/>
          </w:tcPr>
          <w:p w14:paraId="4AC9A16A"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34424303"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bottom"/>
            <w:hideMark/>
          </w:tcPr>
          <w:p w14:paraId="6D11AC52"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bottom"/>
            <w:hideMark/>
          </w:tcPr>
          <w:p w14:paraId="5A0CA4A6"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35B521B0" w14:textId="77777777" w:rsidTr="00CF46E2">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62A35B2"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1848" w:type="dxa"/>
            <w:tcBorders>
              <w:top w:val="nil"/>
              <w:left w:val="nil"/>
              <w:bottom w:val="nil"/>
              <w:right w:val="nil"/>
            </w:tcBorders>
            <w:shd w:val="clear" w:color="auto" w:fill="auto"/>
            <w:noWrap/>
            <w:vAlign w:val="bottom"/>
            <w:hideMark/>
          </w:tcPr>
          <w:p w14:paraId="4C5AF31C"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582D6657"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single" w:sz="4" w:space="0" w:color="auto"/>
              <w:left w:val="nil"/>
              <w:bottom w:val="nil"/>
              <w:right w:val="nil"/>
            </w:tcBorders>
            <w:shd w:val="clear" w:color="auto" w:fill="auto"/>
            <w:noWrap/>
            <w:vAlign w:val="center"/>
            <w:hideMark/>
          </w:tcPr>
          <w:p w14:paraId="60BC0A65"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80" w:type="dxa"/>
            <w:tcBorders>
              <w:top w:val="single" w:sz="4" w:space="0" w:color="auto"/>
              <w:left w:val="nil"/>
              <w:bottom w:val="nil"/>
              <w:right w:val="nil"/>
            </w:tcBorders>
            <w:shd w:val="clear" w:color="auto" w:fill="auto"/>
            <w:noWrap/>
            <w:vAlign w:val="center"/>
            <w:hideMark/>
          </w:tcPr>
          <w:p w14:paraId="28E7A906"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single" w:sz="4" w:space="0" w:color="auto"/>
              <w:left w:val="nil"/>
              <w:bottom w:val="nil"/>
              <w:right w:val="nil"/>
            </w:tcBorders>
            <w:shd w:val="clear" w:color="auto" w:fill="auto"/>
            <w:noWrap/>
            <w:vAlign w:val="center"/>
            <w:hideMark/>
          </w:tcPr>
          <w:p w14:paraId="5A4C06F9"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31B45659"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1020" w:type="dxa"/>
            <w:vMerge w:val="restart"/>
            <w:tcBorders>
              <w:top w:val="single" w:sz="4" w:space="0" w:color="auto"/>
              <w:left w:val="nil"/>
              <w:bottom w:val="single" w:sz="4" w:space="0" w:color="000000"/>
              <w:right w:val="nil"/>
            </w:tcBorders>
            <w:shd w:val="clear" w:color="000000" w:fill="D6DCE4"/>
            <w:noWrap/>
            <w:vAlign w:val="center"/>
            <w:hideMark/>
          </w:tcPr>
          <w:p w14:paraId="6E6170A4"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N/A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B2B3B64"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PPB*</w:t>
            </w:r>
          </w:p>
        </w:tc>
        <w:tc>
          <w:tcPr>
            <w:tcW w:w="1020" w:type="dxa"/>
            <w:tcBorders>
              <w:top w:val="nil"/>
              <w:left w:val="nil"/>
              <w:bottom w:val="nil"/>
              <w:right w:val="nil"/>
            </w:tcBorders>
            <w:shd w:val="clear" w:color="000000" w:fill="D6DCE4"/>
            <w:noWrap/>
            <w:vAlign w:val="center"/>
            <w:hideMark/>
          </w:tcPr>
          <w:p w14:paraId="34922FE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658 </w:t>
            </w:r>
          </w:p>
        </w:tc>
        <w:tc>
          <w:tcPr>
            <w:tcW w:w="1020" w:type="dxa"/>
            <w:tcBorders>
              <w:top w:val="nil"/>
              <w:left w:val="single" w:sz="8" w:space="0" w:color="auto"/>
              <w:bottom w:val="nil"/>
              <w:right w:val="single" w:sz="8" w:space="0" w:color="auto"/>
            </w:tcBorders>
            <w:shd w:val="clear" w:color="000000" w:fill="ACB9CA"/>
            <w:noWrap/>
            <w:vAlign w:val="center"/>
            <w:hideMark/>
          </w:tcPr>
          <w:p w14:paraId="6743F905"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658 </w:t>
            </w:r>
          </w:p>
        </w:tc>
      </w:tr>
      <w:tr w:rsidR="00CF46E2" w:rsidRPr="00CF46E2" w14:paraId="189CD418"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00DA33DC"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4E042702"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10595863"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4EA0990B" w14:textId="77777777" w:rsidR="00CF46E2" w:rsidRPr="00CF46E2" w:rsidRDefault="00CF46E2" w:rsidP="00CF46E2">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021C14FD" w14:textId="77777777" w:rsidR="00CF46E2" w:rsidRPr="00CF46E2" w:rsidRDefault="00CF46E2" w:rsidP="00CF46E2">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0A5DE729"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4F79BAAE"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1020" w:type="dxa"/>
            <w:vMerge/>
            <w:tcBorders>
              <w:top w:val="single" w:sz="4" w:space="0" w:color="auto"/>
              <w:left w:val="nil"/>
              <w:bottom w:val="single" w:sz="4" w:space="0" w:color="000000"/>
              <w:right w:val="nil"/>
            </w:tcBorders>
            <w:vAlign w:val="center"/>
            <w:hideMark/>
          </w:tcPr>
          <w:p w14:paraId="0BFB8B2F" w14:textId="77777777" w:rsidR="00CF46E2" w:rsidRPr="00CF46E2" w:rsidRDefault="00CF46E2" w:rsidP="00CF46E2">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C17366E"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3190082F"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(175) </w:t>
            </w:r>
          </w:p>
        </w:tc>
        <w:tc>
          <w:tcPr>
            <w:tcW w:w="1020" w:type="dxa"/>
            <w:tcBorders>
              <w:top w:val="nil"/>
              <w:left w:val="single" w:sz="8" w:space="0" w:color="auto"/>
              <w:bottom w:val="nil"/>
              <w:right w:val="single" w:sz="8" w:space="0" w:color="auto"/>
            </w:tcBorders>
            <w:shd w:val="clear" w:color="000000" w:fill="ACB9CA"/>
            <w:noWrap/>
            <w:vAlign w:val="center"/>
            <w:hideMark/>
          </w:tcPr>
          <w:p w14:paraId="7D96ADF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(175) </w:t>
            </w:r>
          </w:p>
        </w:tc>
      </w:tr>
      <w:tr w:rsidR="00CF46E2" w:rsidRPr="00CF46E2" w14:paraId="49655065"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53815DD5"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24F9884D"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tcBorders>
              <w:top w:val="nil"/>
              <w:left w:val="single" w:sz="8" w:space="0" w:color="auto"/>
              <w:bottom w:val="nil"/>
              <w:right w:val="single" w:sz="8" w:space="0" w:color="auto"/>
            </w:tcBorders>
            <w:shd w:val="clear" w:color="auto" w:fill="auto"/>
            <w:noWrap/>
            <w:vAlign w:val="center"/>
            <w:hideMark/>
          </w:tcPr>
          <w:p w14:paraId="13EEB63C"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47D1E17B" w14:textId="77777777" w:rsidR="00CF46E2" w:rsidRPr="00CF46E2" w:rsidRDefault="00CF46E2" w:rsidP="00CF46E2">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59C402AD" w14:textId="77777777" w:rsidR="00CF46E2" w:rsidRPr="00CF46E2" w:rsidRDefault="00CF46E2" w:rsidP="00CF46E2">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4FA77C44"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6757193D"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1020" w:type="dxa"/>
            <w:vMerge/>
            <w:tcBorders>
              <w:top w:val="single" w:sz="4" w:space="0" w:color="auto"/>
              <w:left w:val="nil"/>
              <w:bottom w:val="single" w:sz="4" w:space="0" w:color="000000"/>
              <w:right w:val="nil"/>
            </w:tcBorders>
            <w:vAlign w:val="center"/>
            <w:hideMark/>
          </w:tcPr>
          <w:p w14:paraId="13701F84" w14:textId="77777777" w:rsidR="00CF46E2" w:rsidRPr="00CF46E2" w:rsidRDefault="00CF46E2" w:rsidP="00CF46E2">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F75C313"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73C98B9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483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15FDEC7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483 </w:t>
            </w:r>
          </w:p>
        </w:tc>
      </w:tr>
      <w:tr w:rsidR="00CF46E2" w:rsidRPr="00CF46E2" w14:paraId="0A13D74F"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4ECA1140"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904A6EE"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0284DAC5"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3DC97708" w14:textId="77777777" w:rsidR="00CF46E2" w:rsidRPr="00CF46E2" w:rsidRDefault="00CF46E2" w:rsidP="00CF46E2">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74E841FA" w14:textId="77777777" w:rsidR="00CF46E2" w:rsidRPr="00CF46E2" w:rsidRDefault="00CF46E2" w:rsidP="00CF46E2">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0D37FD06"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7F2838E"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1020" w:type="dxa"/>
            <w:vMerge/>
            <w:tcBorders>
              <w:top w:val="single" w:sz="4" w:space="0" w:color="auto"/>
              <w:left w:val="nil"/>
              <w:bottom w:val="single" w:sz="4" w:space="0" w:color="000000"/>
              <w:right w:val="nil"/>
            </w:tcBorders>
            <w:vAlign w:val="center"/>
            <w:hideMark/>
          </w:tcPr>
          <w:p w14:paraId="6DADB726" w14:textId="77777777" w:rsidR="00CF46E2" w:rsidRPr="00CF46E2" w:rsidRDefault="00CF46E2" w:rsidP="00CF46E2">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3C582178"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1C08CB6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(303) </w:t>
            </w:r>
          </w:p>
        </w:tc>
        <w:tc>
          <w:tcPr>
            <w:tcW w:w="1020" w:type="dxa"/>
            <w:tcBorders>
              <w:top w:val="nil"/>
              <w:left w:val="single" w:sz="8" w:space="0" w:color="auto"/>
              <w:bottom w:val="nil"/>
              <w:right w:val="single" w:sz="8" w:space="0" w:color="auto"/>
            </w:tcBorders>
            <w:shd w:val="clear" w:color="000000" w:fill="ACB9CA"/>
            <w:noWrap/>
            <w:vAlign w:val="center"/>
            <w:hideMark/>
          </w:tcPr>
          <w:p w14:paraId="186F8A2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(303) </w:t>
            </w:r>
          </w:p>
        </w:tc>
      </w:tr>
      <w:tr w:rsidR="00CF46E2" w:rsidRPr="00CF46E2" w14:paraId="1101C1EE"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36379CB6"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0E83AFA3"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6CF5B88F"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nil"/>
              <w:left w:val="nil"/>
              <w:bottom w:val="single" w:sz="4" w:space="0" w:color="auto"/>
              <w:right w:val="nil"/>
            </w:tcBorders>
            <w:shd w:val="clear" w:color="auto" w:fill="auto"/>
            <w:noWrap/>
            <w:vAlign w:val="center"/>
            <w:hideMark/>
          </w:tcPr>
          <w:p w14:paraId="29B63691"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80" w:type="dxa"/>
            <w:tcBorders>
              <w:top w:val="nil"/>
              <w:left w:val="nil"/>
              <w:bottom w:val="single" w:sz="4" w:space="0" w:color="auto"/>
              <w:right w:val="nil"/>
            </w:tcBorders>
            <w:shd w:val="clear" w:color="auto" w:fill="auto"/>
            <w:noWrap/>
            <w:vAlign w:val="center"/>
            <w:hideMark/>
          </w:tcPr>
          <w:p w14:paraId="4E5832D0"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598" w:type="dxa"/>
            <w:tcBorders>
              <w:top w:val="nil"/>
              <w:left w:val="nil"/>
              <w:bottom w:val="single" w:sz="4" w:space="0" w:color="auto"/>
              <w:right w:val="nil"/>
            </w:tcBorders>
            <w:shd w:val="clear" w:color="auto" w:fill="auto"/>
            <w:noWrap/>
            <w:vAlign w:val="center"/>
            <w:hideMark/>
          </w:tcPr>
          <w:p w14:paraId="28A2431C"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73F55213"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p>
        </w:tc>
        <w:tc>
          <w:tcPr>
            <w:tcW w:w="1020" w:type="dxa"/>
            <w:vMerge/>
            <w:tcBorders>
              <w:top w:val="single" w:sz="4" w:space="0" w:color="auto"/>
              <w:left w:val="nil"/>
              <w:bottom w:val="single" w:sz="4" w:space="0" w:color="000000"/>
              <w:right w:val="nil"/>
            </w:tcBorders>
            <w:vAlign w:val="center"/>
            <w:hideMark/>
          </w:tcPr>
          <w:p w14:paraId="255A98FE" w14:textId="77777777" w:rsidR="00CF46E2" w:rsidRPr="00CF46E2" w:rsidRDefault="00CF46E2" w:rsidP="00CF46E2">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1FAC05F1"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256CB4D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179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566237C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179 </w:t>
            </w:r>
          </w:p>
        </w:tc>
      </w:tr>
      <w:tr w:rsidR="00CF46E2" w:rsidRPr="00CF46E2" w14:paraId="2F67F631" w14:textId="77777777" w:rsidTr="00CF46E2">
        <w:trPr>
          <w:trHeight w:val="81"/>
        </w:trPr>
        <w:tc>
          <w:tcPr>
            <w:tcW w:w="308" w:type="dxa"/>
            <w:tcBorders>
              <w:top w:val="nil"/>
              <w:left w:val="nil"/>
              <w:bottom w:val="nil"/>
              <w:right w:val="nil"/>
            </w:tcBorders>
            <w:shd w:val="clear" w:color="auto" w:fill="auto"/>
            <w:noWrap/>
            <w:vAlign w:val="center"/>
            <w:hideMark/>
          </w:tcPr>
          <w:p w14:paraId="0B7980A2" w14:textId="77777777" w:rsidR="00CF46E2" w:rsidRPr="00CF46E2" w:rsidRDefault="00CF46E2" w:rsidP="00CF46E2">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4F489108"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DF0B301"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060FF1B4"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2CB82CAE"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3096E215"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76C156C"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center"/>
            <w:hideMark/>
          </w:tcPr>
          <w:p w14:paraId="787EA93F"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2E2FCE00"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7AFE9011"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2E9D39D"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587C57DC" w14:textId="77777777" w:rsidTr="00CF46E2">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25C8C91"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UK</w:t>
            </w:r>
          </w:p>
        </w:tc>
        <w:tc>
          <w:tcPr>
            <w:tcW w:w="1848" w:type="dxa"/>
            <w:tcBorders>
              <w:top w:val="nil"/>
              <w:left w:val="nil"/>
              <w:bottom w:val="nil"/>
              <w:right w:val="nil"/>
            </w:tcBorders>
            <w:shd w:val="clear" w:color="auto" w:fill="auto"/>
            <w:noWrap/>
            <w:vAlign w:val="bottom"/>
            <w:hideMark/>
          </w:tcPr>
          <w:p w14:paraId="73897D8D"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7CA2731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432 </w:t>
            </w:r>
          </w:p>
        </w:tc>
        <w:tc>
          <w:tcPr>
            <w:tcW w:w="598" w:type="dxa"/>
            <w:tcBorders>
              <w:top w:val="nil"/>
              <w:left w:val="nil"/>
              <w:bottom w:val="nil"/>
              <w:right w:val="nil"/>
            </w:tcBorders>
            <w:shd w:val="clear" w:color="auto" w:fill="auto"/>
            <w:noWrap/>
            <w:vAlign w:val="center"/>
            <w:hideMark/>
          </w:tcPr>
          <w:p w14:paraId="7F27517C" w14:textId="77777777" w:rsidR="00CF46E2" w:rsidRPr="00CF46E2" w:rsidRDefault="00B16C7A" w:rsidP="00CF46E2">
            <w:pPr>
              <w:jc w:val="right"/>
              <w:rPr>
                <w:rFonts w:ascii="Calibri" w:hAnsi="Calibri" w:cs="Calibri"/>
                <w:b/>
                <w:bCs/>
                <w:color w:val="000000"/>
                <w:sz w:val="18"/>
                <w:szCs w:val="18"/>
                <w:lang w:eastAsia="en-GB"/>
              </w:rPr>
            </w:pPr>
            <w:r>
              <w:rPr>
                <w:rFonts w:ascii="Calibri" w:hAnsi="Calibri" w:cs="Calibri"/>
                <w:b/>
                <w:bCs/>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226E118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(4) </w:t>
            </w:r>
          </w:p>
        </w:tc>
        <w:tc>
          <w:tcPr>
            <w:tcW w:w="598" w:type="dxa"/>
            <w:tcBorders>
              <w:top w:val="nil"/>
              <w:left w:val="nil"/>
              <w:bottom w:val="nil"/>
              <w:right w:val="nil"/>
            </w:tcBorders>
            <w:shd w:val="clear" w:color="auto" w:fill="auto"/>
            <w:noWrap/>
            <w:vAlign w:val="center"/>
            <w:hideMark/>
          </w:tcPr>
          <w:p w14:paraId="73A3889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63BCD2B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428 </w:t>
            </w:r>
          </w:p>
        </w:tc>
        <w:tc>
          <w:tcPr>
            <w:tcW w:w="1020" w:type="dxa"/>
            <w:tcBorders>
              <w:top w:val="nil"/>
              <w:left w:val="nil"/>
              <w:bottom w:val="nil"/>
              <w:right w:val="nil"/>
            </w:tcBorders>
            <w:shd w:val="clear" w:color="000000" w:fill="D6DCE4"/>
            <w:noWrap/>
            <w:vAlign w:val="center"/>
            <w:hideMark/>
          </w:tcPr>
          <w:p w14:paraId="5DEB9A4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331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289942B"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SBG</w:t>
            </w:r>
          </w:p>
        </w:tc>
        <w:tc>
          <w:tcPr>
            <w:tcW w:w="1020" w:type="dxa"/>
            <w:vMerge w:val="restart"/>
            <w:tcBorders>
              <w:top w:val="single" w:sz="4" w:space="0" w:color="auto"/>
              <w:left w:val="single" w:sz="4" w:space="0" w:color="auto"/>
              <w:bottom w:val="single" w:sz="4" w:space="0" w:color="000000"/>
              <w:right w:val="nil"/>
            </w:tcBorders>
            <w:shd w:val="clear" w:color="000000" w:fill="D6DCE4"/>
            <w:noWrap/>
            <w:vAlign w:val="center"/>
            <w:hideMark/>
          </w:tcPr>
          <w:p w14:paraId="63060651"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N/A </w:t>
            </w:r>
          </w:p>
        </w:tc>
        <w:tc>
          <w:tcPr>
            <w:tcW w:w="1020" w:type="dxa"/>
            <w:tcBorders>
              <w:top w:val="nil"/>
              <w:left w:val="single" w:sz="8" w:space="0" w:color="auto"/>
              <w:bottom w:val="nil"/>
              <w:right w:val="single" w:sz="8" w:space="0" w:color="auto"/>
            </w:tcBorders>
            <w:shd w:val="clear" w:color="000000" w:fill="ACB9CA"/>
            <w:noWrap/>
            <w:vAlign w:val="center"/>
            <w:hideMark/>
          </w:tcPr>
          <w:p w14:paraId="792D435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331 </w:t>
            </w:r>
          </w:p>
        </w:tc>
      </w:tr>
      <w:tr w:rsidR="00CF46E2" w:rsidRPr="00CF46E2" w14:paraId="377A50D3"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3543803E"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99BA4E2"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6311748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(133) </w:t>
            </w:r>
          </w:p>
        </w:tc>
        <w:tc>
          <w:tcPr>
            <w:tcW w:w="598" w:type="dxa"/>
            <w:tcBorders>
              <w:top w:val="nil"/>
              <w:left w:val="nil"/>
              <w:bottom w:val="nil"/>
              <w:right w:val="nil"/>
            </w:tcBorders>
            <w:shd w:val="clear" w:color="auto" w:fill="auto"/>
            <w:noWrap/>
            <w:vAlign w:val="center"/>
            <w:hideMark/>
          </w:tcPr>
          <w:p w14:paraId="2FB12834" w14:textId="77777777" w:rsidR="00CF46E2" w:rsidRPr="00CF46E2" w:rsidRDefault="00B16C7A" w:rsidP="00CF46E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3A602AB5"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15 </w:t>
            </w:r>
          </w:p>
        </w:tc>
        <w:tc>
          <w:tcPr>
            <w:tcW w:w="598" w:type="dxa"/>
            <w:tcBorders>
              <w:top w:val="nil"/>
              <w:left w:val="nil"/>
              <w:bottom w:val="nil"/>
              <w:right w:val="nil"/>
            </w:tcBorders>
            <w:shd w:val="clear" w:color="auto" w:fill="auto"/>
            <w:noWrap/>
            <w:vAlign w:val="center"/>
            <w:hideMark/>
          </w:tcPr>
          <w:p w14:paraId="1653371A"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11758FA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(118) </w:t>
            </w:r>
          </w:p>
        </w:tc>
        <w:tc>
          <w:tcPr>
            <w:tcW w:w="1020" w:type="dxa"/>
            <w:tcBorders>
              <w:top w:val="nil"/>
              <w:left w:val="nil"/>
              <w:bottom w:val="nil"/>
              <w:right w:val="nil"/>
            </w:tcBorders>
            <w:shd w:val="clear" w:color="000000" w:fill="D6DCE4"/>
            <w:noWrap/>
            <w:vAlign w:val="center"/>
            <w:hideMark/>
          </w:tcPr>
          <w:p w14:paraId="6614BDC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(91)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4C15967"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488FA3A7"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49861256"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(91) </w:t>
            </w:r>
          </w:p>
        </w:tc>
      </w:tr>
      <w:tr w:rsidR="00CF46E2" w:rsidRPr="00CF46E2" w14:paraId="5C3C0611"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A7B717C"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1CBDA327"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3228C15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299 </w:t>
            </w:r>
          </w:p>
        </w:tc>
        <w:tc>
          <w:tcPr>
            <w:tcW w:w="598" w:type="dxa"/>
            <w:tcBorders>
              <w:top w:val="single" w:sz="4" w:space="0" w:color="auto"/>
              <w:left w:val="nil"/>
              <w:bottom w:val="nil"/>
              <w:right w:val="nil"/>
            </w:tcBorders>
            <w:shd w:val="clear" w:color="auto" w:fill="auto"/>
            <w:noWrap/>
            <w:vAlign w:val="center"/>
            <w:hideMark/>
          </w:tcPr>
          <w:p w14:paraId="608F27C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nil"/>
              <w:right w:val="nil"/>
            </w:tcBorders>
            <w:shd w:val="clear" w:color="auto" w:fill="auto"/>
            <w:noWrap/>
            <w:vAlign w:val="center"/>
            <w:hideMark/>
          </w:tcPr>
          <w:p w14:paraId="6EF7294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11 </w:t>
            </w:r>
          </w:p>
        </w:tc>
        <w:tc>
          <w:tcPr>
            <w:tcW w:w="598" w:type="dxa"/>
            <w:tcBorders>
              <w:top w:val="single" w:sz="4" w:space="0" w:color="auto"/>
              <w:left w:val="nil"/>
              <w:bottom w:val="nil"/>
              <w:right w:val="nil"/>
            </w:tcBorders>
            <w:shd w:val="clear" w:color="auto" w:fill="auto"/>
            <w:noWrap/>
            <w:vAlign w:val="center"/>
            <w:hideMark/>
          </w:tcPr>
          <w:p w14:paraId="1AF79D6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285D4D35"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310 </w:t>
            </w:r>
          </w:p>
        </w:tc>
        <w:tc>
          <w:tcPr>
            <w:tcW w:w="1020" w:type="dxa"/>
            <w:tcBorders>
              <w:top w:val="single" w:sz="4" w:space="0" w:color="auto"/>
              <w:left w:val="nil"/>
              <w:bottom w:val="nil"/>
              <w:right w:val="nil"/>
            </w:tcBorders>
            <w:shd w:val="clear" w:color="000000" w:fill="D6DCE4"/>
            <w:noWrap/>
            <w:vAlign w:val="center"/>
            <w:hideMark/>
          </w:tcPr>
          <w:p w14:paraId="1E67C23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240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D92C1A1"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521AE473"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6CBAFAF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240 </w:t>
            </w:r>
          </w:p>
        </w:tc>
      </w:tr>
      <w:tr w:rsidR="00CF46E2" w:rsidRPr="00CF46E2" w14:paraId="46CAE95A"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05C196B7"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6EBFAA77"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49FB9C1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(156) </w:t>
            </w:r>
          </w:p>
        </w:tc>
        <w:tc>
          <w:tcPr>
            <w:tcW w:w="598" w:type="dxa"/>
            <w:tcBorders>
              <w:top w:val="nil"/>
              <w:left w:val="nil"/>
              <w:bottom w:val="nil"/>
              <w:right w:val="nil"/>
            </w:tcBorders>
            <w:shd w:val="clear" w:color="auto" w:fill="auto"/>
            <w:noWrap/>
            <w:vAlign w:val="center"/>
            <w:hideMark/>
          </w:tcPr>
          <w:p w14:paraId="549F870D" w14:textId="77777777" w:rsidR="00CF46E2" w:rsidRPr="00CF46E2" w:rsidRDefault="00B16C7A" w:rsidP="00CF46E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070CEB1F"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(11) </w:t>
            </w:r>
          </w:p>
        </w:tc>
        <w:tc>
          <w:tcPr>
            <w:tcW w:w="598" w:type="dxa"/>
            <w:tcBorders>
              <w:top w:val="nil"/>
              <w:left w:val="nil"/>
              <w:bottom w:val="nil"/>
              <w:right w:val="nil"/>
            </w:tcBorders>
            <w:shd w:val="clear" w:color="auto" w:fill="auto"/>
            <w:noWrap/>
            <w:vAlign w:val="center"/>
            <w:hideMark/>
          </w:tcPr>
          <w:p w14:paraId="15A4BF3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 </w:t>
            </w:r>
          </w:p>
        </w:tc>
        <w:tc>
          <w:tcPr>
            <w:tcW w:w="960" w:type="dxa"/>
            <w:tcBorders>
              <w:top w:val="nil"/>
              <w:left w:val="single" w:sz="8" w:space="0" w:color="auto"/>
              <w:bottom w:val="nil"/>
              <w:right w:val="single" w:sz="8" w:space="0" w:color="auto"/>
            </w:tcBorders>
            <w:shd w:val="clear" w:color="auto" w:fill="auto"/>
            <w:noWrap/>
            <w:vAlign w:val="center"/>
            <w:hideMark/>
          </w:tcPr>
          <w:p w14:paraId="6C491266"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(168) </w:t>
            </w:r>
          </w:p>
        </w:tc>
        <w:tc>
          <w:tcPr>
            <w:tcW w:w="1020" w:type="dxa"/>
            <w:tcBorders>
              <w:top w:val="nil"/>
              <w:left w:val="nil"/>
              <w:bottom w:val="nil"/>
              <w:right w:val="nil"/>
            </w:tcBorders>
            <w:shd w:val="clear" w:color="000000" w:fill="D6DCE4"/>
            <w:noWrap/>
            <w:vAlign w:val="center"/>
            <w:hideMark/>
          </w:tcPr>
          <w:p w14:paraId="4A53B656"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(129)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886CEA6"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36B25BC5"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73776782"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(129) </w:t>
            </w:r>
          </w:p>
        </w:tc>
      </w:tr>
      <w:tr w:rsidR="00CF46E2" w:rsidRPr="00CF46E2" w14:paraId="1EF9CDF4"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7166F6BC"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161490B9"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E00B79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143 </w:t>
            </w:r>
          </w:p>
        </w:tc>
        <w:tc>
          <w:tcPr>
            <w:tcW w:w="598" w:type="dxa"/>
            <w:tcBorders>
              <w:top w:val="single" w:sz="4" w:space="0" w:color="auto"/>
              <w:left w:val="nil"/>
              <w:bottom w:val="single" w:sz="4" w:space="0" w:color="auto"/>
              <w:right w:val="nil"/>
            </w:tcBorders>
            <w:shd w:val="clear" w:color="auto" w:fill="auto"/>
            <w:noWrap/>
            <w:vAlign w:val="center"/>
            <w:hideMark/>
          </w:tcPr>
          <w:p w14:paraId="6C8FE00A"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single" w:sz="4" w:space="0" w:color="auto"/>
              <w:right w:val="nil"/>
            </w:tcBorders>
            <w:shd w:val="clear" w:color="auto" w:fill="auto"/>
            <w:noWrap/>
            <w:vAlign w:val="center"/>
            <w:hideMark/>
          </w:tcPr>
          <w:p w14:paraId="6692C4B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2791554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D826D5A"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142 </w:t>
            </w:r>
          </w:p>
        </w:tc>
        <w:tc>
          <w:tcPr>
            <w:tcW w:w="1020" w:type="dxa"/>
            <w:tcBorders>
              <w:top w:val="single" w:sz="4" w:space="0" w:color="auto"/>
              <w:left w:val="nil"/>
              <w:bottom w:val="single" w:sz="4" w:space="0" w:color="auto"/>
              <w:right w:val="nil"/>
            </w:tcBorders>
            <w:shd w:val="clear" w:color="000000" w:fill="D6DCE4"/>
            <w:noWrap/>
            <w:vAlign w:val="center"/>
            <w:hideMark/>
          </w:tcPr>
          <w:p w14:paraId="5FA9CB4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111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FE7EB0A"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4F30915C"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15454F2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111 </w:t>
            </w:r>
          </w:p>
        </w:tc>
      </w:tr>
      <w:tr w:rsidR="00CF46E2" w:rsidRPr="00CF46E2" w14:paraId="586C44DF" w14:textId="77777777" w:rsidTr="00CF46E2">
        <w:trPr>
          <w:trHeight w:val="81"/>
        </w:trPr>
        <w:tc>
          <w:tcPr>
            <w:tcW w:w="308" w:type="dxa"/>
            <w:tcBorders>
              <w:top w:val="nil"/>
              <w:left w:val="nil"/>
              <w:bottom w:val="nil"/>
              <w:right w:val="nil"/>
            </w:tcBorders>
            <w:shd w:val="clear" w:color="auto" w:fill="auto"/>
            <w:noWrap/>
            <w:vAlign w:val="center"/>
            <w:hideMark/>
          </w:tcPr>
          <w:p w14:paraId="705ED41E" w14:textId="77777777" w:rsidR="00CF46E2" w:rsidRPr="00CF46E2" w:rsidRDefault="00CF46E2" w:rsidP="00CF46E2">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00FC71DF"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6FA92BEF"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48076B4F"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5FAC81E6"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78004A57"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E30DA20"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center"/>
            <w:hideMark/>
          </w:tcPr>
          <w:p w14:paraId="732CD477"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19DFC714"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38E508D5"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4590A08E"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7247949D" w14:textId="77777777" w:rsidTr="00CF46E2">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C9AFE52" w14:textId="77777777" w:rsidR="00CF46E2" w:rsidRPr="00CF46E2" w:rsidRDefault="00CF46E2" w:rsidP="00CF46E2">
            <w:pPr>
              <w:jc w:val="center"/>
              <w:rPr>
                <w:rFonts w:ascii="Calibri" w:hAnsi="Calibri" w:cs="Calibri"/>
                <w:b/>
                <w:bCs/>
                <w:color w:val="000000"/>
                <w:sz w:val="16"/>
                <w:szCs w:val="16"/>
                <w:lang w:eastAsia="en-GB"/>
              </w:rPr>
            </w:pPr>
            <w:r w:rsidRPr="00CF46E2">
              <w:rPr>
                <w:rFonts w:ascii="Calibri" w:hAnsi="Calibri" w:cs="Calibri"/>
                <w:b/>
                <w:bCs/>
                <w:color w:val="000000"/>
                <w:sz w:val="16"/>
                <w:szCs w:val="16"/>
                <w:lang w:eastAsia="en-GB"/>
              </w:rPr>
              <w:t>INTERNATIONAL</w:t>
            </w:r>
          </w:p>
        </w:tc>
        <w:tc>
          <w:tcPr>
            <w:tcW w:w="1848" w:type="dxa"/>
            <w:tcBorders>
              <w:top w:val="nil"/>
              <w:left w:val="nil"/>
              <w:bottom w:val="nil"/>
              <w:right w:val="nil"/>
            </w:tcBorders>
            <w:shd w:val="clear" w:color="auto" w:fill="auto"/>
            <w:noWrap/>
            <w:vAlign w:val="bottom"/>
            <w:hideMark/>
          </w:tcPr>
          <w:p w14:paraId="711B6B6C"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43F5140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662 </w:t>
            </w:r>
          </w:p>
        </w:tc>
        <w:tc>
          <w:tcPr>
            <w:tcW w:w="598" w:type="dxa"/>
            <w:tcBorders>
              <w:top w:val="nil"/>
              <w:left w:val="nil"/>
              <w:bottom w:val="nil"/>
              <w:right w:val="nil"/>
            </w:tcBorders>
            <w:shd w:val="clear" w:color="auto" w:fill="auto"/>
            <w:noWrap/>
            <w:vAlign w:val="center"/>
            <w:hideMark/>
          </w:tcPr>
          <w:p w14:paraId="2C0F46D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(4) </w:t>
            </w:r>
          </w:p>
        </w:tc>
        <w:tc>
          <w:tcPr>
            <w:tcW w:w="580" w:type="dxa"/>
            <w:tcBorders>
              <w:top w:val="nil"/>
              <w:left w:val="nil"/>
              <w:bottom w:val="nil"/>
              <w:right w:val="nil"/>
            </w:tcBorders>
            <w:shd w:val="clear" w:color="auto" w:fill="auto"/>
            <w:noWrap/>
            <w:vAlign w:val="center"/>
            <w:hideMark/>
          </w:tcPr>
          <w:p w14:paraId="611C585A"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177656C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31EBE13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659 </w:t>
            </w:r>
          </w:p>
        </w:tc>
        <w:tc>
          <w:tcPr>
            <w:tcW w:w="1020" w:type="dxa"/>
            <w:tcBorders>
              <w:top w:val="nil"/>
              <w:left w:val="nil"/>
              <w:bottom w:val="nil"/>
              <w:right w:val="nil"/>
            </w:tcBorders>
            <w:shd w:val="clear" w:color="000000" w:fill="D6DCE4"/>
            <w:noWrap/>
            <w:vAlign w:val="center"/>
            <w:hideMark/>
          </w:tcPr>
          <w:p w14:paraId="412BDB6A"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509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A8D4294"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POKERSTARS</w:t>
            </w:r>
          </w:p>
        </w:tc>
        <w:tc>
          <w:tcPr>
            <w:tcW w:w="1020" w:type="dxa"/>
            <w:vMerge w:val="restart"/>
            <w:tcBorders>
              <w:top w:val="single" w:sz="4" w:space="0" w:color="auto"/>
              <w:left w:val="single" w:sz="4" w:space="0" w:color="auto"/>
              <w:bottom w:val="single" w:sz="4" w:space="0" w:color="000000"/>
              <w:right w:val="nil"/>
            </w:tcBorders>
            <w:shd w:val="clear" w:color="000000" w:fill="D6DCE4"/>
            <w:noWrap/>
            <w:vAlign w:val="center"/>
            <w:hideMark/>
          </w:tcPr>
          <w:p w14:paraId="28401623"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N/A </w:t>
            </w:r>
          </w:p>
        </w:tc>
        <w:tc>
          <w:tcPr>
            <w:tcW w:w="1020" w:type="dxa"/>
            <w:tcBorders>
              <w:top w:val="nil"/>
              <w:left w:val="single" w:sz="8" w:space="0" w:color="auto"/>
              <w:bottom w:val="nil"/>
              <w:right w:val="single" w:sz="8" w:space="0" w:color="auto"/>
            </w:tcBorders>
            <w:shd w:val="clear" w:color="000000" w:fill="ACB9CA"/>
            <w:noWrap/>
            <w:vAlign w:val="center"/>
            <w:hideMark/>
          </w:tcPr>
          <w:p w14:paraId="3D9E058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509 </w:t>
            </w:r>
          </w:p>
        </w:tc>
      </w:tr>
      <w:tr w:rsidR="00CF46E2" w:rsidRPr="00CF46E2" w14:paraId="7198C534"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3F1D3330" w14:textId="77777777" w:rsidR="00CF46E2" w:rsidRPr="00CF46E2" w:rsidRDefault="00CF46E2" w:rsidP="00CF46E2">
            <w:pPr>
              <w:rPr>
                <w:rFonts w:ascii="Calibri" w:hAnsi="Calibri" w:cs="Calibri"/>
                <w:b/>
                <w:bCs/>
                <w:color w:val="000000"/>
                <w:sz w:val="16"/>
                <w:szCs w:val="16"/>
                <w:lang w:eastAsia="en-GB"/>
              </w:rPr>
            </w:pPr>
          </w:p>
        </w:tc>
        <w:tc>
          <w:tcPr>
            <w:tcW w:w="1848" w:type="dxa"/>
            <w:tcBorders>
              <w:top w:val="nil"/>
              <w:left w:val="nil"/>
              <w:bottom w:val="nil"/>
              <w:right w:val="nil"/>
            </w:tcBorders>
            <w:shd w:val="clear" w:color="auto" w:fill="auto"/>
            <w:noWrap/>
            <w:vAlign w:val="bottom"/>
            <w:hideMark/>
          </w:tcPr>
          <w:p w14:paraId="5E417E7E"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119EA19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(153) </w:t>
            </w:r>
          </w:p>
        </w:tc>
        <w:tc>
          <w:tcPr>
            <w:tcW w:w="598" w:type="dxa"/>
            <w:tcBorders>
              <w:top w:val="nil"/>
              <w:left w:val="nil"/>
              <w:bottom w:val="nil"/>
              <w:right w:val="nil"/>
            </w:tcBorders>
            <w:shd w:val="clear" w:color="auto" w:fill="auto"/>
            <w:noWrap/>
            <w:vAlign w:val="center"/>
            <w:hideMark/>
          </w:tcPr>
          <w:p w14:paraId="0DAA9E7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3 </w:t>
            </w:r>
          </w:p>
        </w:tc>
        <w:tc>
          <w:tcPr>
            <w:tcW w:w="580" w:type="dxa"/>
            <w:tcBorders>
              <w:top w:val="nil"/>
              <w:left w:val="nil"/>
              <w:bottom w:val="nil"/>
              <w:right w:val="nil"/>
            </w:tcBorders>
            <w:shd w:val="clear" w:color="auto" w:fill="auto"/>
            <w:noWrap/>
            <w:vAlign w:val="center"/>
            <w:hideMark/>
          </w:tcPr>
          <w:p w14:paraId="658ED97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3 </w:t>
            </w:r>
          </w:p>
        </w:tc>
        <w:tc>
          <w:tcPr>
            <w:tcW w:w="598" w:type="dxa"/>
            <w:tcBorders>
              <w:top w:val="nil"/>
              <w:left w:val="nil"/>
              <w:bottom w:val="nil"/>
              <w:right w:val="nil"/>
            </w:tcBorders>
            <w:shd w:val="clear" w:color="auto" w:fill="auto"/>
            <w:noWrap/>
            <w:vAlign w:val="center"/>
            <w:hideMark/>
          </w:tcPr>
          <w:p w14:paraId="3439324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1149857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(147) </w:t>
            </w:r>
          </w:p>
        </w:tc>
        <w:tc>
          <w:tcPr>
            <w:tcW w:w="1020" w:type="dxa"/>
            <w:tcBorders>
              <w:top w:val="nil"/>
              <w:left w:val="nil"/>
              <w:bottom w:val="nil"/>
              <w:right w:val="nil"/>
            </w:tcBorders>
            <w:shd w:val="clear" w:color="000000" w:fill="D6DCE4"/>
            <w:noWrap/>
            <w:vAlign w:val="center"/>
            <w:hideMark/>
          </w:tcPr>
          <w:p w14:paraId="4C90D86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(114)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6BCAC287"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5C95B073"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759F0BE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(114) </w:t>
            </w:r>
          </w:p>
        </w:tc>
      </w:tr>
      <w:tr w:rsidR="00CF46E2" w:rsidRPr="00CF46E2" w14:paraId="3ECA2745"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0CD25AE6" w14:textId="77777777" w:rsidR="00CF46E2" w:rsidRPr="00CF46E2" w:rsidRDefault="00CF46E2" w:rsidP="00CF46E2">
            <w:pPr>
              <w:rPr>
                <w:rFonts w:ascii="Calibri" w:hAnsi="Calibri" w:cs="Calibri"/>
                <w:b/>
                <w:bCs/>
                <w:color w:val="000000"/>
                <w:sz w:val="16"/>
                <w:szCs w:val="16"/>
                <w:lang w:eastAsia="en-GB"/>
              </w:rPr>
            </w:pPr>
          </w:p>
        </w:tc>
        <w:tc>
          <w:tcPr>
            <w:tcW w:w="1848" w:type="dxa"/>
            <w:tcBorders>
              <w:top w:val="single" w:sz="4" w:space="0" w:color="auto"/>
              <w:left w:val="nil"/>
              <w:bottom w:val="nil"/>
              <w:right w:val="nil"/>
            </w:tcBorders>
            <w:shd w:val="clear" w:color="auto" w:fill="auto"/>
            <w:noWrap/>
            <w:vAlign w:val="bottom"/>
            <w:hideMark/>
          </w:tcPr>
          <w:p w14:paraId="7CF5D888"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7E80D55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509 </w:t>
            </w:r>
          </w:p>
        </w:tc>
        <w:tc>
          <w:tcPr>
            <w:tcW w:w="598" w:type="dxa"/>
            <w:tcBorders>
              <w:top w:val="single" w:sz="4" w:space="0" w:color="auto"/>
              <w:left w:val="nil"/>
              <w:bottom w:val="nil"/>
              <w:right w:val="nil"/>
            </w:tcBorders>
            <w:shd w:val="clear" w:color="auto" w:fill="auto"/>
            <w:noWrap/>
            <w:vAlign w:val="center"/>
            <w:hideMark/>
          </w:tcPr>
          <w:p w14:paraId="2F852ED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 </w:t>
            </w:r>
          </w:p>
        </w:tc>
        <w:tc>
          <w:tcPr>
            <w:tcW w:w="580" w:type="dxa"/>
            <w:tcBorders>
              <w:top w:val="single" w:sz="4" w:space="0" w:color="auto"/>
              <w:left w:val="nil"/>
              <w:bottom w:val="nil"/>
              <w:right w:val="nil"/>
            </w:tcBorders>
            <w:shd w:val="clear" w:color="auto" w:fill="auto"/>
            <w:noWrap/>
            <w:vAlign w:val="center"/>
            <w:hideMark/>
          </w:tcPr>
          <w:p w14:paraId="2363C06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 </w:t>
            </w:r>
          </w:p>
        </w:tc>
        <w:tc>
          <w:tcPr>
            <w:tcW w:w="598" w:type="dxa"/>
            <w:tcBorders>
              <w:top w:val="single" w:sz="4" w:space="0" w:color="auto"/>
              <w:left w:val="nil"/>
              <w:bottom w:val="nil"/>
              <w:right w:val="nil"/>
            </w:tcBorders>
            <w:shd w:val="clear" w:color="auto" w:fill="auto"/>
            <w:noWrap/>
            <w:vAlign w:val="center"/>
            <w:hideMark/>
          </w:tcPr>
          <w:p w14:paraId="44D933B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5BA2D15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512 </w:t>
            </w:r>
          </w:p>
        </w:tc>
        <w:tc>
          <w:tcPr>
            <w:tcW w:w="1020" w:type="dxa"/>
            <w:tcBorders>
              <w:top w:val="single" w:sz="4" w:space="0" w:color="auto"/>
              <w:left w:val="nil"/>
              <w:bottom w:val="nil"/>
              <w:right w:val="nil"/>
            </w:tcBorders>
            <w:shd w:val="clear" w:color="000000" w:fill="D6DCE4"/>
            <w:noWrap/>
            <w:vAlign w:val="center"/>
            <w:hideMark/>
          </w:tcPr>
          <w:p w14:paraId="104513B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395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5119CDC"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4FBB6DCD"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64702F0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395 </w:t>
            </w:r>
          </w:p>
        </w:tc>
      </w:tr>
      <w:tr w:rsidR="00CF46E2" w:rsidRPr="00CF46E2" w14:paraId="20B52AA7"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C514D38" w14:textId="77777777" w:rsidR="00CF46E2" w:rsidRPr="00CF46E2" w:rsidRDefault="00CF46E2" w:rsidP="00CF46E2">
            <w:pPr>
              <w:rPr>
                <w:rFonts w:ascii="Calibri" w:hAnsi="Calibri" w:cs="Calibri"/>
                <w:b/>
                <w:bCs/>
                <w:color w:val="000000"/>
                <w:sz w:val="16"/>
                <w:szCs w:val="16"/>
                <w:lang w:eastAsia="en-GB"/>
              </w:rPr>
            </w:pPr>
          </w:p>
        </w:tc>
        <w:tc>
          <w:tcPr>
            <w:tcW w:w="1848" w:type="dxa"/>
            <w:tcBorders>
              <w:top w:val="nil"/>
              <w:left w:val="nil"/>
              <w:bottom w:val="nil"/>
              <w:right w:val="nil"/>
            </w:tcBorders>
            <w:shd w:val="clear" w:color="auto" w:fill="auto"/>
            <w:noWrap/>
            <w:vAlign w:val="bottom"/>
            <w:hideMark/>
          </w:tcPr>
          <w:p w14:paraId="060C3E4E"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1EBEEB9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(207) </w:t>
            </w:r>
          </w:p>
        </w:tc>
        <w:tc>
          <w:tcPr>
            <w:tcW w:w="598" w:type="dxa"/>
            <w:tcBorders>
              <w:top w:val="nil"/>
              <w:left w:val="nil"/>
              <w:bottom w:val="nil"/>
              <w:right w:val="nil"/>
            </w:tcBorders>
            <w:shd w:val="clear" w:color="auto" w:fill="auto"/>
            <w:noWrap/>
            <w:vAlign w:val="center"/>
            <w:hideMark/>
          </w:tcPr>
          <w:p w14:paraId="1D619F22"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8 </w:t>
            </w:r>
          </w:p>
        </w:tc>
        <w:tc>
          <w:tcPr>
            <w:tcW w:w="580" w:type="dxa"/>
            <w:tcBorders>
              <w:top w:val="nil"/>
              <w:left w:val="nil"/>
              <w:bottom w:val="nil"/>
              <w:right w:val="nil"/>
            </w:tcBorders>
            <w:shd w:val="clear" w:color="auto" w:fill="auto"/>
            <w:noWrap/>
            <w:vAlign w:val="center"/>
            <w:hideMark/>
          </w:tcPr>
          <w:p w14:paraId="45229E9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 </w:t>
            </w:r>
          </w:p>
        </w:tc>
        <w:tc>
          <w:tcPr>
            <w:tcW w:w="598" w:type="dxa"/>
            <w:tcBorders>
              <w:top w:val="nil"/>
              <w:left w:val="nil"/>
              <w:bottom w:val="nil"/>
              <w:right w:val="nil"/>
            </w:tcBorders>
            <w:shd w:val="clear" w:color="auto" w:fill="auto"/>
            <w:noWrap/>
            <w:vAlign w:val="center"/>
            <w:hideMark/>
          </w:tcPr>
          <w:p w14:paraId="5C29D18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 </w:t>
            </w:r>
          </w:p>
        </w:tc>
        <w:tc>
          <w:tcPr>
            <w:tcW w:w="960" w:type="dxa"/>
            <w:tcBorders>
              <w:top w:val="nil"/>
              <w:left w:val="single" w:sz="8" w:space="0" w:color="auto"/>
              <w:bottom w:val="nil"/>
              <w:right w:val="single" w:sz="8" w:space="0" w:color="auto"/>
            </w:tcBorders>
            <w:shd w:val="clear" w:color="auto" w:fill="auto"/>
            <w:noWrap/>
            <w:vAlign w:val="center"/>
            <w:hideMark/>
          </w:tcPr>
          <w:p w14:paraId="4B58125E"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(204) </w:t>
            </w:r>
          </w:p>
        </w:tc>
        <w:tc>
          <w:tcPr>
            <w:tcW w:w="1020" w:type="dxa"/>
            <w:tcBorders>
              <w:top w:val="nil"/>
              <w:left w:val="nil"/>
              <w:bottom w:val="nil"/>
              <w:right w:val="nil"/>
            </w:tcBorders>
            <w:shd w:val="clear" w:color="000000" w:fill="D6DCE4"/>
            <w:noWrap/>
            <w:vAlign w:val="center"/>
            <w:hideMark/>
          </w:tcPr>
          <w:p w14:paraId="0CC5705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(158)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D72E145"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0B38C1A0"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1B68DB6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(158) </w:t>
            </w:r>
          </w:p>
        </w:tc>
      </w:tr>
      <w:tr w:rsidR="00CF46E2" w:rsidRPr="00CF46E2" w14:paraId="6F17C20C"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131F94B" w14:textId="77777777" w:rsidR="00CF46E2" w:rsidRPr="00CF46E2" w:rsidRDefault="00CF46E2" w:rsidP="00CF46E2">
            <w:pPr>
              <w:rPr>
                <w:rFonts w:ascii="Calibri" w:hAnsi="Calibri" w:cs="Calibri"/>
                <w:b/>
                <w:bCs/>
                <w:color w:val="000000"/>
                <w:sz w:val="16"/>
                <w:szCs w:val="16"/>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5535AE07"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7621F15"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303 </w:t>
            </w:r>
          </w:p>
        </w:tc>
        <w:tc>
          <w:tcPr>
            <w:tcW w:w="598" w:type="dxa"/>
            <w:tcBorders>
              <w:top w:val="single" w:sz="4" w:space="0" w:color="auto"/>
              <w:left w:val="nil"/>
              <w:bottom w:val="single" w:sz="4" w:space="0" w:color="auto"/>
              <w:right w:val="nil"/>
            </w:tcBorders>
            <w:shd w:val="clear" w:color="auto" w:fill="auto"/>
            <w:noWrap/>
            <w:vAlign w:val="center"/>
            <w:hideMark/>
          </w:tcPr>
          <w:p w14:paraId="5A4F289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8 </w:t>
            </w:r>
          </w:p>
        </w:tc>
        <w:tc>
          <w:tcPr>
            <w:tcW w:w="580" w:type="dxa"/>
            <w:tcBorders>
              <w:top w:val="single" w:sz="4" w:space="0" w:color="auto"/>
              <w:left w:val="nil"/>
              <w:bottom w:val="single" w:sz="4" w:space="0" w:color="auto"/>
              <w:right w:val="nil"/>
            </w:tcBorders>
            <w:shd w:val="clear" w:color="auto" w:fill="auto"/>
            <w:noWrap/>
            <w:vAlign w:val="center"/>
            <w:hideMark/>
          </w:tcPr>
          <w:p w14:paraId="29D613E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14C5A0D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(3)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CB731F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307 </w:t>
            </w:r>
          </w:p>
        </w:tc>
        <w:tc>
          <w:tcPr>
            <w:tcW w:w="1020" w:type="dxa"/>
            <w:tcBorders>
              <w:top w:val="single" w:sz="4" w:space="0" w:color="auto"/>
              <w:left w:val="nil"/>
              <w:bottom w:val="single" w:sz="4" w:space="0" w:color="auto"/>
              <w:right w:val="nil"/>
            </w:tcBorders>
            <w:shd w:val="clear" w:color="000000" w:fill="D6DCE4"/>
            <w:noWrap/>
            <w:vAlign w:val="center"/>
            <w:hideMark/>
          </w:tcPr>
          <w:p w14:paraId="1B059C5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237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14C7387" w14:textId="77777777" w:rsidR="00CF46E2" w:rsidRPr="00CF46E2" w:rsidRDefault="00CF46E2" w:rsidP="00CF46E2">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2CF8D06B"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6060728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237 </w:t>
            </w:r>
          </w:p>
        </w:tc>
      </w:tr>
      <w:tr w:rsidR="00CF46E2" w:rsidRPr="00CF46E2" w14:paraId="4FB5528E" w14:textId="77777777" w:rsidTr="00CF46E2">
        <w:trPr>
          <w:trHeight w:val="81"/>
        </w:trPr>
        <w:tc>
          <w:tcPr>
            <w:tcW w:w="308" w:type="dxa"/>
            <w:tcBorders>
              <w:top w:val="nil"/>
              <w:left w:val="nil"/>
              <w:bottom w:val="nil"/>
              <w:right w:val="nil"/>
            </w:tcBorders>
            <w:shd w:val="clear" w:color="auto" w:fill="auto"/>
            <w:noWrap/>
            <w:vAlign w:val="center"/>
            <w:hideMark/>
          </w:tcPr>
          <w:p w14:paraId="7D7C27FD" w14:textId="77777777" w:rsidR="00CF46E2" w:rsidRPr="00CF46E2" w:rsidRDefault="00CF46E2" w:rsidP="00CF46E2">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1F1708D4"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51BA607E"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76149371"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0E6955CF"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7A0D8E22"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7512A76F"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center"/>
            <w:hideMark/>
          </w:tcPr>
          <w:p w14:paraId="67AE3B8B"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222F24D5"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05A4B0FC"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A267077"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16A9FF9A" w14:textId="77777777" w:rsidTr="00CF46E2">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A2CFCCE"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AUSTRALIA</w:t>
            </w:r>
          </w:p>
        </w:tc>
        <w:tc>
          <w:tcPr>
            <w:tcW w:w="1848" w:type="dxa"/>
            <w:tcBorders>
              <w:top w:val="nil"/>
              <w:left w:val="nil"/>
              <w:bottom w:val="nil"/>
              <w:right w:val="nil"/>
            </w:tcBorders>
            <w:shd w:val="clear" w:color="auto" w:fill="auto"/>
            <w:noWrap/>
            <w:vAlign w:val="bottom"/>
            <w:hideMark/>
          </w:tcPr>
          <w:p w14:paraId="2AEB6844"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240BD53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126 </w:t>
            </w:r>
          </w:p>
        </w:tc>
        <w:tc>
          <w:tcPr>
            <w:tcW w:w="598" w:type="dxa"/>
            <w:tcBorders>
              <w:top w:val="nil"/>
              <w:left w:val="nil"/>
              <w:bottom w:val="nil"/>
              <w:right w:val="nil"/>
            </w:tcBorders>
            <w:shd w:val="clear" w:color="auto" w:fill="auto"/>
            <w:noWrap/>
            <w:vAlign w:val="center"/>
            <w:hideMark/>
          </w:tcPr>
          <w:p w14:paraId="75006B82" w14:textId="77777777" w:rsidR="00CF46E2" w:rsidRPr="00CF46E2" w:rsidRDefault="00B16C7A" w:rsidP="00CF46E2">
            <w:pPr>
              <w:jc w:val="right"/>
              <w:rPr>
                <w:rFonts w:ascii="Calibri" w:hAnsi="Calibri" w:cs="Calibri"/>
                <w:b/>
                <w:bCs/>
                <w:color w:val="000000"/>
                <w:sz w:val="18"/>
                <w:szCs w:val="18"/>
                <w:lang w:eastAsia="en-GB"/>
              </w:rPr>
            </w:pPr>
            <w:r>
              <w:rPr>
                <w:rFonts w:ascii="Calibri" w:hAnsi="Calibri" w:cs="Calibri"/>
                <w:b/>
                <w:bCs/>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2C295F1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12 </w:t>
            </w:r>
          </w:p>
        </w:tc>
        <w:tc>
          <w:tcPr>
            <w:tcW w:w="598" w:type="dxa"/>
            <w:tcBorders>
              <w:top w:val="nil"/>
              <w:left w:val="nil"/>
              <w:bottom w:val="nil"/>
              <w:right w:val="nil"/>
            </w:tcBorders>
            <w:shd w:val="clear" w:color="auto" w:fill="auto"/>
            <w:noWrap/>
            <w:vAlign w:val="center"/>
            <w:hideMark/>
          </w:tcPr>
          <w:p w14:paraId="4A3137B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5D324855"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138 </w:t>
            </w:r>
          </w:p>
        </w:tc>
        <w:tc>
          <w:tcPr>
            <w:tcW w:w="1020" w:type="dxa"/>
            <w:tcBorders>
              <w:top w:val="nil"/>
              <w:left w:val="nil"/>
              <w:bottom w:val="nil"/>
              <w:right w:val="nil"/>
            </w:tcBorders>
            <w:shd w:val="clear" w:color="000000" w:fill="D6DCE4"/>
            <w:noWrap/>
            <w:vAlign w:val="center"/>
            <w:hideMark/>
          </w:tcPr>
          <w:p w14:paraId="6D0DC635"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107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479DD95"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AUSTRALIA</w:t>
            </w:r>
          </w:p>
        </w:tc>
        <w:tc>
          <w:tcPr>
            <w:tcW w:w="1020" w:type="dxa"/>
            <w:tcBorders>
              <w:top w:val="nil"/>
              <w:left w:val="nil"/>
              <w:bottom w:val="nil"/>
              <w:right w:val="nil"/>
            </w:tcBorders>
            <w:shd w:val="clear" w:color="000000" w:fill="D6DCE4"/>
            <w:noWrap/>
            <w:vAlign w:val="center"/>
            <w:hideMark/>
          </w:tcPr>
          <w:p w14:paraId="1236809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207 </w:t>
            </w:r>
          </w:p>
        </w:tc>
        <w:tc>
          <w:tcPr>
            <w:tcW w:w="1020" w:type="dxa"/>
            <w:tcBorders>
              <w:top w:val="nil"/>
              <w:left w:val="single" w:sz="8" w:space="0" w:color="auto"/>
              <w:bottom w:val="nil"/>
              <w:right w:val="single" w:sz="8" w:space="0" w:color="auto"/>
            </w:tcBorders>
            <w:shd w:val="clear" w:color="000000" w:fill="ACB9CA"/>
            <w:noWrap/>
            <w:vAlign w:val="center"/>
            <w:hideMark/>
          </w:tcPr>
          <w:p w14:paraId="4FEEC93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314 </w:t>
            </w:r>
          </w:p>
        </w:tc>
      </w:tr>
      <w:tr w:rsidR="00CF46E2" w:rsidRPr="00CF46E2" w14:paraId="2F1E2565"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2BF6867"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414E666"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40D7ACA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(51) </w:t>
            </w:r>
          </w:p>
        </w:tc>
        <w:tc>
          <w:tcPr>
            <w:tcW w:w="598" w:type="dxa"/>
            <w:tcBorders>
              <w:top w:val="nil"/>
              <w:left w:val="nil"/>
              <w:bottom w:val="nil"/>
              <w:right w:val="nil"/>
            </w:tcBorders>
            <w:shd w:val="clear" w:color="auto" w:fill="auto"/>
            <w:noWrap/>
            <w:vAlign w:val="center"/>
            <w:hideMark/>
          </w:tcPr>
          <w:p w14:paraId="2D063A3C" w14:textId="77777777" w:rsidR="00CF46E2" w:rsidRPr="00CF46E2" w:rsidRDefault="00B16C7A" w:rsidP="00CF46E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62F4EDE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(22) </w:t>
            </w:r>
          </w:p>
        </w:tc>
        <w:tc>
          <w:tcPr>
            <w:tcW w:w="598" w:type="dxa"/>
            <w:tcBorders>
              <w:top w:val="nil"/>
              <w:left w:val="nil"/>
              <w:bottom w:val="nil"/>
              <w:right w:val="nil"/>
            </w:tcBorders>
            <w:shd w:val="clear" w:color="auto" w:fill="auto"/>
            <w:noWrap/>
            <w:vAlign w:val="center"/>
            <w:hideMark/>
          </w:tcPr>
          <w:p w14:paraId="6957BC8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65E7E89F"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(73) </w:t>
            </w:r>
          </w:p>
        </w:tc>
        <w:tc>
          <w:tcPr>
            <w:tcW w:w="1020" w:type="dxa"/>
            <w:tcBorders>
              <w:top w:val="nil"/>
              <w:left w:val="nil"/>
              <w:bottom w:val="nil"/>
              <w:right w:val="nil"/>
            </w:tcBorders>
            <w:shd w:val="clear" w:color="000000" w:fill="D6DCE4"/>
            <w:noWrap/>
            <w:vAlign w:val="center"/>
            <w:hideMark/>
          </w:tcPr>
          <w:p w14:paraId="0CD3FF5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(56)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3BF795CE"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243ADA9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(83) </w:t>
            </w:r>
          </w:p>
        </w:tc>
        <w:tc>
          <w:tcPr>
            <w:tcW w:w="1020" w:type="dxa"/>
            <w:tcBorders>
              <w:top w:val="nil"/>
              <w:left w:val="single" w:sz="8" w:space="0" w:color="auto"/>
              <w:bottom w:val="nil"/>
              <w:right w:val="single" w:sz="8" w:space="0" w:color="auto"/>
            </w:tcBorders>
            <w:shd w:val="clear" w:color="000000" w:fill="ACB9CA"/>
            <w:noWrap/>
            <w:vAlign w:val="center"/>
            <w:hideMark/>
          </w:tcPr>
          <w:p w14:paraId="00E011F9"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(140) </w:t>
            </w:r>
          </w:p>
        </w:tc>
      </w:tr>
      <w:tr w:rsidR="00CF46E2" w:rsidRPr="00CF46E2" w14:paraId="66068414"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328D666A"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759EC3DD"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66CCE53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76 </w:t>
            </w:r>
          </w:p>
        </w:tc>
        <w:tc>
          <w:tcPr>
            <w:tcW w:w="598" w:type="dxa"/>
            <w:tcBorders>
              <w:top w:val="single" w:sz="4" w:space="0" w:color="auto"/>
              <w:left w:val="nil"/>
              <w:bottom w:val="nil"/>
              <w:right w:val="nil"/>
            </w:tcBorders>
            <w:shd w:val="clear" w:color="auto" w:fill="auto"/>
            <w:noWrap/>
            <w:vAlign w:val="center"/>
            <w:hideMark/>
          </w:tcPr>
          <w:p w14:paraId="5D815A3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nil"/>
              <w:right w:val="nil"/>
            </w:tcBorders>
            <w:shd w:val="clear" w:color="auto" w:fill="auto"/>
            <w:noWrap/>
            <w:vAlign w:val="center"/>
            <w:hideMark/>
          </w:tcPr>
          <w:p w14:paraId="46700DB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(10) </w:t>
            </w:r>
          </w:p>
        </w:tc>
        <w:tc>
          <w:tcPr>
            <w:tcW w:w="598" w:type="dxa"/>
            <w:tcBorders>
              <w:top w:val="single" w:sz="4" w:space="0" w:color="auto"/>
              <w:left w:val="nil"/>
              <w:bottom w:val="nil"/>
              <w:right w:val="nil"/>
            </w:tcBorders>
            <w:shd w:val="clear" w:color="auto" w:fill="auto"/>
            <w:noWrap/>
            <w:vAlign w:val="center"/>
            <w:hideMark/>
          </w:tcPr>
          <w:p w14:paraId="53CBBFE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4A8D321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65 </w:t>
            </w:r>
          </w:p>
        </w:tc>
        <w:tc>
          <w:tcPr>
            <w:tcW w:w="1020" w:type="dxa"/>
            <w:tcBorders>
              <w:top w:val="single" w:sz="4" w:space="0" w:color="auto"/>
              <w:left w:val="nil"/>
              <w:bottom w:val="nil"/>
              <w:right w:val="nil"/>
            </w:tcBorders>
            <w:shd w:val="clear" w:color="000000" w:fill="D6DCE4"/>
            <w:noWrap/>
            <w:vAlign w:val="center"/>
            <w:hideMark/>
          </w:tcPr>
          <w:p w14:paraId="25C7994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54F714F"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03BAD8F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124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3222398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174 </w:t>
            </w:r>
          </w:p>
        </w:tc>
      </w:tr>
      <w:tr w:rsidR="00CF46E2" w:rsidRPr="00CF46E2" w14:paraId="29F3E4DB"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2305D367"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18BCB9E"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5B0F44E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(60) </w:t>
            </w:r>
          </w:p>
        </w:tc>
        <w:tc>
          <w:tcPr>
            <w:tcW w:w="598" w:type="dxa"/>
            <w:tcBorders>
              <w:top w:val="nil"/>
              <w:left w:val="nil"/>
              <w:bottom w:val="nil"/>
              <w:right w:val="nil"/>
            </w:tcBorders>
            <w:shd w:val="clear" w:color="auto" w:fill="auto"/>
            <w:noWrap/>
            <w:vAlign w:val="center"/>
            <w:hideMark/>
          </w:tcPr>
          <w:p w14:paraId="73D2A628" w14:textId="77777777" w:rsidR="00CF46E2" w:rsidRPr="00CF46E2" w:rsidRDefault="00B16C7A" w:rsidP="00CF46E2">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733D49B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10 </w:t>
            </w:r>
          </w:p>
        </w:tc>
        <w:tc>
          <w:tcPr>
            <w:tcW w:w="598" w:type="dxa"/>
            <w:tcBorders>
              <w:top w:val="nil"/>
              <w:left w:val="nil"/>
              <w:bottom w:val="nil"/>
              <w:right w:val="nil"/>
            </w:tcBorders>
            <w:shd w:val="clear" w:color="auto" w:fill="auto"/>
            <w:noWrap/>
            <w:vAlign w:val="center"/>
            <w:hideMark/>
          </w:tcPr>
          <w:p w14:paraId="11429F3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 </w:t>
            </w:r>
          </w:p>
        </w:tc>
        <w:tc>
          <w:tcPr>
            <w:tcW w:w="960" w:type="dxa"/>
            <w:tcBorders>
              <w:top w:val="nil"/>
              <w:left w:val="single" w:sz="8" w:space="0" w:color="auto"/>
              <w:bottom w:val="nil"/>
              <w:right w:val="single" w:sz="8" w:space="0" w:color="auto"/>
            </w:tcBorders>
            <w:shd w:val="clear" w:color="auto" w:fill="auto"/>
            <w:noWrap/>
            <w:vAlign w:val="center"/>
            <w:hideMark/>
          </w:tcPr>
          <w:p w14:paraId="43E2ECC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(52) </w:t>
            </w:r>
          </w:p>
        </w:tc>
        <w:tc>
          <w:tcPr>
            <w:tcW w:w="1020" w:type="dxa"/>
            <w:tcBorders>
              <w:top w:val="nil"/>
              <w:left w:val="nil"/>
              <w:bottom w:val="nil"/>
              <w:right w:val="nil"/>
            </w:tcBorders>
            <w:shd w:val="clear" w:color="000000" w:fill="D6DCE4"/>
            <w:noWrap/>
            <w:vAlign w:val="center"/>
            <w:hideMark/>
          </w:tcPr>
          <w:p w14:paraId="73A35CEB"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5D30AB84"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2F30C271"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(65) </w:t>
            </w:r>
          </w:p>
        </w:tc>
        <w:tc>
          <w:tcPr>
            <w:tcW w:w="1020" w:type="dxa"/>
            <w:tcBorders>
              <w:top w:val="nil"/>
              <w:left w:val="single" w:sz="8" w:space="0" w:color="auto"/>
              <w:bottom w:val="nil"/>
              <w:right w:val="single" w:sz="8" w:space="0" w:color="auto"/>
            </w:tcBorders>
            <w:shd w:val="clear" w:color="000000" w:fill="ACB9CA"/>
            <w:noWrap/>
            <w:vAlign w:val="center"/>
            <w:hideMark/>
          </w:tcPr>
          <w:p w14:paraId="7CA03A92"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(105) </w:t>
            </w:r>
          </w:p>
        </w:tc>
      </w:tr>
      <w:tr w:rsidR="00CF46E2" w:rsidRPr="00CF46E2" w14:paraId="73DD7521"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0C9F7C1B"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5D68C36A"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71DAEC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16 </w:t>
            </w:r>
          </w:p>
        </w:tc>
        <w:tc>
          <w:tcPr>
            <w:tcW w:w="598" w:type="dxa"/>
            <w:tcBorders>
              <w:top w:val="single" w:sz="4" w:space="0" w:color="auto"/>
              <w:left w:val="nil"/>
              <w:bottom w:val="single" w:sz="4" w:space="0" w:color="auto"/>
              <w:right w:val="nil"/>
            </w:tcBorders>
            <w:shd w:val="clear" w:color="auto" w:fill="auto"/>
            <w:noWrap/>
            <w:vAlign w:val="center"/>
            <w:hideMark/>
          </w:tcPr>
          <w:p w14:paraId="68C69FAB"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single" w:sz="4" w:space="0" w:color="auto"/>
              <w:right w:val="nil"/>
            </w:tcBorders>
            <w:shd w:val="clear" w:color="auto" w:fill="auto"/>
            <w:noWrap/>
            <w:vAlign w:val="center"/>
            <w:hideMark/>
          </w:tcPr>
          <w:p w14:paraId="26E856B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3A544E8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(2)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F56526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13 </w:t>
            </w:r>
          </w:p>
        </w:tc>
        <w:tc>
          <w:tcPr>
            <w:tcW w:w="1020" w:type="dxa"/>
            <w:tcBorders>
              <w:top w:val="single" w:sz="4" w:space="0" w:color="auto"/>
              <w:left w:val="nil"/>
              <w:bottom w:val="single" w:sz="4" w:space="0" w:color="auto"/>
              <w:right w:val="nil"/>
            </w:tcBorders>
            <w:shd w:val="clear" w:color="000000" w:fill="D6DCE4"/>
            <w:noWrap/>
            <w:vAlign w:val="center"/>
            <w:hideMark/>
          </w:tcPr>
          <w:p w14:paraId="3DA4622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66567477"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1DBEF49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58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41B9116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69 </w:t>
            </w:r>
          </w:p>
        </w:tc>
      </w:tr>
      <w:tr w:rsidR="00CF46E2" w:rsidRPr="00CF46E2" w14:paraId="66D2DC8A" w14:textId="77777777" w:rsidTr="00CF46E2">
        <w:trPr>
          <w:trHeight w:val="81"/>
        </w:trPr>
        <w:tc>
          <w:tcPr>
            <w:tcW w:w="308" w:type="dxa"/>
            <w:tcBorders>
              <w:top w:val="nil"/>
              <w:left w:val="nil"/>
              <w:bottom w:val="nil"/>
              <w:right w:val="nil"/>
            </w:tcBorders>
            <w:shd w:val="clear" w:color="auto" w:fill="auto"/>
            <w:noWrap/>
            <w:vAlign w:val="center"/>
            <w:hideMark/>
          </w:tcPr>
          <w:p w14:paraId="11E37597" w14:textId="77777777" w:rsidR="00CF46E2" w:rsidRPr="00CF46E2" w:rsidRDefault="00CF46E2" w:rsidP="00CF46E2">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E22EC68"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7CD447B7"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76D033EF"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2C654CCA"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453FA9B0"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65DA9A4"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center"/>
            <w:hideMark/>
          </w:tcPr>
          <w:p w14:paraId="4241D736"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72EA1C43"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1A4B3AE4"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531EFCBE"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46375F20" w14:textId="77777777" w:rsidTr="00CF46E2">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26379F7"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US</w:t>
            </w:r>
          </w:p>
        </w:tc>
        <w:tc>
          <w:tcPr>
            <w:tcW w:w="1848" w:type="dxa"/>
            <w:tcBorders>
              <w:top w:val="nil"/>
              <w:left w:val="nil"/>
              <w:bottom w:val="nil"/>
              <w:right w:val="nil"/>
            </w:tcBorders>
            <w:shd w:val="clear" w:color="auto" w:fill="auto"/>
            <w:noWrap/>
            <w:vAlign w:val="bottom"/>
            <w:hideMark/>
          </w:tcPr>
          <w:p w14:paraId="7D4ADEC8"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vMerge w:val="restart"/>
            <w:tcBorders>
              <w:top w:val="single" w:sz="4" w:space="0" w:color="auto"/>
              <w:left w:val="single" w:sz="8" w:space="0" w:color="auto"/>
              <w:bottom w:val="single" w:sz="4" w:space="0" w:color="000000"/>
              <w:right w:val="single" w:sz="8" w:space="0" w:color="auto"/>
            </w:tcBorders>
            <w:shd w:val="clear" w:color="auto" w:fill="auto"/>
            <w:noWrap/>
            <w:vAlign w:val="center"/>
            <w:hideMark/>
          </w:tcPr>
          <w:p w14:paraId="3C5187A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N/A </w:t>
            </w:r>
          </w:p>
        </w:tc>
        <w:tc>
          <w:tcPr>
            <w:tcW w:w="598" w:type="dxa"/>
            <w:tcBorders>
              <w:top w:val="nil"/>
              <w:left w:val="nil"/>
              <w:bottom w:val="nil"/>
              <w:right w:val="nil"/>
            </w:tcBorders>
            <w:shd w:val="clear" w:color="auto" w:fill="auto"/>
            <w:noWrap/>
            <w:vAlign w:val="center"/>
            <w:hideMark/>
          </w:tcPr>
          <w:p w14:paraId="1ECD17C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 </w:t>
            </w:r>
          </w:p>
        </w:tc>
        <w:tc>
          <w:tcPr>
            <w:tcW w:w="580" w:type="dxa"/>
            <w:tcBorders>
              <w:top w:val="nil"/>
              <w:left w:val="nil"/>
              <w:bottom w:val="nil"/>
              <w:right w:val="nil"/>
            </w:tcBorders>
            <w:shd w:val="clear" w:color="auto" w:fill="auto"/>
            <w:noWrap/>
            <w:vAlign w:val="center"/>
            <w:hideMark/>
          </w:tcPr>
          <w:p w14:paraId="3D15596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771280E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1BE9082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 </w:t>
            </w:r>
          </w:p>
        </w:tc>
        <w:tc>
          <w:tcPr>
            <w:tcW w:w="1020" w:type="dxa"/>
            <w:tcBorders>
              <w:top w:val="nil"/>
              <w:left w:val="nil"/>
              <w:bottom w:val="nil"/>
              <w:right w:val="nil"/>
            </w:tcBorders>
            <w:shd w:val="clear" w:color="000000" w:fill="D6DCE4"/>
            <w:noWrap/>
            <w:vAlign w:val="center"/>
            <w:hideMark/>
          </w:tcPr>
          <w:p w14:paraId="55E9693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6759E7E"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US</w:t>
            </w:r>
          </w:p>
        </w:tc>
        <w:tc>
          <w:tcPr>
            <w:tcW w:w="1020" w:type="dxa"/>
            <w:tcBorders>
              <w:top w:val="nil"/>
              <w:left w:val="nil"/>
              <w:bottom w:val="nil"/>
              <w:right w:val="nil"/>
            </w:tcBorders>
            <w:shd w:val="clear" w:color="000000" w:fill="D6DCE4"/>
            <w:noWrap/>
            <w:vAlign w:val="center"/>
            <w:hideMark/>
          </w:tcPr>
          <w:p w14:paraId="194E473B"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160 </w:t>
            </w:r>
          </w:p>
        </w:tc>
        <w:tc>
          <w:tcPr>
            <w:tcW w:w="1020" w:type="dxa"/>
            <w:tcBorders>
              <w:top w:val="nil"/>
              <w:left w:val="single" w:sz="8" w:space="0" w:color="auto"/>
              <w:bottom w:val="nil"/>
              <w:right w:val="single" w:sz="8" w:space="0" w:color="auto"/>
            </w:tcBorders>
            <w:shd w:val="clear" w:color="000000" w:fill="ACB9CA"/>
            <w:noWrap/>
            <w:vAlign w:val="center"/>
            <w:hideMark/>
          </w:tcPr>
          <w:p w14:paraId="6B0F54D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163 </w:t>
            </w:r>
          </w:p>
        </w:tc>
      </w:tr>
      <w:tr w:rsidR="00CF46E2" w:rsidRPr="00CF46E2" w14:paraId="4E4B0251"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55493B58"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5768E4F"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603E69C1" w14:textId="77777777" w:rsidR="00CF46E2" w:rsidRPr="00CF46E2" w:rsidRDefault="00CF46E2" w:rsidP="00CF46E2">
            <w:pPr>
              <w:rPr>
                <w:rFonts w:ascii="Calibri" w:hAnsi="Calibri" w:cs="Calibri"/>
                <w:b/>
                <w:bCs/>
                <w:color w:val="000000"/>
                <w:sz w:val="18"/>
                <w:szCs w:val="18"/>
                <w:lang w:eastAsia="en-GB"/>
              </w:rPr>
            </w:pPr>
          </w:p>
        </w:tc>
        <w:tc>
          <w:tcPr>
            <w:tcW w:w="598" w:type="dxa"/>
            <w:tcBorders>
              <w:top w:val="nil"/>
              <w:left w:val="nil"/>
              <w:bottom w:val="nil"/>
              <w:right w:val="nil"/>
            </w:tcBorders>
            <w:shd w:val="clear" w:color="auto" w:fill="auto"/>
            <w:noWrap/>
            <w:vAlign w:val="center"/>
            <w:hideMark/>
          </w:tcPr>
          <w:p w14:paraId="556BF11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 </w:t>
            </w:r>
          </w:p>
        </w:tc>
        <w:tc>
          <w:tcPr>
            <w:tcW w:w="580" w:type="dxa"/>
            <w:tcBorders>
              <w:top w:val="nil"/>
              <w:left w:val="nil"/>
              <w:bottom w:val="nil"/>
              <w:right w:val="nil"/>
            </w:tcBorders>
            <w:shd w:val="clear" w:color="auto" w:fill="auto"/>
            <w:noWrap/>
            <w:vAlign w:val="center"/>
            <w:hideMark/>
          </w:tcPr>
          <w:p w14:paraId="290D19B6"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1 </w:t>
            </w:r>
          </w:p>
        </w:tc>
        <w:tc>
          <w:tcPr>
            <w:tcW w:w="598" w:type="dxa"/>
            <w:tcBorders>
              <w:top w:val="nil"/>
              <w:left w:val="nil"/>
              <w:bottom w:val="nil"/>
              <w:right w:val="nil"/>
            </w:tcBorders>
            <w:shd w:val="clear" w:color="auto" w:fill="auto"/>
            <w:noWrap/>
            <w:vAlign w:val="center"/>
            <w:hideMark/>
          </w:tcPr>
          <w:p w14:paraId="76A0157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766522F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 </w:t>
            </w:r>
          </w:p>
        </w:tc>
        <w:tc>
          <w:tcPr>
            <w:tcW w:w="1020" w:type="dxa"/>
            <w:tcBorders>
              <w:top w:val="nil"/>
              <w:left w:val="nil"/>
              <w:bottom w:val="nil"/>
              <w:right w:val="nil"/>
            </w:tcBorders>
            <w:shd w:val="clear" w:color="000000" w:fill="D6DCE4"/>
            <w:noWrap/>
            <w:vAlign w:val="center"/>
            <w:hideMark/>
          </w:tcPr>
          <w:p w14:paraId="20FC485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96ED70B"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7C3C7A6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(44) </w:t>
            </w:r>
          </w:p>
        </w:tc>
        <w:tc>
          <w:tcPr>
            <w:tcW w:w="1020" w:type="dxa"/>
            <w:tcBorders>
              <w:top w:val="nil"/>
              <w:left w:val="single" w:sz="8" w:space="0" w:color="auto"/>
              <w:bottom w:val="nil"/>
              <w:right w:val="single" w:sz="8" w:space="0" w:color="auto"/>
            </w:tcBorders>
            <w:shd w:val="clear" w:color="000000" w:fill="ACB9CA"/>
            <w:noWrap/>
            <w:vAlign w:val="center"/>
            <w:hideMark/>
          </w:tcPr>
          <w:p w14:paraId="37302D6A"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(46) </w:t>
            </w:r>
          </w:p>
        </w:tc>
      </w:tr>
      <w:tr w:rsidR="00CF46E2" w:rsidRPr="00CF46E2" w14:paraId="75D09C2F"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2EA4A9DB"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7E14F485"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04F59AD7" w14:textId="77777777" w:rsidR="00CF46E2" w:rsidRPr="00CF46E2" w:rsidRDefault="00CF46E2" w:rsidP="00CF46E2">
            <w:pPr>
              <w:rPr>
                <w:rFonts w:ascii="Calibri" w:hAnsi="Calibri" w:cs="Calibri"/>
                <w:b/>
                <w:bCs/>
                <w:color w:val="000000"/>
                <w:sz w:val="18"/>
                <w:szCs w:val="18"/>
                <w:lang w:eastAsia="en-GB"/>
              </w:rPr>
            </w:pPr>
          </w:p>
        </w:tc>
        <w:tc>
          <w:tcPr>
            <w:tcW w:w="598" w:type="dxa"/>
            <w:tcBorders>
              <w:top w:val="single" w:sz="4" w:space="0" w:color="auto"/>
              <w:left w:val="nil"/>
              <w:bottom w:val="nil"/>
              <w:right w:val="nil"/>
            </w:tcBorders>
            <w:shd w:val="clear" w:color="auto" w:fill="auto"/>
            <w:noWrap/>
            <w:vAlign w:val="center"/>
            <w:hideMark/>
          </w:tcPr>
          <w:p w14:paraId="5D41DBC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 </w:t>
            </w:r>
          </w:p>
        </w:tc>
        <w:tc>
          <w:tcPr>
            <w:tcW w:w="580" w:type="dxa"/>
            <w:tcBorders>
              <w:top w:val="single" w:sz="4" w:space="0" w:color="auto"/>
              <w:left w:val="nil"/>
              <w:bottom w:val="nil"/>
              <w:right w:val="nil"/>
            </w:tcBorders>
            <w:shd w:val="clear" w:color="auto" w:fill="auto"/>
            <w:noWrap/>
            <w:vAlign w:val="center"/>
            <w:hideMark/>
          </w:tcPr>
          <w:p w14:paraId="429971E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 </w:t>
            </w:r>
          </w:p>
        </w:tc>
        <w:tc>
          <w:tcPr>
            <w:tcW w:w="598" w:type="dxa"/>
            <w:tcBorders>
              <w:top w:val="single" w:sz="4" w:space="0" w:color="auto"/>
              <w:left w:val="nil"/>
              <w:bottom w:val="nil"/>
              <w:right w:val="nil"/>
            </w:tcBorders>
            <w:shd w:val="clear" w:color="auto" w:fill="auto"/>
            <w:noWrap/>
            <w:vAlign w:val="center"/>
            <w:hideMark/>
          </w:tcPr>
          <w:p w14:paraId="13B39A7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6C3A72A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 </w:t>
            </w:r>
          </w:p>
        </w:tc>
        <w:tc>
          <w:tcPr>
            <w:tcW w:w="1020" w:type="dxa"/>
            <w:tcBorders>
              <w:top w:val="single" w:sz="4" w:space="0" w:color="auto"/>
              <w:left w:val="nil"/>
              <w:bottom w:val="nil"/>
              <w:right w:val="nil"/>
            </w:tcBorders>
            <w:shd w:val="clear" w:color="000000" w:fill="D6DCE4"/>
            <w:noWrap/>
            <w:vAlign w:val="center"/>
            <w:hideMark/>
          </w:tcPr>
          <w:p w14:paraId="194CF77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38BF3E44"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1BC497F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116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6006895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117 </w:t>
            </w:r>
          </w:p>
        </w:tc>
      </w:tr>
      <w:tr w:rsidR="00CF46E2" w:rsidRPr="00CF46E2" w14:paraId="0B2A2900"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5F04AA63"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10986C8"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7584994B" w14:textId="77777777" w:rsidR="00CF46E2" w:rsidRPr="00CF46E2" w:rsidRDefault="00CF46E2" w:rsidP="00CF46E2">
            <w:pPr>
              <w:rPr>
                <w:rFonts w:ascii="Calibri" w:hAnsi="Calibri" w:cs="Calibri"/>
                <w:b/>
                <w:bCs/>
                <w:color w:val="000000"/>
                <w:sz w:val="18"/>
                <w:szCs w:val="18"/>
                <w:lang w:eastAsia="en-GB"/>
              </w:rPr>
            </w:pPr>
          </w:p>
        </w:tc>
        <w:tc>
          <w:tcPr>
            <w:tcW w:w="598" w:type="dxa"/>
            <w:tcBorders>
              <w:top w:val="nil"/>
              <w:left w:val="nil"/>
              <w:bottom w:val="nil"/>
              <w:right w:val="nil"/>
            </w:tcBorders>
            <w:shd w:val="clear" w:color="auto" w:fill="auto"/>
            <w:noWrap/>
            <w:vAlign w:val="center"/>
            <w:hideMark/>
          </w:tcPr>
          <w:p w14:paraId="7AF9CF0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(11) </w:t>
            </w:r>
          </w:p>
        </w:tc>
        <w:tc>
          <w:tcPr>
            <w:tcW w:w="580" w:type="dxa"/>
            <w:tcBorders>
              <w:top w:val="nil"/>
              <w:left w:val="nil"/>
              <w:bottom w:val="nil"/>
              <w:right w:val="nil"/>
            </w:tcBorders>
            <w:shd w:val="clear" w:color="auto" w:fill="auto"/>
            <w:noWrap/>
            <w:vAlign w:val="center"/>
            <w:hideMark/>
          </w:tcPr>
          <w:p w14:paraId="5C871D79"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 </w:t>
            </w:r>
          </w:p>
        </w:tc>
        <w:tc>
          <w:tcPr>
            <w:tcW w:w="598" w:type="dxa"/>
            <w:tcBorders>
              <w:top w:val="nil"/>
              <w:left w:val="nil"/>
              <w:bottom w:val="nil"/>
              <w:right w:val="nil"/>
            </w:tcBorders>
            <w:shd w:val="clear" w:color="auto" w:fill="auto"/>
            <w:noWrap/>
            <w:vAlign w:val="center"/>
            <w:hideMark/>
          </w:tcPr>
          <w:p w14:paraId="4682892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(10) </w:t>
            </w:r>
          </w:p>
        </w:tc>
        <w:tc>
          <w:tcPr>
            <w:tcW w:w="960" w:type="dxa"/>
            <w:tcBorders>
              <w:top w:val="nil"/>
              <w:left w:val="single" w:sz="8" w:space="0" w:color="auto"/>
              <w:bottom w:val="nil"/>
              <w:right w:val="single" w:sz="8" w:space="0" w:color="auto"/>
            </w:tcBorders>
            <w:shd w:val="clear" w:color="auto" w:fill="auto"/>
            <w:noWrap/>
            <w:vAlign w:val="center"/>
            <w:hideMark/>
          </w:tcPr>
          <w:p w14:paraId="18D4104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(22) </w:t>
            </w:r>
          </w:p>
        </w:tc>
        <w:tc>
          <w:tcPr>
            <w:tcW w:w="1020" w:type="dxa"/>
            <w:tcBorders>
              <w:top w:val="nil"/>
              <w:left w:val="nil"/>
              <w:bottom w:val="nil"/>
              <w:right w:val="nil"/>
            </w:tcBorders>
            <w:shd w:val="clear" w:color="000000" w:fill="D6DCE4"/>
            <w:noWrap/>
            <w:vAlign w:val="center"/>
            <w:hideMark/>
          </w:tcPr>
          <w:p w14:paraId="1A816AB5"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1E75F58"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544198A5"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(111) </w:t>
            </w:r>
          </w:p>
        </w:tc>
        <w:tc>
          <w:tcPr>
            <w:tcW w:w="1020" w:type="dxa"/>
            <w:tcBorders>
              <w:top w:val="nil"/>
              <w:left w:val="single" w:sz="8" w:space="0" w:color="auto"/>
              <w:bottom w:val="nil"/>
              <w:right w:val="single" w:sz="8" w:space="0" w:color="auto"/>
            </w:tcBorders>
            <w:shd w:val="clear" w:color="000000" w:fill="ACB9CA"/>
            <w:noWrap/>
            <w:vAlign w:val="center"/>
            <w:hideMark/>
          </w:tcPr>
          <w:p w14:paraId="7389DE82"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(128) </w:t>
            </w:r>
          </w:p>
        </w:tc>
      </w:tr>
      <w:tr w:rsidR="00CF46E2" w:rsidRPr="00CF46E2" w14:paraId="0B7ED75C"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B739D92"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4D70C933"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7AE37760" w14:textId="77777777" w:rsidR="00CF46E2" w:rsidRPr="00CF46E2" w:rsidRDefault="00CF46E2" w:rsidP="00CF46E2">
            <w:pPr>
              <w:rPr>
                <w:rFonts w:ascii="Calibri" w:hAnsi="Calibri" w:cs="Calibri"/>
                <w:b/>
                <w:bCs/>
                <w:color w:val="000000"/>
                <w:sz w:val="18"/>
                <w:szCs w:val="18"/>
                <w:lang w:eastAsia="en-GB"/>
              </w:rPr>
            </w:pPr>
          </w:p>
        </w:tc>
        <w:tc>
          <w:tcPr>
            <w:tcW w:w="598" w:type="dxa"/>
            <w:tcBorders>
              <w:top w:val="single" w:sz="4" w:space="0" w:color="auto"/>
              <w:left w:val="nil"/>
              <w:bottom w:val="single" w:sz="4" w:space="0" w:color="auto"/>
              <w:right w:val="nil"/>
            </w:tcBorders>
            <w:shd w:val="clear" w:color="auto" w:fill="auto"/>
            <w:noWrap/>
            <w:vAlign w:val="center"/>
            <w:hideMark/>
          </w:tcPr>
          <w:p w14:paraId="0367938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(10) </w:t>
            </w:r>
          </w:p>
        </w:tc>
        <w:tc>
          <w:tcPr>
            <w:tcW w:w="580" w:type="dxa"/>
            <w:tcBorders>
              <w:top w:val="single" w:sz="4" w:space="0" w:color="auto"/>
              <w:left w:val="nil"/>
              <w:bottom w:val="single" w:sz="4" w:space="0" w:color="auto"/>
              <w:right w:val="nil"/>
            </w:tcBorders>
            <w:shd w:val="clear" w:color="auto" w:fill="auto"/>
            <w:noWrap/>
            <w:vAlign w:val="center"/>
            <w:hideMark/>
          </w:tcPr>
          <w:p w14:paraId="3792E95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1A0DDBB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(10)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0B3992F"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(20) </w:t>
            </w:r>
          </w:p>
        </w:tc>
        <w:tc>
          <w:tcPr>
            <w:tcW w:w="1020" w:type="dxa"/>
            <w:tcBorders>
              <w:top w:val="single" w:sz="4" w:space="0" w:color="auto"/>
              <w:left w:val="nil"/>
              <w:bottom w:val="single" w:sz="4" w:space="0" w:color="auto"/>
              <w:right w:val="nil"/>
            </w:tcBorders>
            <w:shd w:val="clear" w:color="000000" w:fill="D6DCE4"/>
            <w:noWrap/>
            <w:vAlign w:val="center"/>
            <w:hideMark/>
          </w:tcPr>
          <w:p w14:paraId="25086A6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(16)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EE6D273"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0824683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77BF933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(11) </w:t>
            </w:r>
          </w:p>
        </w:tc>
      </w:tr>
      <w:tr w:rsidR="00CF46E2" w:rsidRPr="00CF46E2" w14:paraId="60BAD4F0" w14:textId="77777777" w:rsidTr="00CF46E2">
        <w:trPr>
          <w:trHeight w:val="81"/>
        </w:trPr>
        <w:tc>
          <w:tcPr>
            <w:tcW w:w="308" w:type="dxa"/>
            <w:tcBorders>
              <w:top w:val="nil"/>
              <w:left w:val="nil"/>
              <w:bottom w:val="nil"/>
              <w:right w:val="nil"/>
            </w:tcBorders>
            <w:shd w:val="clear" w:color="auto" w:fill="auto"/>
            <w:noWrap/>
            <w:vAlign w:val="center"/>
            <w:hideMark/>
          </w:tcPr>
          <w:p w14:paraId="1C189102" w14:textId="77777777" w:rsidR="00CF46E2" w:rsidRPr="00CF46E2" w:rsidRDefault="00CF46E2" w:rsidP="00CF46E2">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57FB01F"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E949085"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64791083"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137B5566"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7D87DB6E"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5FF9FFB3"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center"/>
            <w:hideMark/>
          </w:tcPr>
          <w:p w14:paraId="14D34FDF"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09ABC953"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1E57282E"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0AD3AF0"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66512405" w14:textId="77777777" w:rsidTr="00CF46E2">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A87ED86"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CORPORATE</w:t>
            </w:r>
          </w:p>
        </w:tc>
        <w:tc>
          <w:tcPr>
            <w:tcW w:w="1848" w:type="dxa"/>
            <w:tcBorders>
              <w:top w:val="nil"/>
              <w:left w:val="nil"/>
              <w:bottom w:val="nil"/>
              <w:right w:val="nil"/>
            </w:tcBorders>
            <w:shd w:val="clear" w:color="auto" w:fill="auto"/>
            <w:noWrap/>
            <w:vAlign w:val="bottom"/>
            <w:hideMark/>
          </w:tcPr>
          <w:p w14:paraId="4BB034ED"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41EB3CB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(3) </w:t>
            </w:r>
          </w:p>
        </w:tc>
        <w:tc>
          <w:tcPr>
            <w:tcW w:w="598" w:type="dxa"/>
            <w:tcBorders>
              <w:top w:val="nil"/>
              <w:left w:val="nil"/>
              <w:bottom w:val="nil"/>
              <w:right w:val="nil"/>
            </w:tcBorders>
            <w:shd w:val="clear" w:color="auto" w:fill="auto"/>
            <w:noWrap/>
            <w:vAlign w:val="center"/>
            <w:hideMark/>
          </w:tcPr>
          <w:p w14:paraId="78842EE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80" w:type="dxa"/>
            <w:tcBorders>
              <w:top w:val="nil"/>
              <w:left w:val="nil"/>
              <w:bottom w:val="nil"/>
              <w:right w:val="nil"/>
            </w:tcBorders>
            <w:shd w:val="clear" w:color="auto" w:fill="auto"/>
            <w:noWrap/>
            <w:vAlign w:val="center"/>
            <w:hideMark/>
          </w:tcPr>
          <w:p w14:paraId="02088DF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 </w:t>
            </w:r>
          </w:p>
        </w:tc>
        <w:tc>
          <w:tcPr>
            <w:tcW w:w="598" w:type="dxa"/>
            <w:tcBorders>
              <w:top w:val="nil"/>
              <w:left w:val="nil"/>
              <w:bottom w:val="nil"/>
              <w:right w:val="nil"/>
            </w:tcBorders>
            <w:shd w:val="clear" w:color="auto" w:fill="auto"/>
            <w:noWrap/>
            <w:vAlign w:val="center"/>
            <w:hideMark/>
          </w:tcPr>
          <w:p w14:paraId="1D3B172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7EF4AFA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1020" w:type="dxa"/>
            <w:tcBorders>
              <w:top w:val="nil"/>
              <w:left w:val="nil"/>
              <w:bottom w:val="nil"/>
              <w:right w:val="nil"/>
            </w:tcBorders>
            <w:shd w:val="clear" w:color="000000" w:fill="D6DCE4"/>
            <w:noWrap/>
            <w:vAlign w:val="center"/>
            <w:hideMark/>
          </w:tcPr>
          <w:p w14:paraId="0C0475A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221B65F" w14:textId="77777777" w:rsidR="00CF46E2" w:rsidRPr="00C24A0C" w:rsidRDefault="008D3E34" w:rsidP="00CF46E2">
            <w:pPr>
              <w:jc w:val="center"/>
              <w:rPr>
                <w:rFonts w:ascii="Calibri" w:hAnsi="Calibri" w:cs="Calibri"/>
                <w:b/>
                <w:bCs/>
                <w:color w:val="000000"/>
                <w:sz w:val="14"/>
                <w:szCs w:val="16"/>
                <w:lang w:eastAsia="en-GB"/>
              </w:rPr>
            </w:pPr>
            <w:r w:rsidRPr="00C24A0C">
              <w:rPr>
                <w:rFonts w:ascii="Calibri" w:hAnsi="Calibri" w:cs="Calibri"/>
                <w:b/>
                <w:bCs/>
                <w:color w:val="000000"/>
                <w:sz w:val="14"/>
                <w:szCs w:val="16"/>
                <w:lang w:eastAsia="en-GB"/>
              </w:rPr>
              <w:t xml:space="preserve">CORPORATE </w:t>
            </w:r>
            <w:r w:rsidR="00CF46E2" w:rsidRPr="00C24A0C">
              <w:rPr>
                <w:rFonts w:ascii="Calibri" w:hAnsi="Calibri" w:cs="Calibri"/>
                <w:b/>
                <w:bCs/>
                <w:color w:val="000000"/>
                <w:sz w:val="14"/>
                <w:szCs w:val="16"/>
                <w:lang w:eastAsia="en-GB"/>
              </w:rPr>
              <w:t>COSTS</w:t>
            </w:r>
          </w:p>
        </w:tc>
        <w:tc>
          <w:tcPr>
            <w:tcW w:w="1020" w:type="dxa"/>
            <w:tcBorders>
              <w:top w:val="nil"/>
              <w:left w:val="nil"/>
              <w:bottom w:val="nil"/>
              <w:right w:val="nil"/>
            </w:tcBorders>
            <w:shd w:val="clear" w:color="000000" w:fill="D6DCE4"/>
            <w:noWrap/>
            <w:vAlign w:val="center"/>
            <w:hideMark/>
          </w:tcPr>
          <w:p w14:paraId="025E314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1020" w:type="dxa"/>
            <w:tcBorders>
              <w:top w:val="nil"/>
              <w:left w:val="single" w:sz="8" w:space="0" w:color="auto"/>
              <w:bottom w:val="nil"/>
              <w:right w:val="single" w:sz="8" w:space="0" w:color="auto"/>
            </w:tcBorders>
            <w:shd w:val="clear" w:color="000000" w:fill="ACB9CA"/>
            <w:noWrap/>
            <w:vAlign w:val="center"/>
            <w:hideMark/>
          </w:tcPr>
          <w:p w14:paraId="729557AB"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r>
      <w:tr w:rsidR="00CF46E2" w:rsidRPr="00CF46E2" w14:paraId="00C90295"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51DFD01F"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12401C37"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4087337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1DCEFD2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auto" w:fill="auto"/>
            <w:noWrap/>
            <w:vAlign w:val="center"/>
            <w:hideMark/>
          </w:tcPr>
          <w:p w14:paraId="28D2AA9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34E7528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2954C4B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1020" w:type="dxa"/>
            <w:tcBorders>
              <w:top w:val="nil"/>
              <w:left w:val="nil"/>
              <w:bottom w:val="nil"/>
              <w:right w:val="nil"/>
            </w:tcBorders>
            <w:shd w:val="clear" w:color="000000" w:fill="D6DCE4"/>
            <w:noWrap/>
            <w:vAlign w:val="center"/>
            <w:hideMark/>
          </w:tcPr>
          <w:p w14:paraId="340AFCD1"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2491A615" w14:textId="77777777" w:rsidR="00CF46E2" w:rsidRPr="00CF46E2" w:rsidRDefault="00CF46E2" w:rsidP="00CF46E2">
            <w:pPr>
              <w:rPr>
                <w:rFonts w:ascii="Calibri" w:hAnsi="Calibri" w:cs="Calibri"/>
                <w:b/>
                <w:bCs/>
                <w:color w:val="000000"/>
                <w:sz w:val="16"/>
                <w:szCs w:val="16"/>
                <w:lang w:eastAsia="en-GB"/>
              </w:rPr>
            </w:pPr>
          </w:p>
        </w:tc>
        <w:tc>
          <w:tcPr>
            <w:tcW w:w="1020" w:type="dxa"/>
            <w:tcBorders>
              <w:top w:val="nil"/>
              <w:left w:val="nil"/>
              <w:bottom w:val="nil"/>
              <w:right w:val="nil"/>
            </w:tcBorders>
            <w:shd w:val="clear" w:color="000000" w:fill="D6DCE4"/>
            <w:noWrap/>
            <w:vAlign w:val="center"/>
            <w:hideMark/>
          </w:tcPr>
          <w:p w14:paraId="029D4A66"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1020" w:type="dxa"/>
            <w:tcBorders>
              <w:top w:val="nil"/>
              <w:left w:val="single" w:sz="8" w:space="0" w:color="auto"/>
              <w:bottom w:val="nil"/>
              <w:right w:val="single" w:sz="8" w:space="0" w:color="auto"/>
            </w:tcBorders>
            <w:shd w:val="clear" w:color="000000" w:fill="ACB9CA"/>
            <w:noWrap/>
            <w:vAlign w:val="center"/>
            <w:hideMark/>
          </w:tcPr>
          <w:p w14:paraId="673BEB9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r>
      <w:tr w:rsidR="00CF46E2" w:rsidRPr="00CF46E2" w14:paraId="64E3BEAC"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3A74BDA2"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2B9BCFD6"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13811DD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(3) </w:t>
            </w:r>
          </w:p>
        </w:tc>
        <w:tc>
          <w:tcPr>
            <w:tcW w:w="598" w:type="dxa"/>
            <w:tcBorders>
              <w:top w:val="single" w:sz="4" w:space="0" w:color="auto"/>
              <w:left w:val="nil"/>
              <w:bottom w:val="nil"/>
              <w:right w:val="nil"/>
            </w:tcBorders>
            <w:shd w:val="clear" w:color="auto" w:fill="auto"/>
            <w:noWrap/>
            <w:vAlign w:val="center"/>
            <w:hideMark/>
          </w:tcPr>
          <w:p w14:paraId="5B624D1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auto" w:fill="auto"/>
            <w:noWrap/>
            <w:vAlign w:val="center"/>
            <w:hideMark/>
          </w:tcPr>
          <w:p w14:paraId="65346DF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 </w:t>
            </w:r>
          </w:p>
        </w:tc>
        <w:tc>
          <w:tcPr>
            <w:tcW w:w="598" w:type="dxa"/>
            <w:tcBorders>
              <w:top w:val="single" w:sz="4" w:space="0" w:color="auto"/>
              <w:left w:val="nil"/>
              <w:bottom w:val="nil"/>
              <w:right w:val="nil"/>
            </w:tcBorders>
            <w:shd w:val="clear" w:color="auto" w:fill="auto"/>
            <w:noWrap/>
            <w:vAlign w:val="center"/>
            <w:hideMark/>
          </w:tcPr>
          <w:p w14:paraId="276B1A7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52E3CFA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1020" w:type="dxa"/>
            <w:tcBorders>
              <w:top w:val="single" w:sz="4" w:space="0" w:color="auto"/>
              <w:left w:val="nil"/>
              <w:bottom w:val="nil"/>
              <w:right w:val="nil"/>
            </w:tcBorders>
            <w:shd w:val="clear" w:color="000000" w:fill="D6DCE4"/>
            <w:noWrap/>
            <w:vAlign w:val="center"/>
            <w:hideMark/>
          </w:tcPr>
          <w:p w14:paraId="08A213E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CE19340" w14:textId="77777777" w:rsidR="00CF46E2" w:rsidRPr="00CF46E2" w:rsidRDefault="00CF46E2" w:rsidP="00CF46E2">
            <w:pPr>
              <w:rPr>
                <w:rFonts w:ascii="Calibri" w:hAnsi="Calibri" w:cs="Calibri"/>
                <w:b/>
                <w:bCs/>
                <w:color w:val="000000"/>
                <w:sz w:val="16"/>
                <w:szCs w:val="16"/>
                <w:lang w:eastAsia="en-GB"/>
              </w:rPr>
            </w:pPr>
          </w:p>
        </w:tc>
        <w:tc>
          <w:tcPr>
            <w:tcW w:w="1020" w:type="dxa"/>
            <w:tcBorders>
              <w:top w:val="single" w:sz="4" w:space="0" w:color="auto"/>
              <w:left w:val="nil"/>
              <w:bottom w:val="nil"/>
              <w:right w:val="nil"/>
            </w:tcBorders>
            <w:shd w:val="clear" w:color="000000" w:fill="D6DCE4"/>
            <w:noWrap/>
            <w:vAlign w:val="center"/>
            <w:hideMark/>
          </w:tcPr>
          <w:p w14:paraId="04DAE96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5D38BE2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r>
      <w:tr w:rsidR="00CF46E2" w:rsidRPr="00CF46E2" w14:paraId="54CC98EA"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016CAE4"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57250B6"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1D8F45B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(27) </w:t>
            </w:r>
          </w:p>
        </w:tc>
        <w:tc>
          <w:tcPr>
            <w:tcW w:w="598" w:type="dxa"/>
            <w:tcBorders>
              <w:top w:val="nil"/>
              <w:left w:val="nil"/>
              <w:bottom w:val="nil"/>
              <w:right w:val="nil"/>
            </w:tcBorders>
            <w:shd w:val="clear" w:color="auto" w:fill="auto"/>
            <w:noWrap/>
            <w:vAlign w:val="center"/>
            <w:hideMark/>
          </w:tcPr>
          <w:p w14:paraId="1C71362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2 </w:t>
            </w:r>
          </w:p>
        </w:tc>
        <w:tc>
          <w:tcPr>
            <w:tcW w:w="580" w:type="dxa"/>
            <w:tcBorders>
              <w:top w:val="nil"/>
              <w:left w:val="nil"/>
              <w:bottom w:val="nil"/>
              <w:right w:val="nil"/>
            </w:tcBorders>
            <w:shd w:val="clear" w:color="auto" w:fill="auto"/>
            <w:noWrap/>
            <w:vAlign w:val="center"/>
            <w:hideMark/>
          </w:tcPr>
          <w:p w14:paraId="3E380988"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 </w:t>
            </w:r>
          </w:p>
        </w:tc>
        <w:tc>
          <w:tcPr>
            <w:tcW w:w="598" w:type="dxa"/>
            <w:tcBorders>
              <w:top w:val="nil"/>
              <w:left w:val="nil"/>
              <w:bottom w:val="nil"/>
              <w:right w:val="nil"/>
            </w:tcBorders>
            <w:shd w:val="clear" w:color="auto" w:fill="auto"/>
            <w:noWrap/>
            <w:vAlign w:val="center"/>
            <w:hideMark/>
          </w:tcPr>
          <w:p w14:paraId="06D26E31"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(20) </w:t>
            </w:r>
          </w:p>
        </w:tc>
        <w:tc>
          <w:tcPr>
            <w:tcW w:w="960" w:type="dxa"/>
            <w:tcBorders>
              <w:top w:val="nil"/>
              <w:left w:val="single" w:sz="8" w:space="0" w:color="auto"/>
              <w:bottom w:val="nil"/>
              <w:right w:val="single" w:sz="8" w:space="0" w:color="auto"/>
            </w:tcBorders>
            <w:shd w:val="clear" w:color="auto" w:fill="auto"/>
            <w:noWrap/>
            <w:vAlign w:val="center"/>
            <w:hideMark/>
          </w:tcPr>
          <w:p w14:paraId="51DA01BA"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(47) </w:t>
            </w:r>
          </w:p>
        </w:tc>
        <w:tc>
          <w:tcPr>
            <w:tcW w:w="1020" w:type="dxa"/>
            <w:tcBorders>
              <w:top w:val="nil"/>
              <w:left w:val="nil"/>
              <w:bottom w:val="nil"/>
              <w:right w:val="nil"/>
            </w:tcBorders>
            <w:shd w:val="clear" w:color="000000" w:fill="D6DCE4"/>
            <w:noWrap/>
            <w:vAlign w:val="center"/>
            <w:hideMark/>
          </w:tcPr>
          <w:p w14:paraId="338111B1"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(36)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99073F6" w14:textId="77777777" w:rsidR="00CF46E2" w:rsidRPr="00CF46E2" w:rsidRDefault="00CF46E2" w:rsidP="00CF46E2">
            <w:pPr>
              <w:rPr>
                <w:rFonts w:ascii="Calibri" w:hAnsi="Calibri" w:cs="Calibri"/>
                <w:b/>
                <w:bCs/>
                <w:color w:val="000000"/>
                <w:sz w:val="16"/>
                <w:szCs w:val="16"/>
                <w:lang w:eastAsia="en-GB"/>
              </w:rPr>
            </w:pPr>
          </w:p>
        </w:tc>
        <w:tc>
          <w:tcPr>
            <w:tcW w:w="1020" w:type="dxa"/>
            <w:tcBorders>
              <w:top w:val="nil"/>
              <w:left w:val="nil"/>
              <w:bottom w:val="nil"/>
              <w:right w:val="nil"/>
            </w:tcBorders>
            <w:shd w:val="clear" w:color="000000" w:fill="D6DCE4"/>
            <w:noWrap/>
            <w:vAlign w:val="center"/>
            <w:hideMark/>
          </w:tcPr>
          <w:p w14:paraId="35BD9B3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(26) </w:t>
            </w:r>
          </w:p>
        </w:tc>
        <w:tc>
          <w:tcPr>
            <w:tcW w:w="1020" w:type="dxa"/>
            <w:tcBorders>
              <w:top w:val="nil"/>
              <w:left w:val="single" w:sz="8" w:space="0" w:color="auto"/>
              <w:bottom w:val="nil"/>
              <w:right w:val="single" w:sz="8" w:space="0" w:color="auto"/>
            </w:tcBorders>
            <w:shd w:val="clear" w:color="000000" w:fill="ACB9CA"/>
            <w:noWrap/>
            <w:vAlign w:val="center"/>
            <w:hideMark/>
          </w:tcPr>
          <w:p w14:paraId="45F7F70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(62) </w:t>
            </w:r>
          </w:p>
        </w:tc>
      </w:tr>
      <w:tr w:rsidR="00CF46E2" w:rsidRPr="00CF46E2" w14:paraId="7083784D" w14:textId="77777777" w:rsidTr="00CF46E2">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48132CE3"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22ADDF2D"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3578B9B"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(30) </w:t>
            </w:r>
          </w:p>
        </w:tc>
        <w:tc>
          <w:tcPr>
            <w:tcW w:w="598" w:type="dxa"/>
            <w:tcBorders>
              <w:top w:val="single" w:sz="4" w:space="0" w:color="auto"/>
              <w:left w:val="nil"/>
              <w:bottom w:val="single" w:sz="4" w:space="0" w:color="auto"/>
              <w:right w:val="nil"/>
            </w:tcBorders>
            <w:shd w:val="clear" w:color="auto" w:fill="auto"/>
            <w:noWrap/>
            <w:vAlign w:val="center"/>
            <w:hideMark/>
          </w:tcPr>
          <w:p w14:paraId="50936D0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 </w:t>
            </w:r>
          </w:p>
        </w:tc>
        <w:tc>
          <w:tcPr>
            <w:tcW w:w="580" w:type="dxa"/>
            <w:tcBorders>
              <w:top w:val="single" w:sz="4" w:space="0" w:color="auto"/>
              <w:left w:val="nil"/>
              <w:bottom w:val="single" w:sz="4" w:space="0" w:color="auto"/>
              <w:right w:val="nil"/>
            </w:tcBorders>
            <w:shd w:val="clear" w:color="auto" w:fill="auto"/>
            <w:noWrap/>
            <w:vAlign w:val="center"/>
            <w:hideMark/>
          </w:tcPr>
          <w:p w14:paraId="42C9CC4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52AF995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(20)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59B542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(47) </w:t>
            </w:r>
          </w:p>
        </w:tc>
        <w:tc>
          <w:tcPr>
            <w:tcW w:w="1020" w:type="dxa"/>
            <w:tcBorders>
              <w:top w:val="single" w:sz="4" w:space="0" w:color="auto"/>
              <w:left w:val="nil"/>
              <w:bottom w:val="single" w:sz="4" w:space="0" w:color="auto"/>
              <w:right w:val="nil"/>
            </w:tcBorders>
            <w:shd w:val="clear" w:color="000000" w:fill="D6DCE4"/>
            <w:noWrap/>
            <w:vAlign w:val="center"/>
            <w:hideMark/>
          </w:tcPr>
          <w:p w14:paraId="22F783E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(36)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C8C0FCF" w14:textId="77777777" w:rsidR="00CF46E2" w:rsidRPr="00CF46E2" w:rsidRDefault="00CF46E2" w:rsidP="00CF46E2">
            <w:pPr>
              <w:rPr>
                <w:rFonts w:ascii="Calibri" w:hAnsi="Calibri" w:cs="Calibri"/>
                <w:b/>
                <w:bCs/>
                <w:color w:val="000000"/>
                <w:sz w:val="16"/>
                <w:szCs w:val="16"/>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74473856"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(26)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6B4927A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(62) </w:t>
            </w:r>
          </w:p>
        </w:tc>
      </w:tr>
      <w:tr w:rsidR="00CF46E2" w:rsidRPr="00CF46E2" w14:paraId="3C3E3431" w14:textId="77777777" w:rsidTr="00CF46E2">
        <w:trPr>
          <w:trHeight w:val="81"/>
        </w:trPr>
        <w:tc>
          <w:tcPr>
            <w:tcW w:w="308" w:type="dxa"/>
            <w:tcBorders>
              <w:top w:val="nil"/>
              <w:left w:val="nil"/>
              <w:bottom w:val="nil"/>
              <w:right w:val="nil"/>
            </w:tcBorders>
            <w:shd w:val="clear" w:color="auto" w:fill="auto"/>
            <w:noWrap/>
            <w:vAlign w:val="center"/>
            <w:hideMark/>
          </w:tcPr>
          <w:p w14:paraId="7EAB1030" w14:textId="77777777" w:rsidR="00CF46E2" w:rsidRPr="00CF46E2" w:rsidRDefault="00CF46E2" w:rsidP="00CF46E2">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03990923" w14:textId="77777777" w:rsidR="00CF46E2" w:rsidRPr="00CF46E2" w:rsidRDefault="00CF46E2" w:rsidP="00CF46E2">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1003565"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200D2794" w14:textId="77777777" w:rsidR="00CF46E2" w:rsidRPr="00CF46E2" w:rsidRDefault="00CF46E2" w:rsidP="00CF46E2">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33B421F9" w14:textId="77777777" w:rsidR="00CF46E2" w:rsidRPr="00CF46E2" w:rsidRDefault="00CF46E2" w:rsidP="00CF46E2">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208812B1" w14:textId="77777777" w:rsidR="00CF46E2" w:rsidRPr="00CF46E2" w:rsidRDefault="00CF46E2" w:rsidP="00CF46E2">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1F41E3D9"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nil"/>
              <w:right w:val="nil"/>
            </w:tcBorders>
            <w:shd w:val="clear" w:color="000000" w:fill="D6DCE4"/>
            <w:noWrap/>
            <w:vAlign w:val="center"/>
            <w:hideMark/>
          </w:tcPr>
          <w:p w14:paraId="3DCEC39D"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40333853" w14:textId="77777777" w:rsidR="00CF46E2" w:rsidRPr="00CF46E2" w:rsidRDefault="00CF46E2" w:rsidP="00CF46E2">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08049D46"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34124718"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7C875A74" w14:textId="77777777" w:rsidTr="00CF46E2">
        <w:trPr>
          <w:trHeight w:val="34"/>
        </w:trPr>
        <w:tc>
          <w:tcPr>
            <w:tcW w:w="308" w:type="dxa"/>
            <w:tcBorders>
              <w:top w:val="single" w:sz="8" w:space="0" w:color="auto"/>
              <w:left w:val="single" w:sz="8" w:space="0" w:color="auto"/>
              <w:bottom w:val="nil"/>
              <w:right w:val="nil"/>
            </w:tcBorders>
            <w:shd w:val="clear" w:color="auto" w:fill="auto"/>
            <w:noWrap/>
            <w:vAlign w:val="center"/>
            <w:hideMark/>
          </w:tcPr>
          <w:p w14:paraId="396518CA" w14:textId="77777777" w:rsidR="00CF46E2" w:rsidRPr="00CF46E2" w:rsidRDefault="00CF46E2" w:rsidP="00CF46E2">
            <w:pPr>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848" w:type="dxa"/>
            <w:tcBorders>
              <w:top w:val="single" w:sz="8" w:space="0" w:color="auto"/>
              <w:left w:val="nil"/>
              <w:bottom w:val="nil"/>
              <w:right w:val="nil"/>
            </w:tcBorders>
            <w:shd w:val="clear" w:color="auto" w:fill="auto"/>
            <w:noWrap/>
            <w:vAlign w:val="bottom"/>
            <w:hideMark/>
          </w:tcPr>
          <w:p w14:paraId="7674C0D1" w14:textId="77777777" w:rsidR="00CF46E2" w:rsidRPr="00CF46E2" w:rsidRDefault="00CF46E2" w:rsidP="00CF46E2">
            <w:pPr>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960" w:type="dxa"/>
            <w:tcBorders>
              <w:top w:val="single" w:sz="8" w:space="0" w:color="auto"/>
              <w:left w:val="single" w:sz="8" w:space="0" w:color="auto"/>
              <w:bottom w:val="nil"/>
              <w:right w:val="single" w:sz="8" w:space="0" w:color="auto"/>
            </w:tcBorders>
            <w:shd w:val="clear" w:color="auto" w:fill="auto"/>
            <w:noWrap/>
            <w:vAlign w:val="center"/>
            <w:hideMark/>
          </w:tcPr>
          <w:p w14:paraId="7815FE0B"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single" w:sz="8" w:space="0" w:color="auto"/>
              <w:left w:val="nil"/>
              <w:bottom w:val="nil"/>
              <w:right w:val="nil"/>
            </w:tcBorders>
            <w:shd w:val="clear" w:color="auto" w:fill="auto"/>
            <w:noWrap/>
            <w:vAlign w:val="center"/>
            <w:hideMark/>
          </w:tcPr>
          <w:p w14:paraId="7EBFF064"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80" w:type="dxa"/>
            <w:tcBorders>
              <w:top w:val="single" w:sz="8" w:space="0" w:color="auto"/>
              <w:left w:val="nil"/>
              <w:bottom w:val="nil"/>
              <w:right w:val="nil"/>
            </w:tcBorders>
            <w:shd w:val="clear" w:color="auto" w:fill="auto"/>
            <w:noWrap/>
            <w:vAlign w:val="center"/>
            <w:hideMark/>
          </w:tcPr>
          <w:p w14:paraId="24762B09"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single" w:sz="8" w:space="0" w:color="auto"/>
              <w:left w:val="nil"/>
              <w:bottom w:val="nil"/>
              <w:right w:val="nil"/>
            </w:tcBorders>
            <w:shd w:val="clear" w:color="auto" w:fill="auto"/>
            <w:noWrap/>
            <w:vAlign w:val="center"/>
            <w:hideMark/>
          </w:tcPr>
          <w:p w14:paraId="645DB1BD"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960" w:type="dxa"/>
            <w:tcBorders>
              <w:top w:val="single" w:sz="8" w:space="0" w:color="auto"/>
              <w:left w:val="single" w:sz="8" w:space="0" w:color="auto"/>
              <w:bottom w:val="nil"/>
              <w:right w:val="single" w:sz="8" w:space="0" w:color="auto"/>
            </w:tcBorders>
            <w:shd w:val="clear" w:color="auto" w:fill="auto"/>
            <w:noWrap/>
            <w:vAlign w:val="center"/>
            <w:hideMark/>
          </w:tcPr>
          <w:p w14:paraId="797885B6"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single" w:sz="8" w:space="0" w:color="auto"/>
              <w:left w:val="nil"/>
              <w:bottom w:val="nil"/>
              <w:right w:val="nil"/>
            </w:tcBorders>
            <w:shd w:val="clear" w:color="000000" w:fill="D6DCE4"/>
            <w:noWrap/>
            <w:vAlign w:val="center"/>
            <w:hideMark/>
          </w:tcPr>
          <w:p w14:paraId="1FAE8018"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single" w:sz="8" w:space="0" w:color="auto"/>
              <w:left w:val="nil"/>
              <w:bottom w:val="nil"/>
              <w:right w:val="nil"/>
            </w:tcBorders>
            <w:shd w:val="clear" w:color="auto" w:fill="auto"/>
            <w:noWrap/>
            <w:vAlign w:val="center"/>
            <w:hideMark/>
          </w:tcPr>
          <w:p w14:paraId="0474DEA1" w14:textId="77777777" w:rsidR="00CF46E2" w:rsidRPr="00CF46E2" w:rsidRDefault="00CF46E2" w:rsidP="00CF46E2">
            <w:pPr>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single" w:sz="8" w:space="0" w:color="auto"/>
              <w:left w:val="nil"/>
              <w:bottom w:val="nil"/>
              <w:right w:val="nil"/>
            </w:tcBorders>
            <w:shd w:val="clear" w:color="000000" w:fill="D6DCE4"/>
            <w:noWrap/>
            <w:vAlign w:val="center"/>
            <w:hideMark/>
          </w:tcPr>
          <w:p w14:paraId="128D8C06"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single" w:sz="8" w:space="0" w:color="auto"/>
              <w:left w:val="single" w:sz="8" w:space="0" w:color="auto"/>
              <w:bottom w:val="nil"/>
              <w:right w:val="single" w:sz="8" w:space="0" w:color="auto"/>
            </w:tcBorders>
            <w:shd w:val="clear" w:color="000000" w:fill="ACB9CA"/>
            <w:noWrap/>
            <w:vAlign w:val="center"/>
            <w:hideMark/>
          </w:tcPr>
          <w:p w14:paraId="5B418B3C"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r w:rsidR="00CF46E2" w:rsidRPr="00CF46E2" w14:paraId="7E8D73F3" w14:textId="77777777" w:rsidTr="00CF46E2">
        <w:trPr>
          <w:trHeight w:val="214"/>
        </w:trPr>
        <w:tc>
          <w:tcPr>
            <w:tcW w:w="308" w:type="dxa"/>
            <w:vMerge w:val="restart"/>
            <w:tcBorders>
              <w:top w:val="single" w:sz="4" w:space="0" w:color="auto"/>
              <w:left w:val="single" w:sz="8" w:space="0" w:color="auto"/>
              <w:bottom w:val="single" w:sz="4" w:space="0" w:color="000000"/>
              <w:right w:val="single" w:sz="4" w:space="0" w:color="auto"/>
            </w:tcBorders>
            <w:shd w:val="clear" w:color="000000" w:fill="EDEDED"/>
            <w:noWrap/>
            <w:textDirection w:val="btLr"/>
            <w:vAlign w:val="center"/>
            <w:hideMark/>
          </w:tcPr>
          <w:p w14:paraId="6FA6164A"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GROUP</w:t>
            </w:r>
          </w:p>
        </w:tc>
        <w:tc>
          <w:tcPr>
            <w:tcW w:w="1848" w:type="dxa"/>
            <w:tcBorders>
              <w:top w:val="nil"/>
              <w:left w:val="nil"/>
              <w:bottom w:val="nil"/>
              <w:right w:val="nil"/>
            </w:tcBorders>
            <w:shd w:val="clear" w:color="000000" w:fill="EDEDED"/>
            <w:noWrap/>
            <w:vAlign w:val="bottom"/>
            <w:hideMark/>
          </w:tcPr>
          <w:p w14:paraId="51B2025A"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000000" w:fill="EDEDED"/>
            <w:noWrap/>
            <w:vAlign w:val="center"/>
            <w:hideMark/>
          </w:tcPr>
          <w:p w14:paraId="35111F12"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1,218 </w:t>
            </w:r>
          </w:p>
        </w:tc>
        <w:tc>
          <w:tcPr>
            <w:tcW w:w="598" w:type="dxa"/>
            <w:tcBorders>
              <w:top w:val="nil"/>
              <w:left w:val="nil"/>
              <w:bottom w:val="nil"/>
              <w:right w:val="nil"/>
            </w:tcBorders>
            <w:shd w:val="clear" w:color="000000" w:fill="EDEDED"/>
            <w:noWrap/>
            <w:vAlign w:val="center"/>
            <w:hideMark/>
          </w:tcPr>
          <w:p w14:paraId="6CE1D05A"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2E02EC3B"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11 </w:t>
            </w:r>
          </w:p>
        </w:tc>
        <w:tc>
          <w:tcPr>
            <w:tcW w:w="598" w:type="dxa"/>
            <w:tcBorders>
              <w:top w:val="nil"/>
              <w:left w:val="nil"/>
              <w:bottom w:val="nil"/>
              <w:right w:val="nil"/>
            </w:tcBorders>
            <w:shd w:val="clear" w:color="000000" w:fill="EDEDED"/>
            <w:noWrap/>
            <w:vAlign w:val="center"/>
            <w:hideMark/>
          </w:tcPr>
          <w:p w14:paraId="412D5DB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000000" w:fill="EDEDED"/>
            <w:noWrap/>
            <w:vAlign w:val="center"/>
            <w:hideMark/>
          </w:tcPr>
          <w:p w14:paraId="0470030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1,229 </w:t>
            </w:r>
          </w:p>
        </w:tc>
        <w:tc>
          <w:tcPr>
            <w:tcW w:w="1020" w:type="dxa"/>
            <w:tcBorders>
              <w:top w:val="nil"/>
              <w:left w:val="nil"/>
              <w:bottom w:val="nil"/>
              <w:right w:val="nil"/>
            </w:tcBorders>
            <w:shd w:val="clear" w:color="000000" w:fill="D6DCE4"/>
            <w:noWrap/>
            <w:vAlign w:val="center"/>
            <w:hideMark/>
          </w:tcPr>
          <w:p w14:paraId="582FFD93"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950 </w:t>
            </w:r>
          </w:p>
        </w:tc>
        <w:tc>
          <w:tcPr>
            <w:tcW w:w="308" w:type="dxa"/>
            <w:vMerge w:val="restart"/>
            <w:tcBorders>
              <w:top w:val="single" w:sz="4" w:space="0" w:color="auto"/>
              <w:left w:val="single" w:sz="4" w:space="0" w:color="auto"/>
              <w:bottom w:val="single" w:sz="4" w:space="0" w:color="000000"/>
              <w:right w:val="single" w:sz="4" w:space="0" w:color="auto"/>
            </w:tcBorders>
            <w:shd w:val="clear" w:color="000000" w:fill="EDEDED"/>
            <w:noWrap/>
            <w:textDirection w:val="btLr"/>
            <w:vAlign w:val="center"/>
            <w:hideMark/>
          </w:tcPr>
          <w:p w14:paraId="441FE3CB" w14:textId="77777777" w:rsidR="00CF46E2" w:rsidRPr="00CF46E2" w:rsidRDefault="00CF46E2" w:rsidP="00CF46E2">
            <w:pPr>
              <w:jc w:val="cente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GROUP</w:t>
            </w:r>
          </w:p>
        </w:tc>
        <w:tc>
          <w:tcPr>
            <w:tcW w:w="1020" w:type="dxa"/>
            <w:tcBorders>
              <w:top w:val="nil"/>
              <w:left w:val="nil"/>
              <w:bottom w:val="nil"/>
              <w:right w:val="nil"/>
            </w:tcBorders>
            <w:shd w:val="clear" w:color="000000" w:fill="D6DCE4"/>
            <w:noWrap/>
            <w:vAlign w:val="center"/>
            <w:hideMark/>
          </w:tcPr>
          <w:p w14:paraId="1672B219"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1,025 </w:t>
            </w:r>
          </w:p>
        </w:tc>
        <w:tc>
          <w:tcPr>
            <w:tcW w:w="1020" w:type="dxa"/>
            <w:tcBorders>
              <w:top w:val="nil"/>
              <w:left w:val="single" w:sz="8" w:space="0" w:color="auto"/>
              <w:bottom w:val="nil"/>
              <w:right w:val="single" w:sz="8" w:space="0" w:color="auto"/>
            </w:tcBorders>
            <w:shd w:val="clear" w:color="000000" w:fill="ACB9CA"/>
            <w:noWrap/>
            <w:vAlign w:val="center"/>
            <w:hideMark/>
          </w:tcPr>
          <w:p w14:paraId="49272A45"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1,975 </w:t>
            </w:r>
          </w:p>
        </w:tc>
      </w:tr>
      <w:tr w:rsidR="00CF46E2" w:rsidRPr="00CF46E2" w14:paraId="31992558" w14:textId="77777777" w:rsidTr="00CF46E2">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13A63E25"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000000" w:fill="EDEDED"/>
            <w:noWrap/>
            <w:vAlign w:val="bottom"/>
            <w:hideMark/>
          </w:tcPr>
          <w:p w14:paraId="6BAAD77F"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000000" w:fill="EDEDED"/>
            <w:noWrap/>
            <w:vAlign w:val="center"/>
            <w:hideMark/>
          </w:tcPr>
          <w:p w14:paraId="141A1CF9"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(337) </w:t>
            </w:r>
          </w:p>
        </w:tc>
        <w:tc>
          <w:tcPr>
            <w:tcW w:w="598" w:type="dxa"/>
            <w:tcBorders>
              <w:top w:val="nil"/>
              <w:left w:val="nil"/>
              <w:bottom w:val="nil"/>
              <w:right w:val="nil"/>
            </w:tcBorders>
            <w:shd w:val="clear" w:color="000000" w:fill="EDEDED"/>
            <w:noWrap/>
            <w:vAlign w:val="center"/>
            <w:hideMark/>
          </w:tcPr>
          <w:p w14:paraId="48D63D6B"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5DFF1E37"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 </w:t>
            </w:r>
          </w:p>
        </w:tc>
        <w:tc>
          <w:tcPr>
            <w:tcW w:w="598" w:type="dxa"/>
            <w:tcBorders>
              <w:top w:val="nil"/>
              <w:left w:val="nil"/>
              <w:bottom w:val="nil"/>
              <w:right w:val="nil"/>
            </w:tcBorders>
            <w:shd w:val="clear" w:color="000000" w:fill="EDEDED"/>
            <w:noWrap/>
            <w:vAlign w:val="center"/>
            <w:hideMark/>
          </w:tcPr>
          <w:p w14:paraId="1F3716D9"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000000" w:fill="EDEDED"/>
            <w:noWrap/>
            <w:vAlign w:val="center"/>
            <w:hideMark/>
          </w:tcPr>
          <w:p w14:paraId="1F7447C5"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(341) </w:t>
            </w:r>
          </w:p>
        </w:tc>
        <w:tc>
          <w:tcPr>
            <w:tcW w:w="1020" w:type="dxa"/>
            <w:tcBorders>
              <w:top w:val="nil"/>
              <w:left w:val="nil"/>
              <w:bottom w:val="nil"/>
              <w:right w:val="nil"/>
            </w:tcBorders>
            <w:shd w:val="clear" w:color="000000" w:fill="D6DCE4"/>
            <w:noWrap/>
            <w:vAlign w:val="center"/>
            <w:hideMark/>
          </w:tcPr>
          <w:p w14:paraId="4AF2083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(263)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232E46D"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35720263"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(303) </w:t>
            </w:r>
          </w:p>
        </w:tc>
        <w:tc>
          <w:tcPr>
            <w:tcW w:w="1020" w:type="dxa"/>
            <w:tcBorders>
              <w:top w:val="nil"/>
              <w:left w:val="single" w:sz="8" w:space="0" w:color="auto"/>
              <w:bottom w:val="nil"/>
              <w:right w:val="single" w:sz="8" w:space="0" w:color="auto"/>
            </w:tcBorders>
            <w:shd w:val="clear" w:color="000000" w:fill="ACB9CA"/>
            <w:noWrap/>
            <w:vAlign w:val="center"/>
            <w:hideMark/>
          </w:tcPr>
          <w:p w14:paraId="71D2732B"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(566) </w:t>
            </w:r>
          </w:p>
        </w:tc>
      </w:tr>
      <w:tr w:rsidR="00CF46E2" w:rsidRPr="00CF46E2" w14:paraId="5B3101E7" w14:textId="77777777" w:rsidTr="00CF46E2">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5B3A6A06"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000000" w:fill="EDEDED"/>
            <w:noWrap/>
            <w:vAlign w:val="bottom"/>
            <w:hideMark/>
          </w:tcPr>
          <w:p w14:paraId="6B0245D6"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513E24E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881 </w:t>
            </w:r>
          </w:p>
        </w:tc>
        <w:tc>
          <w:tcPr>
            <w:tcW w:w="598" w:type="dxa"/>
            <w:tcBorders>
              <w:top w:val="single" w:sz="4" w:space="0" w:color="auto"/>
              <w:left w:val="nil"/>
              <w:bottom w:val="nil"/>
              <w:right w:val="nil"/>
            </w:tcBorders>
            <w:shd w:val="clear" w:color="000000" w:fill="EDEDED"/>
            <w:noWrap/>
            <w:vAlign w:val="center"/>
            <w:hideMark/>
          </w:tcPr>
          <w:p w14:paraId="581A2C4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000000" w:fill="EDEDED"/>
            <w:noWrap/>
            <w:vAlign w:val="center"/>
            <w:hideMark/>
          </w:tcPr>
          <w:p w14:paraId="7F2247E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7 </w:t>
            </w:r>
          </w:p>
        </w:tc>
        <w:tc>
          <w:tcPr>
            <w:tcW w:w="598" w:type="dxa"/>
            <w:tcBorders>
              <w:top w:val="single" w:sz="4" w:space="0" w:color="auto"/>
              <w:left w:val="nil"/>
              <w:bottom w:val="nil"/>
              <w:right w:val="nil"/>
            </w:tcBorders>
            <w:shd w:val="clear" w:color="000000" w:fill="EDEDED"/>
            <w:noWrap/>
            <w:vAlign w:val="center"/>
            <w:hideMark/>
          </w:tcPr>
          <w:p w14:paraId="612D897D"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2B00642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888 </w:t>
            </w:r>
          </w:p>
        </w:tc>
        <w:tc>
          <w:tcPr>
            <w:tcW w:w="1020" w:type="dxa"/>
            <w:tcBorders>
              <w:top w:val="single" w:sz="4" w:space="0" w:color="auto"/>
              <w:left w:val="nil"/>
              <w:bottom w:val="nil"/>
              <w:right w:val="nil"/>
            </w:tcBorders>
            <w:shd w:val="clear" w:color="000000" w:fill="D6DCE4"/>
            <w:noWrap/>
            <w:vAlign w:val="center"/>
            <w:hideMark/>
          </w:tcPr>
          <w:p w14:paraId="490E89DA"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687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DCB42B1"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09CA599E"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722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32DCC9A8"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1,409 </w:t>
            </w:r>
          </w:p>
        </w:tc>
      </w:tr>
      <w:tr w:rsidR="00CF46E2" w:rsidRPr="00CF46E2" w14:paraId="017EDED8" w14:textId="77777777" w:rsidTr="00CF46E2">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0222ECE3"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nil"/>
              <w:left w:val="nil"/>
              <w:bottom w:val="nil"/>
              <w:right w:val="nil"/>
            </w:tcBorders>
            <w:shd w:val="clear" w:color="000000" w:fill="EDEDED"/>
            <w:noWrap/>
            <w:vAlign w:val="bottom"/>
            <w:hideMark/>
          </w:tcPr>
          <w:p w14:paraId="10E67E82" w14:textId="77777777" w:rsidR="00CF46E2" w:rsidRPr="00CF46E2" w:rsidRDefault="00CF46E2" w:rsidP="00CF46E2">
            <w:pPr>
              <w:rPr>
                <w:rFonts w:ascii="Calibri" w:hAnsi="Calibri" w:cs="Calibri"/>
                <w:color w:val="000000"/>
                <w:sz w:val="18"/>
                <w:szCs w:val="18"/>
                <w:lang w:eastAsia="en-GB"/>
              </w:rPr>
            </w:pPr>
            <w:r w:rsidRPr="00CF46E2">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000000" w:fill="EDEDED"/>
            <w:noWrap/>
            <w:vAlign w:val="center"/>
            <w:hideMark/>
          </w:tcPr>
          <w:p w14:paraId="759003FD"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(449) </w:t>
            </w:r>
          </w:p>
        </w:tc>
        <w:tc>
          <w:tcPr>
            <w:tcW w:w="598" w:type="dxa"/>
            <w:tcBorders>
              <w:top w:val="nil"/>
              <w:left w:val="nil"/>
              <w:bottom w:val="nil"/>
              <w:right w:val="nil"/>
            </w:tcBorders>
            <w:shd w:val="clear" w:color="000000" w:fill="EDEDED"/>
            <w:noWrap/>
            <w:vAlign w:val="center"/>
            <w:hideMark/>
          </w:tcPr>
          <w:p w14:paraId="30F5EBAF"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655F6C44"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(7) </w:t>
            </w:r>
          </w:p>
        </w:tc>
        <w:tc>
          <w:tcPr>
            <w:tcW w:w="598" w:type="dxa"/>
            <w:tcBorders>
              <w:top w:val="nil"/>
              <w:left w:val="nil"/>
              <w:bottom w:val="nil"/>
              <w:right w:val="nil"/>
            </w:tcBorders>
            <w:shd w:val="clear" w:color="000000" w:fill="EDEDED"/>
            <w:noWrap/>
            <w:vAlign w:val="center"/>
            <w:hideMark/>
          </w:tcPr>
          <w:p w14:paraId="18C968C9"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(37) </w:t>
            </w:r>
          </w:p>
        </w:tc>
        <w:tc>
          <w:tcPr>
            <w:tcW w:w="960" w:type="dxa"/>
            <w:tcBorders>
              <w:top w:val="nil"/>
              <w:left w:val="single" w:sz="8" w:space="0" w:color="auto"/>
              <w:bottom w:val="nil"/>
              <w:right w:val="single" w:sz="8" w:space="0" w:color="auto"/>
            </w:tcBorders>
            <w:shd w:val="clear" w:color="000000" w:fill="EDEDED"/>
            <w:noWrap/>
            <w:vAlign w:val="center"/>
            <w:hideMark/>
          </w:tcPr>
          <w:p w14:paraId="01C5B912"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(493) </w:t>
            </w:r>
          </w:p>
        </w:tc>
        <w:tc>
          <w:tcPr>
            <w:tcW w:w="1020" w:type="dxa"/>
            <w:tcBorders>
              <w:top w:val="nil"/>
              <w:left w:val="nil"/>
              <w:bottom w:val="nil"/>
              <w:right w:val="nil"/>
            </w:tcBorders>
            <w:shd w:val="clear" w:color="000000" w:fill="D6DCE4"/>
            <w:noWrap/>
            <w:vAlign w:val="center"/>
            <w:hideMark/>
          </w:tcPr>
          <w:p w14:paraId="1959970C"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(380)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1D0460FC"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4C0961D0"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(506) </w:t>
            </w:r>
          </w:p>
        </w:tc>
        <w:tc>
          <w:tcPr>
            <w:tcW w:w="1020" w:type="dxa"/>
            <w:tcBorders>
              <w:top w:val="nil"/>
              <w:left w:val="single" w:sz="8" w:space="0" w:color="auto"/>
              <w:bottom w:val="nil"/>
              <w:right w:val="single" w:sz="8" w:space="0" w:color="auto"/>
            </w:tcBorders>
            <w:shd w:val="clear" w:color="000000" w:fill="ACB9CA"/>
            <w:noWrap/>
            <w:vAlign w:val="center"/>
            <w:hideMark/>
          </w:tcPr>
          <w:p w14:paraId="1EFA403B" w14:textId="77777777" w:rsidR="00CF46E2" w:rsidRPr="00CF46E2" w:rsidRDefault="00CF46E2" w:rsidP="00CF46E2">
            <w:pPr>
              <w:jc w:val="right"/>
              <w:rPr>
                <w:rFonts w:ascii="Calibri" w:hAnsi="Calibri" w:cs="Calibri"/>
                <w:color w:val="000000"/>
                <w:sz w:val="18"/>
                <w:szCs w:val="18"/>
                <w:lang w:eastAsia="en-GB"/>
              </w:rPr>
            </w:pPr>
            <w:r w:rsidRPr="00CF46E2">
              <w:rPr>
                <w:rFonts w:ascii="Calibri" w:hAnsi="Calibri" w:cs="Calibri"/>
                <w:color w:val="000000"/>
                <w:sz w:val="18"/>
                <w:szCs w:val="18"/>
                <w:lang w:eastAsia="en-GB"/>
              </w:rPr>
              <w:t xml:space="preserve">(886) </w:t>
            </w:r>
          </w:p>
        </w:tc>
      </w:tr>
      <w:tr w:rsidR="00CF46E2" w:rsidRPr="00CF46E2" w14:paraId="7B6325E4" w14:textId="77777777" w:rsidTr="00CF46E2">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7B37BBEA" w14:textId="77777777" w:rsidR="00CF46E2" w:rsidRPr="00CF46E2" w:rsidRDefault="00CF46E2" w:rsidP="00CF46E2">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000000" w:fill="EDEDED"/>
            <w:noWrap/>
            <w:vAlign w:val="bottom"/>
            <w:hideMark/>
          </w:tcPr>
          <w:p w14:paraId="2430E9BC" w14:textId="77777777" w:rsidR="00CF46E2" w:rsidRPr="00CF46E2" w:rsidRDefault="00CF46E2" w:rsidP="00CF46E2">
            <w:pPr>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000000" w:fill="EDEDED"/>
            <w:noWrap/>
            <w:vAlign w:val="center"/>
            <w:hideMark/>
          </w:tcPr>
          <w:p w14:paraId="03839BB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432 </w:t>
            </w:r>
          </w:p>
        </w:tc>
        <w:tc>
          <w:tcPr>
            <w:tcW w:w="598" w:type="dxa"/>
            <w:tcBorders>
              <w:top w:val="single" w:sz="4" w:space="0" w:color="auto"/>
              <w:left w:val="nil"/>
              <w:bottom w:val="single" w:sz="4" w:space="0" w:color="auto"/>
              <w:right w:val="nil"/>
            </w:tcBorders>
            <w:shd w:val="clear" w:color="000000" w:fill="EDEDED"/>
            <w:noWrap/>
            <w:vAlign w:val="center"/>
            <w:hideMark/>
          </w:tcPr>
          <w:p w14:paraId="6AF90A0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80" w:type="dxa"/>
            <w:tcBorders>
              <w:top w:val="single" w:sz="4" w:space="0" w:color="auto"/>
              <w:left w:val="nil"/>
              <w:bottom w:val="single" w:sz="4" w:space="0" w:color="auto"/>
              <w:right w:val="nil"/>
            </w:tcBorders>
            <w:shd w:val="clear" w:color="000000" w:fill="EDEDED"/>
            <w:noWrap/>
            <w:vAlign w:val="center"/>
            <w:hideMark/>
          </w:tcPr>
          <w:p w14:paraId="6F028CE0"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000000" w:fill="EDEDED"/>
            <w:noWrap/>
            <w:vAlign w:val="center"/>
            <w:hideMark/>
          </w:tcPr>
          <w:p w14:paraId="4FE36197"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(37) </w:t>
            </w:r>
          </w:p>
        </w:tc>
        <w:tc>
          <w:tcPr>
            <w:tcW w:w="960" w:type="dxa"/>
            <w:tcBorders>
              <w:top w:val="single" w:sz="4" w:space="0" w:color="auto"/>
              <w:left w:val="single" w:sz="8" w:space="0" w:color="auto"/>
              <w:bottom w:val="single" w:sz="4" w:space="0" w:color="auto"/>
              <w:right w:val="single" w:sz="8" w:space="0" w:color="auto"/>
            </w:tcBorders>
            <w:shd w:val="clear" w:color="000000" w:fill="EDEDED"/>
            <w:noWrap/>
            <w:vAlign w:val="center"/>
            <w:hideMark/>
          </w:tcPr>
          <w:p w14:paraId="6123AD34"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395 </w:t>
            </w:r>
          </w:p>
        </w:tc>
        <w:tc>
          <w:tcPr>
            <w:tcW w:w="1020" w:type="dxa"/>
            <w:tcBorders>
              <w:top w:val="single" w:sz="4" w:space="0" w:color="auto"/>
              <w:left w:val="nil"/>
              <w:bottom w:val="single" w:sz="4" w:space="0" w:color="auto"/>
              <w:right w:val="nil"/>
            </w:tcBorders>
            <w:shd w:val="clear" w:color="000000" w:fill="D6DCE4"/>
            <w:noWrap/>
            <w:vAlign w:val="center"/>
            <w:hideMark/>
          </w:tcPr>
          <w:p w14:paraId="30B88B7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307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32CA48F1" w14:textId="77777777" w:rsidR="00CF46E2" w:rsidRPr="00CF46E2" w:rsidRDefault="00CF46E2" w:rsidP="00CF46E2">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155D05B1"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216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2CB01D5C" w14:textId="77777777" w:rsidR="00CF46E2" w:rsidRPr="00CF46E2" w:rsidRDefault="00CF46E2" w:rsidP="00CF46E2">
            <w:pPr>
              <w:jc w:val="right"/>
              <w:rPr>
                <w:rFonts w:ascii="Calibri" w:hAnsi="Calibri" w:cs="Calibri"/>
                <w:b/>
                <w:bCs/>
                <w:color w:val="000000"/>
                <w:sz w:val="18"/>
                <w:szCs w:val="18"/>
                <w:lang w:eastAsia="en-GB"/>
              </w:rPr>
            </w:pPr>
            <w:r w:rsidRPr="00CF46E2">
              <w:rPr>
                <w:rFonts w:ascii="Calibri" w:hAnsi="Calibri" w:cs="Calibri"/>
                <w:b/>
                <w:bCs/>
                <w:color w:val="000000"/>
                <w:sz w:val="18"/>
                <w:szCs w:val="18"/>
                <w:lang w:eastAsia="en-GB"/>
              </w:rPr>
              <w:t xml:space="preserve"> 523 </w:t>
            </w:r>
          </w:p>
        </w:tc>
      </w:tr>
      <w:tr w:rsidR="00CF46E2" w:rsidRPr="00CF46E2" w14:paraId="5F8066A6" w14:textId="77777777" w:rsidTr="00CF46E2">
        <w:trPr>
          <w:trHeight w:val="34"/>
        </w:trPr>
        <w:tc>
          <w:tcPr>
            <w:tcW w:w="308" w:type="dxa"/>
            <w:tcBorders>
              <w:top w:val="nil"/>
              <w:left w:val="single" w:sz="8" w:space="0" w:color="auto"/>
              <w:bottom w:val="single" w:sz="8" w:space="0" w:color="auto"/>
              <w:right w:val="nil"/>
            </w:tcBorders>
            <w:shd w:val="clear" w:color="auto" w:fill="auto"/>
            <w:noWrap/>
            <w:vAlign w:val="center"/>
            <w:hideMark/>
          </w:tcPr>
          <w:p w14:paraId="25B18302" w14:textId="77777777" w:rsidR="00CF46E2" w:rsidRPr="00CF46E2" w:rsidRDefault="00CF46E2" w:rsidP="00CF46E2">
            <w:pPr>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848" w:type="dxa"/>
            <w:tcBorders>
              <w:top w:val="nil"/>
              <w:left w:val="nil"/>
              <w:bottom w:val="single" w:sz="8" w:space="0" w:color="auto"/>
              <w:right w:val="nil"/>
            </w:tcBorders>
            <w:shd w:val="clear" w:color="auto" w:fill="auto"/>
            <w:noWrap/>
            <w:vAlign w:val="bottom"/>
            <w:hideMark/>
          </w:tcPr>
          <w:p w14:paraId="25FB9BDA" w14:textId="77777777" w:rsidR="00CF46E2" w:rsidRPr="00CF46E2" w:rsidRDefault="00CF46E2" w:rsidP="00CF46E2">
            <w:pPr>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096AF8B"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single" w:sz="8" w:space="0" w:color="auto"/>
              <w:right w:val="nil"/>
            </w:tcBorders>
            <w:shd w:val="clear" w:color="auto" w:fill="auto"/>
            <w:noWrap/>
            <w:vAlign w:val="bottom"/>
            <w:hideMark/>
          </w:tcPr>
          <w:p w14:paraId="6FD94DEC"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80" w:type="dxa"/>
            <w:tcBorders>
              <w:top w:val="nil"/>
              <w:left w:val="nil"/>
              <w:bottom w:val="single" w:sz="8" w:space="0" w:color="auto"/>
              <w:right w:val="nil"/>
            </w:tcBorders>
            <w:shd w:val="clear" w:color="auto" w:fill="auto"/>
            <w:noWrap/>
            <w:vAlign w:val="bottom"/>
            <w:hideMark/>
          </w:tcPr>
          <w:p w14:paraId="7E8F3C2F"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598" w:type="dxa"/>
            <w:tcBorders>
              <w:top w:val="nil"/>
              <w:left w:val="nil"/>
              <w:bottom w:val="single" w:sz="8" w:space="0" w:color="auto"/>
              <w:right w:val="nil"/>
            </w:tcBorders>
            <w:shd w:val="clear" w:color="auto" w:fill="auto"/>
            <w:noWrap/>
            <w:vAlign w:val="bottom"/>
            <w:hideMark/>
          </w:tcPr>
          <w:p w14:paraId="5804D52D"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C731429"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single" w:sz="8" w:space="0" w:color="auto"/>
              <w:right w:val="nil"/>
            </w:tcBorders>
            <w:shd w:val="clear" w:color="000000" w:fill="D6DCE4"/>
            <w:noWrap/>
            <w:vAlign w:val="bottom"/>
            <w:hideMark/>
          </w:tcPr>
          <w:p w14:paraId="75D9498D"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308" w:type="dxa"/>
            <w:tcBorders>
              <w:top w:val="nil"/>
              <w:left w:val="nil"/>
              <w:bottom w:val="single" w:sz="8" w:space="0" w:color="auto"/>
              <w:right w:val="nil"/>
            </w:tcBorders>
            <w:shd w:val="clear" w:color="auto" w:fill="auto"/>
            <w:noWrap/>
            <w:vAlign w:val="center"/>
            <w:hideMark/>
          </w:tcPr>
          <w:p w14:paraId="2BE78C34" w14:textId="77777777" w:rsidR="00CF46E2" w:rsidRPr="00CF46E2" w:rsidRDefault="00CF46E2" w:rsidP="00CF46E2">
            <w:pPr>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nil"/>
              <w:bottom w:val="single" w:sz="8" w:space="0" w:color="auto"/>
              <w:right w:val="nil"/>
            </w:tcBorders>
            <w:shd w:val="clear" w:color="000000" w:fill="D6DCE4"/>
            <w:noWrap/>
            <w:vAlign w:val="bottom"/>
            <w:hideMark/>
          </w:tcPr>
          <w:p w14:paraId="6CFA629B"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c>
          <w:tcPr>
            <w:tcW w:w="1020" w:type="dxa"/>
            <w:tcBorders>
              <w:top w:val="nil"/>
              <w:left w:val="single" w:sz="8" w:space="0" w:color="auto"/>
              <w:bottom w:val="single" w:sz="8" w:space="0" w:color="auto"/>
              <w:right w:val="single" w:sz="8" w:space="0" w:color="auto"/>
            </w:tcBorders>
            <w:shd w:val="clear" w:color="000000" w:fill="ACB9CA"/>
            <w:noWrap/>
            <w:vAlign w:val="bottom"/>
            <w:hideMark/>
          </w:tcPr>
          <w:p w14:paraId="5CA5CB98" w14:textId="77777777" w:rsidR="00CF46E2" w:rsidRPr="00CF46E2" w:rsidRDefault="00CF46E2" w:rsidP="00CF46E2">
            <w:pPr>
              <w:jc w:val="right"/>
              <w:rPr>
                <w:rFonts w:ascii="Calibri" w:hAnsi="Calibri" w:cs="Calibri"/>
                <w:color w:val="000000"/>
                <w:sz w:val="2"/>
                <w:szCs w:val="2"/>
                <w:lang w:eastAsia="en-GB"/>
              </w:rPr>
            </w:pPr>
            <w:r w:rsidRPr="00CF46E2">
              <w:rPr>
                <w:rFonts w:ascii="Calibri" w:hAnsi="Calibri" w:cs="Calibri"/>
                <w:color w:val="000000"/>
                <w:sz w:val="2"/>
                <w:szCs w:val="2"/>
                <w:lang w:eastAsia="en-GB"/>
              </w:rPr>
              <w:t> </w:t>
            </w:r>
          </w:p>
        </w:tc>
      </w:tr>
    </w:tbl>
    <w:p w14:paraId="5BEEE5BD" w14:textId="77777777" w:rsidR="00670082" w:rsidRPr="00C9669A" w:rsidRDefault="00670082" w:rsidP="00670082">
      <w:pPr>
        <w:spacing w:after="80"/>
        <w:rPr>
          <w:rFonts w:asciiTheme="minorHAnsi" w:hAnsiTheme="minorHAnsi"/>
          <w:b/>
          <w:sz w:val="16"/>
          <w:szCs w:val="16"/>
          <w:lang w:eastAsia="en-IE"/>
        </w:rPr>
      </w:pPr>
      <w:r w:rsidRPr="00C9669A">
        <w:rPr>
          <w:rFonts w:asciiTheme="minorHAnsi" w:hAnsiTheme="minorHAnsi"/>
          <w:b/>
          <w:sz w:val="16"/>
          <w:szCs w:val="16"/>
          <w:lang w:eastAsia="en-IE"/>
        </w:rPr>
        <w:t>Adjustments:</w:t>
      </w:r>
    </w:p>
    <w:p w14:paraId="76F07207" w14:textId="77777777" w:rsidR="00670082" w:rsidRDefault="00670082" w:rsidP="009B6BB8">
      <w:pPr>
        <w:pStyle w:val="ListParagraph"/>
        <w:numPr>
          <w:ilvl w:val="0"/>
          <w:numId w:val="21"/>
        </w:numPr>
        <w:spacing w:after="80"/>
        <w:jc w:val="both"/>
        <w:rPr>
          <w:rFonts w:asciiTheme="minorHAnsi" w:hAnsiTheme="minorHAnsi"/>
          <w:sz w:val="16"/>
          <w:szCs w:val="16"/>
          <w:lang w:eastAsia="en-IE"/>
        </w:rPr>
      </w:pPr>
      <w:r w:rsidRPr="00C9669A">
        <w:rPr>
          <w:rFonts w:asciiTheme="minorHAnsi" w:hAnsiTheme="minorHAnsi"/>
          <w:b/>
          <w:sz w:val="16"/>
          <w:szCs w:val="16"/>
          <w:lang w:eastAsia="en-IE"/>
        </w:rPr>
        <w:t>TSG US financials</w:t>
      </w:r>
      <w:r w:rsidR="000E23EC" w:rsidRPr="00C9669A">
        <w:rPr>
          <w:rFonts w:asciiTheme="minorHAnsi" w:hAnsiTheme="minorHAnsi"/>
          <w:b/>
          <w:sz w:val="16"/>
          <w:szCs w:val="16"/>
          <w:lang w:eastAsia="en-IE"/>
        </w:rPr>
        <w:t>:</w:t>
      </w:r>
      <w:r w:rsidRPr="00163F70">
        <w:rPr>
          <w:rFonts w:asciiTheme="minorHAnsi" w:hAnsiTheme="minorHAnsi"/>
          <w:sz w:val="16"/>
          <w:szCs w:val="16"/>
          <w:lang w:eastAsia="en-IE"/>
        </w:rPr>
        <w:t xml:space="preserve"> </w:t>
      </w:r>
      <w:r w:rsidR="000E23EC">
        <w:rPr>
          <w:rFonts w:asciiTheme="minorHAnsi" w:hAnsiTheme="minorHAnsi"/>
          <w:sz w:val="16"/>
          <w:szCs w:val="16"/>
          <w:lang w:eastAsia="en-IE"/>
        </w:rPr>
        <w:t xml:space="preserve">These </w:t>
      </w:r>
      <w:r w:rsidR="0006187D">
        <w:rPr>
          <w:rFonts w:asciiTheme="minorHAnsi" w:hAnsiTheme="minorHAnsi"/>
          <w:sz w:val="16"/>
          <w:szCs w:val="16"/>
          <w:lang w:eastAsia="en-IE"/>
        </w:rPr>
        <w:t xml:space="preserve">were previously reported within TSG International </w:t>
      </w:r>
      <w:r w:rsidRPr="00163F70">
        <w:rPr>
          <w:rFonts w:asciiTheme="minorHAnsi" w:hAnsiTheme="minorHAnsi"/>
          <w:sz w:val="16"/>
          <w:szCs w:val="16"/>
          <w:lang w:eastAsia="en-IE"/>
        </w:rPr>
        <w:t>and 'Corporate'</w:t>
      </w:r>
      <w:r w:rsidR="001E5804">
        <w:rPr>
          <w:rFonts w:asciiTheme="minorHAnsi" w:hAnsiTheme="minorHAnsi"/>
          <w:sz w:val="16"/>
          <w:szCs w:val="16"/>
          <w:lang w:eastAsia="en-IE"/>
        </w:rPr>
        <w:t>, they have</w:t>
      </w:r>
      <w:r w:rsidR="0006187D">
        <w:rPr>
          <w:rFonts w:asciiTheme="minorHAnsi" w:hAnsiTheme="minorHAnsi"/>
          <w:sz w:val="16"/>
          <w:szCs w:val="16"/>
          <w:lang w:eastAsia="en-IE"/>
        </w:rPr>
        <w:t xml:space="preserve"> now </w:t>
      </w:r>
      <w:r>
        <w:rPr>
          <w:rFonts w:asciiTheme="minorHAnsi" w:hAnsiTheme="minorHAnsi"/>
          <w:sz w:val="16"/>
          <w:szCs w:val="16"/>
          <w:lang w:eastAsia="en-IE"/>
        </w:rPr>
        <w:t>moved to Flutter</w:t>
      </w:r>
      <w:r w:rsidR="00D57E54">
        <w:rPr>
          <w:rFonts w:asciiTheme="minorHAnsi" w:hAnsiTheme="minorHAnsi"/>
          <w:sz w:val="16"/>
          <w:szCs w:val="16"/>
          <w:lang w:eastAsia="en-IE"/>
        </w:rPr>
        <w:t>’s</w:t>
      </w:r>
      <w:r w:rsidRPr="00163F70">
        <w:rPr>
          <w:rFonts w:asciiTheme="minorHAnsi" w:hAnsiTheme="minorHAnsi"/>
          <w:sz w:val="16"/>
          <w:szCs w:val="16"/>
          <w:lang w:eastAsia="en-IE"/>
        </w:rPr>
        <w:t xml:space="preserve"> US division</w:t>
      </w:r>
      <w:r w:rsidR="00B16C7A">
        <w:rPr>
          <w:rFonts w:asciiTheme="minorHAnsi" w:hAnsiTheme="minorHAnsi"/>
          <w:sz w:val="16"/>
          <w:szCs w:val="16"/>
          <w:lang w:eastAsia="en-IE"/>
        </w:rPr>
        <w:t>.</w:t>
      </w:r>
      <w:r w:rsidR="00D57E54">
        <w:rPr>
          <w:rFonts w:asciiTheme="minorHAnsi" w:hAnsiTheme="minorHAnsi"/>
          <w:sz w:val="16"/>
          <w:szCs w:val="16"/>
          <w:lang w:eastAsia="en-IE"/>
        </w:rPr>
        <w:t xml:space="preserve"> This increases </w:t>
      </w:r>
      <w:r w:rsidR="001E5804">
        <w:rPr>
          <w:rFonts w:asciiTheme="minorHAnsi" w:hAnsiTheme="minorHAnsi"/>
          <w:sz w:val="16"/>
          <w:szCs w:val="16"/>
          <w:lang w:eastAsia="en-IE"/>
        </w:rPr>
        <w:t xml:space="preserve">the </w:t>
      </w:r>
      <w:r w:rsidR="00D57E54">
        <w:rPr>
          <w:rFonts w:asciiTheme="minorHAnsi" w:hAnsiTheme="minorHAnsi"/>
          <w:sz w:val="16"/>
          <w:szCs w:val="16"/>
          <w:lang w:eastAsia="en-IE"/>
        </w:rPr>
        <w:t xml:space="preserve">profitability of International and increases the loss in the US. The </w:t>
      </w:r>
      <w:r w:rsidR="00D57E54" w:rsidRPr="00C9669A">
        <w:rPr>
          <w:rFonts w:asciiTheme="minorHAnsi" w:hAnsiTheme="minorHAnsi"/>
          <w:sz w:val="16"/>
          <w:szCs w:val="16"/>
          <w:u w:val="single"/>
          <w:lang w:eastAsia="en-IE"/>
        </w:rPr>
        <w:t>net</w:t>
      </w:r>
      <w:r w:rsidR="00D57E54">
        <w:rPr>
          <w:rFonts w:asciiTheme="minorHAnsi" w:hAnsiTheme="minorHAnsi"/>
          <w:sz w:val="16"/>
          <w:szCs w:val="16"/>
          <w:lang w:eastAsia="en-IE"/>
        </w:rPr>
        <w:t xml:space="preserve"> EBITDA impact of this change is nil.</w:t>
      </w:r>
    </w:p>
    <w:p w14:paraId="015365BE" w14:textId="77777777" w:rsidR="00670082" w:rsidRPr="00C9669A" w:rsidRDefault="00670082" w:rsidP="009B6BB8">
      <w:pPr>
        <w:pStyle w:val="ListParagraph"/>
        <w:numPr>
          <w:ilvl w:val="0"/>
          <w:numId w:val="21"/>
        </w:numPr>
        <w:spacing w:after="80"/>
        <w:jc w:val="both"/>
        <w:rPr>
          <w:rFonts w:asciiTheme="minorHAnsi" w:hAnsiTheme="minorHAnsi"/>
          <w:b/>
          <w:sz w:val="16"/>
          <w:szCs w:val="16"/>
          <w:lang w:eastAsia="en-IE"/>
        </w:rPr>
      </w:pPr>
      <w:r w:rsidRPr="00C9669A">
        <w:rPr>
          <w:rFonts w:asciiTheme="minorHAnsi" w:hAnsiTheme="minorHAnsi"/>
          <w:b/>
          <w:sz w:val="16"/>
          <w:szCs w:val="16"/>
          <w:lang w:eastAsia="en-IE"/>
        </w:rPr>
        <w:t xml:space="preserve">Accounting treatment adjustments – </w:t>
      </w:r>
      <w:r w:rsidR="00D57E54" w:rsidRPr="00C9669A">
        <w:rPr>
          <w:rFonts w:asciiTheme="minorHAnsi" w:hAnsiTheme="minorHAnsi"/>
          <w:b/>
          <w:sz w:val="16"/>
          <w:szCs w:val="16"/>
          <w:lang w:eastAsia="en-IE"/>
        </w:rPr>
        <w:t>R</w:t>
      </w:r>
      <w:r w:rsidRPr="00C9669A">
        <w:rPr>
          <w:rFonts w:asciiTheme="minorHAnsi" w:hAnsiTheme="minorHAnsi"/>
          <w:b/>
          <w:sz w:val="16"/>
          <w:szCs w:val="16"/>
          <w:lang w:eastAsia="en-IE"/>
        </w:rPr>
        <w:t>eclassifications:</w:t>
      </w:r>
    </w:p>
    <w:p w14:paraId="7772CC6A" w14:textId="77777777" w:rsidR="00D57E54" w:rsidRPr="00C9669A" w:rsidRDefault="00670082" w:rsidP="00D57E54">
      <w:pPr>
        <w:pStyle w:val="ListParagraph"/>
        <w:spacing w:after="80"/>
        <w:jc w:val="both"/>
        <w:rPr>
          <w:rFonts w:asciiTheme="minorHAnsi" w:hAnsiTheme="minorHAnsi"/>
          <w:sz w:val="16"/>
          <w:szCs w:val="16"/>
          <w:lang w:eastAsia="en-IE"/>
        </w:rPr>
      </w:pPr>
      <w:r w:rsidRPr="00C9669A">
        <w:rPr>
          <w:rFonts w:asciiTheme="minorHAnsi" w:hAnsiTheme="minorHAnsi"/>
          <w:sz w:val="16"/>
          <w:szCs w:val="16"/>
          <w:u w:val="single"/>
          <w:lang w:eastAsia="en-IE"/>
        </w:rPr>
        <w:t>Revenue recognition:</w:t>
      </w:r>
      <w:r w:rsidRPr="000E23EC">
        <w:rPr>
          <w:rFonts w:asciiTheme="minorHAnsi" w:hAnsiTheme="minorHAnsi"/>
          <w:sz w:val="16"/>
          <w:szCs w:val="16"/>
          <w:lang w:eastAsia="en-IE"/>
        </w:rPr>
        <w:t xml:space="preserve"> </w:t>
      </w:r>
      <w:r w:rsidR="00D57E54" w:rsidRPr="00C9669A">
        <w:rPr>
          <w:rFonts w:asciiTheme="minorHAnsi" w:hAnsiTheme="minorHAnsi"/>
          <w:sz w:val="16"/>
          <w:szCs w:val="16"/>
          <w:lang w:eastAsia="en-IE"/>
        </w:rPr>
        <w:t xml:space="preserve">The most material change here is in </w:t>
      </w:r>
      <w:r w:rsidRPr="00C9669A">
        <w:rPr>
          <w:rFonts w:asciiTheme="minorHAnsi" w:hAnsiTheme="minorHAnsi"/>
          <w:sz w:val="16"/>
          <w:szCs w:val="16"/>
          <w:lang w:eastAsia="en-IE"/>
        </w:rPr>
        <w:t xml:space="preserve">Australia </w:t>
      </w:r>
      <w:r w:rsidR="00D57E54" w:rsidRPr="00C9669A">
        <w:rPr>
          <w:rFonts w:asciiTheme="minorHAnsi" w:hAnsiTheme="minorHAnsi"/>
          <w:sz w:val="16"/>
          <w:szCs w:val="16"/>
          <w:lang w:eastAsia="en-IE"/>
        </w:rPr>
        <w:t>where TSG report</w:t>
      </w:r>
      <w:r w:rsidR="000E23EC">
        <w:rPr>
          <w:rFonts w:asciiTheme="minorHAnsi" w:hAnsiTheme="minorHAnsi"/>
          <w:sz w:val="16"/>
          <w:szCs w:val="16"/>
          <w:lang w:eastAsia="en-IE"/>
        </w:rPr>
        <w:t>ed</w:t>
      </w:r>
      <w:r w:rsidR="00D57E54" w:rsidRPr="00C9669A">
        <w:rPr>
          <w:rFonts w:asciiTheme="minorHAnsi" w:hAnsiTheme="minorHAnsi"/>
          <w:sz w:val="16"/>
          <w:szCs w:val="16"/>
          <w:lang w:eastAsia="en-IE"/>
        </w:rPr>
        <w:t xml:space="preserve"> revenue excluding </w:t>
      </w:r>
      <w:r w:rsidRPr="00C9669A">
        <w:rPr>
          <w:rFonts w:asciiTheme="minorHAnsi" w:hAnsiTheme="minorHAnsi"/>
          <w:sz w:val="16"/>
          <w:szCs w:val="16"/>
          <w:lang w:eastAsia="en-IE"/>
        </w:rPr>
        <w:t>G</w:t>
      </w:r>
      <w:r w:rsidR="00506B22" w:rsidRPr="00C9669A">
        <w:rPr>
          <w:rFonts w:asciiTheme="minorHAnsi" w:hAnsiTheme="minorHAnsi"/>
          <w:sz w:val="16"/>
          <w:szCs w:val="16"/>
          <w:lang w:eastAsia="en-IE"/>
        </w:rPr>
        <w:t>oods and Services Tax (“GST”)</w:t>
      </w:r>
      <w:r w:rsidR="00D57E54" w:rsidRPr="00C9669A">
        <w:rPr>
          <w:rFonts w:asciiTheme="minorHAnsi" w:hAnsiTheme="minorHAnsi"/>
          <w:sz w:val="16"/>
          <w:szCs w:val="16"/>
          <w:lang w:eastAsia="en-IE"/>
        </w:rPr>
        <w:t>. Flutter includes GST within revenue with a corresponding deduction</w:t>
      </w:r>
      <w:r w:rsidR="000E23EC">
        <w:rPr>
          <w:rFonts w:asciiTheme="minorHAnsi" w:hAnsiTheme="minorHAnsi"/>
          <w:sz w:val="16"/>
          <w:szCs w:val="16"/>
          <w:lang w:eastAsia="en-IE"/>
        </w:rPr>
        <w:t xml:space="preserve"> in the </w:t>
      </w:r>
      <w:r w:rsidRPr="00C9669A">
        <w:rPr>
          <w:rFonts w:asciiTheme="minorHAnsi" w:hAnsiTheme="minorHAnsi"/>
          <w:sz w:val="16"/>
          <w:szCs w:val="16"/>
          <w:lang w:eastAsia="en-IE"/>
        </w:rPr>
        <w:t>cost of sale</w:t>
      </w:r>
      <w:r w:rsidR="00D57E54" w:rsidRPr="00C9669A">
        <w:rPr>
          <w:rFonts w:asciiTheme="minorHAnsi" w:hAnsiTheme="minorHAnsi"/>
          <w:sz w:val="16"/>
          <w:szCs w:val="16"/>
          <w:lang w:eastAsia="en-IE"/>
        </w:rPr>
        <w:t>s</w:t>
      </w:r>
      <w:r w:rsidR="000E23EC">
        <w:rPr>
          <w:rFonts w:asciiTheme="minorHAnsi" w:hAnsiTheme="minorHAnsi"/>
          <w:sz w:val="16"/>
          <w:szCs w:val="16"/>
          <w:lang w:eastAsia="en-IE"/>
        </w:rPr>
        <w:t xml:space="preserve"> line</w:t>
      </w:r>
      <w:r w:rsidRPr="00C9669A">
        <w:rPr>
          <w:rFonts w:asciiTheme="minorHAnsi" w:hAnsiTheme="minorHAnsi"/>
          <w:sz w:val="16"/>
          <w:szCs w:val="16"/>
          <w:lang w:eastAsia="en-IE"/>
        </w:rPr>
        <w:t xml:space="preserve">. </w:t>
      </w:r>
    </w:p>
    <w:p w14:paraId="0A18E6AA" w14:textId="77777777" w:rsidR="00670082" w:rsidRPr="00C9669A" w:rsidRDefault="00D57E54" w:rsidP="00D57E54">
      <w:pPr>
        <w:pStyle w:val="ListParagraph"/>
        <w:spacing w:after="80"/>
        <w:jc w:val="both"/>
        <w:rPr>
          <w:rFonts w:asciiTheme="minorHAnsi" w:hAnsiTheme="minorHAnsi"/>
          <w:sz w:val="16"/>
          <w:szCs w:val="16"/>
          <w:lang w:eastAsia="en-IE"/>
        </w:rPr>
      </w:pPr>
      <w:r w:rsidRPr="000E23EC">
        <w:rPr>
          <w:rFonts w:asciiTheme="minorHAnsi" w:hAnsiTheme="minorHAnsi"/>
          <w:sz w:val="16"/>
          <w:szCs w:val="16"/>
          <w:lang w:eastAsia="en-IE"/>
        </w:rPr>
        <w:t xml:space="preserve">UK Intercompany transactions: </w:t>
      </w:r>
      <w:r w:rsidR="0064789C">
        <w:rPr>
          <w:rFonts w:asciiTheme="minorHAnsi" w:hAnsiTheme="minorHAnsi"/>
          <w:sz w:val="16"/>
          <w:szCs w:val="16"/>
          <w:lang w:eastAsia="en-IE"/>
        </w:rPr>
        <w:t>C</w:t>
      </w:r>
      <w:r w:rsidR="000E23EC">
        <w:rPr>
          <w:rFonts w:asciiTheme="minorHAnsi" w:hAnsiTheme="minorHAnsi"/>
          <w:sz w:val="16"/>
          <w:szCs w:val="16"/>
          <w:lang w:eastAsia="en-IE"/>
        </w:rPr>
        <w:t xml:space="preserve">ertain costs and revenues that had been </w:t>
      </w:r>
      <w:r w:rsidRPr="000E23EC">
        <w:rPr>
          <w:rFonts w:asciiTheme="minorHAnsi" w:hAnsiTheme="minorHAnsi"/>
          <w:sz w:val="16"/>
          <w:szCs w:val="16"/>
          <w:lang w:eastAsia="en-IE"/>
        </w:rPr>
        <w:t xml:space="preserve">removed at a consolidated </w:t>
      </w:r>
      <w:r w:rsidR="000E23EC">
        <w:rPr>
          <w:rFonts w:asciiTheme="minorHAnsi" w:hAnsiTheme="minorHAnsi"/>
          <w:sz w:val="16"/>
          <w:szCs w:val="16"/>
          <w:lang w:eastAsia="en-IE"/>
        </w:rPr>
        <w:t xml:space="preserve">Group </w:t>
      </w:r>
      <w:r w:rsidRPr="000E23EC">
        <w:rPr>
          <w:rFonts w:asciiTheme="minorHAnsi" w:hAnsiTheme="minorHAnsi"/>
          <w:sz w:val="16"/>
          <w:szCs w:val="16"/>
          <w:lang w:eastAsia="en-IE"/>
        </w:rPr>
        <w:t xml:space="preserve">level, via the corporate cost centre, </w:t>
      </w:r>
      <w:r w:rsidR="0064789C">
        <w:rPr>
          <w:rFonts w:asciiTheme="minorHAnsi" w:hAnsiTheme="minorHAnsi"/>
          <w:sz w:val="16"/>
          <w:szCs w:val="16"/>
          <w:lang w:eastAsia="en-IE"/>
        </w:rPr>
        <w:t xml:space="preserve">are now </w:t>
      </w:r>
      <w:r w:rsidRPr="000E23EC">
        <w:rPr>
          <w:rFonts w:asciiTheme="minorHAnsi" w:hAnsiTheme="minorHAnsi"/>
          <w:sz w:val="16"/>
          <w:szCs w:val="16"/>
          <w:lang w:eastAsia="en-IE"/>
        </w:rPr>
        <w:t xml:space="preserve">consolidated within SBG per Flutter policies. </w:t>
      </w:r>
      <w:r w:rsidRPr="00C9669A">
        <w:rPr>
          <w:rFonts w:asciiTheme="minorHAnsi" w:hAnsiTheme="minorHAnsi"/>
          <w:sz w:val="16"/>
          <w:szCs w:val="16"/>
          <w:lang w:eastAsia="en-IE"/>
        </w:rPr>
        <w:t xml:space="preserve">Separately </w:t>
      </w:r>
      <w:r w:rsidR="00670082" w:rsidRPr="00C9669A">
        <w:rPr>
          <w:rFonts w:asciiTheme="minorHAnsi" w:hAnsiTheme="minorHAnsi"/>
          <w:sz w:val="16"/>
          <w:szCs w:val="16"/>
          <w:lang w:eastAsia="en-IE"/>
        </w:rPr>
        <w:t xml:space="preserve">TSG previously recorded an ‘Other income’ line in </w:t>
      </w:r>
      <w:r w:rsidR="0064789C">
        <w:rPr>
          <w:rFonts w:asciiTheme="minorHAnsi" w:hAnsiTheme="minorHAnsi"/>
          <w:sz w:val="16"/>
          <w:szCs w:val="16"/>
          <w:lang w:eastAsia="en-IE"/>
        </w:rPr>
        <w:t xml:space="preserve">each of </w:t>
      </w:r>
      <w:r w:rsidR="00670082" w:rsidRPr="00C9669A">
        <w:rPr>
          <w:rFonts w:asciiTheme="minorHAnsi" w:hAnsiTheme="minorHAnsi"/>
          <w:sz w:val="16"/>
          <w:szCs w:val="16"/>
          <w:lang w:eastAsia="en-IE"/>
        </w:rPr>
        <w:t xml:space="preserve">its divisions, which </w:t>
      </w:r>
      <w:r w:rsidR="0064789C">
        <w:rPr>
          <w:rFonts w:asciiTheme="minorHAnsi" w:hAnsiTheme="minorHAnsi"/>
          <w:sz w:val="16"/>
          <w:szCs w:val="16"/>
          <w:lang w:eastAsia="en-IE"/>
        </w:rPr>
        <w:t xml:space="preserve">has </w:t>
      </w:r>
      <w:r w:rsidR="00670082" w:rsidRPr="00C9669A">
        <w:rPr>
          <w:rFonts w:asciiTheme="minorHAnsi" w:hAnsiTheme="minorHAnsi"/>
          <w:sz w:val="16"/>
          <w:szCs w:val="16"/>
          <w:lang w:eastAsia="en-IE"/>
        </w:rPr>
        <w:t>been reallocated to sports or gaming as appropriate</w:t>
      </w:r>
      <w:r w:rsidRPr="00C9669A">
        <w:rPr>
          <w:rFonts w:asciiTheme="minorHAnsi" w:hAnsiTheme="minorHAnsi"/>
          <w:sz w:val="16"/>
          <w:szCs w:val="16"/>
          <w:lang w:eastAsia="en-IE"/>
        </w:rPr>
        <w:t>. This</w:t>
      </w:r>
      <w:r w:rsidR="00670082" w:rsidRPr="00C9669A">
        <w:rPr>
          <w:rFonts w:asciiTheme="minorHAnsi" w:hAnsiTheme="minorHAnsi"/>
          <w:sz w:val="16"/>
          <w:szCs w:val="16"/>
          <w:lang w:eastAsia="en-IE"/>
        </w:rPr>
        <w:t xml:space="preserve"> </w:t>
      </w:r>
      <w:r w:rsidRPr="00C9669A">
        <w:rPr>
          <w:rFonts w:asciiTheme="minorHAnsi" w:hAnsiTheme="minorHAnsi"/>
          <w:sz w:val="16"/>
          <w:szCs w:val="16"/>
          <w:lang w:eastAsia="en-IE"/>
        </w:rPr>
        <w:t xml:space="preserve">is </w:t>
      </w:r>
      <w:r w:rsidR="00670082" w:rsidRPr="00C9669A">
        <w:rPr>
          <w:rFonts w:asciiTheme="minorHAnsi" w:hAnsiTheme="minorHAnsi"/>
          <w:sz w:val="16"/>
          <w:szCs w:val="16"/>
          <w:lang w:eastAsia="en-IE"/>
        </w:rPr>
        <w:t>not visible in the table above</w:t>
      </w:r>
      <w:r w:rsidR="00B16C7A" w:rsidRPr="00C9669A">
        <w:rPr>
          <w:rFonts w:asciiTheme="minorHAnsi" w:hAnsiTheme="minorHAnsi"/>
          <w:sz w:val="16"/>
          <w:szCs w:val="16"/>
          <w:lang w:eastAsia="en-IE"/>
        </w:rPr>
        <w:t>.</w:t>
      </w:r>
    </w:p>
    <w:p w14:paraId="7855B2D7" w14:textId="77777777" w:rsidR="00670082" w:rsidRDefault="00670082" w:rsidP="00D2298F">
      <w:pPr>
        <w:pStyle w:val="ListParagraph"/>
        <w:spacing w:after="80"/>
        <w:jc w:val="both"/>
        <w:rPr>
          <w:rFonts w:asciiTheme="minorHAnsi" w:hAnsiTheme="minorHAnsi"/>
          <w:i/>
          <w:sz w:val="16"/>
          <w:szCs w:val="16"/>
          <w:lang w:eastAsia="en-IE"/>
        </w:rPr>
      </w:pPr>
      <w:r w:rsidRPr="00C9669A">
        <w:rPr>
          <w:rFonts w:asciiTheme="minorHAnsi" w:hAnsiTheme="minorHAnsi"/>
          <w:sz w:val="16"/>
          <w:szCs w:val="16"/>
          <w:u w:val="single"/>
          <w:lang w:eastAsia="en-IE"/>
        </w:rPr>
        <w:t>Expense allocation:</w:t>
      </w:r>
      <w:r w:rsidRPr="000E23EC">
        <w:rPr>
          <w:rFonts w:asciiTheme="minorHAnsi" w:hAnsiTheme="minorHAnsi"/>
          <w:sz w:val="16"/>
          <w:szCs w:val="16"/>
          <w:lang w:eastAsia="en-IE"/>
        </w:rPr>
        <w:t xml:space="preserve"> Reallocation of expenses </w:t>
      </w:r>
      <w:r w:rsidR="000E23EC">
        <w:rPr>
          <w:rFonts w:asciiTheme="minorHAnsi" w:hAnsiTheme="minorHAnsi"/>
          <w:sz w:val="16"/>
          <w:szCs w:val="16"/>
          <w:lang w:eastAsia="en-IE"/>
        </w:rPr>
        <w:t xml:space="preserve">between </w:t>
      </w:r>
      <w:r w:rsidRPr="000E23EC">
        <w:rPr>
          <w:rFonts w:asciiTheme="minorHAnsi" w:hAnsiTheme="minorHAnsi"/>
          <w:sz w:val="16"/>
          <w:szCs w:val="16"/>
          <w:lang w:eastAsia="en-IE"/>
        </w:rPr>
        <w:t xml:space="preserve">cost of sales and operating expenses, </w:t>
      </w:r>
      <w:r w:rsidRPr="00163F70">
        <w:rPr>
          <w:rFonts w:asciiTheme="minorHAnsi" w:hAnsiTheme="minorHAnsi"/>
          <w:sz w:val="16"/>
          <w:szCs w:val="16"/>
          <w:lang w:eastAsia="en-IE"/>
        </w:rPr>
        <w:t>principally relating t</w:t>
      </w:r>
      <w:r>
        <w:rPr>
          <w:rFonts w:asciiTheme="minorHAnsi" w:hAnsiTheme="minorHAnsi"/>
          <w:sz w:val="16"/>
          <w:szCs w:val="16"/>
          <w:lang w:eastAsia="en-IE"/>
        </w:rPr>
        <w:t>o</w:t>
      </w:r>
      <w:r w:rsidRPr="00163F70">
        <w:rPr>
          <w:rFonts w:asciiTheme="minorHAnsi" w:hAnsiTheme="minorHAnsi"/>
          <w:sz w:val="16"/>
          <w:szCs w:val="16"/>
          <w:lang w:eastAsia="en-IE"/>
        </w:rPr>
        <w:t xml:space="preserve"> </w:t>
      </w:r>
      <w:r w:rsidR="00D57E54">
        <w:rPr>
          <w:rFonts w:asciiTheme="minorHAnsi" w:hAnsiTheme="minorHAnsi"/>
          <w:sz w:val="16"/>
          <w:szCs w:val="16"/>
          <w:lang w:eastAsia="en-IE"/>
        </w:rPr>
        <w:t xml:space="preserve">treatment of </w:t>
      </w:r>
      <w:r w:rsidRPr="00163F70">
        <w:rPr>
          <w:rFonts w:asciiTheme="minorHAnsi" w:hAnsiTheme="minorHAnsi"/>
          <w:sz w:val="16"/>
          <w:szCs w:val="16"/>
          <w:lang w:eastAsia="en-IE"/>
        </w:rPr>
        <w:t xml:space="preserve">affiliates, licensing, streaming, and other costs. </w:t>
      </w:r>
    </w:p>
    <w:p w14:paraId="0ABACCF5" w14:textId="77777777" w:rsidR="00670082" w:rsidRDefault="0064789C" w:rsidP="00D2298F">
      <w:pPr>
        <w:pStyle w:val="ListParagraph"/>
        <w:spacing w:after="80"/>
        <w:jc w:val="both"/>
        <w:rPr>
          <w:rFonts w:asciiTheme="minorHAnsi" w:hAnsiTheme="minorHAnsi"/>
          <w:sz w:val="16"/>
          <w:szCs w:val="16"/>
          <w:lang w:eastAsia="en-IE"/>
        </w:rPr>
      </w:pPr>
      <w:r>
        <w:rPr>
          <w:rFonts w:asciiTheme="minorHAnsi" w:hAnsiTheme="minorHAnsi"/>
          <w:sz w:val="16"/>
          <w:szCs w:val="16"/>
          <w:lang w:eastAsia="en-IE"/>
        </w:rPr>
        <w:t xml:space="preserve">As </w:t>
      </w:r>
      <w:r w:rsidR="00D57E54">
        <w:rPr>
          <w:rFonts w:asciiTheme="minorHAnsi" w:hAnsiTheme="minorHAnsi"/>
          <w:sz w:val="16"/>
          <w:szCs w:val="16"/>
          <w:lang w:eastAsia="en-IE"/>
        </w:rPr>
        <w:t>with the US adjustment above, t</w:t>
      </w:r>
      <w:r w:rsidR="00670082" w:rsidRPr="00163F70">
        <w:rPr>
          <w:rFonts w:asciiTheme="minorHAnsi" w:hAnsiTheme="minorHAnsi"/>
          <w:sz w:val="16"/>
          <w:szCs w:val="16"/>
          <w:lang w:eastAsia="en-IE"/>
        </w:rPr>
        <w:t>hese are simply reclassification</w:t>
      </w:r>
      <w:r w:rsidR="00D57E54">
        <w:rPr>
          <w:rFonts w:asciiTheme="minorHAnsi" w:hAnsiTheme="minorHAnsi"/>
          <w:sz w:val="16"/>
          <w:szCs w:val="16"/>
          <w:lang w:eastAsia="en-IE"/>
        </w:rPr>
        <w:t>s</w:t>
      </w:r>
      <w:r w:rsidR="00670082" w:rsidRPr="00163F70">
        <w:rPr>
          <w:rFonts w:asciiTheme="minorHAnsi" w:hAnsiTheme="minorHAnsi"/>
          <w:sz w:val="16"/>
          <w:szCs w:val="16"/>
          <w:lang w:eastAsia="en-IE"/>
        </w:rPr>
        <w:t xml:space="preserve"> with nil net impact on </w:t>
      </w:r>
      <w:r w:rsidR="00670082">
        <w:rPr>
          <w:rFonts w:asciiTheme="minorHAnsi" w:hAnsiTheme="minorHAnsi"/>
          <w:sz w:val="16"/>
          <w:szCs w:val="16"/>
          <w:lang w:eastAsia="en-IE"/>
        </w:rPr>
        <w:t xml:space="preserve">Adjusted </w:t>
      </w:r>
      <w:r w:rsidR="00670082" w:rsidRPr="00163F70">
        <w:rPr>
          <w:rFonts w:asciiTheme="minorHAnsi" w:hAnsiTheme="minorHAnsi"/>
          <w:sz w:val="16"/>
          <w:szCs w:val="16"/>
          <w:lang w:eastAsia="en-IE"/>
        </w:rPr>
        <w:t>EBITDA</w:t>
      </w:r>
      <w:r w:rsidR="00D57E54">
        <w:rPr>
          <w:rFonts w:asciiTheme="minorHAnsi" w:hAnsiTheme="minorHAnsi"/>
          <w:sz w:val="16"/>
          <w:szCs w:val="16"/>
          <w:lang w:eastAsia="en-IE"/>
        </w:rPr>
        <w:t xml:space="preserve"> at a Group level</w:t>
      </w:r>
      <w:r w:rsidR="00B16C7A">
        <w:rPr>
          <w:rFonts w:asciiTheme="minorHAnsi" w:hAnsiTheme="minorHAnsi"/>
          <w:sz w:val="16"/>
          <w:szCs w:val="16"/>
          <w:lang w:eastAsia="en-IE"/>
        </w:rPr>
        <w:t>.</w:t>
      </w:r>
    </w:p>
    <w:p w14:paraId="3B558761" w14:textId="77777777" w:rsidR="00670082" w:rsidRPr="00C9669A" w:rsidRDefault="00670082" w:rsidP="009B6BB8">
      <w:pPr>
        <w:pStyle w:val="ListParagraph"/>
        <w:numPr>
          <w:ilvl w:val="0"/>
          <w:numId w:val="21"/>
        </w:numPr>
        <w:spacing w:after="80"/>
        <w:jc w:val="both"/>
        <w:rPr>
          <w:rFonts w:asciiTheme="minorHAnsi" w:hAnsiTheme="minorHAnsi"/>
          <w:b/>
          <w:sz w:val="16"/>
          <w:szCs w:val="16"/>
          <w:lang w:eastAsia="en-IE"/>
        </w:rPr>
      </w:pPr>
      <w:r w:rsidRPr="00C9669A">
        <w:rPr>
          <w:rFonts w:asciiTheme="minorHAnsi" w:hAnsiTheme="minorHAnsi"/>
          <w:b/>
          <w:sz w:val="16"/>
          <w:szCs w:val="16"/>
          <w:lang w:eastAsia="en-IE"/>
        </w:rPr>
        <w:t>Accounting treatment adjustments – separately disclosed items:</w:t>
      </w:r>
    </w:p>
    <w:p w14:paraId="5B376CCD" w14:textId="77777777" w:rsidR="00670082" w:rsidRDefault="00670082" w:rsidP="00D2298F">
      <w:pPr>
        <w:pStyle w:val="ListParagraph"/>
        <w:spacing w:after="80"/>
        <w:jc w:val="both"/>
        <w:rPr>
          <w:rFonts w:asciiTheme="minorHAnsi" w:hAnsiTheme="minorHAnsi"/>
          <w:sz w:val="16"/>
          <w:szCs w:val="16"/>
          <w:lang w:eastAsia="en-IE"/>
        </w:rPr>
      </w:pPr>
      <w:r w:rsidRPr="00EB6798">
        <w:rPr>
          <w:rFonts w:asciiTheme="minorHAnsi" w:hAnsiTheme="minorHAnsi"/>
          <w:sz w:val="16"/>
          <w:szCs w:val="16"/>
          <w:lang w:eastAsia="en-IE"/>
        </w:rPr>
        <w:t>Apply</w:t>
      </w:r>
      <w:r>
        <w:rPr>
          <w:rFonts w:asciiTheme="minorHAnsi" w:hAnsiTheme="minorHAnsi"/>
          <w:sz w:val="16"/>
          <w:szCs w:val="16"/>
          <w:lang w:eastAsia="en-IE"/>
        </w:rPr>
        <w:t>ing</w:t>
      </w:r>
      <w:r w:rsidRPr="00EB6798">
        <w:rPr>
          <w:rFonts w:asciiTheme="minorHAnsi" w:hAnsiTheme="minorHAnsi"/>
          <w:sz w:val="16"/>
          <w:szCs w:val="16"/>
          <w:lang w:eastAsia="en-IE"/>
        </w:rPr>
        <w:t xml:space="preserve"> Flutter accounting policies in relatio</w:t>
      </w:r>
      <w:r>
        <w:rPr>
          <w:rFonts w:asciiTheme="minorHAnsi" w:hAnsiTheme="minorHAnsi"/>
          <w:sz w:val="16"/>
          <w:szCs w:val="16"/>
          <w:lang w:eastAsia="en-IE"/>
        </w:rPr>
        <w:t>n to separately disclosed items r</w:t>
      </w:r>
      <w:r w:rsidRPr="00EB6798">
        <w:rPr>
          <w:rFonts w:asciiTheme="minorHAnsi" w:hAnsiTheme="minorHAnsi"/>
          <w:sz w:val="16"/>
          <w:szCs w:val="16"/>
          <w:lang w:eastAsia="en-IE"/>
        </w:rPr>
        <w:t xml:space="preserve">esults in certain items previously added back to Adjusted EBITDA within TSG </w:t>
      </w:r>
      <w:r>
        <w:rPr>
          <w:rFonts w:asciiTheme="minorHAnsi" w:hAnsiTheme="minorHAnsi"/>
          <w:sz w:val="16"/>
          <w:szCs w:val="16"/>
          <w:lang w:eastAsia="en-IE"/>
        </w:rPr>
        <w:t>now being reported as ongoing expenses. These include share</w:t>
      </w:r>
      <w:r w:rsidR="00B16C7A">
        <w:rPr>
          <w:rFonts w:asciiTheme="minorHAnsi" w:hAnsiTheme="minorHAnsi"/>
          <w:sz w:val="16"/>
          <w:szCs w:val="16"/>
          <w:lang w:eastAsia="en-IE"/>
        </w:rPr>
        <w:t>-</w:t>
      </w:r>
      <w:r>
        <w:rPr>
          <w:rFonts w:asciiTheme="minorHAnsi" w:hAnsiTheme="minorHAnsi"/>
          <w:sz w:val="16"/>
          <w:szCs w:val="16"/>
          <w:lang w:eastAsia="en-IE"/>
        </w:rPr>
        <w:t>based payments, n</w:t>
      </w:r>
      <w:r w:rsidRPr="00EB6798">
        <w:rPr>
          <w:rFonts w:asciiTheme="minorHAnsi" w:hAnsiTheme="minorHAnsi"/>
          <w:sz w:val="16"/>
          <w:szCs w:val="16"/>
          <w:lang w:eastAsia="en-IE"/>
        </w:rPr>
        <w:t>on-recurring professional</w:t>
      </w:r>
      <w:r>
        <w:rPr>
          <w:rFonts w:asciiTheme="minorHAnsi" w:hAnsiTheme="minorHAnsi"/>
          <w:sz w:val="16"/>
          <w:szCs w:val="16"/>
          <w:lang w:eastAsia="en-IE"/>
        </w:rPr>
        <w:t>/legal</w:t>
      </w:r>
      <w:r w:rsidRPr="00EB6798">
        <w:rPr>
          <w:rFonts w:asciiTheme="minorHAnsi" w:hAnsiTheme="minorHAnsi"/>
          <w:sz w:val="16"/>
          <w:szCs w:val="16"/>
          <w:lang w:eastAsia="en-IE"/>
        </w:rPr>
        <w:t xml:space="preserve"> fees</w:t>
      </w:r>
      <w:r>
        <w:rPr>
          <w:rFonts w:asciiTheme="minorHAnsi" w:hAnsiTheme="minorHAnsi"/>
          <w:sz w:val="16"/>
          <w:szCs w:val="16"/>
          <w:lang w:eastAsia="en-IE"/>
        </w:rPr>
        <w:t xml:space="preserve"> </w:t>
      </w:r>
      <w:r w:rsidRPr="00EB6798">
        <w:rPr>
          <w:rFonts w:asciiTheme="minorHAnsi" w:hAnsiTheme="minorHAnsi"/>
          <w:sz w:val="16"/>
          <w:szCs w:val="16"/>
          <w:lang w:eastAsia="en-IE"/>
        </w:rPr>
        <w:t>and</w:t>
      </w:r>
      <w:r>
        <w:rPr>
          <w:rFonts w:asciiTheme="minorHAnsi" w:hAnsiTheme="minorHAnsi"/>
          <w:sz w:val="16"/>
          <w:szCs w:val="16"/>
          <w:lang w:eastAsia="en-IE"/>
        </w:rPr>
        <w:t xml:space="preserve"> certain</w:t>
      </w:r>
      <w:r w:rsidRPr="00EB6798">
        <w:rPr>
          <w:rFonts w:asciiTheme="minorHAnsi" w:hAnsiTheme="minorHAnsi"/>
          <w:sz w:val="16"/>
          <w:szCs w:val="16"/>
          <w:lang w:eastAsia="en-IE"/>
        </w:rPr>
        <w:t xml:space="preserve"> other costs</w:t>
      </w:r>
      <w:r>
        <w:rPr>
          <w:rFonts w:asciiTheme="minorHAnsi" w:hAnsiTheme="minorHAnsi"/>
          <w:sz w:val="16"/>
          <w:szCs w:val="16"/>
          <w:lang w:eastAsia="en-IE"/>
        </w:rPr>
        <w:t>.</w:t>
      </w:r>
      <w:r w:rsidR="00D57E54">
        <w:rPr>
          <w:rFonts w:asciiTheme="minorHAnsi" w:hAnsiTheme="minorHAnsi"/>
          <w:sz w:val="16"/>
          <w:szCs w:val="16"/>
          <w:lang w:eastAsia="en-IE"/>
        </w:rPr>
        <w:t xml:space="preserve"> The application of Flutter policy to TSG 2019 reported earnings</w:t>
      </w:r>
      <w:r w:rsidR="000E23EC">
        <w:rPr>
          <w:rFonts w:asciiTheme="minorHAnsi" w:hAnsiTheme="minorHAnsi"/>
          <w:sz w:val="16"/>
          <w:szCs w:val="16"/>
          <w:lang w:eastAsia="en-IE"/>
        </w:rPr>
        <w:t xml:space="preserve"> would have been </w:t>
      </w:r>
      <w:r w:rsidR="00CD6EAD">
        <w:rPr>
          <w:rFonts w:asciiTheme="minorHAnsi" w:hAnsiTheme="minorHAnsi"/>
          <w:sz w:val="16"/>
          <w:szCs w:val="16"/>
          <w:lang w:eastAsia="en-IE"/>
        </w:rPr>
        <w:t>-$37m at the EBITDA line</w:t>
      </w:r>
      <w:r w:rsidR="000E23EC">
        <w:rPr>
          <w:rFonts w:asciiTheme="minorHAnsi" w:hAnsiTheme="minorHAnsi"/>
          <w:sz w:val="16"/>
          <w:szCs w:val="16"/>
          <w:lang w:eastAsia="en-IE"/>
        </w:rPr>
        <w:t xml:space="preserve"> in H1</w:t>
      </w:r>
      <w:r w:rsidR="00CD6EAD">
        <w:rPr>
          <w:rFonts w:asciiTheme="minorHAnsi" w:hAnsiTheme="minorHAnsi"/>
          <w:sz w:val="16"/>
          <w:szCs w:val="16"/>
          <w:lang w:eastAsia="en-IE"/>
        </w:rPr>
        <w:t>.</w:t>
      </w:r>
    </w:p>
    <w:p w14:paraId="7855E922" w14:textId="77777777" w:rsidR="00670082" w:rsidRPr="00846A09" w:rsidRDefault="00670082" w:rsidP="00670082">
      <w:pPr>
        <w:spacing w:after="80"/>
        <w:rPr>
          <w:rFonts w:asciiTheme="minorHAnsi" w:hAnsiTheme="minorHAnsi"/>
          <w:sz w:val="16"/>
          <w:szCs w:val="16"/>
          <w:lang w:eastAsia="en-IE"/>
        </w:rPr>
      </w:pPr>
      <w:r>
        <w:rPr>
          <w:rFonts w:asciiTheme="minorHAnsi" w:hAnsiTheme="minorHAnsi"/>
          <w:sz w:val="16"/>
          <w:szCs w:val="16"/>
          <w:lang w:eastAsia="en-IE"/>
        </w:rPr>
        <w:t>* Note PPB H1 20</w:t>
      </w:r>
      <w:r w:rsidRPr="00114EE7">
        <w:rPr>
          <w:rFonts w:asciiTheme="minorHAnsi" w:hAnsiTheme="minorHAnsi"/>
          <w:sz w:val="16"/>
          <w:szCs w:val="16"/>
          <w:lang w:eastAsia="en-IE"/>
        </w:rPr>
        <w:t>19 results are pro</w:t>
      </w:r>
      <w:r w:rsidR="00956296">
        <w:rPr>
          <w:rFonts w:asciiTheme="minorHAnsi" w:hAnsiTheme="minorHAnsi"/>
          <w:sz w:val="16"/>
          <w:szCs w:val="16"/>
          <w:lang w:eastAsia="en-IE"/>
        </w:rPr>
        <w:t xml:space="preserve"> </w:t>
      </w:r>
      <w:r w:rsidRPr="00114EE7">
        <w:rPr>
          <w:rFonts w:asciiTheme="minorHAnsi" w:hAnsiTheme="minorHAnsi"/>
          <w:sz w:val="16"/>
          <w:szCs w:val="16"/>
          <w:lang w:eastAsia="en-IE"/>
        </w:rPr>
        <w:t>forma for Adjarabet</w:t>
      </w:r>
      <w:r w:rsidR="00B16C7A">
        <w:rPr>
          <w:rFonts w:asciiTheme="minorHAnsi" w:hAnsiTheme="minorHAnsi"/>
          <w:sz w:val="16"/>
          <w:szCs w:val="16"/>
          <w:lang w:eastAsia="en-IE"/>
        </w:rPr>
        <w:t xml:space="preserve">, acquired in </w:t>
      </w:r>
      <w:r w:rsidRPr="00114EE7">
        <w:rPr>
          <w:rFonts w:asciiTheme="minorHAnsi" w:hAnsiTheme="minorHAnsi"/>
          <w:sz w:val="16"/>
          <w:szCs w:val="16"/>
          <w:lang w:eastAsia="en-IE"/>
        </w:rPr>
        <w:t>Feb</w:t>
      </w:r>
      <w:r w:rsidR="00B16C7A">
        <w:rPr>
          <w:rFonts w:asciiTheme="minorHAnsi" w:hAnsiTheme="minorHAnsi"/>
          <w:sz w:val="16"/>
          <w:szCs w:val="16"/>
          <w:lang w:eastAsia="en-IE"/>
        </w:rPr>
        <w:t>ruary</w:t>
      </w:r>
      <w:r w:rsidR="0006187D">
        <w:rPr>
          <w:rFonts w:asciiTheme="minorHAnsi" w:hAnsiTheme="minorHAnsi"/>
          <w:sz w:val="16"/>
          <w:szCs w:val="16"/>
          <w:lang w:eastAsia="en-IE"/>
        </w:rPr>
        <w:t xml:space="preserve"> </w:t>
      </w:r>
      <w:r w:rsidRPr="00114EE7">
        <w:rPr>
          <w:rFonts w:asciiTheme="minorHAnsi" w:hAnsiTheme="minorHAnsi"/>
          <w:sz w:val="16"/>
          <w:szCs w:val="16"/>
          <w:lang w:eastAsia="en-IE"/>
        </w:rPr>
        <w:t>2019 as well as combining the legacy PPB Online and retail divisions.</w:t>
      </w:r>
    </w:p>
    <w:p w14:paraId="12DDB670" w14:textId="77777777" w:rsidR="00670082" w:rsidRDefault="00670082" w:rsidP="00670082">
      <w:pPr>
        <w:rPr>
          <w:rFonts w:asciiTheme="minorHAnsi" w:hAnsiTheme="minorHAnsi"/>
          <w:b/>
          <w:sz w:val="20"/>
          <w:lang w:eastAsia="en-IE"/>
        </w:rPr>
      </w:pPr>
    </w:p>
    <w:p w14:paraId="5EACAE8B" w14:textId="77777777" w:rsidR="00670082" w:rsidRDefault="00670082" w:rsidP="00670082">
      <w:pPr>
        <w:rPr>
          <w:rFonts w:asciiTheme="minorHAnsi" w:hAnsiTheme="minorHAnsi"/>
          <w:b/>
          <w:sz w:val="20"/>
          <w:lang w:eastAsia="en-IE"/>
        </w:rPr>
      </w:pPr>
      <w:r>
        <w:rPr>
          <w:rFonts w:asciiTheme="minorHAnsi" w:hAnsiTheme="minorHAnsi"/>
          <w:b/>
          <w:sz w:val="20"/>
          <w:lang w:eastAsia="en-IE"/>
        </w:rPr>
        <w:t>Appendix 3 (ii)</w:t>
      </w:r>
      <w:r w:rsidRPr="00B51C38">
        <w:rPr>
          <w:rFonts w:asciiTheme="minorHAnsi" w:hAnsiTheme="minorHAnsi"/>
          <w:b/>
          <w:sz w:val="20"/>
          <w:lang w:eastAsia="en-IE"/>
        </w:rPr>
        <w:t xml:space="preserve">: Reconciliation of </w:t>
      </w:r>
      <w:r>
        <w:rPr>
          <w:rFonts w:asciiTheme="minorHAnsi" w:hAnsiTheme="minorHAnsi"/>
          <w:b/>
          <w:sz w:val="20"/>
          <w:lang w:eastAsia="en-IE"/>
        </w:rPr>
        <w:t>previously reported TSG results to Flutter pro</w:t>
      </w:r>
      <w:r w:rsidR="00956296">
        <w:rPr>
          <w:rFonts w:asciiTheme="minorHAnsi" w:hAnsiTheme="minorHAnsi"/>
          <w:b/>
          <w:sz w:val="20"/>
          <w:lang w:eastAsia="en-IE"/>
        </w:rPr>
        <w:t xml:space="preserve"> </w:t>
      </w:r>
      <w:r>
        <w:rPr>
          <w:rFonts w:asciiTheme="minorHAnsi" w:hAnsiTheme="minorHAnsi"/>
          <w:b/>
          <w:sz w:val="20"/>
          <w:lang w:eastAsia="en-IE"/>
        </w:rPr>
        <w:t>forma results</w:t>
      </w:r>
    </w:p>
    <w:p w14:paraId="21B0EBC1" w14:textId="77777777" w:rsidR="00670082" w:rsidRDefault="00670082" w:rsidP="00670082">
      <w:pPr>
        <w:rPr>
          <w:rFonts w:asciiTheme="minorHAnsi" w:hAnsiTheme="minorHAnsi"/>
          <w:i/>
          <w:sz w:val="20"/>
          <w:lang w:eastAsia="en-IE"/>
        </w:rPr>
      </w:pPr>
      <w:r>
        <w:rPr>
          <w:rFonts w:asciiTheme="minorHAnsi" w:hAnsiTheme="minorHAnsi"/>
          <w:i/>
          <w:sz w:val="20"/>
          <w:lang w:eastAsia="en-IE"/>
        </w:rPr>
        <w:t>Financial Year 2019</w:t>
      </w:r>
      <w:r w:rsidRPr="00D840C0">
        <w:rPr>
          <w:rFonts w:asciiTheme="minorHAnsi" w:hAnsiTheme="minorHAnsi"/>
          <w:i/>
          <w:sz w:val="20"/>
          <w:lang w:eastAsia="en-IE"/>
        </w:rPr>
        <w:t>, unaudited</w:t>
      </w:r>
    </w:p>
    <w:p w14:paraId="1B511C1D" w14:textId="77777777" w:rsidR="00670082" w:rsidRDefault="00670082" w:rsidP="00670082">
      <w:pPr>
        <w:rPr>
          <w:rFonts w:asciiTheme="minorHAnsi" w:hAnsiTheme="minorHAnsi"/>
          <w:i/>
          <w:sz w:val="20"/>
          <w:lang w:eastAsia="en-IE"/>
        </w:rPr>
      </w:pPr>
    </w:p>
    <w:p w14:paraId="11B04593" w14:textId="77777777" w:rsidR="00670082" w:rsidRPr="00544CB4" w:rsidRDefault="00670082" w:rsidP="00670082">
      <w:pPr>
        <w:rPr>
          <w:rFonts w:asciiTheme="minorHAnsi" w:hAnsiTheme="minorHAnsi"/>
          <w:sz w:val="20"/>
          <w:lang w:eastAsia="en-IE"/>
        </w:rPr>
      </w:pPr>
      <w:r>
        <w:rPr>
          <w:rFonts w:asciiTheme="minorHAnsi" w:hAnsiTheme="minorHAnsi"/>
          <w:sz w:val="20"/>
          <w:lang w:eastAsia="en-IE"/>
        </w:rPr>
        <w:t>This reconciliation is as per above, but for the 2019 full calendar year. Please see notes above for further details.</w:t>
      </w:r>
    </w:p>
    <w:p w14:paraId="3269E55B" w14:textId="77777777" w:rsidR="00670082" w:rsidRPr="00DB3E20" w:rsidRDefault="00670082" w:rsidP="00670082">
      <w:pPr>
        <w:spacing w:after="120"/>
        <w:rPr>
          <w:rFonts w:asciiTheme="minorHAnsi" w:hAnsiTheme="minorHAnsi"/>
          <w:b/>
          <w:sz w:val="20"/>
          <w:lang w:eastAsia="en-IE"/>
        </w:rPr>
      </w:pPr>
    </w:p>
    <w:tbl>
      <w:tblPr>
        <w:tblW w:w="9160" w:type="dxa"/>
        <w:tblLook w:val="04A0" w:firstRow="1" w:lastRow="0" w:firstColumn="1" w:lastColumn="0" w:noHBand="0" w:noVBand="1"/>
      </w:tblPr>
      <w:tblGrid>
        <w:gridCol w:w="448"/>
        <w:gridCol w:w="1848"/>
        <w:gridCol w:w="960"/>
        <w:gridCol w:w="598"/>
        <w:gridCol w:w="580"/>
        <w:gridCol w:w="598"/>
        <w:gridCol w:w="960"/>
        <w:gridCol w:w="960"/>
        <w:gridCol w:w="448"/>
        <w:gridCol w:w="1020"/>
        <w:gridCol w:w="1020"/>
      </w:tblGrid>
      <w:tr w:rsidR="00233D05" w:rsidRPr="00233D05" w14:paraId="33BEF61E" w14:textId="77777777" w:rsidTr="00233D05">
        <w:trPr>
          <w:trHeight w:val="488"/>
        </w:trPr>
        <w:tc>
          <w:tcPr>
            <w:tcW w:w="308" w:type="dxa"/>
            <w:tcBorders>
              <w:top w:val="nil"/>
              <w:left w:val="nil"/>
              <w:bottom w:val="nil"/>
              <w:right w:val="nil"/>
            </w:tcBorders>
            <w:shd w:val="clear" w:color="auto" w:fill="auto"/>
            <w:noWrap/>
            <w:vAlign w:val="center"/>
            <w:hideMark/>
          </w:tcPr>
          <w:p w14:paraId="23909C71" w14:textId="77777777" w:rsidR="00233D05" w:rsidRPr="00233D05" w:rsidRDefault="00233D05" w:rsidP="00233D05">
            <w:pPr>
              <w:rPr>
                <w:rFonts w:ascii="Times New Roman" w:hAnsi="Times New Roman"/>
                <w:sz w:val="20"/>
                <w:szCs w:val="24"/>
                <w:lang w:eastAsia="en-GB"/>
              </w:rPr>
            </w:pPr>
          </w:p>
        </w:tc>
        <w:tc>
          <w:tcPr>
            <w:tcW w:w="1848" w:type="dxa"/>
            <w:tcBorders>
              <w:top w:val="nil"/>
              <w:left w:val="nil"/>
              <w:bottom w:val="nil"/>
              <w:right w:val="nil"/>
            </w:tcBorders>
            <w:shd w:val="clear" w:color="auto" w:fill="auto"/>
            <w:noWrap/>
            <w:vAlign w:val="bottom"/>
            <w:hideMark/>
          </w:tcPr>
          <w:p w14:paraId="7DCE605B" w14:textId="77777777" w:rsidR="00233D05" w:rsidRPr="00233D05" w:rsidRDefault="00233D05" w:rsidP="00233D05">
            <w:pPr>
              <w:rPr>
                <w:rFonts w:ascii="Times New Roman" w:hAnsi="Times New Roman"/>
                <w:sz w:val="20"/>
                <w:lang w:eastAsia="en-GB"/>
              </w:rPr>
            </w:pPr>
          </w:p>
        </w:tc>
        <w:tc>
          <w:tcPr>
            <w:tcW w:w="960"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14:paraId="715383EF"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TSG Reported (</w:t>
            </w:r>
            <w:proofErr w:type="spellStart"/>
            <w:r w:rsidRPr="00233D05">
              <w:rPr>
                <w:rFonts w:ascii="Calibri" w:hAnsi="Calibri" w:cs="Calibri"/>
                <w:b/>
                <w:bCs/>
                <w:color w:val="000000"/>
                <w:sz w:val="18"/>
                <w:szCs w:val="18"/>
                <w:lang w:eastAsia="en-GB"/>
              </w:rPr>
              <w:t>US$m</w:t>
            </w:r>
            <w:proofErr w:type="spellEnd"/>
            <w:r w:rsidRPr="00233D05">
              <w:rPr>
                <w:rFonts w:ascii="Calibri" w:hAnsi="Calibri" w:cs="Calibri"/>
                <w:b/>
                <w:bCs/>
                <w:color w:val="000000"/>
                <w:sz w:val="18"/>
                <w:szCs w:val="18"/>
                <w:lang w:eastAsia="en-GB"/>
              </w:rPr>
              <w:t>)</w:t>
            </w:r>
          </w:p>
        </w:tc>
        <w:tc>
          <w:tcPr>
            <w:tcW w:w="1776" w:type="dxa"/>
            <w:gridSpan w:val="3"/>
            <w:tcBorders>
              <w:top w:val="single" w:sz="4" w:space="0" w:color="auto"/>
              <w:left w:val="nil"/>
              <w:bottom w:val="single" w:sz="4" w:space="0" w:color="auto"/>
              <w:right w:val="nil"/>
            </w:tcBorders>
            <w:shd w:val="clear" w:color="auto" w:fill="auto"/>
            <w:vAlign w:val="bottom"/>
            <w:hideMark/>
          </w:tcPr>
          <w:p w14:paraId="2BF951D9" w14:textId="77777777" w:rsidR="00233D05" w:rsidRPr="00233D05" w:rsidRDefault="00233D05" w:rsidP="00233D05">
            <w:pPr>
              <w:jc w:val="center"/>
              <w:rPr>
                <w:rFonts w:ascii="Calibri" w:hAnsi="Calibri" w:cs="Calibri"/>
                <w:b/>
                <w:bCs/>
                <w:color w:val="C00000"/>
                <w:sz w:val="18"/>
                <w:szCs w:val="18"/>
                <w:lang w:eastAsia="en-GB"/>
              </w:rPr>
            </w:pPr>
            <w:r w:rsidRPr="00233D05">
              <w:rPr>
                <w:rFonts w:ascii="Calibri" w:hAnsi="Calibri" w:cs="Calibri"/>
                <w:b/>
                <w:bCs/>
                <w:color w:val="C00000"/>
                <w:sz w:val="18"/>
                <w:szCs w:val="18"/>
                <w:lang w:eastAsia="en-GB"/>
              </w:rPr>
              <w:t>Adjustments</w:t>
            </w:r>
            <w:r w:rsidRPr="00233D05">
              <w:rPr>
                <w:rFonts w:ascii="Calibri" w:hAnsi="Calibri" w:cs="Calibri"/>
                <w:b/>
                <w:bCs/>
                <w:color w:val="C00000"/>
                <w:sz w:val="18"/>
                <w:szCs w:val="18"/>
                <w:lang w:eastAsia="en-GB"/>
              </w:rPr>
              <w:br/>
              <w:t>(</w:t>
            </w:r>
            <w:proofErr w:type="spellStart"/>
            <w:r w:rsidRPr="00233D05">
              <w:rPr>
                <w:rFonts w:ascii="Calibri" w:hAnsi="Calibri" w:cs="Calibri"/>
                <w:b/>
                <w:bCs/>
                <w:color w:val="C00000"/>
                <w:sz w:val="18"/>
                <w:szCs w:val="18"/>
                <w:lang w:eastAsia="en-GB"/>
              </w:rPr>
              <w:t>US$m</w:t>
            </w:r>
            <w:proofErr w:type="spellEnd"/>
            <w:r w:rsidRPr="00233D05">
              <w:rPr>
                <w:rFonts w:ascii="Calibri" w:hAnsi="Calibri" w:cs="Calibri"/>
                <w:b/>
                <w:bCs/>
                <w:color w:val="C00000"/>
                <w:sz w:val="18"/>
                <w:szCs w:val="18"/>
                <w:lang w:eastAsia="en-GB"/>
              </w:rPr>
              <w:t>)</w:t>
            </w:r>
          </w:p>
        </w:tc>
        <w:tc>
          <w:tcPr>
            <w:tcW w:w="960"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14:paraId="16C5CC93"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Per Flutter policies (</w:t>
            </w:r>
            <w:proofErr w:type="spellStart"/>
            <w:r w:rsidRPr="00233D05">
              <w:rPr>
                <w:rFonts w:ascii="Calibri" w:hAnsi="Calibri" w:cs="Calibri"/>
                <w:b/>
                <w:bCs/>
                <w:color w:val="000000"/>
                <w:sz w:val="18"/>
                <w:szCs w:val="18"/>
                <w:lang w:eastAsia="en-GB"/>
              </w:rPr>
              <w:t>US$m</w:t>
            </w:r>
            <w:proofErr w:type="spellEnd"/>
            <w:r w:rsidRPr="00233D05">
              <w:rPr>
                <w:rFonts w:ascii="Calibri" w:hAnsi="Calibri" w:cs="Calibri"/>
                <w:b/>
                <w:bCs/>
                <w:color w:val="000000"/>
                <w:sz w:val="18"/>
                <w:szCs w:val="18"/>
                <w:lang w:eastAsia="en-GB"/>
              </w:rPr>
              <w:t>)</w:t>
            </w:r>
          </w:p>
        </w:tc>
        <w:tc>
          <w:tcPr>
            <w:tcW w:w="960" w:type="dxa"/>
            <w:vMerge w:val="restart"/>
            <w:tcBorders>
              <w:top w:val="nil"/>
              <w:left w:val="nil"/>
              <w:bottom w:val="single" w:sz="4" w:space="0" w:color="000000"/>
              <w:right w:val="nil"/>
            </w:tcBorders>
            <w:shd w:val="clear" w:color="000000" w:fill="D6DCE4"/>
            <w:vAlign w:val="bottom"/>
            <w:hideMark/>
          </w:tcPr>
          <w:p w14:paraId="3D45D59B"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Legacy TSG pro forma (£m)</w:t>
            </w:r>
          </w:p>
        </w:tc>
        <w:tc>
          <w:tcPr>
            <w:tcW w:w="308" w:type="dxa"/>
            <w:tcBorders>
              <w:top w:val="nil"/>
              <w:left w:val="nil"/>
              <w:bottom w:val="nil"/>
              <w:right w:val="nil"/>
            </w:tcBorders>
            <w:shd w:val="clear" w:color="auto" w:fill="auto"/>
            <w:noWrap/>
            <w:vAlign w:val="center"/>
            <w:hideMark/>
          </w:tcPr>
          <w:p w14:paraId="3B20699C" w14:textId="77777777" w:rsidR="00233D05" w:rsidRPr="00233D05" w:rsidRDefault="00233D05" w:rsidP="00233D05">
            <w:pPr>
              <w:jc w:val="center"/>
              <w:rPr>
                <w:rFonts w:ascii="Calibri" w:hAnsi="Calibri" w:cs="Calibri"/>
                <w:b/>
                <w:bCs/>
                <w:color w:val="000000"/>
                <w:sz w:val="18"/>
                <w:szCs w:val="18"/>
                <w:lang w:eastAsia="en-GB"/>
              </w:rPr>
            </w:pPr>
          </w:p>
        </w:tc>
        <w:tc>
          <w:tcPr>
            <w:tcW w:w="1020" w:type="dxa"/>
            <w:vMerge w:val="restart"/>
            <w:tcBorders>
              <w:top w:val="nil"/>
              <w:left w:val="nil"/>
              <w:bottom w:val="single" w:sz="4" w:space="0" w:color="000000"/>
              <w:right w:val="nil"/>
            </w:tcBorders>
            <w:shd w:val="clear" w:color="000000" w:fill="D6DCE4"/>
            <w:vAlign w:val="bottom"/>
            <w:hideMark/>
          </w:tcPr>
          <w:p w14:paraId="65805864"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Legacy Flutter pro forma* (£m)</w:t>
            </w:r>
          </w:p>
        </w:tc>
        <w:tc>
          <w:tcPr>
            <w:tcW w:w="1020" w:type="dxa"/>
            <w:vMerge w:val="restart"/>
            <w:tcBorders>
              <w:top w:val="single" w:sz="8" w:space="0" w:color="auto"/>
              <w:left w:val="single" w:sz="8" w:space="0" w:color="auto"/>
              <w:bottom w:val="single" w:sz="4" w:space="0" w:color="000000"/>
              <w:right w:val="single" w:sz="8" w:space="0" w:color="auto"/>
            </w:tcBorders>
            <w:shd w:val="clear" w:color="000000" w:fill="ACB9CA"/>
            <w:vAlign w:val="bottom"/>
            <w:hideMark/>
          </w:tcPr>
          <w:p w14:paraId="07CBE28D"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Flutter pro forma (£m)</w:t>
            </w:r>
          </w:p>
        </w:tc>
      </w:tr>
      <w:tr w:rsidR="00233D05" w:rsidRPr="00233D05" w14:paraId="4165D213" w14:textId="77777777" w:rsidTr="00233D05">
        <w:trPr>
          <w:trHeight w:val="241"/>
        </w:trPr>
        <w:tc>
          <w:tcPr>
            <w:tcW w:w="308" w:type="dxa"/>
            <w:tcBorders>
              <w:top w:val="nil"/>
              <w:left w:val="nil"/>
              <w:bottom w:val="nil"/>
              <w:right w:val="nil"/>
            </w:tcBorders>
            <w:shd w:val="clear" w:color="auto" w:fill="auto"/>
            <w:noWrap/>
            <w:vAlign w:val="center"/>
            <w:hideMark/>
          </w:tcPr>
          <w:p w14:paraId="3FF4ADE5" w14:textId="77777777" w:rsidR="00233D05" w:rsidRPr="00233D05" w:rsidRDefault="00233D05" w:rsidP="00233D05">
            <w:pPr>
              <w:jc w:val="center"/>
              <w:rPr>
                <w:rFonts w:ascii="Calibri" w:hAnsi="Calibri" w:cs="Calibri"/>
                <w:b/>
                <w:bCs/>
                <w:color w:val="000000"/>
                <w:sz w:val="18"/>
                <w:szCs w:val="18"/>
                <w:lang w:eastAsia="en-GB"/>
              </w:rPr>
            </w:pPr>
          </w:p>
        </w:tc>
        <w:tc>
          <w:tcPr>
            <w:tcW w:w="1848" w:type="dxa"/>
            <w:tcBorders>
              <w:top w:val="nil"/>
              <w:left w:val="nil"/>
              <w:bottom w:val="single" w:sz="4" w:space="0" w:color="auto"/>
              <w:right w:val="nil"/>
            </w:tcBorders>
            <w:shd w:val="clear" w:color="auto" w:fill="auto"/>
            <w:noWrap/>
            <w:vAlign w:val="bottom"/>
            <w:hideMark/>
          </w:tcPr>
          <w:p w14:paraId="28C01198"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FY 2019</w:t>
            </w:r>
          </w:p>
        </w:tc>
        <w:tc>
          <w:tcPr>
            <w:tcW w:w="960" w:type="dxa"/>
            <w:vMerge/>
            <w:tcBorders>
              <w:top w:val="single" w:sz="8" w:space="0" w:color="auto"/>
              <w:left w:val="single" w:sz="8" w:space="0" w:color="auto"/>
              <w:bottom w:val="single" w:sz="4" w:space="0" w:color="000000"/>
              <w:right w:val="single" w:sz="8" w:space="0" w:color="auto"/>
            </w:tcBorders>
            <w:vAlign w:val="center"/>
            <w:hideMark/>
          </w:tcPr>
          <w:p w14:paraId="6B6FC12B" w14:textId="77777777" w:rsidR="00233D05" w:rsidRPr="00233D05" w:rsidRDefault="00233D05" w:rsidP="00233D05">
            <w:pPr>
              <w:rPr>
                <w:rFonts w:ascii="Calibri" w:hAnsi="Calibri" w:cs="Calibri"/>
                <w:b/>
                <w:bCs/>
                <w:color w:val="000000"/>
                <w:sz w:val="18"/>
                <w:szCs w:val="18"/>
                <w:lang w:eastAsia="en-GB"/>
              </w:rPr>
            </w:pPr>
          </w:p>
        </w:tc>
        <w:tc>
          <w:tcPr>
            <w:tcW w:w="598" w:type="dxa"/>
            <w:tcBorders>
              <w:top w:val="nil"/>
              <w:left w:val="nil"/>
              <w:bottom w:val="single" w:sz="4" w:space="0" w:color="auto"/>
              <w:right w:val="nil"/>
            </w:tcBorders>
            <w:shd w:val="clear" w:color="auto" w:fill="auto"/>
            <w:noWrap/>
            <w:vAlign w:val="bottom"/>
            <w:hideMark/>
          </w:tcPr>
          <w:p w14:paraId="39527D5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1</w:t>
            </w:r>
          </w:p>
        </w:tc>
        <w:tc>
          <w:tcPr>
            <w:tcW w:w="580" w:type="dxa"/>
            <w:tcBorders>
              <w:top w:val="nil"/>
              <w:left w:val="nil"/>
              <w:bottom w:val="single" w:sz="4" w:space="0" w:color="auto"/>
              <w:right w:val="nil"/>
            </w:tcBorders>
            <w:shd w:val="clear" w:color="auto" w:fill="auto"/>
            <w:noWrap/>
            <w:vAlign w:val="bottom"/>
            <w:hideMark/>
          </w:tcPr>
          <w:p w14:paraId="2CA0449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2</w:t>
            </w:r>
          </w:p>
        </w:tc>
        <w:tc>
          <w:tcPr>
            <w:tcW w:w="598" w:type="dxa"/>
            <w:tcBorders>
              <w:top w:val="nil"/>
              <w:left w:val="nil"/>
              <w:bottom w:val="single" w:sz="4" w:space="0" w:color="auto"/>
              <w:right w:val="nil"/>
            </w:tcBorders>
            <w:shd w:val="clear" w:color="auto" w:fill="auto"/>
            <w:noWrap/>
            <w:vAlign w:val="bottom"/>
            <w:hideMark/>
          </w:tcPr>
          <w:p w14:paraId="1B74D6C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3</w:t>
            </w:r>
          </w:p>
        </w:tc>
        <w:tc>
          <w:tcPr>
            <w:tcW w:w="960" w:type="dxa"/>
            <w:vMerge/>
            <w:tcBorders>
              <w:top w:val="single" w:sz="8" w:space="0" w:color="auto"/>
              <w:left w:val="single" w:sz="8" w:space="0" w:color="auto"/>
              <w:bottom w:val="single" w:sz="4" w:space="0" w:color="000000"/>
              <w:right w:val="single" w:sz="8" w:space="0" w:color="auto"/>
            </w:tcBorders>
            <w:vAlign w:val="center"/>
            <w:hideMark/>
          </w:tcPr>
          <w:p w14:paraId="6C5FB241" w14:textId="77777777" w:rsidR="00233D05" w:rsidRPr="00233D05" w:rsidRDefault="00233D05" w:rsidP="00233D05">
            <w:pPr>
              <w:rPr>
                <w:rFonts w:ascii="Calibri" w:hAnsi="Calibri" w:cs="Calibri"/>
                <w:b/>
                <w:bCs/>
                <w:color w:val="000000"/>
                <w:sz w:val="18"/>
                <w:szCs w:val="18"/>
                <w:lang w:eastAsia="en-GB"/>
              </w:rPr>
            </w:pPr>
          </w:p>
        </w:tc>
        <w:tc>
          <w:tcPr>
            <w:tcW w:w="960" w:type="dxa"/>
            <w:vMerge/>
            <w:tcBorders>
              <w:top w:val="nil"/>
              <w:left w:val="nil"/>
              <w:bottom w:val="single" w:sz="4" w:space="0" w:color="000000"/>
              <w:right w:val="nil"/>
            </w:tcBorders>
            <w:vAlign w:val="center"/>
            <w:hideMark/>
          </w:tcPr>
          <w:p w14:paraId="2E466964" w14:textId="77777777" w:rsidR="00233D05" w:rsidRPr="00233D05" w:rsidRDefault="00233D05" w:rsidP="00233D05">
            <w:pPr>
              <w:rPr>
                <w:rFonts w:ascii="Calibri" w:hAnsi="Calibri" w:cs="Calibri"/>
                <w:b/>
                <w:bCs/>
                <w:color w:val="000000"/>
                <w:sz w:val="18"/>
                <w:szCs w:val="18"/>
                <w:lang w:eastAsia="en-GB"/>
              </w:rPr>
            </w:pPr>
          </w:p>
        </w:tc>
        <w:tc>
          <w:tcPr>
            <w:tcW w:w="308" w:type="dxa"/>
            <w:tcBorders>
              <w:top w:val="nil"/>
              <w:left w:val="nil"/>
              <w:bottom w:val="nil"/>
              <w:right w:val="nil"/>
            </w:tcBorders>
            <w:shd w:val="clear" w:color="auto" w:fill="auto"/>
            <w:noWrap/>
            <w:vAlign w:val="center"/>
            <w:hideMark/>
          </w:tcPr>
          <w:p w14:paraId="5E45EBE1" w14:textId="77777777" w:rsidR="00233D05" w:rsidRPr="00233D05" w:rsidRDefault="00233D05" w:rsidP="00233D05">
            <w:pPr>
              <w:jc w:val="right"/>
              <w:rPr>
                <w:rFonts w:ascii="Calibri" w:hAnsi="Calibri" w:cs="Calibri"/>
                <w:b/>
                <w:bCs/>
                <w:color w:val="000000"/>
                <w:sz w:val="18"/>
                <w:szCs w:val="18"/>
                <w:lang w:eastAsia="en-GB"/>
              </w:rPr>
            </w:pPr>
          </w:p>
        </w:tc>
        <w:tc>
          <w:tcPr>
            <w:tcW w:w="1020" w:type="dxa"/>
            <w:vMerge/>
            <w:tcBorders>
              <w:top w:val="nil"/>
              <w:left w:val="nil"/>
              <w:bottom w:val="single" w:sz="4" w:space="0" w:color="000000"/>
              <w:right w:val="nil"/>
            </w:tcBorders>
            <w:vAlign w:val="center"/>
            <w:hideMark/>
          </w:tcPr>
          <w:p w14:paraId="3B770CAD"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8" w:space="0" w:color="auto"/>
              <w:left w:val="single" w:sz="8" w:space="0" w:color="auto"/>
              <w:bottom w:val="single" w:sz="4" w:space="0" w:color="000000"/>
              <w:right w:val="single" w:sz="8" w:space="0" w:color="auto"/>
            </w:tcBorders>
            <w:vAlign w:val="center"/>
            <w:hideMark/>
          </w:tcPr>
          <w:p w14:paraId="612E1EF0" w14:textId="77777777" w:rsidR="00233D05" w:rsidRPr="00233D05" w:rsidRDefault="00233D05" w:rsidP="00233D05">
            <w:pPr>
              <w:rPr>
                <w:rFonts w:ascii="Calibri" w:hAnsi="Calibri" w:cs="Calibri"/>
                <w:b/>
                <w:bCs/>
                <w:color w:val="000000"/>
                <w:sz w:val="18"/>
                <w:szCs w:val="18"/>
                <w:lang w:eastAsia="en-GB"/>
              </w:rPr>
            </w:pPr>
          </w:p>
        </w:tc>
      </w:tr>
      <w:tr w:rsidR="00233D05" w:rsidRPr="00233D05" w14:paraId="641E9CF0" w14:textId="77777777" w:rsidTr="00233D05">
        <w:trPr>
          <w:trHeight w:val="34"/>
        </w:trPr>
        <w:tc>
          <w:tcPr>
            <w:tcW w:w="308" w:type="dxa"/>
            <w:tcBorders>
              <w:top w:val="nil"/>
              <w:left w:val="nil"/>
              <w:bottom w:val="nil"/>
              <w:right w:val="nil"/>
            </w:tcBorders>
            <w:shd w:val="clear" w:color="auto" w:fill="auto"/>
            <w:noWrap/>
            <w:vAlign w:val="center"/>
            <w:hideMark/>
          </w:tcPr>
          <w:p w14:paraId="7A390A86" w14:textId="77777777" w:rsidR="00233D05" w:rsidRPr="00233D05" w:rsidRDefault="00233D05" w:rsidP="00233D05">
            <w:pPr>
              <w:rPr>
                <w:rFonts w:ascii="Times New Roman" w:hAnsi="Times New Roman"/>
                <w:sz w:val="20"/>
                <w:lang w:eastAsia="en-GB"/>
              </w:rPr>
            </w:pPr>
          </w:p>
        </w:tc>
        <w:tc>
          <w:tcPr>
            <w:tcW w:w="1848" w:type="dxa"/>
            <w:tcBorders>
              <w:top w:val="nil"/>
              <w:left w:val="nil"/>
              <w:bottom w:val="nil"/>
              <w:right w:val="nil"/>
            </w:tcBorders>
            <w:shd w:val="clear" w:color="auto" w:fill="auto"/>
            <w:noWrap/>
            <w:vAlign w:val="bottom"/>
            <w:hideMark/>
          </w:tcPr>
          <w:p w14:paraId="7955BEE5"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bottom"/>
            <w:hideMark/>
          </w:tcPr>
          <w:p w14:paraId="69896015"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bottom"/>
            <w:hideMark/>
          </w:tcPr>
          <w:p w14:paraId="5638006F"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bottom"/>
            <w:hideMark/>
          </w:tcPr>
          <w:p w14:paraId="3D75975D"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bottom"/>
            <w:hideMark/>
          </w:tcPr>
          <w:p w14:paraId="633C99FC"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bottom"/>
            <w:hideMark/>
          </w:tcPr>
          <w:p w14:paraId="26EC322A"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bottom"/>
            <w:hideMark/>
          </w:tcPr>
          <w:p w14:paraId="4E4D3206"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0284F5F0"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bottom"/>
            <w:hideMark/>
          </w:tcPr>
          <w:p w14:paraId="41DB9EED"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bottom"/>
            <w:hideMark/>
          </w:tcPr>
          <w:p w14:paraId="216CC06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109730D8" w14:textId="77777777" w:rsidTr="00233D05">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5779BC0"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1848" w:type="dxa"/>
            <w:tcBorders>
              <w:top w:val="nil"/>
              <w:left w:val="nil"/>
              <w:bottom w:val="nil"/>
              <w:right w:val="nil"/>
            </w:tcBorders>
            <w:shd w:val="clear" w:color="auto" w:fill="auto"/>
            <w:noWrap/>
            <w:vAlign w:val="bottom"/>
            <w:hideMark/>
          </w:tcPr>
          <w:p w14:paraId="589ED23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5FF2798A"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single" w:sz="4" w:space="0" w:color="auto"/>
              <w:left w:val="nil"/>
              <w:bottom w:val="nil"/>
              <w:right w:val="nil"/>
            </w:tcBorders>
            <w:shd w:val="clear" w:color="auto" w:fill="auto"/>
            <w:noWrap/>
            <w:vAlign w:val="center"/>
            <w:hideMark/>
          </w:tcPr>
          <w:p w14:paraId="742D97DE"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80" w:type="dxa"/>
            <w:tcBorders>
              <w:top w:val="single" w:sz="4" w:space="0" w:color="auto"/>
              <w:left w:val="nil"/>
              <w:bottom w:val="nil"/>
              <w:right w:val="nil"/>
            </w:tcBorders>
            <w:shd w:val="clear" w:color="auto" w:fill="auto"/>
            <w:noWrap/>
            <w:vAlign w:val="center"/>
            <w:hideMark/>
          </w:tcPr>
          <w:p w14:paraId="14281FB4"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single" w:sz="4" w:space="0" w:color="auto"/>
              <w:left w:val="nil"/>
              <w:bottom w:val="nil"/>
              <w:right w:val="nil"/>
            </w:tcBorders>
            <w:shd w:val="clear" w:color="auto" w:fill="auto"/>
            <w:noWrap/>
            <w:vAlign w:val="center"/>
            <w:hideMark/>
          </w:tcPr>
          <w:p w14:paraId="62550033"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71F58D20"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val="restart"/>
            <w:tcBorders>
              <w:top w:val="single" w:sz="4" w:space="0" w:color="auto"/>
              <w:left w:val="nil"/>
              <w:bottom w:val="single" w:sz="4" w:space="0" w:color="000000"/>
              <w:right w:val="nil"/>
            </w:tcBorders>
            <w:shd w:val="clear" w:color="000000" w:fill="D6DCE4"/>
            <w:noWrap/>
            <w:vAlign w:val="center"/>
            <w:hideMark/>
          </w:tcPr>
          <w:p w14:paraId="7433F457"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831A738"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PPB*</w:t>
            </w:r>
          </w:p>
        </w:tc>
        <w:tc>
          <w:tcPr>
            <w:tcW w:w="1020" w:type="dxa"/>
            <w:tcBorders>
              <w:top w:val="nil"/>
              <w:left w:val="nil"/>
              <w:bottom w:val="nil"/>
              <w:right w:val="nil"/>
            </w:tcBorders>
            <w:shd w:val="clear" w:color="000000" w:fill="D6DCE4"/>
            <w:noWrap/>
            <w:vAlign w:val="center"/>
            <w:hideMark/>
          </w:tcPr>
          <w:p w14:paraId="73E8BB5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1,323 </w:t>
            </w:r>
          </w:p>
        </w:tc>
        <w:tc>
          <w:tcPr>
            <w:tcW w:w="1020" w:type="dxa"/>
            <w:tcBorders>
              <w:top w:val="nil"/>
              <w:left w:val="single" w:sz="8" w:space="0" w:color="auto"/>
              <w:bottom w:val="nil"/>
              <w:right w:val="single" w:sz="8" w:space="0" w:color="auto"/>
            </w:tcBorders>
            <w:shd w:val="clear" w:color="000000" w:fill="ACB9CA"/>
            <w:noWrap/>
            <w:vAlign w:val="center"/>
            <w:hideMark/>
          </w:tcPr>
          <w:p w14:paraId="426750E5"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1,323 </w:t>
            </w:r>
          </w:p>
        </w:tc>
      </w:tr>
      <w:tr w:rsidR="00233D05" w:rsidRPr="00233D05" w14:paraId="1B321CE1"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339852B"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20B68D07"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164D072F"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24194E0C" w14:textId="77777777" w:rsidR="00233D05" w:rsidRPr="00233D05" w:rsidRDefault="00233D05" w:rsidP="00233D05">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79D3F022" w14:textId="77777777" w:rsidR="00233D05" w:rsidRPr="00233D05" w:rsidRDefault="00233D05" w:rsidP="00233D05">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52B03705"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4D3B9F98"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top w:val="single" w:sz="4" w:space="0" w:color="auto"/>
              <w:left w:val="nil"/>
              <w:bottom w:val="single" w:sz="4" w:space="0" w:color="000000"/>
              <w:right w:val="nil"/>
            </w:tcBorders>
            <w:vAlign w:val="center"/>
            <w:hideMark/>
          </w:tcPr>
          <w:p w14:paraId="03666FD3" w14:textId="77777777" w:rsidR="00233D05" w:rsidRPr="00233D05" w:rsidRDefault="00233D05" w:rsidP="00233D05">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BDCB0D2"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2C78207D"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(355) </w:t>
            </w:r>
          </w:p>
        </w:tc>
        <w:tc>
          <w:tcPr>
            <w:tcW w:w="1020" w:type="dxa"/>
            <w:tcBorders>
              <w:top w:val="nil"/>
              <w:left w:val="single" w:sz="8" w:space="0" w:color="auto"/>
              <w:bottom w:val="nil"/>
              <w:right w:val="single" w:sz="8" w:space="0" w:color="auto"/>
            </w:tcBorders>
            <w:shd w:val="clear" w:color="000000" w:fill="ACB9CA"/>
            <w:noWrap/>
            <w:vAlign w:val="center"/>
            <w:hideMark/>
          </w:tcPr>
          <w:p w14:paraId="178317BB"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(355) </w:t>
            </w:r>
          </w:p>
        </w:tc>
      </w:tr>
      <w:tr w:rsidR="00233D05" w:rsidRPr="00233D05" w14:paraId="33F088D5"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C8AA333"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1DA3D5F6"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nil"/>
              <w:left w:val="single" w:sz="8" w:space="0" w:color="auto"/>
              <w:bottom w:val="nil"/>
              <w:right w:val="single" w:sz="8" w:space="0" w:color="auto"/>
            </w:tcBorders>
            <w:shd w:val="clear" w:color="auto" w:fill="auto"/>
            <w:noWrap/>
            <w:vAlign w:val="center"/>
            <w:hideMark/>
          </w:tcPr>
          <w:p w14:paraId="315410B7"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011207DD" w14:textId="77777777" w:rsidR="00233D05" w:rsidRPr="00233D05" w:rsidRDefault="00233D05" w:rsidP="00233D05">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2BC4526C" w14:textId="77777777" w:rsidR="00233D05" w:rsidRPr="00233D05" w:rsidRDefault="00233D05" w:rsidP="00233D05">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259AC85D"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E054F92"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top w:val="single" w:sz="4" w:space="0" w:color="auto"/>
              <w:left w:val="nil"/>
              <w:bottom w:val="single" w:sz="4" w:space="0" w:color="000000"/>
              <w:right w:val="nil"/>
            </w:tcBorders>
            <w:vAlign w:val="center"/>
            <w:hideMark/>
          </w:tcPr>
          <w:p w14:paraId="6CCA6393" w14:textId="77777777" w:rsidR="00233D05" w:rsidRPr="00233D05" w:rsidRDefault="00233D05" w:rsidP="00233D05">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2B5AE428"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58EF9FC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968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7BD19FE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968 </w:t>
            </w:r>
          </w:p>
        </w:tc>
      </w:tr>
      <w:tr w:rsidR="00233D05" w:rsidRPr="00233D05" w14:paraId="11C2F1C3"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2DBE2F78"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42FCB22"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6890CE8F"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nil"/>
              <w:right w:val="nil"/>
            </w:tcBorders>
            <w:shd w:val="clear" w:color="auto" w:fill="auto"/>
            <w:noWrap/>
            <w:vAlign w:val="center"/>
            <w:hideMark/>
          </w:tcPr>
          <w:p w14:paraId="165143DB" w14:textId="77777777" w:rsidR="00233D05" w:rsidRPr="00233D05" w:rsidRDefault="00233D05" w:rsidP="00233D05">
            <w:pPr>
              <w:rPr>
                <w:rFonts w:ascii="Calibri" w:hAnsi="Calibri" w:cs="Calibri"/>
                <w:b/>
                <w:bCs/>
                <w:color w:val="000000"/>
                <w:sz w:val="18"/>
                <w:szCs w:val="18"/>
                <w:lang w:eastAsia="en-GB"/>
              </w:rPr>
            </w:pPr>
          </w:p>
        </w:tc>
        <w:tc>
          <w:tcPr>
            <w:tcW w:w="580" w:type="dxa"/>
            <w:tcBorders>
              <w:top w:val="nil"/>
              <w:left w:val="nil"/>
              <w:bottom w:val="nil"/>
              <w:right w:val="nil"/>
            </w:tcBorders>
            <w:shd w:val="clear" w:color="auto" w:fill="auto"/>
            <w:noWrap/>
            <w:vAlign w:val="center"/>
            <w:hideMark/>
          </w:tcPr>
          <w:p w14:paraId="46A4DE5B" w14:textId="77777777" w:rsidR="00233D05" w:rsidRPr="00233D05" w:rsidRDefault="00233D05" w:rsidP="00233D05">
            <w:pPr>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3DF332EF"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5F5C78D"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top w:val="single" w:sz="4" w:space="0" w:color="auto"/>
              <w:left w:val="nil"/>
              <w:bottom w:val="single" w:sz="4" w:space="0" w:color="000000"/>
              <w:right w:val="nil"/>
            </w:tcBorders>
            <w:vAlign w:val="center"/>
            <w:hideMark/>
          </w:tcPr>
          <w:p w14:paraId="30F54610" w14:textId="77777777" w:rsidR="00233D05" w:rsidRPr="00233D05" w:rsidRDefault="00233D05" w:rsidP="00233D05">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C8DA57C"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71125F6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(578) </w:t>
            </w:r>
          </w:p>
        </w:tc>
        <w:tc>
          <w:tcPr>
            <w:tcW w:w="1020" w:type="dxa"/>
            <w:tcBorders>
              <w:top w:val="nil"/>
              <w:left w:val="single" w:sz="8" w:space="0" w:color="auto"/>
              <w:bottom w:val="nil"/>
              <w:right w:val="single" w:sz="8" w:space="0" w:color="auto"/>
            </w:tcBorders>
            <w:shd w:val="clear" w:color="000000" w:fill="ACB9CA"/>
            <w:noWrap/>
            <w:vAlign w:val="center"/>
            <w:hideMark/>
          </w:tcPr>
          <w:p w14:paraId="68E419E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(578) </w:t>
            </w:r>
          </w:p>
        </w:tc>
      </w:tr>
      <w:tr w:rsidR="00233D05" w:rsidRPr="00233D05" w14:paraId="74275A4D"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7EC191D0"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6303DFCE"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26ADDCCC"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single" w:sz="4" w:space="0" w:color="auto"/>
              <w:right w:val="nil"/>
            </w:tcBorders>
            <w:shd w:val="clear" w:color="auto" w:fill="auto"/>
            <w:noWrap/>
            <w:vAlign w:val="center"/>
            <w:hideMark/>
          </w:tcPr>
          <w:p w14:paraId="76FC345B"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80" w:type="dxa"/>
            <w:tcBorders>
              <w:top w:val="nil"/>
              <w:left w:val="nil"/>
              <w:bottom w:val="single" w:sz="4" w:space="0" w:color="auto"/>
              <w:right w:val="nil"/>
            </w:tcBorders>
            <w:shd w:val="clear" w:color="auto" w:fill="auto"/>
            <w:noWrap/>
            <w:vAlign w:val="center"/>
            <w:hideMark/>
          </w:tcPr>
          <w:p w14:paraId="4471746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598" w:type="dxa"/>
            <w:tcBorders>
              <w:top w:val="nil"/>
              <w:left w:val="nil"/>
              <w:bottom w:val="single" w:sz="4" w:space="0" w:color="auto"/>
              <w:right w:val="nil"/>
            </w:tcBorders>
            <w:shd w:val="clear" w:color="auto" w:fill="auto"/>
            <w:noWrap/>
            <w:vAlign w:val="center"/>
            <w:hideMark/>
          </w:tcPr>
          <w:p w14:paraId="4F8A87AD"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1083DAE8"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p>
        </w:tc>
        <w:tc>
          <w:tcPr>
            <w:tcW w:w="960" w:type="dxa"/>
            <w:vMerge/>
            <w:tcBorders>
              <w:top w:val="single" w:sz="4" w:space="0" w:color="auto"/>
              <w:left w:val="nil"/>
              <w:bottom w:val="single" w:sz="4" w:space="0" w:color="000000"/>
              <w:right w:val="nil"/>
            </w:tcBorders>
            <w:vAlign w:val="center"/>
            <w:hideMark/>
          </w:tcPr>
          <w:p w14:paraId="2D71AEB4" w14:textId="77777777" w:rsidR="00233D05" w:rsidRPr="00233D05" w:rsidRDefault="00233D05" w:rsidP="00233D05">
            <w:pPr>
              <w:rPr>
                <w:rFonts w:ascii="Calibri" w:hAnsi="Calibri" w:cs="Calibri"/>
                <w:b/>
                <w:bCs/>
                <w:color w:val="000000"/>
                <w:sz w:val="18"/>
                <w:szCs w:val="18"/>
                <w:lang w:eastAsia="en-GB"/>
              </w:rPr>
            </w:pP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D48009C"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4E4C5CF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390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6297C9D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390 </w:t>
            </w:r>
          </w:p>
        </w:tc>
      </w:tr>
      <w:tr w:rsidR="00233D05" w:rsidRPr="00233D05" w14:paraId="023FFA78" w14:textId="77777777" w:rsidTr="00233D05">
        <w:trPr>
          <w:trHeight w:val="81"/>
        </w:trPr>
        <w:tc>
          <w:tcPr>
            <w:tcW w:w="308" w:type="dxa"/>
            <w:tcBorders>
              <w:top w:val="nil"/>
              <w:left w:val="nil"/>
              <w:bottom w:val="nil"/>
              <w:right w:val="nil"/>
            </w:tcBorders>
            <w:shd w:val="clear" w:color="auto" w:fill="auto"/>
            <w:noWrap/>
            <w:vAlign w:val="center"/>
            <w:hideMark/>
          </w:tcPr>
          <w:p w14:paraId="24C03F53" w14:textId="77777777" w:rsidR="00233D05" w:rsidRPr="00233D05" w:rsidRDefault="00233D05" w:rsidP="00233D05">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E4A16A9"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7B54447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6AD422E2"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674B3036"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4A85680D"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7AF58BC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center"/>
            <w:hideMark/>
          </w:tcPr>
          <w:p w14:paraId="3900D91E"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70961CCD"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49DBDA8F"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25C83F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66E7AA4C" w14:textId="77777777" w:rsidTr="00233D05">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6B788F9A"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UK</w:t>
            </w:r>
          </w:p>
        </w:tc>
        <w:tc>
          <w:tcPr>
            <w:tcW w:w="1848" w:type="dxa"/>
            <w:tcBorders>
              <w:top w:val="nil"/>
              <w:left w:val="nil"/>
              <w:bottom w:val="nil"/>
              <w:right w:val="nil"/>
            </w:tcBorders>
            <w:shd w:val="clear" w:color="auto" w:fill="auto"/>
            <w:noWrap/>
            <w:vAlign w:val="bottom"/>
            <w:hideMark/>
          </w:tcPr>
          <w:p w14:paraId="0B2A082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668683D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947 </w:t>
            </w:r>
          </w:p>
        </w:tc>
        <w:tc>
          <w:tcPr>
            <w:tcW w:w="598" w:type="dxa"/>
            <w:tcBorders>
              <w:top w:val="nil"/>
              <w:left w:val="nil"/>
              <w:bottom w:val="nil"/>
              <w:right w:val="nil"/>
            </w:tcBorders>
            <w:shd w:val="clear" w:color="auto" w:fill="auto"/>
            <w:noWrap/>
            <w:vAlign w:val="center"/>
            <w:hideMark/>
          </w:tcPr>
          <w:p w14:paraId="517DF075" w14:textId="77777777" w:rsidR="00233D05" w:rsidRPr="00233D05" w:rsidRDefault="00B16C7A" w:rsidP="00233D05">
            <w:pPr>
              <w:jc w:val="right"/>
              <w:rPr>
                <w:rFonts w:ascii="Calibri" w:hAnsi="Calibri" w:cs="Calibri"/>
                <w:b/>
                <w:bCs/>
                <w:color w:val="000000"/>
                <w:sz w:val="18"/>
                <w:szCs w:val="18"/>
                <w:lang w:eastAsia="en-GB"/>
              </w:rPr>
            </w:pPr>
            <w:r>
              <w:rPr>
                <w:rFonts w:ascii="Calibri" w:hAnsi="Calibri" w:cs="Calibri"/>
                <w:b/>
                <w:bCs/>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677E884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(8) </w:t>
            </w:r>
          </w:p>
        </w:tc>
        <w:tc>
          <w:tcPr>
            <w:tcW w:w="598" w:type="dxa"/>
            <w:tcBorders>
              <w:top w:val="nil"/>
              <w:left w:val="nil"/>
              <w:bottom w:val="nil"/>
              <w:right w:val="nil"/>
            </w:tcBorders>
            <w:shd w:val="clear" w:color="auto" w:fill="auto"/>
            <w:noWrap/>
            <w:vAlign w:val="center"/>
            <w:hideMark/>
          </w:tcPr>
          <w:p w14:paraId="7C3FDCF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390CFE9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939 </w:t>
            </w:r>
          </w:p>
        </w:tc>
        <w:tc>
          <w:tcPr>
            <w:tcW w:w="960" w:type="dxa"/>
            <w:tcBorders>
              <w:top w:val="nil"/>
              <w:left w:val="nil"/>
              <w:bottom w:val="nil"/>
              <w:right w:val="nil"/>
            </w:tcBorders>
            <w:shd w:val="clear" w:color="000000" w:fill="D6DCE4"/>
            <w:noWrap/>
            <w:vAlign w:val="center"/>
            <w:hideMark/>
          </w:tcPr>
          <w:p w14:paraId="4290DC3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736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A5D54F7"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SBG</w:t>
            </w:r>
          </w:p>
        </w:tc>
        <w:tc>
          <w:tcPr>
            <w:tcW w:w="1020" w:type="dxa"/>
            <w:vMerge w:val="restart"/>
            <w:tcBorders>
              <w:top w:val="single" w:sz="4" w:space="0" w:color="auto"/>
              <w:left w:val="single" w:sz="4" w:space="0" w:color="auto"/>
              <w:bottom w:val="single" w:sz="4" w:space="0" w:color="000000"/>
              <w:right w:val="nil"/>
            </w:tcBorders>
            <w:shd w:val="clear" w:color="000000" w:fill="D6DCE4"/>
            <w:noWrap/>
            <w:vAlign w:val="center"/>
            <w:hideMark/>
          </w:tcPr>
          <w:p w14:paraId="799174E6"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1020" w:type="dxa"/>
            <w:tcBorders>
              <w:top w:val="nil"/>
              <w:left w:val="single" w:sz="8" w:space="0" w:color="auto"/>
              <w:bottom w:val="nil"/>
              <w:right w:val="single" w:sz="8" w:space="0" w:color="auto"/>
            </w:tcBorders>
            <w:shd w:val="clear" w:color="000000" w:fill="ACB9CA"/>
            <w:noWrap/>
            <w:vAlign w:val="center"/>
            <w:hideMark/>
          </w:tcPr>
          <w:p w14:paraId="5C3E8E5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736 </w:t>
            </w:r>
          </w:p>
        </w:tc>
      </w:tr>
      <w:tr w:rsidR="00233D05" w:rsidRPr="00233D05" w14:paraId="57A9656E"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07D07C4"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79FC218"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06E5EF0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(292) </w:t>
            </w:r>
          </w:p>
        </w:tc>
        <w:tc>
          <w:tcPr>
            <w:tcW w:w="598" w:type="dxa"/>
            <w:tcBorders>
              <w:top w:val="nil"/>
              <w:left w:val="nil"/>
              <w:bottom w:val="nil"/>
              <w:right w:val="nil"/>
            </w:tcBorders>
            <w:shd w:val="clear" w:color="auto" w:fill="auto"/>
            <w:noWrap/>
            <w:vAlign w:val="center"/>
            <w:hideMark/>
          </w:tcPr>
          <w:p w14:paraId="3E0FD75B" w14:textId="77777777" w:rsidR="00233D05" w:rsidRPr="00233D05" w:rsidRDefault="00B16C7A" w:rsidP="00233D05">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00C5828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32 </w:t>
            </w:r>
          </w:p>
        </w:tc>
        <w:tc>
          <w:tcPr>
            <w:tcW w:w="598" w:type="dxa"/>
            <w:tcBorders>
              <w:top w:val="nil"/>
              <w:left w:val="nil"/>
              <w:bottom w:val="nil"/>
              <w:right w:val="nil"/>
            </w:tcBorders>
            <w:shd w:val="clear" w:color="auto" w:fill="auto"/>
            <w:noWrap/>
            <w:vAlign w:val="center"/>
            <w:hideMark/>
          </w:tcPr>
          <w:p w14:paraId="342DE916"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6053BB9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(260) </w:t>
            </w:r>
          </w:p>
        </w:tc>
        <w:tc>
          <w:tcPr>
            <w:tcW w:w="960" w:type="dxa"/>
            <w:tcBorders>
              <w:top w:val="nil"/>
              <w:left w:val="nil"/>
              <w:bottom w:val="nil"/>
              <w:right w:val="nil"/>
            </w:tcBorders>
            <w:shd w:val="clear" w:color="000000" w:fill="D6DCE4"/>
            <w:noWrap/>
            <w:vAlign w:val="center"/>
            <w:hideMark/>
          </w:tcPr>
          <w:p w14:paraId="0751A4C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(203)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622C537E"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598BEEC0"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68531DC1"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(203) </w:t>
            </w:r>
          </w:p>
        </w:tc>
      </w:tr>
      <w:tr w:rsidR="00233D05" w:rsidRPr="00233D05" w14:paraId="23471601"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8A51184"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0F9DC5A7"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32B4633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655 </w:t>
            </w:r>
          </w:p>
        </w:tc>
        <w:tc>
          <w:tcPr>
            <w:tcW w:w="598" w:type="dxa"/>
            <w:tcBorders>
              <w:top w:val="single" w:sz="4" w:space="0" w:color="auto"/>
              <w:left w:val="nil"/>
              <w:bottom w:val="nil"/>
              <w:right w:val="nil"/>
            </w:tcBorders>
            <w:shd w:val="clear" w:color="auto" w:fill="auto"/>
            <w:noWrap/>
            <w:vAlign w:val="center"/>
            <w:hideMark/>
          </w:tcPr>
          <w:p w14:paraId="4D4E529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nil"/>
              <w:right w:val="nil"/>
            </w:tcBorders>
            <w:shd w:val="clear" w:color="auto" w:fill="auto"/>
            <w:noWrap/>
            <w:vAlign w:val="center"/>
            <w:hideMark/>
          </w:tcPr>
          <w:p w14:paraId="50C3A4D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24 </w:t>
            </w:r>
          </w:p>
        </w:tc>
        <w:tc>
          <w:tcPr>
            <w:tcW w:w="598" w:type="dxa"/>
            <w:tcBorders>
              <w:top w:val="single" w:sz="4" w:space="0" w:color="auto"/>
              <w:left w:val="nil"/>
              <w:bottom w:val="nil"/>
              <w:right w:val="nil"/>
            </w:tcBorders>
            <w:shd w:val="clear" w:color="auto" w:fill="auto"/>
            <w:noWrap/>
            <w:vAlign w:val="center"/>
            <w:hideMark/>
          </w:tcPr>
          <w:p w14:paraId="7C972C6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4E8F985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679 </w:t>
            </w:r>
          </w:p>
        </w:tc>
        <w:tc>
          <w:tcPr>
            <w:tcW w:w="960" w:type="dxa"/>
            <w:tcBorders>
              <w:top w:val="single" w:sz="4" w:space="0" w:color="auto"/>
              <w:left w:val="nil"/>
              <w:bottom w:val="nil"/>
              <w:right w:val="nil"/>
            </w:tcBorders>
            <w:shd w:val="clear" w:color="000000" w:fill="D6DCE4"/>
            <w:noWrap/>
            <w:vAlign w:val="center"/>
            <w:hideMark/>
          </w:tcPr>
          <w:p w14:paraId="75D4973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533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7BA6070"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441296E8"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1834239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533 </w:t>
            </w:r>
          </w:p>
        </w:tc>
      </w:tr>
      <w:tr w:rsidR="00233D05" w:rsidRPr="00233D05" w14:paraId="4328A31F"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7923E147"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086547B"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6C63DDE7"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(330) </w:t>
            </w:r>
          </w:p>
        </w:tc>
        <w:tc>
          <w:tcPr>
            <w:tcW w:w="598" w:type="dxa"/>
            <w:tcBorders>
              <w:top w:val="nil"/>
              <w:left w:val="nil"/>
              <w:bottom w:val="nil"/>
              <w:right w:val="nil"/>
            </w:tcBorders>
            <w:shd w:val="clear" w:color="auto" w:fill="auto"/>
            <w:noWrap/>
            <w:vAlign w:val="center"/>
            <w:hideMark/>
          </w:tcPr>
          <w:p w14:paraId="4E44E46C" w14:textId="77777777" w:rsidR="00233D05" w:rsidRPr="00233D05" w:rsidRDefault="00B16C7A" w:rsidP="00233D05">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43FBE6AA"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(24) </w:t>
            </w:r>
          </w:p>
        </w:tc>
        <w:tc>
          <w:tcPr>
            <w:tcW w:w="598" w:type="dxa"/>
            <w:tcBorders>
              <w:top w:val="nil"/>
              <w:left w:val="nil"/>
              <w:bottom w:val="nil"/>
              <w:right w:val="nil"/>
            </w:tcBorders>
            <w:shd w:val="clear" w:color="auto" w:fill="auto"/>
            <w:noWrap/>
            <w:vAlign w:val="center"/>
            <w:hideMark/>
          </w:tcPr>
          <w:p w14:paraId="31CCE306"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 </w:t>
            </w:r>
          </w:p>
        </w:tc>
        <w:tc>
          <w:tcPr>
            <w:tcW w:w="960" w:type="dxa"/>
            <w:tcBorders>
              <w:top w:val="nil"/>
              <w:left w:val="single" w:sz="8" w:space="0" w:color="auto"/>
              <w:bottom w:val="nil"/>
              <w:right w:val="single" w:sz="8" w:space="0" w:color="auto"/>
            </w:tcBorders>
            <w:shd w:val="clear" w:color="auto" w:fill="auto"/>
            <w:noWrap/>
            <w:vAlign w:val="center"/>
            <w:hideMark/>
          </w:tcPr>
          <w:p w14:paraId="1C2E19CD"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(357) </w:t>
            </w:r>
          </w:p>
        </w:tc>
        <w:tc>
          <w:tcPr>
            <w:tcW w:w="960" w:type="dxa"/>
            <w:tcBorders>
              <w:top w:val="nil"/>
              <w:left w:val="nil"/>
              <w:bottom w:val="nil"/>
              <w:right w:val="nil"/>
            </w:tcBorders>
            <w:shd w:val="clear" w:color="000000" w:fill="D6DCE4"/>
            <w:noWrap/>
            <w:vAlign w:val="center"/>
            <w:hideMark/>
          </w:tcPr>
          <w:p w14:paraId="2FA07EED"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(280)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3B321F71"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0CED079F"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7C4A22D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(280) </w:t>
            </w:r>
          </w:p>
        </w:tc>
      </w:tr>
      <w:tr w:rsidR="00233D05" w:rsidRPr="00233D05" w14:paraId="66A1CC33"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0906BB80"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6253CBCE"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BE816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325 </w:t>
            </w:r>
          </w:p>
        </w:tc>
        <w:tc>
          <w:tcPr>
            <w:tcW w:w="598" w:type="dxa"/>
            <w:tcBorders>
              <w:top w:val="single" w:sz="4" w:space="0" w:color="auto"/>
              <w:left w:val="nil"/>
              <w:bottom w:val="single" w:sz="4" w:space="0" w:color="auto"/>
              <w:right w:val="nil"/>
            </w:tcBorders>
            <w:shd w:val="clear" w:color="auto" w:fill="auto"/>
            <w:noWrap/>
            <w:vAlign w:val="center"/>
            <w:hideMark/>
          </w:tcPr>
          <w:p w14:paraId="7E77A8B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single" w:sz="4" w:space="0" w:color="auto"/>
              <w:right w:val="nil"/>
            </w:tcBorders>
            <w:shd w:val="clear" w:color="auto" w:fill="auto"/>
            <w:noWrap/>
            <w:vAlign w:val="center"/>
            <w:hideMark/>
          </w:tcPr>
          <w:p w14:paraId="4F90027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62BC746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(2)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2CADBC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322 </w:t>
            </w:r>
          </w:p>
        </w:tc>
        <w:tc>
          <w:tcPr>
            <w:tcW w:w="960" w:type="dxa"/>
            <w:tcBorders>
              <w:top w:val="single" w:sz="4" w:space="0" w:color="auto"/>
              <w:left w:val="nil"/>
              <w:bottom w:val="single" w:sz="4" w:space="0" w:color="auto"/>
              <w:right w:val="nil"/>
            </w:tcBorders>
            <w:shd w:val="clear" w:color="000000" w:fill="D6DCE4"/>
            <w:noWrap/>
            <w:vAlign w:val="center"/>
            <w:hideMark/>
          </w:tcPr>
          <w:p w14:paraId="6B5E2FE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17602C80"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5F97E8EA"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61CF3E9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253 </w:t>
            </w:r>
          </w:p>
        </w:tc>
      </w:tr>
      <w:tr w:rsidR="00233D05" w:rsidRPr="00233D05" w14:paraId="1B5216EE" w14:textId="77777777" w:rsidTr="00233D05">
        <w:trPr>
          <w:trHeight w:val="81"/>
        </w:trPr>
        <w:tc>
          <w:tcPr>
            <w:tcW w:w="308" w:type="dxa"/>
            <w:tcBorders>
              <w:top w:val="nil"/>
              <w:left w:val="nil"/>
              <w:bottom w:val="nil"/>
              <w:right w:val="nil"/>
            </w:tcBorders>
            <w:shd w:val="clear" w:color="auto" w:fill="auto"/>
            <w:noWrap/>
            <w:vAlign w:val="center"/>
            <w:hideMark/>
          </w:tcPr>
          <w:p w14:paraId="68239F16" w14:textId="77777777" w:rsidR="00233D05" w:rsidRPr="00233D05" w:rsidRDefault="00233D05" w:rsidP="00233D05">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99AF1AC"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083635C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22BA6C36"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64D627AF"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06BD5D23"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29AAC528"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center"/>
            <w:hideMark/>
          </w:tcPr>
          <w:p w14:paraId="175A6746"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0238B6CF"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54C9D686"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5E37BCC7"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583436D1" w14:textId="77777777" w:rsidTr="00233D05">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7466CDF" w14:textId="77777777" w:rsidR="00233D05" w:rsidRPr="00233D05" w:rsidRDefault="00233D05" w:rsidP="00233D05">
            <w:pPr>
              <w:jc w:val="center"/>
              <w:rPr>
                <w:rFonts w:ascii="Calibri" w:hAnsi="Calibri" w:cs="Calibri"/>
                <w:b/>
                <w:bCs/>
                <w:color w:val="000000"/>
                <w:sz w:val="16"/>
                <w:szCs w:val="16"/>
                <w:lang w:eastAsia="en-GB"/>
              </w:rPr>
            </w:pPr>
            <w:r w:rsidRPr="00233D05">
              <w:rPr>
                <w:rFonts w:ascii="Calibri" w:hAnsi="Calibri" w:cs="Calibri"/>
                <w:b/>
                <w:bCs/>
                <w:color w:val="000000"/>
                <w:sz w:val="16"/>
                <w:szCs w:val="16"/>
                <w:lang w:eastAsia="en-GB"/>
              </w:rPr>
              <w:t>INTERNATIONAL</w:t>
            </w:r>
          </w:p>
        </w:tc>
        <w:tc>
          <w:tcPr>
            <w:tcW w:w="1848" w:type="dxa"/>
            <w:tcBorders>
              <w:top w:val="nil"/>
              <w:left w:val="nil"/>
              <w:bottom w:val="nil"/>
              <w:right w:val="nil"/>
            </w:tcBorders>
            <w:shd w:val="clear" w:color="auto" w:fill="auto"/>
            <w:noWrap/>
            <w:vAlign w:val="bottom"/>
            <w:hideMark/>
          </w:tcPr>
          <w:p w14:paraId="23CB7AA2"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502C679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1,312 </w:t>
            </w:r>
          </w:p>
        </w:tc>
        <w:tc>
          <w:tcPr>
            <w:tcW w:w="598" w:type="dxa"/>
            <w:tcBorders>
              <w:top w:val="nil"/>
              <w:left w:val="nil"/>
              <w:bottom w:val="nil"/>
              <w:right w:val="nil"/>
            </w:tcBorders>
            <w:shd w:val="clear" w:color="auto" w:fill="auto"/>
            <w:noWrap/>
            <w:vAlign w:val="center"/>
            <w:hideMark/>
          </w:tcPr>
          <w:p w14:paraId="528F551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(12) </w:t>
            </w:r>
          </w:p>
        </w:tc>
        <w:tc>
          <w:tcPr>
            <w:tcW w:w="580" w:type="dxa"/>
            <w:tcBorders>
              <w:top w:val="nil"/>
              <w:left w:val="nil"/>
              <w:bottom w:val="nil"/>
              <w:right w:val="nil"/>
            </w:tcBorders>
            <w:shd w:val="clear" w:color="auto" w:fill="auto"/>
            <w:noWrap/>
            <w:vAlign w:val="center"/>
            <w:hideMark/>
          </w:tcPr>
          <w:p w14:paraId="5FC10F0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0C6A630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6866A59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1,300 </w:t>
            </w:r>
          </w:p>
        </w:tc>
        <w:tc>
          <w:tcPr>
            <w:tcW w:w="960" w:type="dxa"/>
            <w:tcBorders>
              <w:top w:val="nil"/>
              <w:left w:val="nil"/>
              <w:bottom w:val="nil"/>
              <w:right w:val="nil"/>
            </w:tcBorders>
            <w:shd w:val="clear" w:color="000000" w:fill="D6DCE4"/>
            <w:noWrap/>
            <w:vAlign w:val="center"/>
            <w:hideMark/>
          </w:tcPr>
          <w:p w14:paraId="44EB70B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1,018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74FF4AD"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POKERSTARS</w:t>
            </w:r>
          </w:p>
        </w:tc>
        <w:tc>
          <w:tcPr>
            <w:tcW w:w="1020" w:type="dxa"/>
            <w:vMerge w:val="restart"/>
            <w:tcBorders>
              <w:top w:val="single" w:sz="4" w:space="0" w:color="auto"/>
              <w:left w:val="single" w:sz="4" w:space="0" w:color="auto"/>
              <w:bottom w:val="single" w:sz="4" w:space="0" w:color="000000"/>
              <w:right w:val="nil"/>
            </w:tcBorders>
            <w:shd w:val="clear" w:color="000000" w:fill="D6DCE4"/>
            <w:noWrap/>
            <w:vAlign w:val="center"/>
            <w:hideMark/>
          </w:tcPr>
          <w:p w14:paraId="716A3C4E"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1020" w:type="dxa"/>
            <w:tcBorders>
              <w:top w:val="nil"/>
              <w:left w:val="single" w:sz="8" w:space="0" w:color="auto"/>
              <w:bottom w:val="nil"/>
              <w:right w:val="single" w:sz="8" w:space="0" w:color="auto"/>
            </w:tcBorders>
            <w:shd w:val="clear" w:color="000000" w:fill="ACB9CA"/>
            <w:noWrap/>
            <w:vAlign w:val="center"/>
            <w:hideMark/>
          </w:tcPr>
          <w:p w14:paraId="139863A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1,018 </w:t>
            </w:r>
          </w:p>
        </w:tc>
      </w:tr>
      <w:tr w:rsidR="00233D05" w:rsidRPr="00233D05" w14:paraId="474F08B6"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6627C365" w14:textId="77777777" w:rsidR="00233D05" w:rsidRPr="00233D05" w:rsidRDefault="00233D05" w:rsidP="00233D05">
            <w:pPr>
              <w:rPr>
                <w:rFonts w:ascii="Calibri" w:hAnsi="Calibri" w:cs="Calibri"/>
                <w:b/>
                <w:bCs/>
                <w:color w:val="000000"/>
                <w:sz w:val="16"/>
                <w:szCs w:val="16"/>
                <w:lang w:eastAsia="en-GB"/>
              </w:rPr>
            </w:pPr>
          </w:p>
        </w:tc>
        <w:tc>
          <w:tcPr>
            <w:tcW w:w="1848" w:type="dxa"/>
            <w:tcBorders>
              <w:top w:val="nil"/>
              <w:left w:val="nil"/>
              <w:bottom w:val="nil"/>
              <w:right w:val="nil"/>
            </w:tcBorders>
            <w:shd w:val="clear" w:color="auto" w:fill="auto"/>
            <w:noWrap/>
            <w:vAlign w:val="bottom"/>
            <w:hideMark/>
          </w:tcPr>
          <w:p w14:paraId="1E7FE0DF"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2AE2830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(297) </w:t>
            </w:r>
          </w:p>
        </w:tc>
        <w:tc>
          <w:tcPr>
            <w:tcW w:w="598" w:type="dxa"/>
            <w:tcBorders>
              <w:top w:val="nil"/>
              <w:left w:val="nil"/>
              <w:bottom w:val="nil"/>
              <w:right w:val="nil"/>
            </w:tcBorders>
            <w:shd w:val="clear" w:color="auto" w:fill="auto"/>
            <w:noWrap/>
            <w:vAlign w:val="center"/>
            <w:hideMark/>
          </w:tcPr>
          <w:p w14:paraId="4ECAAB31"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12 </w:t>
            </w:r>
          </w:p>
        </w:tc>
        <w:tc>
          <w:tcPr>
            <w:tcW w:w="580" w:type="dxa"/>
            <w:tcBorders>
              <w:top w:val="nil"/>
              <w:left w:val="nil"/>
              <w:bottom w:val="nil"/>
              <w:right w:val="nil"/>
            </w:tcBorders>
            <w:shd w:val="clear" w:color="auto" w:fill="auto"/>
            <w:noWrap/>
            <w:vAlign w:val="center"/>
            <w:hideMark/>
          </w:tcPr>
          <w:p w14:paraId="5016615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7 </w:t>
            </w:r>
          </w:p>
        </w:tc>
        <w:tc>
          <w:tcPr>
            <w:tcW w:w="598" w:type="dxa"/>
            <w:tcBorders>
              <w:top w:val="nil"/>
              <w:left w:val="nil"/>
              <w:bottom w:val="nil"/>
              <w:right w:val="nil"/>
            </w:tcBorders>
            <w:shd w:val="clear" w:color="auto" w:fill="auto"/>
            <w:noWrap/>
            <w:vAlign w:val="center"/>
            <w:hideMark/>
          </w:tcPr>
          <w:p w14:paraId="05A1786A"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1E952F42"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(278) </w:t>
            </w:r>
          </w:p>
        </w:tc>
        <w:tc>
          <w:tcPr>
            <w:tcW w:w="960" w:type="dxa"/>
            <w:tcBorders>
              <w:top w:val="nil"/>
              <w:left w:val="nil"/>
              <w:bottom w:val="nil"/>
              <w:right w:val="nil"/>
            </w:tcBorders>
            <w:shd w:val="clear" w:color="000000" w:fill="D6DCE4"/>
            <w:noWrap/>
            <w:vAlign w:val="center"/>
            <w:hideMark/>
          </w:tcPr>
          <w:p w14:paraId="5C42CC05"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(217)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999BBE1"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69C954F8"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6BCD8AB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(217) </w:t>
            </w:r>
          </w:p>
        </w:tc>
      </w:tr>
      <w:tr w:rsidR="00233D05" w:rsidRPr="00233D05" w14:paraId="35841A8A"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3E0E088E" w14:textId="77777777" w:rsidR="00233D05" w:rsidRPr="00233D05" w:rsidRDefault="00233D05" w:rsidP="00233D05">
            <w:pPr>
              <w:rPr>
                <w:rFonts w:ascii="Calibri" w:hAnsi="Calibri" w:cs="Calibri"/>
                <w:b/>
                <w:bCs/>
                <w:color w:val="000000"/>
                <w:sz w:val="16"/>
                <w:szCs w:val="16"/>
                <w:lang w:eastAsia="en-GB"/>
              </w:rPr>
            </w:pPr>
          </w:p>
        </w:tc>
        <w:tc>
          <w:tcPr>
            <w:tcW w:w="1848" w:type="dxa"/>
            <w:tcBorders>
              <w:top w:val="single" w:sz="4" w:space="0" w:color="auto"/>
              <w:left w:val="nil"/>
              <w:bottom w:val="nil"/>
              <w:right w:val="nil"/>
            </w:tcBorders>
            <w:shd w:val="clear" w:color="auto" w:fill="auto"/>
            <w:noWrap/>
            <w:vAlign w:val="bottom"/>
            <w:hideMark/>
          </w:tcPr>
          <w:p w14:paraId="3B6B12A4"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15B6FC5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1,015 </w:t>
            </w:r>
          </w:p>
        </w:tc>
        <w:tc>
          <w:tcPr>
            <w:tcW w:w="598" w:type="dxa"/>
            <w:tcBorders>
              <w:top w:val="single" w:sz="4" w:space="0" w:color="auto"/>
              <w:left w:val="nil"/>
              <w:bottom w:val="nil"/>
              <w:right w:val="nil"/>
            </w:tcBorders>
            <w:shd w:val="clear" w:color="auto" w:fill="auto"/>
            <w:noWrap/>
            <w:vAlign w:val="center"/>
            <w:hideMark/>
          </w:tcPr>
          <w:p w14:paraId="27FC4D0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(0) </w:t>
            </w:r>
          </w:p>
        </w:tc>
        <w:tc>
          <w:tcPr>
            <w:tcW w:w="580" w:type="dxa"/>
            <w:tcBorders>
              <w:top w:val="single" w:sz="4" w:space="0" w:color="auto"/>
              <w:left w:val="nil"/>
              <w:bottom w:val="nil"/>
              <w:right w:val="nil"/>
            </w:tcBorders>
            <w:shd w:val="clear" w:color="auto" w:fill="auto"/>
            <w:noWrap/>
            <w:vAlign w:val="center"/>
            <w:hideMark/>
          </w:tcPr>
          <w:p w14:paraId="15231BA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7 </w:t>
            </w:r>
          </w:p>
        </w:tc>
        <w:tc>
          <w:tcPr>
            <w:tcW w:w="598" w:type="dxa"/>
            <w:tcBorders>
              <w:top w:val="single" w:sz="4" w:space="0" w:color="auto"/>
              <w:left w:val="nil"/>
              <w:bottom w:val="nil"/>
              <w:right w:val="nil"/>
            </w:tcBorders>
            <w:shd w:val="clear" w:color="auto" w:fill="auto"/>
            <w:noWrap/>
            <w:vAlign w:val="center"/>
            <w:hideMark/>
          </w:tcPr>
          <w:p w14:paraId="7EE9561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5897E06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1,022 </w:t>
            </w:r>
          </w:p>
        </w:tc>
        <w:tc>
          <w:tcPr>
            <w:tcW w:w="960" w:type="dxa"/>
            <w:tcBorders>
              <w:top w:val="single" w:sz="4" w:space="0" w:color="auto"/>
              <w:left w:val="nil"/>
              <w:bottom w:val="nil"/>
              <w:right w:val="nil"/>
            </w:tcBorders>
            <w:shd w:val="clear" w:color="000000" w:fill="D6DCE4"/>
            <w:noWrap/>
            <w:vAlign w:val="center"/>
            <w:hideMark/>
          </w:tcPr>
          <w:p w14:paraId="5588D6F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801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DAB8BC2"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391D7D00"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3B5135A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801 </w:t>
            </w:r>
          </w:p>
        </w:tc>
      </w:tr>
      <w:tr w:rsidR="00233D05" w:rsidRPr="00233D05" w14:paraId="26143835"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27FAF5ED" w14:textId="77777777" w:rsidR="00233D05" w:rsidRPr="00233D05" w:rsidRDefault="00233D05" w:rsidP="00233D05">
            <w:pPr>
              <w:rPr>
                <w:rFonts w:ascii="Calibri" w:hAnsi="Calibri" w:cs="Calibri"/>
                <w:b/>
                <w:bCs/>
                <w:color w:val="000000"/>
                <w:sz w:val="16"/>
                <w:szCs w:val="16"/>
                <w:lang w:eastAsia="en-GB"/>
              </w:rPr>
            </w:pPr>
          </w:p>
        </w:tc>
        <w:tc>
          <w:tcPr>
            <w:tcW w:w="1848" w:type="dxa"/>
            <w:tcBorders>
              <w:top w:val="nil"/>
              <w:left w:val="nil"/>
              <w:bottom w:val="nil"/>
              <w:right w:val="nil"/>
            </w:tcBorders>
            <w:shd w:val="clear" w:color="auto" w:fill="auto"/>
            <w:noWrap/>
            <w:vAlign w:val="bottom"/>
            <w:hideMark/>
          </w:tcPr>
          <w:p w14:paraId="61B95E1C"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1F5C504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(410) </w:t>
            </w:r>
          </w:p>
        </w:tc>
        <w:tc>
          <w:tcPr>
            <w:tcW w:w="598" w:type="dxa"/>
            <w:tcBorders>
              <w:top w:val="nil"/>
              <w:left w:val="nil"/>
              <w:bottom w:val="nil"/>
              <w:right w:val="nil"/>
            </w:tcBorders>
            <w:shd w:val="clear" w:color="auto" w:fill="auto"/>
            <w:noWrap/>
            <w:vAlign w:val="center"/>
            <w:hideMark/>
          </w:tcPr>
          <w:p w14:paraId="3380BA8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37 </w:t>
            </w:r>
          </w:p>
        </w:tc>
        <w:tc>
          <w:tcPr>
            <w:tcW w:w="580" w:type="dxa"/>
            <w:tcBorders>
              <w:top w:val="nil"/>
              <w:left w:val="nil"/>
              <w:bottom w:val="nil"/>
              <w:right w:val="nil"/>
            </w:tcBorders>
            <w:shd w:val="clear" w:color="auto" w:fill="auto"/>
            <w:noWrap/>
            <w:vAlign w:val="center"/>
            <w:hideMark/>
          </w:tcPr>
          <w:p w14:paraId="6C80240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(7) </w:t>
            </w:r>
          </w:p>
        </w:tc>
        <w:tc>
          <w:tcPr>
            <w:tcW w:w="598" w:type="dxa"/>
            <w:tcBorders>
              <w:top w:val="nil"/>
              <w:left w:val="nil"/>
              <w:bottom w:val="nil"/>
              <w:right w:val="nil"/>
            </w:tcBorders>
            <w:shd w:val="clear" w:color="auto" w:fill="auto"/>
            <w:noWrap/>
            <w:vAlign w:val="center"/>
            <w:hideMark/>
          </w:tcPr>
          <w:p w14:paraId="0AF41F9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(0) </w:t>
            </w:r>
          </w:p>
        </w:tc>
        <w:tc>
          <w:tcPr>
            <w:tcW w:w="960" w:type="dxa"/>
            <w:tcBorders>
              <w:top w:val="nil"/>
              <w:left w:val="single" w:sz="8" w:space="0" w:color="auto"/>
              <w:bottom w:val="nil"/>
              <w:right w:val="single" w:sz="8" w:space="0" w:color="auto"/>
            </w:tcBorders>
            <w:shd w:val="clear" w:color="auto" w:fill="auto"/>
            <w:noWrap/>
            <w:vAlign w:val="center"/>
            <w:hideMark/>
          </w:tcPr>
          <w:p w14:paraId="526C3938"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(382) </w:t>
            </w:r>
          </w:p>
        </w:tc>
        <w:tc>
          <w:tcPr>
            <w:tcW w:w="960" w:type="dxa"/>
            <w:tcBorders>
              <w:top w:val="nil"/>
              <w:left w:val="nil"/>
              <w:bottom w:val="nil"/>
              <w:right w:val="nil"/>
            </w:tcBorders>
            <w:shd w:val="clear" w:color="000000" w:fill="D6DCE4"/>
            <w:noWrap/>
            <w:vAlign w:val="center"/>
            <w:hideMark/>
          </w:tcPr>
          <w:p w14:paraId="1CDC0BFD"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(298)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0C498F1"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512C1996"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single" w:sz="8" w:space="0" w:color="auto"/>
              <w:bottom w:val="nil"/>
              <w:right w:val="single" w:sz="8" w:space="0" w:color="auto"/>
            </w:tcBorders>
            <w:shd w:val="clear" w:color="000000" w:fill="ACB9CA"/>
            <w:noWrap/>
            <w:vAlign w:val="center"/>
            <w:hideMark/>
          </w:tcPr>
          <w:p w14:paraId="23DE66A3"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(298) </w:t>
            </w:r>
          </w:p>
        </w:tc>
      </w:tr>
      <w:tr w:rsidR="00233D05" w:rsidRPr="00233D05" w14:paraId="20DE2C58"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70BD1D8C" w14:textId="77777777" w:rsidR="00233D05" w:rsidRPr="00233D05" w:rsidRDefault="00233D05" w:rsidP="00233D05">
            <w:pPr>
              <w:rPr>
                <w:rFonts w:ascii="Calibri" w:hAnsi="Calibri" w:cs="Calibri"/>
                <w:b/>
                <w:bCs/>
                <w:color w:val="000000"/>
                <w:sz w:val="16"/>
                <w:szCs w:val="16"/>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22236AF6"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CB36C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605 </w:t>
            </w:r>
          </w:p>
        </w:tc>
        <w:tc>
          <w:tcPr>
            <w:tcW w:w="598" w:type="dxa"/>
            <w:tcBorders>
              <w:top w:val="single" w:sz="4" w:space="0" w:color="auto"/>
              <w:left w:val="nil"/>
              <w:bottom w:val="single" w:sz="4" w:space="0" w:color="auto"/>
              <w:right w:val="nil"/>
            </w:tcBorders>
            <w:shd w:val="clear" w:color="auto" w:fill="auto"/>
            <w:noWrap/>
            <w:vAlign w:val="center"/>
            <w:hideMark/>
          </w:tcPr>
          <w:p w14:paraId="66027C1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37 </w:t>
            </w:r>
          </w:p>
        </w:tc>
        <w:tc>
          <w:tcPr>
            <w:tcW w:w="580" w:type="dxa"/>
            <w:tcBorders>
              <w:top w:val="single" w:sz="4" w:space="0" w:color="auto"/>
              <w:left w:val="nil"/>
              <w:bottom w:val="single" w:sz="4" w:space="0" w:color="auto"/>
              <w:right w:val="nil"/>
            </w:tcBorders>
            <w:shd w:val="clear" w:color="auto" w:fill="auto"/>
            <w:noWrap/>
            <w:vAlign w:val="center"/>
            <w:hideMark/>
          </w:tcPr>
          <w:p w14:paraId="085E5BF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26FBBB2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(0)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2476A2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641 </w:t>
            </w:r>
          </w:p>
        </w:tc>
        <w:tc>
          <w:tcPr>
            <w:tcW w:w="960" w:type="dxa"/>
            <w:tcBorders>
              <w:top w:val="single" w:sz="4" w:space="0" w:color="auto"/>
              <w:left w:val="nil"/>
              <w:bottom w:val="single" w:sz="4" w:space="0" w:color="auto"/>
              <w:right w:val="nil"/>
            </w:tcBorders>
            <w:shd w:val="clear" w:color="000000" w:fill="D6DCE4"/>
            <w:noWrap/>
            <w:vAlign w:val="center"/>
            <w:hideMark/>
          </w:tcPr>
          <w:p w14:paraId="28C07A1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503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B17A97A" w14:textId="77777777" w:rsidR="00233D05" w:rsidRPr="00233D05" w:rsidRDefault="00233D05" w:rsidP="00233D05">
            <w:pPr>
              <w:rPr>
                <w:rFonts w:ascii="Calibri" w:hAnsi="Calibri" w:cs="Calibri"/>
                <w:b/>
                <w:bCs/>
                <w:color w:val="000000"/>
                <w:sz w:val="18"/>
                <w:szCs w:val="18"/>
                <w:lang w:eastAsia="en-GB"/>
              </w:rPr>
            </w:pPr>
          </w:p>
        </w:tc>
        <w:tc>
          <w:tcPr>
            <w:tcW w:w="1020" w:type="dxa"/>
            <w:vMerge/>
            <w:tcBorders>
              <w:top w:val="single" w:sz="4" w:space="0" w:color="auto"/>
              <w:left w:val="single" w:sz="4" w:space="0" w:color="auto"/>
              <w:bottom w:val="single" w:sz="4" w:space="0" w:color="000000"/>
              <w:right w:val="nil"/>
            </w:tcBorders>
            <w:vAlign w:val="center"/>
            <w:hideMark/>
          </w:tcPr>
          <w:p w14:paraId="55CD9C37"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4BEEBD3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503 </w:t>
            </w:r>
          </w:p>
        </w:tc>
      </w:tr>
      <w:tr w:rsidR="00233D05" w:rsidRPr="00233D05" w14:paraId="20B8289F" w14:textId="77777777" w:rsidTr="00233D05">
        <w:trPr>
          <w:trHeight w:val="81"/>
        </w:trPr>
        <w:tc>
          <w:tcPr>
            <w:tcW w:w="308" w:type="dxa"/>
            <w:tcBorders>
              <w:top w:val="nil"/>
              <w:left w:val="nil"/>
              <w:bottom w:val="nil"/>
              <w:right w:val="nil"/>
            </w:tcBorders>
            <w:shd w:val="clear" w:color="auto" w:fill="auto"/>
            <w:noWrap/>
            <w:vAlign w:val="center"/>
            <w:hideMark/>
          </w:tcPr>
          <w:p w14:paraId="0657F062" w14:textId="77777777" w:rsidR="00233D05" w:rsidRPr="00233D05" w:rsidRDefault="00233D05" w:rsidP="00233D05">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6AD8CDB"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7B01A2A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08CA76BB"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5A399A1B"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6ED9E428"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812D761"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center"/>
            <w:hideMark/>
          </w:tcPr>
          <w:p w14:paraId="45DD8007"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5D855393"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5EE40FBC"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6E3C7743"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5573B9E0" w14:textId="77777777" w:rsidTr="00233D05">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3FB2929"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AUSTRALIA</w:t>
            </w:r>
          </w:p>
        </w:tc>
        <w:tc>
          <w:tcPr>
            <w:tcW w:w="1848" w:type="dxa"/>
            <w:tcBorders>
              <w:top w:val="nil"/>
              <w:left w:val="nil"/>
              <w:bottom w:val="nil"/>
              <w:right w:val="nil"/>
            </w:tcBorders>
            <w:shd w:val="clear" w:color="auto" w:fill="auto"/>
            <w:noWrap/>
            <w:vAlign w:val="bottom"/>
            <w:hideMark/>
          </w:tcPr>
          <w:p w14:paraId="6566FC15"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3AE1AAF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274 </w:t>
            </w:r>
          </w:p>
        </w:tc>
        <w:tc>
          <w:tcPr>
            <w:tcW w:w="598" w:type="dxa"/>
            <w:tcBorders>
              <w:top w:val="nil"/>
              <w:left w:val="nil"/>
              <w:bottom w:val="nil"/>
              <w:right w:val="nil"/>
            </w:tcBorders>
            <w:shd w:val="clear" w:color="auto" w:fill="auto"/>
            <w:noWrap/>
            <w:vAlign w:val="center"/>
            <w:hideMark/>
          </w:tcPr>
          <w:p w14:paraId="7E6795F2" w14:textId="77777777" w:rsidR="00233D05" w:rsidRPr="00233D05" w:rsidRDefault="00B16C7A" w:rsidP="00233D05">
            <w:pPr>
              <w:jc w:val="right"/>
              <w:rPr>
                <w:rFonts w:ascii="Calibri" w:hAnsi="Calibri" w:cs="Calibri"/>
                <w:b/>
                <w:bCs/>
                <w:color w:val="000000"/>
                <w:sz w:val="18"/>
                <w:szCs w:val="18"/>
                <w:lang w:eastAsia="en-GB"/>
              </w:rPr>
            </w:pPr>
            <w:r>
              <w:rPr>
                <w:rFonts w:ascii="Calibri" w:hAnsi="Calibri" w:cs="Calibri"/>
                <w:b/>
                <w:bCs/>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66F0602B"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 </w:t>
            </w:r>
          </w:p>
        </w:tc>
        <w:tc>
          <w:tcPr>
            <w:tcW w:w="598" w:type="dxa"/>
            <w:tcBorders>
              <w:top w:val="nil"/>
              <w:left w:val="nil"/>
              <w:bottom w:val="nil"/>
              <w:right w:val="nil"/>
            </w:tcBorders>
            <w:shd w:val="clear" w:color="auto" w:fill="auto"/>
            <w:noWrap/>
            <w:vAlign w:val="center"/>
            <w:hideMark/>
          </w:tcPr>
          <w:p w14:paraId="2EA64A2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3C78AA8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300 </w:t>
            </w:r>
          </w:p>
        </w:tc>
        <w:tc>
          <w:tcPr>
            <w:tcW w:w="960" w:type="dxa"/>
            <w:tcBorders>
              <w:top w:val="nil"/>
              <w:left w:val="nil"/>
              <w:bottom w:val="nil"/>
              <w:right w:val="nil"/>
            </w:tcBorders>
            <w:shd w:val="clear" w:color="000000" w:fill="D6DCE4"/>
            <w:noWrap/>
            <w:vAlign w:val="center"/>
            <w:hideMark/>
          </w:tcPr>
          <w:p w14:paraId="7C3261B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235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3DAB80A"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AUSTRALIA</w:t>
            </w:r>
          </w:p>
        </w:tc>
        <w:tc>
          <w:tcPr>
            <w:tcW w:w="1020" w:type="dxa"/>
            <w:tcBorders>
              <w:top w:val="nil"/>
              <w:left w:val="nil"/>
              <w:bottom w:val="nil"/>
              <w:right w:val="nil"/>
            </w:tcBorders>
            <w:shd w:val="clear" w:color="000000" w:fill="D6DCE4"/>
            <w:noWrap/>
            <w:vAlign w:val="center"/>
            <w:hideMark/>
          </w:tcPr>
          <w:p w14:paraId="68D3317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446 </w:t>
            </w:r>
          </w:p>
        </w:tc>
        <w:tc>
          <w:tcPr>
            <w:tcW w:w="1020" w:type="dxa"/>
            <w:tcBorders>
              <w:top w:val="nil"/>
              <w:left w:val="single" w:sz="8" w:space="0" w:color="auto"/>
              <w:bottom w:val="nil"/>
              <w:right w:val="single" w:sz="8" w:space="0" w:color="auto"/>
            </w:tcBorders>
            <w:shd w:val="clear" w:color="000000" w:fill="ACB9CA"/>
            <w:noWrap/>
            <w:vAlign w:val="center"/>
            <w:hideMark/>
          </w:tcPr>
          <w:p w14:paraId="091DC0A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681 </w:t>
            </w:r>
          </w:p>
        </w:tc>
      </w:tr>
      <w:tr w:rsidR="00233D05" w:rsidRPr="00233D05" w14:paraId="28D86271"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53AEBAF6"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7147617B"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5A739E06"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(104) </w:t>
            </w:r>
          </w:p>
        </w:tc>
        <w:tc>
          <w:tcPr>
            <w:tcW w:w="598" w:type="dxa"/>
            <w:tcBorders>
              <w:top w:val="nil"/>
              <w:left w:val="nil"/>
              <w:bottom w:val="nil"/>
              <w:right w:val="nil"/>
            </w:tcBorders>
            <w:shd w:val="clear" w:color="auto" w:fill="auto"/>
            <w:noWrap/>
            <w:vAlign w:val="center"/>
            <w:hideMark/>
          </w:tcPr>
          <w:p w14:paraId="20822D37" w14:textId="77777777" w:rsidR="00233D05" w:rsidRPr="00233D05" w:rsidRDefault="00B16C7A" w:rsidP="00233D05">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3D0D5313"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(45) </w:t>
            </w:r>
          </w:p>
        </w:tc>
        <w:tc>
          <w:tcPr>
            <w:tcW w:w="598" w:type="dxa"/>
            <w:tcBorders>
              <w:top w:val="nil"/>
              <w:left w:val="nil"/>
              <w:bottom w:val="nil"/>
              <w:right w:val="nil"/>
            </w:tcBorders>
            <w:shd w:val="clear" w:color="auto" w:fill="auto"/>
            <w:noWrap/>
            <w:vAlign w:val="center"/>
            <w:hideMark/>
          </w:tcPr>
          <w:p w14:paraId="4338CD4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7528F52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(150) </w:t>
            </w:r>
          </w:p>
        </w:tc>
        <w:tc>
          <w:tcPr>
            <w:tcW w:w="960" w:type="dxa"/>
            <w:tcBorders>
              <w:top w:val="nil"/>
              <w:left w:val="nil"/>
              <w:bottom w:val="nil"/>
              <w:right w:val="nil"/>
            </w:tcBorders>
            <w:shd w:val="clear" w:color="000000" w:fill="D6DCE4"/>
            <w:noWrap/>
            <w:vAlign w:val="center"/>
            <w:hideMark/>
          </w:tcPr>
          <w:p w14:paraId="3F521F3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C83EABA"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7BD0BD6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(182) </w:t>
            </w:r>
          </w:p>
        </w:tc>
        <w:tc>
          <w:tcPr>
            <w:tcW w:w="1020" w:type="dxa"/>
            <w:tcBorders>
              <w:top w:val="nil"/>
              <w:left w:val="single" w:sz="8" w:space="0" w:color="auto"/>
              <w:bottom w:val="nil"/>
              <w:right w:val="single" w:sz="8" w:space="0" w:color="auto"/>
            </w:tcBorders>
            <w:shd w:val="clear" w:color="000000" w:fill="ACB9CA"/>
            <w:noWrap/>
            <w:vAlign w:val="center"/>
            <w:hideMark/>
          </w:tcPr>
          <w:p w14:paraId="1200195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(299) </w:t>
            </w:r>
          </w:p>
        </w:tc>
      </w:tr>
      <w:tr w:rsidR="00233D05" w:rsidRPr="00233D05" w14:paraId="4F4E44F2"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0454200"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4C01AF46"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77ADEFE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170 </w:t>
            </w:r>
          </w:p>
        </w:tc>
        <w:tc>
          <w:tcPr>
            <w:tcW w:w="598" w:type="dxa"/>
            <w:tcBorders>
              <w:top w:val="single" w:sz="4" w:space="0" w:color="auto"/>
              <w:left w:val="nil"/>
              <w:bottom w:val="nil"/>
              <w:right w:val="nil"/>
            </w:tcBorders>
            <w:shd w:val="clear" w:color="auto" w:fill="auto"/>
            <w:noWrap/>
            <w:vAlign w:val="center"/>
            <w:hideMark/>
          </w:tcPr>
          <w:p w14:paraId="66D8C10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nil"/>
              <w:right w:val="nil"/>
            </w:tcBorders>
            <w:shd w:val="clear" w:color="auto" w:fill="auto"/>
            <w:noWrap/>
            <w:vAlign w:val="center"/>
            <w:hideMark/>
          </w:tcPr>
          <w:p w14:paraId="247273E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(20) </w:t>
            </w:r>
          </w:p>
        </w:tc>
        <w:tc>
          <w:tcPr>
            <w:tcW w:w="598" w:type="dxa"/>
            <w:tcBorders>
              <w:top w:val="single" w:sz="4" w:space="0" w:color="auto"/>
              <w:left w:val="nil"/>
              <w:bottom w:val="nil"/>
              <w:right w:val="nil"/>
            </w:tcBorders>
            <w:shd w:val="clear" w:color="auto" w:fill="auto"/>
            <w:noWrap/>
            <w:vAlign w:val="center"/>
            <w:hideMark/>
          </w:tcPr>
          <w:p w14:paraId="55D6160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1117D69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150 </w:t>
            </w:r>
          </w:p>
        </w:tc>
        <w:tc>
          <w:tcPr>
            <w:tcW w:w="960" w:type="dxa"/>
            <w:tcBorders>
              <w:top w:val="single" w:sz="4" w:space="0" w:color="auto"/>
              <w:left w:val="nil"/>
              <w:bottom w:val="nil"/>
              <w:right w:val="nil"/>
            </w:tcBorders>
            <w:shd w:val="clear" w:color="000000" w:fill="D6DCE4"/>
            <w:noWrap/>
            <w:vAlign w:val="center"/>
            <w:hideMark/>
          </w:tcPr>
          <w:p w14:paraId="5A906D1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118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71B51BEF"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4BFD9C3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264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5B5E64C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382 </w:t>
            </w:r>
          </w:p>
        </w:tc>
      </w:tr>
      <w:tr w:rsidR="00233D05" w:rsidRPr="00233D05" w14:paraId="1641CE81"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08B7D966"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101BDD99"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1810EB42"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(126) </w:t>
            </w:r>
          </w:p>
        </w:tc>
        <w:tc>
          <w:tcPr>
            <w:tcW w:w="598" w:type="dxa"/>
            <w:tcBorders>
              <w:top w:val="nil"/>
              <w:left w:val="nil"/>
              <w:bottom w:val="nil"/>
              <w:right w:val="nil"/>
            </w:tcBorders>
            <w:shd w:val="clear" w:color="auto" w:fill="auto"/>
            <w:noWrap/>
            <w:vAlign w:val="center"/>
            <w:hideMark/>
          </w:tcPr>
          <w:p w14:paraId="5C1E110D" w14:textId="77777777" w:rsidR="00233D05" w:rsidRPr="00233D05" w:rsidRDefault="00B16C7A" w:rsidP="00233D05">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580" w:type="dxa"/>
            <w:tcBorders>
              <w:top w:val="nil"/>
              <w:left w:val="nil"/>
              <w:bottom w:val="nil"/>
              <w:right w:val="nil"/>
            </w:tcBorders>
            <w:shd w:val="clear" w:color="auto" w:fill="auto"/>
            <w:noWrap/>
            <w:vAlign w:val="center"/>
            <w:hideMark/>
          </w:tcPr>
          <w:p w14:paraId="088103E8"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20 </w:t>
            </w:r>
          </w:p>
        </w:tc>
        <w:tc>
          <w:tcPr>
            <w:tcW w:w="598" w:type="dxa"/>
            <w:tcBorders>
              <w:top w:val="nil"/>
              <w:left w:val="nil"/>
              <w:bottom w:val="nil"/>
              <w:right w:val="nil"/>
            </w:tcBorders>
            <w:shd w:val="clear" w:color="auto" w:fill="auto"/>
            <w:noWrap/>
            <w:vAlign w:val="center"/>
            <w:hideMark/>
          </w:tcPr>
          <w:p w14:paraId="587F8923"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 </w:t>
            </w:r>
          </w:p>
        </w:tc>
        <w:tc>
          <w:tcPr>
            <w:tcW w:w="960" w:type="dxa"/>
            <w:tcBorders>
              <w:top w:val="nil"/>
              <w:left w:val="single" w:sz="8" w:space="0" w:color="auto"/>
              <w:bottom w:val="nil"/>
              <w:right w:val="single" w:sz="8" w:space="0" w:color="auto"/>
            </w:tcBorders>
            <w:shd w:val="clear" w:color="auto" w:fill="auto"/>
            <w:noWrap/>
            <w:vAlign w:val="center"/>
            <w:hideMark/>
          </w:tcPr>
          <w:p w14:paraId="2FBCE3D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(107) </w:t>
            </w:r>
          </w:p>
        </w:tc>
        <w:tc>
          <w:tcPr>
            <w:tcW w:w="960" w:type="dxa"/>
            <w:tcBorders>
              <w:top w:val="nil"/>
              <w:left w:val="nil"/>
              <w:bottom w:val="nil"/>
              <w:right w:val="nil"/>
            </w:tcBorders>
            <w:shd w:val="clear" w:color="000000" w:fill="D6DCE4"/>
            <w:noWrap/>
            <w:vAlign w:val="center"/>
            <w:hideMark/>
          </w:tcPr>
          <w:p w14:paraId="7C7DD76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(84)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2BD1630"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2B08D07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(137) </w:t>
            </w:r>
          </w:p>
        </w:tc>
        <w:tc>
          <w:tcPr>
            <w:tcW w:w="1020" w:type="dxa"/>
            <w:tcBorders>
              <w:top w:val="nil"/>
              <w:left w:val="single" w:sz="8" w:space="0" w:color="auto"/>
              <w:bottom w:val="nil"/>
              <w:right w:val="single" w:sz="8" w:space="0" w:color="auto"/>
            </w:tcBorders>
            <w:shd w:val="clear" w:color="000000" w:fill="ACB9CA"/>
            <w:noWrap/>
            <w:vAlign w:val="center"/>
            <w:hideMark/>
          </w:tcPr>
          <w:p w14:paraId="0C32DC80"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(221) </w:t>
            </w:r>
          </w:p>
        </w:tc>
      </w:tr>
      <w:tr w:rsidR="00233D05" w:rsidRPr="00233D05" w14:paraId="0F6EE83E"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759BE095"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7803BD65"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285C2E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44 </w:t>
            </w:r>
          </w:p>
        </w:tc>
        <w:tc>
          <w:tcPr>
            <w:tcW w:w="598" w:type="dxa"/>
            <w:tcBorders>
              <w:top w:val="single" w:sz="4" w:space="0" w:color="auto"/>
              <w:left w:val="nil"/>
              <w:bottom w:val="single" w:sz="4" w:space="0" w:color="auto"/>
              <w:right w:val="nil"/>
            </w:tcBorders>
            <w:shd w:val="clear" w:color="auto" w:fill="auto"/>
            <w:noWrap/>
            <w:vAlign w:val="center"/>
            <w:hideMark/>
          </w:tcPr>
          <w:p w14:paraId="2092F17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w:t>
            </w:r>
            <w:r w:rsidR="00B16C7A">
              <w:rPr>
                <w:rFonts w:ascii="Calibri" w:hAnsi="Calibri" w:cs="Calibri"/>
                <w:b/>
                <w:bCs/>
                <w:color w:val="000000"/>
                <w:sz w:val="18"/>
                <w:szCs w:val="18"/>
                <w:lang w:eastAsia="en-GB"/>
              </w:rPr>
              <w:t>-</w:t>
            </w:r>
          </w:p>
        </w:tc>
        <w:tc>
          <w:tcPr>
            <w:tcW w:w="580" w:type="dxa"/>
            <w:tcBorders>
              <w:top w:val="single" w:sz="4" w:space="0" w:color="auto"/>
              <w:left w:val="nil"/>
              <w:bottom w:val="single" w:sz="4" w:space="0" w:color="auto"/>
              <w:right w:val="nil"/>
            </w:tcBorders>
            <w:shd w:val="clear" w:color="auto" w:fill="auto"/>
            <w:noWrap/>
            <w:vAlign w:val="center"/>
            <w:hideMark/>
          </w:tcPr>
          <w:p w14:paraId="4045F1A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5654F0A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3A04395"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43 </w:t>
            </w:r>
          </w:p>
        </w:tc>
        <w:tc>
          <w:tcPr>
            <w:tcW w:w="960" w:type="dxa"/>
            <w:tcBorders>
              <w:top w:val="single" w:sz="4" w:space="0" w:color="auto"/>
              <w:left w:val="nil"/>
              <w:bottom w:val="single" w:sz="4" w:space="0" w:color="auto"/>
              <w:right w:val="nil"/>
            </w:tcBorders>
            <w:shd w:val="clear" w:color="000000" w:fill="D6DCE4"/>
            <w:noWrap/>
            <w:vAlign w:val="center"/>
            <w:hideMark/>
          </w:tcPr>
          <w:p w14:paraId="064D5E9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34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613331FB"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0411439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127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255A2CA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161 </w:t>
            </w:r>
          </w:p>
        </w:tc>
      </w:tr>
      <w:tr w:rsidR="00233D05" w:rsidRPr="00233D05" w14:paraId="356B9019" w14:textId="77777777" w:rsidTr="00233D05">
        <w:trPr>
          <w:trHeight w:val="81"/>
        </w:trPr>
        <w:tc>
          <w:tcPr>
            <w:tcW w:w="308" w:type="dxa"/>
            <w:tcBorders>
              <w:top w:val="nil"/>
              <w:left w:val="nil"/>
              <w:bottom w:val="nil"/>
              <w:right w:val="nil"/>
            </w:tcBorders>
            <w:shd w:val="clear" w:color="auto" w:fill="auto"/>
            <w:noWrap/>
            <w:vAlign w:val="center"/>
            <w:hideMark/>
          </w:tcPr>
          <w:p w14:paraId="2CD05E81" w14:textId="77777777" w:rsidR="00233D05" w:rsidRPr="00233D05" w:rsidRDefault="00233D05" w:rsidP="00233D05">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0C63562"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5EFAC51E"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55690BE7"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39FA8E5C"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5C343969"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5A8B50C0"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center"/>
            <w:hideMark/>
          </w:tcPr>
          <w:p w14:paraId="2DA5CD43"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4CC05250"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0922B224"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318B1D9"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5981A817" w14:textId="77777777" w:rsidTr="00233D05">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A83E6BF"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US</w:t>
            </w:r>
          </w:p>
        </w:tc>
        <w:tc>
          <w:tcPr>
            <w:tcW w:w="1848" w:type="dxa"/>
            <w:tcBorders>
              <w:top w:val="nil"/>
              <w:left w:val="nil"/>
              <w:bottom w:val="nil"/>
              <w:right w:val="nil"/>
            </w:tcBorders>
            <w:shd w:val="clear" w:color="auto" w:fill="auto"/>
            <w:noWrap/>
            <w:vAlign w:val="bottom"/>
            <w:hideMark/>
          </w:tcPr>
          <w:p w14:paraId="31381B28"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vMerge w:val="restart"/>
            <w:tcBorders>
              <w:top w:val="single" w:sz="4" w:space="0" w:color="auto"/>
              <w:left w:val="single" w:sz="8" w:space="0" w:color="auto"/>
              <w:bottom w:val="single" w:sz="4" w:space="0" w:color="000000"/>
              <w:right w:val="single" w:sz="8" w:space="0" w:color="auto"/>
            </w:tcBorders>
            <w:shd w:val="clear" w:color="auto" w:fill="auto"/>
            <w:noWrap/>
            <w:vAlign w:val="center"/>
            <w:hideMark/>
          </w:tcPr>
          <w:p w14:paraId="5076AB6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N/A </w:t>
            </w:r>
          </w:p>
        </w:tc>
        <w:tc>
          <w:tcPr>
            <w:tcW w:w="598" w:type="dxa"/>
            <w:tcBorders>
              <w:top w:val="nil"/>
              <w:left w:val="nil"/>
              <w:bottom w:val="nil"/>
              <w:right w:val="nil"/>
            </w:tcBorders>
            <w:shd w:val="clear" w:color="auto" w:fill="auto"/>
            <w:noWrap/>
            <w:vAlign w:val="center"/>
            <w:hideMark/>
          </w:tcPr>
          <w:p w14:paraId="739AF23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12 </w:t>
            </w:r>
          </w:p>
        </w:tc>
        <w:tc>
          <w:tcPr>
            <w:tcW w:w="580" w:type="dxa"/>
            <w:tcBorders>
              <w:top w:val="nil"/>
              <w:left w:val="nil"/>
              <w:bottom w:val="nil"/>
              <w:right w:val="nil"/>
            </w:tcBorders>
            <w:shd w:val="clear" w:color="auto" w:fill="auto"/>
            <w:noWrap/>
            <w:vAlign w:val="center"/>
            <w:hideMark/>
          </w:tcPr>
          <w:p w14:paraId="1A4A6F9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34A6A37B"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77DA7A0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12 </w:t>
            </w:r>
          </w:p>
        </w:tc>
        <w:tc>
          <w:tcPr>
            <w:tcW w:w="960" w:type="dxa"/>
            <w:tcBorders>
              <w:top w:val="nil"/>
              <w:left w:val="nil"/>
              <w:bottom w:val="nil"/>
              <w:right w:val="nil"/>
            </w:tcBorders>
            <w:shd w:val="clear" w:color="000000" w:fill="D6DCE4"/>
            <w:noWrap/>
            <w:vAlign w:val="center"/>
            <w:hideMark/>
          </w:tcPr>
          <w:p w14:paraId="138932C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16E6925"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US</w:t>
            </w:r>
          </w:p>
        </w:tc>
        <w:tc>
          <w:tcPr>
            <w:tcW w:w="1020" w:type="dxa"/>
            <w:tcBorders>
              <w:top w:val="nil"/>
              <w:left w:val="nil"/>
              <w:bottom w:val="nil"/>
              <w:right w:val="nil"/>
            </w:tcBorders>
            <w:shd w:val="clear" w:color="000000" w:fill="D6DCE4"/>
            <w:noWrap/>
            <w:vAlign w:val="center"/>
            <w:hideMark/>
          </w:tcPr>
          <w:p w14:paraId="53C46A4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376 </w:t>
            </w:r>
          </w:p>
        </w:tc>
        <w:tc>
          <w:tcPr>
            <w:tcW w:w="1020" w:type="dxa"/>
            <w:tcBorders>
              <w:top w:val="nil"/>
              <w:left w:val="single" w:sz="8" w:space="0" w:color="auto"/>
              <w:bottom w:val="nil"/>
              <w:right w:val="single" w:sz="8" w:space="0" w:color="auto"/>
            </w:tcBorders>
            <w:shd w:val="clear" w:color="000000" w:fill="ACB9CA"/>
            <w:noWrap/>
            <w:vAlign w:val="center"/>
            <w:hideMark/>
          </w:tcPr>
          <w:p w14:paraId="312E550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386 </w:t>
            </w:r>
          </w:p>
        </w:tc>
      </w:tr>
      <w:tr w:rsidR="00233D05" w:rsidRPr="00233D05" w14:paraId="4BCD9865"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5E1A686C"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624F0EB"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423B409C" w14:textId="77777777" w:rsidR="00233D05" w:rsidRPr="00233D05" w:rsidRDefault="00233D05" w:rsidP="00233D05">
            <w:pPr>
              <w:rPr>
                <w:rFonts w:ascii="Calibri" w:hAnsi="Calibri" w:cs="Calibri"/>
                <w:b/>
                <w:bCs/>
                <w:color w:val="000000"/>
                <w:sz w:val="18"/>
                <w:szCs w:val="18"/>
                <w:lang w:eastAsia="en-GB"/>
              </w:rPr>
            </w:pPr>
          </w:p>
        </w:tc>
        <w:tc>
          <w:tcPr>
            <w:tcW w:w="598" w:type="dxa"/>
            <w:tcBorders>
              <w:top w:val="nil"/>
              <w:left w:val="nil"/>
              <w:bottom w:val="nil"/>
              <w:right w:val="nil"/>
            </w:tcBorders>
            <w:shd w:val="clear" w:color="auto" w:fill="auto"/>
            <w:noWrap/>
            <w:vAlign w:val="center"/>
            <w:hideMark/>
          </w:tcPr>
          <w:p w14:paraId="762A8752"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(12) </w:t>
            </w:r>
          </w:p>
        </w:tc>
        <w:tc>
          <w:tcPr>
            <w:tcW w:w="580" w:type="dxa"/>
            <w:tcBorders>
              <w:top w:val="nil"/>
              <w:left w:val="nil"/>
              <w:bottom w:val="nil"/>
              <w:right w:val="nil"/>
            </w:tcBorders>
            <w:shd w:val="clear" w:color="auto" w:fill="auto"/>
            <w:noWrap/>
            <w:vAlign w:val="center"/>
            <w:hideMark/>
          </w:tcPr>
          <w:p w14:paraId="58964F25"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2 </w:t>
            </w:r>
          </w:p>
        </w:tc>
        <w:tc>
          <w:tcPr>
            <w:tcW w:w="598" w:type="dxa"/>
            <w:tcBorders>
              <w:top w:val="nil"/>
              <w:left w:val="nil"/>
              <w:bottom w:val="nil"/>
              <w:right w:val="nil"/>
            </w:tcBorders>
            <w:shd w:val="clear" w:color="auto" w:fill="auto"/>
            <w:noWrap/>
            <w:vAlign w:val="center"/>
            <w:hideMark/>
          </w:tcPr>
          <w:p w14:paraId="1967301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26AD6AB4"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 </w:t>
            </w:r>
          </w:p>
        </w:tc>
        <w:tc>
          <w:tcPr>
            <w:tcW w:w="960" w:type="dxa"/>
            <w:tcBorders>
              <w:top w:val="nil"/>
              <w:left w:val="nil"/>
              <w:bottom w:val="nil"/>
              <w:right w:val="nil"/>
            </w:tcBorders>
            <w:shd w:val="clear" w:color="000000" w:fill="D6DCE4"/>
            <w:noWrap/>
            <w:vAlign w:val="center"/>
            <w:hideMark/>
          </w:tcPr>
          <w:p w14:paraId="65E34EA2"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(8)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5C4C957C"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010FA0D3"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(116) </w:t>
            </w:r>
          </w:p>
        </w:tc>
        <w:tc>
          <w:tcPr>
            <w:tcW w:w="1020" w:type="dxa"/>
            <w:tcBorders>
              <w:top w:val="nil"/>
              <w:left w:val="single" w:sz="8" w:space="0" w:color="auto"/>
              <w:bottom w:val="nil"/>
              <w:right w:val="single" w:sz="8" w:space="0" w:color="auto"/>
            </w:tcBorders>
            <w:shd w:val="clear" w:color="000000" w:fill="ACB9CA"/>
            <w:noWrap/>
            <w:vAlign w:val="center"/>
            <w:hideMark/>
          </w:tcPr>
          <w:p w14:paraId="4F996BE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(124) </w:t>
            </w:r>
          </w:p>
        </w:tc>
      </w:tr>
      <w:tr w:rsidR="00233D05" w:rsidRPr="00233D05" w14:paraId="7EFF0C00"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295C3C53"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528309A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0815384A" w14:textId="77777777" w:rsidR="00233D05" w:rsidRPr="00233D05" w:rsidRDefault="00233D05" w:rsidP="00233D05">
            <w:pPr>
              <w:rPr>
                <w:rFonts w:ascii="Calibri" w:hAnsi="Calibri" w:cs="Calibri"/>
                <w:b/>
                <w:bCs/>
                <w:color w:val="000000"/>
                <w:sz w:val="18"/>
                <w:szCs w:val="18"/>
                <w:lang w:eastAsia="en-GB"/>
              </w:rPr>
            </w:pPr>
          </w:p>
        </w:tc>
        <w:tc>
          <w:tcPr>
            <w:tcW w:w="598" w:type="dxa"/>
            <w:tcBorders>
              <w:top w:val="single" w:sz="4" w:space="0" w:color="auto"/>
              <w:left w:val="nil"/>
              <w:bottom w:val="nil"/>
              <w:right w:val="nil"/>
            </w:tcBorders>
            <w:shd w:val="clear" w:color="auto" w:fill="auto"/>
            <w:noWrap/>
            <w:vAlign w:val="center"/>
            <w:hideMark/>
          </w:tcPr>
          <w:p w14:paraId="311D175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0 </w:t>
            </w:r>
          </w:p>
        </w:tc>
        <w:tc>
          <w:tcPr>
            <w:tcW w:w="580" w:type="dxa"/>
            <w:tcBorders>
              <w:top w:val="single" w:sz="4" w:space="0" w:color="auto"/>
              <w:left w:val="nil"/>
              <w:bottom w:val="nil"/>
              <w:right w:val="nil"/>
            </w:tcBorders>
            <w:shd w:val="clear" w:color="auto" w:fill="auto"/>
            <w:noWrap/>
            <w:vAlign w:val="center"/>
            <w:hideMark/>
          </w:tcPr>
          <w:p w14:paraId="4415681B"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 </w:t>
            </w:r>
          </w:p>
        </w:tc>
        <w:tc>
          <w:tcPr>
            <w:tcW w:w="598" w:type="dxa"/>
            <w:tcBorders>
              <w:top w:val="single" w:sz="4" w:space="0" w:color="auto"/>
              <w:left w:val="nil"/>
              <w:bottom w:val="nil"/>
              <w:right w:val="nil"/>
            </w:tcBorders>
            <w:shd w:val="clear" w:color="auto" w:fill="auto"/>
            <w:noWrap/>
            <w:vAlign w:val="center"/>
            <w:hideMark/>
          </w:tcPr>
          <w:p w14:paraId="0447A52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4B98B99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 </w:t>
            </w:r>
          </w:p>
        </w:tc>
        <w:tc>
          <w:tcPr>
            <w:tcW w:w="960" w:type="dxa"/>
            <w:tcBorders>
              <w:top w:val="single" w:sz="4" w:space="0" w:color="auto"/>
              <w:left w:val="nil"/>
              <w:bottom w:val="nil"/>
              <w:right w:val="nil"/>
            </w:tcBorders>
            <w:shd w:val="clear" w:color="000000" w:fill="D6DCE4"/>
            <w:noWrap/>
            <w:vAlign w:val="center"/>
            <w:hideMark/>
          </w:tcPr>
          <w:p w14:paraId="3D14B49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5E5FE8EE"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2077CC8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261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2EEE174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262 </w:t>
            </w:r>
          </w:p>
        </w:tc>
      </w:tr>
      <w:tr w:rsidR="00233D05" w:rsidRPr="00233D05" w14:paraId="55B8A374"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97C51B7"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1579ABE"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28D84CE2" w14:textId="77777777" w:rsidR="00233D05" w:rsidRPr="00233D05" w:rsidRDefault="00233D05" w:rsidP="00233D05">
            <w:pPr>
              <w:rPr>
                <w:rFonts w:ascii="Calibri" w:hAnsi="Calibri" w:cs="Calibri"/>
                <w:b/>
                <w:bCs/>
                <w:color w:val="000000"/>
                <w:sz w:val="18"/>
                <w:szCs w:val="18"/>
                <w:lang w:eastAsia="en-GB"/>
              </w:rPr>
            </w:pPr>
          </w:p>
        </w:tc>
        <w:tc>
          <w:tcPr>
            <w:tcW w:w="598" w:type="dxa"/>
            <w:tcBorders>
              <w:top w:val="nil"/>
              <w:left w:val="nil"/>
              <w:bottom w:val="nil"/>
              <w:right w:val="nil"/>
            </w:tcBorders>
            <w:shd w:val="clear" w:color="auto" w:fill="auto"/>
            <w:noWrap/>
            <w:vAlign w:val="center"/>
            <w:hideMark/>
          </w:tcPr>
          <w:p w14:paraId="0D0A361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(38) </w:t>
            </w:r>
          </w:p>
        </w:tc>
        <w:tc>
          <w:tcPr>
            <w:tcW w:w="580" w:type="dxa"/>
            <w:tcBorders>
              <w:top w:val="nil"/>
              <w:left w:val="nil"/>
              <w:bottom w:val="nil"/>
              <w:right w:val="nil"/>
            </w:tcBorders>
            <w:shd w:val="clear" w:color="auto" w:fill="auto"/>
            <w:noWrap/>
            <w:vAlign w:val="center"/>
            <w:hideMark/>
          </w:tcPr>
          <w:p w14:paraId="5BCB09B1"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 </w:t>
            </w:r>
          </w:p>
        </w:tc>
        <w:tc>
          <w:tcPr>
            <w:tcW w:w="598" w:type="dxa"/>
            <w:tcBorders>
              <w:top w:val="nil"/>
              <w:left w:val="nil"/>
              <w:bottom w:val="nil"/>
              <w:right w:val="nil"/>
            </w:tcBorders>
            <w:shd w:val="clear" w:color="auto" w:fill="auto"/>
            <w:noWrap/>
            <w:vAlign w:val="center"/>
            <w:hideMark/>
          </w:tcPr>
          <w:p w14:paraId="173FC19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(19) </w:t>
            </w:r>
          </w:p>
        </w:tc>
        <w:tc>
          <w:tcPr>
            <w:tcW w:w="960" w:type="dxa"/>
            <w:tcBorders>
              <w:top w:val="nil"/>
              <w:left w:val="single" w:sz="8" w:space="0" w:color="auto"/>
              <w:bottom w:val="nil"/>
              <w:right w:val="single" w:sz="8" w:space="0" w:color="auto"/>
            </w:tcBorders>
            <w:shd w:val="clear" w:color="auto" w:fill="auto"/>
            <w:noWrap/>
            <w:vAlign w:val="center"/>
            <w:hideMark/>
          </w:tcPr>
          <w:p w14:paraId="03F3769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(59) </w:t>
            </w:r>
          </w:p>
        </w:tc>
        <w:tc>
          <w:tcPr>
            <w:tcW w:w="960" w:type="dxa"/>
            <w:tcBorders>
              <w:top w:val="nil"/>
              <w:left w:val="nil"/>
              <w:bottom w:val="nil"/>
              <w:right w:val="nil"/>
            </w:tcBorders>
            <w:shd w:val="clear" w:color="000000" w:fill="D6DCE4"/>
            <w:noWrap/>
            <w:vAlign w:val="center"/>
            <w:hideMark/>
          </w:tcPr>
          <w:p w14:paraId="2E19F898"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(47)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3562A25B"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23FB4D4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(297) </w:t>
            </w:r>
          </w:p>
        </w:tc>
        <w:tc>
          <w:tcPr>
            <w:tcW w:w="1020" w:type="dxa"/>
            <w:tcBorders>
              <w:top w:val="nil"/>
              <w:left w:val="single" w:sz="8" w:space="0" w:color="auto"/>
              <w:bottom w:val="nil"/>
              <w:right w:val="single" w:sz="8" w:space="0" w:color="auto"/>
            </w:tcBorders>
            <w:shd w:val="clear" w:color="000000" w:fill="ACB9CA"/>
            <w:noWrap/>
            <w:vAlign w:val="center"/>
            <w:hideMark/>
          </w:tcPr>
          <w:p w14:paraId="7AD197C7"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(343) </w:t>
            </w:r>
          </w:p>
        </w:tc>
      </w:tr>
      <w:tr w:rsidR="00233D05" w:rsidRPr="00233D05" w14:paraId="43329535"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27638437"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2FD3FB1D"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vMerge/>
            <w:tcBorders>
              <w:top w:val="single" w:sz="4" w:space="0" w:color="auto"/>
              <w:left w:val="single" w:sz="8" w:space="0" w:color="auto"/>
              <w:bottom w:val="single" w:sz="4" w:space="0" w:color="000000"/>
              <w:right w:val="single" w:sz="8" w:space="0" w:color="auto"/>
            </w:tcBorders>
            <w:vAlign w:val="center"/>
            <w:hideMark/>
          </w:tcPr>
          <w:p w14:paraId="725545CC" w14:textId="77777777" w:rsidR="00233D05" w:rsidRPr="00233D05" w:rsidRDefault="00233D05" w:rsidP="00233D05">
            <w:pPr>
              <w:rPr>
                <w:rFonts w:ascii="Calibri" w:hAnsi="Calibri" w:cs="Calibri"/>
                <w:b/>
                <w:bCs/>
                <w:color w:val="000000"/>
                <w:sz w:val="18"/>
                <w:szCs w:val="18"/>
                <w:lang w:eastAsia="en-GB"/>
              </w:rPr>
            </w:pPr>
          </w:p>
        </w:tc>
        <w:tc>
          <w:tcPr>
            <w:tcW w:w="598" w:type="dxa"/>
            <w:tcBorders>
              <w:top w:val="single" w:sz="4" w:space="0" w:color="auto"/>
              <w:left w:val="nil"/>
              <w:bottom w:val="single" w:sz="4" w:space="0" w:color="auto"/>
              <w:right w:val="nil"/>
            </w:tcBorders>
            <w:shd w:val="clear" w:color="auto" w:fill="auto"/>
            <w:noWrap/>
            <w:vAlign w:val="center"/>
            <w:hideMark/>
          </w:tcPr>
          <w:p w14:paraId="4C63A12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(38) </w:t>
            </w:r>
          </w:p>
        </w:tc>
        <w:tc>
          <w:tcPr>
            <w:tcW w:w="580" w:type="dxa"/>
            <w:tcBorders>
              <w:top w:val="single" w:sz="4" w:space="0" w:color="auto"/>
              <w:left w:val="nil"/>
              <w:bottom w:val="single" w:sz="4" w:space="0" w:color="auto"/>
              <w:right w:val="nil"/>
            </w:tcBorders>
            <w:shd w:val="clear" w:color="auto" w:fill="auto"/>
            <w:noWrap/>
            <w:vAlign w:val="center"/>
            <w:hideMark/>
          </w:tcPr>
          <w:p w14:paraId="2529A9A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4A5D979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(19)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38DAA1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(57) </w:t>
            </w:r>
          </w:p>
        </w:tc>
        <w:tc>
          <w:tcPr>
            <w:tcW w:w="960" w:type="dxa"/>
            <w:tcBorders>
              <w:top w:val="single" w:sz="4" w:space="0" w:color="auto"/>
              <w:left w:val="nil"/>
              <w:bottom w:val="single" w:sz="4" w:space="0" w:color="auto"/>
              <w:right w:val="nil"/>
            </w:tcBorders>
            <w:shd w:val="clear" w:color="000000" w:fill="D6DCE4"/>
            <w:noWrap/>
            <w:vAlign w:val="center"/>
            <w:hideMark/>
          </w:tcPr>
          <w:p w14:paraId="6CC20DB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(45)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6B950084"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4E41BC7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(36)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4AE80C74"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(82) </w:t>
            </w:r>
          </w:p>
        </w:tc>
      </w:tr>
      <w:tr w:rsidR="00233D05" w:rsidRPr="00233D05" w14:paraId="399887AF" w14:textId="77777777" w:rsidTr="00233D05">
        <w:trPr>
          <w:trHeight w:val="81"/>
        </w:trPr>
        <w:tc>
          <w:tcPr>
            <w:tcW w:w="308" w:type="dxa"/>
            <w:tcBorders>
              <w:top w:val="nil"/>
              <w:left w:val="nil"/>
              <w:bottom w:val="nil"/>
              <w:right w:val="nil"/>
            </w:tcBorders>
            <w:shd w:val="clear" w:color="auto" w:fill="auto"/>
            <w:noWrap/>
            <w:vAlign w:val="center"/>
            <w:hideMark/>
          </w:tcPr>
          <w:p w14:paraId="0692EEA5" w14:textId="77777777" w:rsidR="00233D05" w:rsidRPr="00233D05" w:rsidRDefault="00233D05" w:rsidP="00233D05">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4DD9E1FE"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3ABFB400"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67693EF6"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4BA150D6"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06A70A0C"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51391BD7"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center"/>
            <w:hideMark/>
          </w:tcPr>
          <w:p w14:paraId="16EDEAC3"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405404A5"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7243048E"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1012BAE4"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18B938AF" w14:textId="77777777" w:rsidTr="00233D05">
        <w:trPr>
          <w:trHeight w:val="214"/>
        </w:trPr>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B9A09A9"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CORPORATE</w:t>
            </w:r>
          </w:p>
        </w:tc>
        <w:tc>
          <w:tcPr>
            <w:tcW w:w="1848" w:type="dxa"/>
            <w:tcBorders>
              <w:top w:val="nil"/>
              <w:left w:val="nil"/>
              <w:bottom w:val="nil"/>
              <w:right w:val="nil"/>
            </w:tcBorders>
            <w:shd w:val="clear" w:color="auto" w:fill="auto"/>
            <w:noWrap/>
            <w:vAlign w:val="bottom"/>
            <w:hideMark/>
          </w:tcPr>
          <w:p w14:paraId="4F715E0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auto" w:fill="auto"/>
            <w:noWrap/>
            <w:vAlign w:val="center"/>
            <w:hideMark/>
          </w:tcPr>
          <w:p w14:paraId="4B301C6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 </w:t>
            </w:r>
          </w:p>
        </w:tc>
        <w:tc>
          <w:tcPr>
            <w:tcW w:w="598" w:type="dxa"/>
            <w:tcBorders>
              <w:top w:val="nil"/>
              <w:left w:val="nil"/>
              <w:bottom w:val="nil"/>
              <w:right w:val="nil"/>
            </w:tcBorders>
            <w:shd w:val="clear" w:color="auto" w:fill="auto"/>
            <w:noWrap/>
            <w:vAlign w:val="center"/>
            <w:hideMark/>
          </w:tcPr>
          <w:p w14:paraId="0FBDDB8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nil"/>
              <w:left w:val="nil"/>
              <w:bottom w:val="nil"/>
              <w:right w:val="nil"/>
            </w:tcBorders>
            <w:shd w:val="clear" w:color="auto" w:fill="auto"/>
            <w:noWrap/>
            <w:vAlign w:val="center"/>
            <w:hideMark/>
          </w:tcPr>
          <w:p w14:paraId="019AC00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 </w:t>
            </w:r>
          </w:p>
        </w:tc>
        <w:tc>
          <w:tcPr>
            <w:tcW w:w="598" w:type="dxa"/>
            <w:tcBorders>
              <w:top w:val="nil"/>
              <w:left w:val="nil"/>
              <w:bottom w:val="nil"/>
              <w:right w:val="nil"/>
            </w:tcBorders>
            <w:shd w:val="clear" w:color="auto" w:fill="auto"/>
            <w:noWrap/>
            <w:vAlign w:val="center"/>
            <w:hideMark/>
          </w:tcPr>
          <w:p w14:paraId="28C5900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3E3435D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nil"/>
              <w:bottom w:val="nil"/>
              <w:right w:val="nil"/>
            </w:tcBorders>
            <w:shd w:val="clear" w:color="000000" w:fill="D6DCE4"/>
            <w:noWrap/>
            <w:vAlign w:val="center"/>
            <w:hideMark/>
          </w:tcPr>
          <w:p w14:paraId="740151E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30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1AFEB46" w14:textId="77777777" w:rsidR="00233D05" w:rsidRPr="00233D05" w:rsidRDefault="008D3E34" w:rsidP="00233D05">
            <w:pPr>
              <w:jc w:val="center"/>
              <w:rPr>
                <w:rFonts w:ascii="Calibri" w:hAnsi="Calibri" w:cs="Calibri"/>
                <w:b/>
                <w:bCs/>
                <w:color w:val="000000"/>
                <w:sz w:val="16"/>
                <w:szCs w:val="16"/>
                <w:lang w:eastAsia="en-GB"/>
              </w:rPr>
            </w:pPr>
            <w:r w:rsidRPr="00C24A0C">
              <w:rPr>
                <w:rFonts w:ascii="Calibri" w:hAnsi="Calibri" w:cs="Calibri"/>
                <w:b/>
                <w:bCs/>
                <w:color w:val="000000"/>
                <w:sz w:val="14"/>
                <w:szCs w:val="16"/>
                <w:lang w:eastAsia="en-GB"/>
              </w:rPr>
              <w:t xml:space="preserve">CORPORATE </w:t>
            </w:r>
            <w:r w:rsidR="00233D05" w:rsidRPr="00C24A0C">
              <w:rPr>
                <w:rFonts w:ascii="Calibri" w:hAnsi="Calibri" w:cs="Calibri"/>
                <w:b/>
                <w:bCs/>
                <w:color w:val="000000"/>
                <w:sz w:val="14"/>
                <w:szCs w:val="16"/>
                <w:lang w:eastAsia="en-GB"/>
              </w:rPr>
              <w:t>COSTS</w:t>
            </w:r>
          </w:p>
        </w:tc>
        <w:tc>
          <w:tcPr>
            <w:tcW w:w="1020" w:type="dxa"/>
            <w:tcBorders>
              <w:top w:val="nil"/>
              <w:left w:val="nil"/>
              <w:bottom w:val="nil"/>
              <w:right w:val="nil"/>
            </w:tcBorders>
            <w:shd w:val="clear" w:color="000000" w:fill="D6DCE4"/>
            <w:noWrap/>
            <w:vAlign w:val="center"/>
            <w:hideMark/>
          </w:tcPr>
          <w:p w14:paraId="04E1CD0D"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1020" w:type="dxa"/>
            <w:tcBorders>
              <w:top w:val="nil"/>
              <w:left w:val="single" w:sz="8" w:space="0" w:color="auto"/>
              <w:bottom w:val="nil"/>
              <w:right w:val="single" w:sz="8" w:space="0" w:color="auto"/>
            </w:tcBorders>
            <w:shd w:val="clear" w:color="000000" w:fill="ACB9CA"/>
            <w:noWrap/>
            <w:vAlign w:val="center"/>
            <w:hideMark/>
          </w:tcPr>
          <w:p w14:paraId="65841F7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r>
      <w:tr w:rsidR="00233D05" w:rsidRPr="00233D05" w14:paraId="30A65979"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4C05A7B"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25BF069"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auto" w:fill="auto"/>
            <w:noWrap/>
            <w:vAlign w:val="center"/>
            <w:hideMark/>
          </w:tcPr>
          <w:p w14:paraId="0C22A9D0"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28D956D9"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auto" w:fill="auto"/>
            <w:noWrap/>
            <w:vAlign w:val="center"/>
            <w:hideMark/>
          </w:tcPr>
          <w:p w14:paraId="34E584D8"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98" w:type="dxa"/>
            <w:tcBorders>
              <w:top w:val="nil"/>
              <w:left w:val="nil"/>
              <w:bottom w:val="nil"/>
              <w:right w:val="nil"/>
            </w:tcBorders>
            <w:shd w:val="clear" w:color="auto" w:fill="auto"/>
            <w:noWrap/>
            <w:vAlign w:val="center"/>
            <w:hideMark/>
          </w:tcPr>
          <w:p w14:paraId="64262D48"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auto" w:fill="auto"/>
            <w:noWrap/>
            <w:vAlign w:val="center"/>
            <w:hideMark/>
          </w:tcPr>
          <w:p w14:paraId="27A402B1"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nil"/>
              <w:bottom w:val="nil"/>
              <w:right w:val="nil"/>
            </w:tcBorders>
            <w:shd w:val="clear" w:color="000000" w:fill="D6DCE4"/>
            <w:noWrap/>
            <w:vAlign w:val="center"/>
            <w:hideMark/>
          </w:tcPr>
          <w:p w14:paraId="5A080A7B"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186E3C9" w14:textId="77777777" w:rsidR="00233D05" w:rsidRPr="00233D05" w:rsidRDefault="00233D05" w:rsidP="00233D05">
            <w:pPr>
              <w:rPr>
                <w:rFonts w:ascii="Calibri" w:hAnsi="Calibri" w:cs="Calibri"/>
                <w:b/>
                <w:bCs/>
                <w:color w:val="000000"/>
                <w:sz w:val="16"/>
                <w:szCs w:val="16"/>
                <w:lang w:eastAsia="en-GB"/>
              </w:rPr>
            </w:pPr>
          </w:p>
        </w:tc>
        <w:tc>
          <w:tcPr>
            <w:tcW w:w="1020" w:type="dxa"/>
            <w:tcBorders>
              <w:top w:val="nil"/>
              <w:left w:val="nil"/>
              <w:bottom w:val="nil"/>
              <w:right w:val="nil"/>
            </w:tcBorders>
            <w:shd w:val="clear" w:color="000000" w:fill="D6DCE4"/>
            <w:noWrap/>
            <w:vAlign w:val="center"/>
            <w:hideMark/>
          </w:tcPr>
          <w:p w14:paraId="2EDD33F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1020" w:type="dxa"/>
            <w:tcBorders>
              <w:top w:val="nil"/>
              <w:left w:val="single" w:sz="8" w:space="0" w:color="auto"/>
              <w:bottom w:val="nil"/>
              <w:right w:val="single" w:sz="8" w:space="0" w:color="auto"/>
            </w:tcBorders>
            <w:shd w:val="clear" w:color="000000" w:fill="ACB9CA"/>
            <w:noWrap/>
            <w:vAlign w:val="center"/>
            <w:hideMark/>
          </w:tcPr>
          <w:p w14:paraId="772063E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r>
      <w:tr w:rsidR="00233D05" w:rsidRPr="00233D05" w14:paraId="13A0C33F"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78C33512"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auto" w:fill="auto"/>
            <w:noWrap/>
            <w:vAlign w:val="bottom"/>
            <w:hideMark/>
          </w:tcPr>
          <w:p w14:paraId="73D7E3A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3C448D8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 </w:t>
            </w:r>
          </w:p>
        </w:tc>
        <w:tc>
          <w:tcPr>
            <w:tcW w:w="598" w:type="dxa"/>
            <w:tcBorders>
              <w:top w:val="single" w:sz="4" w:space="0" w:color="auto"/>
              <w:left w:val="nil"/>
              <w:bottom w:val="nil"/>
              <w:right w:val="nil"/>
            </w:tcBorders>
            <w:shd w:val="clear" w:color="auto" w:fill="auto"/>
            <w:noWrap/>
            <w:vAlign w:val="center"/>
            <w:hideMark/>
          </w:tcPr>
          <w:p w14:paraId="2CF544A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auto" w:fill="auto"/>
            <w:noWrap/>
            <w:vAlign w:val="center"/>
            <w:hideMark/>
          </w:tcPr>
          <w:p w14:paraId="5856F29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5 </w:t>
            </w:r>
          </w:p>
        </w:tc>
        <w:tc>
          <w:tcPr>
            <w:tcW w:w="598" w:type="dxa"/>
            <w:tcBorders>
              <w:top w:val="single" w:sz="4" w:space="0" w:color="auto"/>
              <w:left w:val="nil"/>
              <w:bottom w:val="nil"/>
              <w:right w:val="nil"/>
            </w:tcBorders>
            <w:shd w:val="clear" w:color="auto" w:fill="auto"/>
            <w:noWrap/>
            <w:vAlign w:val="center"/>
            <w:hideMark/>
          </w:tcPr>
          <w:p w14:paraId="1AA5486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auto" w:fill="auto"/>
            <w:noWrap/>
            <w:vAlign w:val="center"/>
            <w:hideMark/>
          </w:tcPr>
          <w:p w14:paraId="51D6433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nil"/>
              <w:bottom w:val="nil"/>
              <w:right w:val="nil"/>
            </w:tcBorders>
            <w:shd w:val="clear" w:color="000000" w:fill="D6DCE4"/>
            <w:noWrap/>
            <w:vAlign w:val="center"/>
            <w:hideMark/>
          </w:tcPr>
          <w:p w14:paraId="23DDABF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A1AD66F" w14:textId="77777777" w:rsidR="00233D05" w:rsidRPr="00233D05" w:rsidRDefault="00233D05" w:rsidP="00233D05">
            <w:pPr>
              <w:rPr>
                <w:rFonts w:ascii="Calibri" w:hAnsi="Calibri" w:cs="Calibri"/>
                <w:b/>
                <w:bCs/>
                <w:color w:val="000000"/>
                <w:sz w:val="16"/>
                <w:szCs w:val="16"/>
                <w:lang w:eastAsia="en-GB"/>
              </w:rPr>
            </w:pPr>
          </w:p>
        </w:tc>
        <w:tc>
          <w:tcPr>
            <w:tcW w:w="1020" w:type="dxa"/>
            <w:tcBorders>
              <w:top w:val="single" w:sz="4" w:space="0" w:color="auto"/>
              <w:left w:val="nil"/>
              <w:bottom w:val="nil"/>
              <w:right w:val="nil"/>
            </w:tcBorders>
            <w:shd w:val="clear" w:color="000000" w:fill="D6DCE4"/>
            <w:noWrap/>
            <w:vAlign w:val="center"/>
            <w:hideMark/>
          </w:tcPr>
          <w:p w14:paraId="42A1208A"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3A6A1B2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r>
      <w:tr w:rsidR="00233D05" w:rsidRPr="00233D05" w14:paraId="79F4DD34"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196F0914"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53BBF8CA"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auto" w:fill="auto"/>
            <w:noWrap/>
            <w:vAlign w:val="center"/>
            <w:hideMark/>
          </w:tcPr>
          <w:p w14:paraId="6D4443E2"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(48) </w:t>
            </w:r>
          </w:p>
        </w:tc>
        <w:tc>
          <w:tcPr>
            <w:tcW w:w="598" w:type="dxa"/>
            <w:tcBorders>
              <w:top w:val="nil"/>
              <w:left w:val="nil"/>
              <w:bottom w:val="nil"/>
              <w:right w:val="nil"/>
            </w:tcBorders>
            <w:shd w:val="clear" w:color="auto" w:fill="auto"/>
            <w:noWrap/>
            <w:vAlign w:val="center"/>
            <w:hideMark/>
          </w:tcPr>
          <w:p w14:paraId="6EED2185"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2 </w:t>
            </w:r>
          </w:p>
        </w:tc>
        <w:tc>
          <w:tcPr>
            <w:tcW w:w="580" w:type="dxa"/>
            <w:tcBorders>
              <w:top w:val="nil"/>
              <w:left w:val="nil"/>
              <w:bottom w:val="nil"/>
              <w:right w:val="nil"/>
            </w:tcBorders>
            <w:shd w:val="clear" w:color="auto" w:fill="auto"/>
            <w:noWrap/>
            <w:vAlign w:val="center"/>
            <w:hideMark/>
          </w:tcPr>
          <w:p w14:paraId="1A2BE53A"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 </w:t>
            </w:r>
          </w:p>
        </w:tc>
        <w:tc>
          <w:tcPr>
            <w:tcW w:w="598" w:type="dxa"/>
            <w:tcBorders>
              <w:top w:val="nil"/>
              <w:left w:val="nil"/>
              <w:bottom w:val="nil"/>
              <w:right w:val="nil"/>
            </w:tcBorders>
            <w:shd w:val="clear" w:color="auto" w:fill="auto"/>
            <w:noWrap/>
            <w:vAlign w:val="center"/>
            <w:hideMark/>
          </w:tcPr>
          <w:p w14:paraId="2105A9E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(55) </w:t>
            </w:r>
          </w:p>
        </w:tc>
        <w:tc>
          <w:tcPr>
            <w:tcW w:w="960" w:type="dxa"/>
            <w:tcBorders>
              <w:top w:val="nil"/>
              <w:left w:val="single" w:sz="8" w:space="0" w:color="auto"/>
              <w:bottom w:val="nil"/>
              <w:right w:val="single" w:sz="8" w:space="0" w:color="auto"/>
            </w:tcBorders>
            <w:shd w:val="clear" w:color="auto" w:fill="auto"/>
            <w:noWrap/>
            <w:vAlign w:val="center"/>
            <w:hideMark/>
          </w:tcPr>
          <w:p w14:paraId="7154CA5A"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(106) </w:t>
            </w:r>
          </w:p>
        </w:tc>
        <w:tc>
          <w:tcPr>
            <w:tcW w:w="960" w:type="dxa"/>
            <w:tcBorders>
              <w:top w:val="nil"/>
              <w:left w:val="nil"/>
              <w:bottom w:val="nil"/>
              <w:right w:val="nil"/>
            </w:tcBorders>
            <w:shd w:val="clear" w:color="000000" w:fill="D6DCE4"/>
            <w:noWrap/>
            <w:vAlign w:val="center"/>
            <w:hideMark/>
          </w:tcPr>
          <w:p w14:paraId="5CE3D60E"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(82)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2B97BE90" w14:textId="77777777" w:rsidR="00233D05" w:rsidRPr="00233D05" w:rsidRDefault="00233D05" w:rsidP="00233D05">
            <w:pPr>
              <w:rPr>
                <w:rFonts w:ascii="Calibri" w:hAnsi="Calibri" w:cs="Calibri"/>
                <w:b/>
                <w:bCs/>
                <w:color w:val="000000"/>
                <w:sz w:val="16"/>
                <w:szCs w:val="16"/>
                <w:lang w:eastAsia="en-GB"/>
              </w:rPr>
            </w:pPr>
          </w:p>
        </w:tc>
        <w:tc>
          <w:tcPr>
            <w:tcW w:w="1020" w:type="dxa"/>
            <w:tcBorders>
              <w:top w:val="nil"/>
              <w:left w:val="nil"/>
              <w:bottom w:val="nil"/>
              <w:right w:val="nil"/>
            </w:tcBorders>
            <w:shd w:val="clear" w:color="000000" w:fill="D6DCE4"/>
            <w:noWrap/>
            <w:vAlign w:val="center"/>
            <w:hideMark/>
          </w:tcPr>
          <w:p w14:paraId="77766E3B"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(55) </w:t>
            </w:r>
          </w:p>
        </w:tc>
        <w:tc>
          <w:tcPr>
            <w:tcW w:w="1020" w:type="dxa"/>
            <w:tcBorders>
              <w:top w:val="nil"/>
              <w:left w:val="single" w:sz="8" w:space="0" w:color="auto"/>
              <w:bottom w:val="nil"/>
              <w:right w:val="single" w:sz="8" w:space="0" w:color="auto"/>
            </w:tcBorders>
            <w:shd w:val="clear" w:color="000000" w:fill="ACB9CA"/>
            <w:noWrap/>
            <w:vAlign w:val="center"/>
            <w:hideMark/>
          </w:tcPr>
          <w:p w14:paraId="156FB80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(137) </w:t>
            </w:r>
          </w:p>
        </w:tc>
      </w:tr>
      <w:tr w:rsidR="00233D05" w:rsidRPr="00233D05" w14:paraId="55E83D2B" w14:textId="77777777" w:rsidTr="00233D05">
        <w:trPr>
          <w:trHeight w:val="214"/>
        </w:trPr>
        <w:tc>
          <w:tcPr>
            <w:tcW w:w="308" w:type="dxa"/>
            <w:vMerge/>
            <w:tcBorders>
              <w:top w:val="single" w:sz="4" w:space="0" w:color="auto"/>
              <w:left w:val="single" w:sz="4" w:space="0" w:color="auto"/>
              <w:bottom w:val="single" w:sz="4" w:space="0" w:color="000000"/>
              <w:right w:val="single" w:sz="4" w:space="0" w:color="auto"/>
            </w:tcBorders>
            <w:vAlign w:val="center"/>
            <w:hideMark/>
          </w:tcPr>
          <w:p w14:paraId="41D71837"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auto" w:fill="auto"/>
            <w:noWrap/>
            <w:vAlign w:val="bottom"/>
            <w:hideMark/>
          </w:tcPr>
          <w:p w14:paraId="73C8C76D"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8978B7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(53) </w:t>
            </w:r>
          </w:p>
        </w:tc>
        <w:tc>
          <w:tcPr>
            <w:tcW w:w="598" w:type="dxa"/>
            <w:tcBorders>
              <w:top w:val="single" w:sz="4" w:space="0" w:color="auto"/>
              <w:left w:val="nil"/>
              <w:bottom w:val="single" w:sz="4" w:space="0" w:color="auto"/>
              <w:right w:val="nil"/>
            </w:tcBorders>
            <w:shd w:val="clear" w:color="auto" w:fill="auto"/>
            <w:noWrap/>
            <w:vAlign w:val="center"/>
            <w:hideMark/>
          </w:tcPr>
          <w:p w14:paraId="68CD6F26"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 </w:t>
            </w:r>
          </w:p>
        </w:tc>
        <w:tc>
          <w:tcPr>
            <w:tcW w:w="580" w:type="dxa"/>
            <w:tcBorders>
              <w:top w:val="single" w:sz="4" w:space="0" w:color="auto"/>
              <w:left w:val="nil"/>
              <w:bottom w:val="single" w:sz="4" w:space="0" w:color="auto"/>
              <w:right w:val="nil"/>
            </w:tcBorders>
            <w:shd w:val="clear" w:color="auto" w:fill="auto"/>
            <w:noWrap/>
            <w:vAlign w:val="center"/>
            <w:hideMark/>
          </w:tcPr>
          <w:p w14:paraId="2C2E03C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auto" w:fill="auto"/>
            <w:noWrap/>
            <w:vAlign w:val="center"/>
            <w:hideMark/>
          </w:tcPr>
          <w:p w14:paraId="7C54F17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(55)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1C05731"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(106) </w:t>
            </w:r>
          </w:p>
        </w:tc>
        <w:tc>
          <w:tcPr>
            <w:tcW w:w="960" w:type="dxa"/>
            <w:tcBorders>
              <w:top w:val="single" w:sz="4" w:space="0" w:color="auto"/>
              <w:left w:val="nil"/>
              <w:bottom w:val="single" w:sz="4" w:space="0" w:color="auto"/>
              <w:right w:val="nil"/>
            </w:tcBorders>
            <w:shd w:val="clear" w:color="000000" w:fill="D6DCE4"/>
            <w:noWrap/>
            <w:vAlign w:val="center"/>
            <w:hideMark/>
          </w:tcPr>
          <w:p w14:paraId="2ADDE17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(82)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1D1F9D4D" w14:textId="77777777" w:rsidR="00233D05" w:rsidRPr="00233D05" w:rsidRDefault="00233D05" w:rsidP="00233D05">
            <w:pPr>
              <w:rPr>
                <w:rFonts w:ascii="Calibri" w:hAnsi="Calibri" w:cs="Calibri"/>
                <w:b/>
                <w:bCs/>
                <w:color w:val="000000"/>
                <w:sz w:val="16"/>
                <w:szCs w:val="16"/>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60E24B3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(55)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646D732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(137) </w:t>
            </w:r>
          </w:p>
        </w:tc>
      </w:tr>
      <w:tr w:rsidR="00233D05" w:rsidRPr="00233D05" w14:paraId="761EB3E7" w14:textId="77777777" w:rsidTr="00233D05">
        <w:trPr>
          <w:trHeight w:val="81"/>
        </w:trPr>
        <w:tc>
          <w:tcPr>
            <w:tcW w:w="308" w:type="dxa"/>
            <w:tcBorders>
              <w:top w:val="nil"/>
              <w:left w:val="nil"/>
              <w:bottom w:val="nil"/>
              <w:right w:val="nil"/>
            </w:tcBorders>
            <w:shd w:val="clear" w:color="auto" w:fill="auto"/>
            <w:noWrap/>
            <w:vAlign w:val="center"/>
            <w:hideMark/>
          </w:tcPr>
          <w:p w14:paraId="497F80D3" w14:textId="77777777" w:rsidR="00233D05" w:rsidRPr="00233D05" w:rsidRDefault="00233D05" w:rsidP="00233D05">
            <w:pPr>
              <w:jc w:val="right"/>
              <w:rPr>
                <w:rFonts w:ascii="Calibri" w:hAnsi="Calibri" w:cs="Calibri"/>
                <w:b/>
                <w:bCs/>
                <w:color w:val="000000"/>
                <w:sz w:val="18"/>
                <w:szCs w:val="18"/>
                <w:lang w:eastAsia="en-GB"/>
              </w:rPr>
            </w:pPr>
          </w:p>
        </w:tc>
        <w:tc>
          <w:tcPr>
            <w:tcW w:w="1848" w:type="dxa"/>
            <w:tcBorders>
              <w:top w:val="nil"/>
              <w:left w:val="nil"/>
              <w:bottom w:val="nil"/>
              <w:right w:val="nil"/>
            </w:tcBorders>
            <w:shd w:val="clear" w:color="auto" w:fill="auto"/>
            <w:noWrap/>
            <w:vAlign w:val="bottom"/>
            <w:hideMark/>
          </w:tcPr>
          <w:p w14:paraId="3B7DEF33" w14:textId="77777777" w:rsidR="00233D05" w:rsidRPr="00233D05" w:rsidRDefault="00233D05" w:rsidP="00233D05">
            <w:pPr>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694E5B7B"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nil"/>
              <w:right w:val="nil"/>
            </w:tcBorders>
            <w:shd w:val="clear" w:color="auto" w:fill="auto"/>
            <w:noWrap/>
            <w:vAlign w:val="center"/>
            <w:hideMark/>
          </w:tcPr>
          <w:p w14:paraId="7E18635C" w14:textId="77777777" w:rsidR="00233D05" w:rsidRPr="00233D05" w:rsidRDefault="00233D05" w:rsidP="00233D05">
            <w:pPr>
              <w:jc w:val="right"/>
              <w:rPr>
                <w:rFonts w:ascii="Calibri" w:hAnsi="Calibri" w:cs="Calibri"/>
                <w:color w:val="000000"/>
                <w:sz w:val="2"/>
                <w:szCs w:val="2"/>
                <w:lang w:eastAsia="en-GB"/>
              </w:rPr>
            </w:pPr>
          </w:p>
        </w:tc>
        <w:tc>
          <w:tcPr>
            <w:tcW w:w="580" w:type="dxa"/>
            <w:tcBorders>
              <w:top w:val="nil"/>
              <w:left w:val="nil"/>
              <w:bottom w:val="nil"/>
              <w:right w:val="nil"/>
            </w:tcBorders>
            <w:shd w:val="clear" w:color="auto" w:fill="auto"/>
            <w:noWrap/>
            <w:vAlign w:val="center"/>
            <w:hideMark/>
          </w:tcPr>
          <w:p w14:paraId="08A8ACEC" w14:textId="77777777" w:rsidR="00233D05" w:rsidRPr="00233D05" w:rsidRDefault="00233D05" w:rsidP="00233D05">
            <w:pPr>
              <w:jc w:val="right"/>
              <w:rPr>
                <w:rFonts w:ascii="Times New Roman" w:hAnsi="Times New Roman"/>
                <w:sz w:val="20"/>
                <w:lang w:eastAsia="en-GB"/>
              </w:rPr>
            </w:pPr>
          </w:p>
        </w:tc>
        <w:tc>
          <w:tcPr>
            <w:tcW w:w="598" w:type="dxa"/>
            <w:tcBorders>
              <w:top w:val="nil"/>
              <w:left w:val="nil"/>
              <w:bottom w:val="nil"/>
              <w:right w:val="nil"/>
            </w:tcBorders>
            <w:shd w:val="clear" w:color="auto" w:fill="auto"/>
            <w:noWrap/>
            <w:vAlign w:val="center"/>
            <w:hideMark/>
          </w:tcPr>
          <w:p w14:paraId="49FE8DCF" w14:textId="77777777" w:rsidR="00233D05" w:rsidRPr="00233D05" w:rsidRDefault="00233D05" w:rsidP="00233D05">
            <w:pPr>
              <w:jc w:val="right"/>
              <w:rPr>
                <w:rFonts w:ascii="Times New Roman" w:hAnsi="Times New Roman"/>
                <w:sz w:val="20"/>
                <w:lang w:eastAsia="en-GB"/>
              </w:rPr>
            </w:pPr>
          </w:p>
        </w:tc>
        <w:tc>
          <w:tcPr>
            <w:tcW w:w="960" w:type="dxa"/>
            <w:tcBorders>
              <w:top w:val="nil"/>
              <w:left w:val="single" w:sz="8" w:space="0" w:color="auto"/>
              <w:bottom w:val="nil"/>
              <w:right w:val="single" w:sz="8" w:space="0" w:color="auto"/>
            </w:tcBorders>
            <w:shd w:val="clear" w:color="auto" w:fill="auto"/>
            <w:noWrap/>
            <w:vAlign w:val="center"/>
            <w:hideMark/>
          </w:tcPr>
          <w:p w14:paraId="45932141"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nil"/>
              <w:right w:val="nil"/>
            </w:tcBorders>
            <w:shd w:val="clear" w:color="000000" w:fill="D6DCE4"/>
            <w:noWrap/>
            <w:vAlign w:val="center"/>
            <w:hideMark/>
          </w:tcPr>
          <w:p w14:paraId="386F9966"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nil"/>
              <w:right w:val="nil"/>
            </w:tcBorders>
            <w:shd w:val="clear" w:color="auto" w:fill="auto"/>
            <w:noWrap/>
            <w:vAlign w:val="center"/>
            <w:hideMark/>
          </w:tcPr>
          <w:p w14:paraId="2C5CAF47" w14:textId="77777777" w:rsidR="00233D05" w:rsidRPr="00233D05" w:rsidRDefault="00233D05" w:rsidP="00233D05">
            <w:pPr>
              <w:jc w:val="right"/>
              <w:rPr>
                <w:rFonts w:ascii="Calibri" w:hAnsi="Calibri" w:cs="Calibri"/>
                <w:color w:val="000000"/>
                <w:sz w:val="2"/>
                <w:szCs w:val="2"/>
                <w:lang w:eastAsia="en-GB"/>
              </w:rPr>
            </w:pPr>
          </w:p>
        </w:tc>
        <w:tc>
          <w:tcPr>
            <w:tcW w:w="1020" w:type="dxa"/>
            <w:tcBorders>
              <w:top w:val="nil"/>
              <w:left w:val="nil"/>
              <w:bottom w:val="nil"/>
              <w:right w:val="nil"/>
            </w:tcBorders>
            <w:shd w:val="clear" w:color="000000" w:fill="D6DCE4"/>
            <w:noWrap/>
            <w:vAlign w:val="center"/>
            <w:hideMark/>
          </w:tcPr>
          <w:p w14:paraId="7ABD0CBC"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nil"/>
              <w:right w:val="single" w:sz="8" w:space="0" w:color="auto"/>
            </w:tcBorders>
            <w:shd w:val="clear" w:color="000000" w:fill="ACB9CA"/>
            <w:noWrap/>
            <w:vAlign w:val="center"/>
            <w:hideMark/>
          </w:tcPr>
          <w:p w14:paraId="419E6F40"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6B7D909C" w14:textId="77777777" w:rsidTr="00233D05">
        <w:trPr>
          <w:trHeight w:val="34"/>
        </w:trPr>
        <w:tc>
          <w:tcPr>
            <w:tcW w:w="308" w:type="dxa"/>
            <w:tcBorders>
              <w:top w:val="single" w:sz="8" w:space="0" w:color="auto"/>
              <w:left w:val="single" w:sz="8" w:space="0" w:color="auto"/>
              <w:bottom w:val="nil"/>
              <w:right w:val="nil"/>
            </w:tcBorders>
            <w:shd w:val="clear" w:color="auto" w:fill="auto"/>
            <w:noWrap/>
            <w:vAlign w:val="center"/>
            <w:hideMark/>
          </w:tcPr>
          <w:p w14:paraId="12E893F7" w14:textId="77777777" w:rsidR="00233D05" w:rsidRPr="00233D05" w:rsidRDefault="00233D05" w:rsidP="00233D05">
            <w:pPr>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848" w:type="dxa"/>
            <w:tcBorders>
              <w:top w:val="single" w:sz="8" w:space="0" w:color="auto"/>
              <w:left w:val="nil"/>
              <w:bottom w:val="nil"/>
              <w:right w:val="nil"/>
            </w:tcBorders>
            <w:shd w:val="clear" w:color="auto" w:fill="auto"/>
            <w:noWrap/>
            <w:vAlign w:val="bottom"/>
            <w:hideMark/>
          </w:tcPr>
          <w:p w14:paraId="7F8125B2" w14:textId="77777777" w:rsidR="00233D05" w:rsidRPr="00233D05" w:rsidRDefault="00233D05" w:rsidP="00233D05">
            <w:pPr>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single" w:sz="8" w:space="0" w:color="auto"/>
              <w:left w:val="single" w:sz="8" w:space="0" w:color="auto"/>
              <w:bottom w:val="nil"/>
              <w:right w:val="single" w:sz="8" w:space="0" w:color="auto"/>
            </w:tcBorders>
            <w:shd w:val="clear" w:color="auto" w:fill="auto"/>
            <w:noWrap/>
            <w:vAlign w:val="center"/>
            <w:hideMark/>
          </w:tcPr>
          <w:p w14:paraId="18901BFF"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single" w:sz="8" w:space="0" w:color="auto"/>
              <w:left w:val="nil"/>
              <w:bottom w:val="nil"/>
              <w:right w:val="nil"/>
            </w:tcBorders>
            <w:shd w:val="clear" w:color="auto" w:fill="auto"/>
            <w:noWrap/>
            <w:vAlign w:val="center"/>
            <w:hideMark/>
          </w:tcPr>
          <w:p w14:paraId="6B8EC2B3"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80" w:type="dxa"/>
            <w:tcBorders>
              <w:top w:val="single" w:sz="8" w:space="0" w:color="auto"/>
              <w:left w:val="nil"/>
              <w:bottom w:val="nil"/>
              <w:right w:val="nil"/>
            </w:tcBorders>
            <w:shd w:val="clear" w:color="auto" w:fill="auto"/>
            <w:noWrap/>
            <w:vAlign w:val="center"/>
            <w:hideMark/>
          </w:tcPr>
          <w:p w14:paraId="5ED04EA7"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single" w:sz="8" w:space="0" w:color="auto"/>
              <w:left w:val="nil"/>
              <w:bottom w:val="nil"/>
              <w:right w:val="nil"/>
            </w:tcBorders>
            <w:shd w:val="clear" w:color="auto" w:fill="auto"/>
            <w:noWrap/>
            <w:vAlign w:val="center"/>
            <w:hideMark/>
          </w:tcPr>
          <w:p w14:paraId="78663FCC"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single" w:sz="8" w:space="0" w:color="auto"/>
              <w:left w:val="single" w:sz="8" w:space="0" w:color="auto"/>
              <w:bottom w:val="nil"/>
              <w:right w:val="single" w:sz="8" w:space="0" w:color="auto"/>
            </w:tcBorders>
            <w:shd w:val="clear" w:color="auto" w:fill="auto"/>
            <w:noWrap/>
            <w:vAlign w:val="center"/>
            <w:hideMark/>
          </w:tcPr>
          <w:p w14:paraId="05AA5ADE"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single" w:sz="8" w:space="0" w:color="auto"/>
              <w:left w:val="nil"/>
              <w:bottom w:val="nil"/>
              <w:right w:val="nil"/>
            </w:tcBorders>
            <w:shd w:val="clear" w:color="000000" w:fill="D6DCE4"/>
            <w:noWrap/>
            <w:vAlign w:val="center"/>
            <w:hideMark/>
          </w:tcPr>
          <w:p w14:paraId="736C9D89"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single" w:sz="8" w:space="0" w:color="auto"/>
              <w:left w:val="nil"/>
              <w:bottom w:val="nil"/>
              <w:right w:val="nil"/>
            </w:tcBorders>
            <w:shd w:val="clear" w:color="auto" w:fill="auto"/>
            <w:noWrap/>
            <w:vAlign w:val="center"/>
            <w:hideMark/>
          </w:tcPr>
          <w:p w14:paraId="28E47506" w14:textId="77777777" w:rsidR="00233D05" w:rsidRPr="00233D05" w:rsidRDefault="00233D05" w:rsidP="00233D05">
            <w:pPr>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single" w:sz="8" w:space="0" w:color="auto"/>
              <w:left w:val="nil"/>
              <w:bottom w:val="nil"/>
              <w:right w:val="nil"/>
            </w:tcBorders>
            <w:shd w:val="clear" w:color="000000" w:fill="D6DCE4"/>
            <w:noWrap/>
            <w:vAlign w:val="center"/>
            <w:hideMark/>
          </w:tcPr>
          <w:p w14:paraId="5F6A4284"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single" w:sz="8" w:space="0" w:color="auto"/>
              <w:left w:val="single" w:sz="8" w:space="0" w:color="auto"/>
              <w:bottom w:val="nil"/>
              <w:right w:val="single" w:sz="8" w:space="0" w:color="auto"/>
            </w:tcBorders>
            <w:shd w:val="clear" w:color="000000" w:fill="ACB9CA"/>
            <w:noWrap/>
            <w:vAlign w:val="center"/>
            <w:hideMark/>
          </w:tcPr>
          <w:p w14:paraId="0A86ABE8"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r w:rsidR="00233D05" w:rsidRPr="00233D05" w14:paraId="0894AB26" w14:textId="77777777" w:rsidTr="00233D05">
        <w:trPr>
          <w:trHeight w:val="214"/>
        </w:trPr>
        <w:tc>
          <w:tcPr>
            <w:tcW w:w="308" w:type="dxa"/>
            <w:vMerge w:val="restart"/>
            <w:tcBorders>
              <w:top w:val="single" w:sz="4" w:space="0" w:color="auto"/>
              <w:left w:val="single" w:sz="8" w:space="0" w:color="auto"/>
              <w:bottom w:val="single" w:sz="4" w:space="0" w:color="000000"/>
              <w:right w:val="single" w:sz="4" w:space="0" w:color="auto"/>
            </w:tcBorders>
            <w:shd w:val="clear" w:color="000000" w:fill="EDEDED"/>
            <w:noWrap/>
            <w:textDirection w:val="btLr"/>
            <w:vAlign w:val="center"/>
            <w:hideMark/>
          </w:tcPr>
          <w:p w14:paraId="4B21ACC1"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GROUP</w:t>
            </w:r>
          </w:p>
        </w:tc>
        <w:tc>
          <w:tcPr>
            <w:tcW w:w="1848" w:type="dxa"/>
            <w:tcBorders>
              <w:top w:val="nil"/>
              <w:left w:val="nil"/>
              <w:bottom w:val="nil"/>
              <w:right w:val="nil"/>
            </w:tcBorders>
            <w:shd w:val="clear" w:color="000000" w:fill="EDEDED"/>
            <w:noWrap/>
            <w:vAlign w:val="bottom"/>
            <w:hideMark/>
          </w:tcPr>
          <w:p w14:paraId="65ED3A28"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Total revenue</w:t>
            </w:r>
          </w:p>
        </w:tc>
        <w:tc>
          <w:tcPr>
            <w:tcW w:w="960" w:type="dxa"/>
            <w:tcBorders>
              <w:top w:val="nil"/>
              <w:left w:val="single" w:sz="8" w:space="0" w:color="auto"/>
              <w:bottom w:val="nil"/>
              <w:right w:val="single" w:sz="8" w:space="0" w:color="auto"/>
            </w:tcBorders>
            <w:shd w:val="clear" w:color="000000" w:fill="EDEDED"/>
            <w:noWrap/>
            <w:vAlign w:val="center"/>
            <w:hideMark/>
          </w:tcPr>
          <w:p w14:paraId="58DD0CC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2,528 </w:t>
            </w:r>
          </w:p>
        </w:tc>
        <w:tc>
          <w:tcPr>
            <w:tcW w:w="598" w:type="dxa"/>
            <w:tcBorders>
              <w:top w:val="nil"/>
              <w:left w:val="nil"/>
              <w:bottom w:val="nil"/>
              <w:right w:val="nil"/>
            </w:tcBorders>
            <w:shd w:val="clear" w:color="000000" w:fill="EDEDED"/>
            <w:noWrap/>
            <w:vAlign w:val="center"/>
            <w:hideMark/>
          </w:tcPr>
          <w:p w14:paraId="333F74D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2471904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23 </w:t>
            </w:r>
          </w:p>
        </w:tc>
        <w:tc>
          <w:tcPr>
            <w:tcW w:w="598" w:type="dxa"/>
            <w:tcBorders>
              <w:top w:val="nil"/>
              <w:left w:val="nil"/>
              <w:bottom w:val="nil"/>
              <w:right w:val="nil"/>
            </w:tcBorders>
            <w:shd w:val="clear" w:color="000000" w:fill="EDEDED"/>
            <w:noWrap/>
            <w:vAlign w:val="center"/>
            <w:hideMark/>
          </w:tcPr>
          <w:p w14:paraId="33B8D48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000000" w:fill="EDEDED"/>
            <w:noWrap/>
            <w:vAlign w:val="center"/>
            <w:hideMark/>
          </w:tcPr>
          <w:p w14:paraId="54BE05A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2,551 </w:t>
            </w:r>
          </w:p>
        </w:tc>
        <w:tc>
          <w:tcPr>
            <w:tcW w:w="960" w:type="dxa"/>
            <w:tcBorders>
              <w:top w:val="nil"/>
              <w:left w:val="nil"/>
              <w:bottom w:val="nil"/>
              <w:right w:val="nil"/>
            </w:tcBorders>
            <w:shd w:val="clear" w:color="000000" w:fill="D6DCE4"/>
            <w:noWrap/>
            <w:vAlign w:val="center"/>
            <w:hideMark/>
          </w:tcPr>
          <w:p w14:paraId="18EAA903"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1,999 </w:t>
            </w:r>
          </w:p>
        </w:tc>
        <w:tc>
          <w:tcPr>
            <w:tcW w:w="308" w:type="dxa"/>
            <w:vMerge w:val="restart"/>
            <w:tcBorders>
              <w:top w:val="single" w:sz="4" w:space="0" w:color="auto"/>
              <w:left w:val="single" w:sz="4" w:space="0" w:color="auto"/>
              <w:bottom w:val="single" w:sz="4" w:space="0" w:color="000000"/>
              <w:right w:val="single" w:sz="4" w:space="0" w:color="auto"/>
            </w:tcBorders>
            <w:shd w:val="clear" w:color="000000" w:fill="EDEDED"/>
            <w:noWrap/>
            <w:textDirection w:val="btLr"/>
            <w:vAlign w:val="center"/>
            <w:hideMark/>
          </w:tcPr>
          <w:p w14:paraId="7D62A26A" w14:textId="77777777" w:rsidR="00233D05" w:rsidRPr="00233D05" w:rsidRDefault="00233D05" w:rsidP="00233D05">
            <w:pPr>
              <w:jc w:val="cente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GROUP</w:t>
            </w:r>
          </w:p>
        </w:tc>
        <w:tc>
          <w:tcPr>
            <w:tcW w:w="1020" w:type="dxa"/>
            <w:tcBorders>
              <w:top w:val="nil"/>
              <w:left w:val="nil"/>
              <w:bottom w:val="nil"/>
              <w:right w:val="nil"/>
            </w:tcBorders>
            <w:shd w:val="clear" w:color="000000" w:fill="D6DCE4"/>
            <w:noWrap/>
            <w:vAlign w:val="center"/>
            <w:hideMark/>
          </w:tcPr>
          <w:p w14:paraId="4BFDC3E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2,145 </w:t>
            </w:r>
          </w:p>
        </w:tc>
        <w:tc>
          <w:tcPr>
            <w:tcW w:w="1020" w:type="dxa"/>
            <w:tcBorders>
              <w:top w:val="nil"/>
              <w:left w:val="single" w:sz="8" w:space="0" w:color="auto"/>
              <w:bottom w:val="nil"/>
              <w:right w:val="single" w:sz="8" w:space="0" w:color="auto"/>
            </w:tcBorders>
            <w:shd w:val="clear" w:color="000000" w:fill="ACB9CA"/>
            <w:noWrap/>
            <w:vAlign w:val="center"/>
            <w:hideMark/>
          </w:tcPr>
          <w:p w14:paraId="6151577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4,144 </w:t>
            </w:r>
          </w:p>
        </w:tc>
      </w:tr>
      <w:tr w:rsidR="00233D05" w:rsidRPr="00233D05" w14:paraId="41E80D6B" w14:textId="77777777" w:rsidTr="00233D05">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4A769883"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000000" w:fill="EDEDED"/>
            <w:noWrap/>
            <w:vAlign w:val="bottom"/>
            <w:hideMark/>
          </w:tcPr>
          <w:p w14:paraId="42C5ACE9"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Cost of sales</w:t>
            </w:r>
          </w:p>
        </w:tc>
        <w:tc>
          <w:tcPr>
            <w:tcW w:w="960" w:type="dxa"/>
            <w:tcBorders>
              <w:top w:val="nil"/>
              <w:left w:val="single" w:sz="8" w:space="0" w:color="auto"/>
              <w:bottom w:val="nil"/>
              <w:right w:val="single" w:sz="8" w:space="0" w:color="auto"/>
            </w:tcBorders>
            <w:shd w:val="clear" w:color="000000" w:fill="EDEDED"/>
            <w:noWrap/>
            <w:vAlign w:val="center"/>
            <w:hideMark/>
          </w:tcPr>
          <w:p w14:paraId="34873FE3"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(693) </w:t>
            </w:r>
          </w:p>
        </w:tc>
        <w:tc>
          <w:tcPr>
            <w:tcW w:w="598" w:type="dxa"/>
            <w:tcBorders>
              <w:top w:val="nil"/>
              <w:left w:val="nil"/>
              <w:bottom w:val="nil"/>
              <w:right w:val="nil"/>
            </w:tcBorders>
            <w:shd w:val="clear" w:color="000000" w:fill="EDEDED"/>
            <w:noWrap/>
            <w:vAlign w:val="center"/>
            <w:hideMark/>
          </w:tcPr>
          <w:p w14:paraId="43AAA7C1"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04F26B1D"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 </w:t>
            </w:r>
          </w:p>
        </w:tc>
        <w:tc>
          <w:tcPr>
            <w:tcW w:w="598" w:type="dxa"/>
            <w:tcBorders>
              <w:top w:val="nil"/>
              <w:left w:val="nil"/>
              <w:bottom w:val="nil"/>
              <w:right w:val="nil"/>
            </w:tcBorders>
            <w:shd w:val="clear" w:color="000000" w:fill="EDEDED"/>
            <w:noWrap/>
            <w:vAlign w:val="center"/>
            <w:hideMark/>
          </w:tcPr>
          <w:p w14:paraId="6303DC66"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960" w:type="dxa"/>
            <w:tcBorders>
              <w:top w:val="nil"/>
              <w:left w:val="single" w:sz="8" w:space="0" w:color="auto"/>
              <w:bottom w:val="nil"/>
              <w:right w:val="single" w:sz="8" w:space="0" w:color="auto"/>
            </w:tcBorders>
            <w:shd w:val="clear" w:color="000000" w:fill="EDEDED"/>
            <w:noWrap/>
            <w:vAlign w:val="center"/>
            <w:hideMark/>
          </w:tcPr>
          <w:p w14:paraId="262B1CFB"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(698) </w:t>
            </w:r>
          </w:p>
        </w:tc>
        <w:tc>
          <w:tcPr>
            <w:tcW w:w="960" w:type="dxa"/>
            <w:tcBorders>
              <w:top w:val="nil"/>
              <w:left w:val="nil"/>
              <w:bottom w:val="nil"/>
              <w:right w:val="nil"/>
            </w:tcBorders>
            <w:shd w:val="clear" w:color="000000" w:fill="D6DCE4"/>
            <w:noWrap/>
            <w:vAlign w:val="center"/>
            <w:hideMark/>
          </w:tcPr>
          <w:p w14:paraId="5F03A08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(546)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2933131F"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27715432"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(652) </w:t>
            </w:r>
          </w:p>
        </w:tc>
        <w:tc>
          <w:tcPr>
            <w:tcW w:w="1020" w:type="dxa"/>
            <w:tcBorders>
              <w:top w:val="nil"/>
              <w:left w:val="single" w:sz="8" w:space="0" w:color="auto"/>
              <w:bottom w:val="nil"/>
              <w:right w:val="single" w:sz="8" w:space="0" w:color="auto"/>
            </w:tcBorders>
            <w:shd w:val="clear" w:color="000000" w:fill="ACB9CA"/>
            <w:noWrap/>
            <w:vAlign w:val="center"/>
            <w:hideMark/>
          </w:tcPr>
          <w:p w14:paraId="41B7C407"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(1,198) </w:t>
            </w:r>
          </w:p>
        </w:tc>
      </w:tr>
      <w:tr w:rsidR="00233D05" w:rsidRPr="00233D05" w14:paraId="0A7F0BBF" w14:textId="77777777" w:rsidTr="00233D05">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7E57A9A5"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nil"/>
              <w:right w:val="nil"/>
            </w:tcBorders>
            <w:shd w:val="clear" w:color="000000" w:fill="EDEDED"/>
            <w:noWrap/>
            <w:vAlign w:val="bottom"/>
            <w:hideMark/>
          </w:tcPr>
          <w:p w14:paraId="04140EBD"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Gross profit</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10861C7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1,835 </w:t>
            </w:r>
          </w:p>
        </w:tc>
        <w:tc>
          <w:tcPr>
            <w:tcW w:w="598" w:type="dxa"/>
            <w:tcBorders>
              <w:top w:val="single" w:sz="4" w:space="0" w:color="auto"/>
              <w:left w:val="nil"/>
              <w:bottom w:val="nil"/>
              <w:right w:val="nil"/>
            </w:tcBorders>
            <w:shd w:val="clear" w:color="000000" w:fill="EDEDED"/>
            <w:noWrap/>
            <w:vAlign w:val="center"/>
            <w:hideMark/>
          </w:tcPr>
          <w:p w14:paraId="03FDBBE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nil"/>
              <w:right w:val="nil"/>
            </w:tcBorders>
            <w:shd w:val="clear" w:color="000000" w:fill="EDEDED"/>
            <w:noWrap/>
            <w:vAlign w:val="center"/>
            <w:hideMark/>
          </w:tcPr>
          <w:p w14:paraId="381D22EB"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18 </w:t>
            </w:r>
          </w:p>
        </w:tc>
        <w:tc>
          <w:tcPr>
            <w:tcW w:w="598" w:type="dxa"/>
            <w:tcBorders>
              <w:top w:val="single" w:sz="4" w:space="0" w:color="auto"/>
              <w:left w:val="nil"/>
              <w:bottom w:val="nil"/>
              <w:right w:val="nil"/>
            </w:tcBorders>
            <w:shd w:val="clear" w:color="000000" w:fill="EDEDED"/>
            <w:noWrap/>
            <w:vAlign w:val="center"/>
            <w:hideMark/>
          </w:tcPr>
          <w:p w14:paraId="50D1611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960" w:type="dxa"/>
            <w:tcBorders>
              <w:top w:val="single" w:sz="4" w:space="0" w:color="auto"/>
              <w:left w:val="single" w:sz="8" w:space="0" w:color="auto"/>
              <w:bottom w:val="nil"/>
              <w:right w:val="single" w:sz="8" w:space="0" w:color="auto"/>
            </w:tcBorders>
            <w:shd w:val="clear" w:color="000000" w:fill="EDEDED"/>
            <w:noWrap/>
            <w:vAlign w:val="center"/>
            <w:hideMark/>
          </w:tcPr>
          <w:p w14:paraId="0B86B9C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1,854 </w:t>
            </w:r>
          </w:p>
        </w:tc>
        <w:tc>
          <w:tcPr>
            <w:tcW w:w="960" w:type="dxa"/>
            <w:tcBorders>
              <w:top w:val="single" w:sz="4" w:space="0" w:color="auto"/>
              <w:left w:val="nil"/>
              <w:bottom w:val="nil"/>
              <w:right w:val="nil"/>
            </w:tcBorders>
            <w:shd w:val="clear" w:color="000000" w:fill="D6DCE4"/>
            <w:noWrap/>
            <w:vAlign w:val="center"/>
            <w:hideMark/>
          </w:tcPr>
          <w:p w14:paraId="4A90C108"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1,453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2E4A3848"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nil"/>
              <w:right w:val="nil"/>
            </w:tcBorders>
            <w:shd w:val="clear" w:color="000000" w:fill="D6DCE4"/>
            <w:noWrap/>
            <w:vAlign w:val="center"/>
            <w:hideMark/>
          </w:tcPr>
          <w:p w14:paraId="705DFCF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1,493 </w:t>
            </w:r>
          </w:p>
        </w:tc>
        <w:tc>
          <w:tcPr>
            <w:tcW w:w="1020" w:type="dxa"/>
            <w:tcBorders>
              <w:top w:val="single" w:sz="4" w:space="0" w:color="auto"/>
              <w:left w:val="single" w:sz="8" w:space="0" w:color="auto"/>
              <w:bottom w:val="nil"/>
              <w:right w:val="single" w:sz="8" w:space="0" w:color="auto"/>
            </w:tcBorders>
            <w:shd w:val="clear" w:color="000000" w:fill="ACB9CA"/>
            <w:noWrap/>
            <w:vAlign w:val="center"/>
            <w:hideMark/>
          </w:tcPr>
          <w:p w14:paraId="60BE95A0"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2,946 </w:t>
            </w:r>
          </w:p>
        </w:tc>
      </w:tr>
      <w:tr w:rsidR="00233D05" w:rsidRPr="00233D05" w14:paraId="212A1659" w14:textId="77777777" w:rsidTr="00233D05">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46F25216"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nil"/>
              <w:left w:val="nil"/>
              <w:bottom w:val="nil"/>
              <w:right w:val="nil"/>
            </w:tcBorders>
            <w:shd w:val="clear" w:color="000000" w:fill="EDEDED"/>
            <w:noWrap/>
            <w:vAlign w:val="bottom"/>
            <w:hideMark/>
          </w:tcPr>
          <w:p w14:paraId="5943FC91" w14:textId="77777777" w:rsidR="00233D05" w:rsidRPr="00233D05" w:rsidRDefault="00233D05" w:rsidP="00233D05">
            <w:pPr>
              <w:rPr>
                <w:rFonts w:ascii="Calibri" w:hAnsi="Calibri" w:cs="Calibri"/>
                <w:color w:val="000000"/>
                <w:sz w:val="18"/>
                <w:szCs w:val="18"/>
                <w:lang w:eastAsia="en-GB"/>
              </w:rPr>
            </w:pPr>
            <w:r w:rsidRPr="00233D05">
              <w:rPr>
                <w:rFonts w:ascii="Calibri" w:hAnsi="Calibri" w:cs="Calibri"/>
                <w:color w:val="000000"/>
                <w:sz w:val="18"/>
                <w:szCs w:val="18"/>
                <w:lang w:eastAsia="en-GB"/>
              </w:rPr>
              <w:t>Total operating costs</w:t>
            </w:r>
          </w:p>
        </w:tc>
        <w:tc>
          <w:tcPr>
            <w:tcW w:w="960" w:type="dxa"/>
            <w:tcBorders>
              <w:top w:val="nil"/>
              <w:left w:val="single" w:sz="8" w:space="0" w:color="auto"/>
              <w:bottom w:val="nil"/>
              <w:right w:val="single" w:sz="8" w:space="0" w:color="auto"/>
            </w:tcBorders>
            <w:shd w:val="clear" w:color="000000" w:fill="EDEDED"/>
            <w:noWrap/>
            <w:vAlign w:val="center"/>
            <w:hideMark/>
          </w:tcPr>
          <w:p w14:paraId="203D3A11"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(914) </w:t>
            </w:r>
          </w:p>
        </w:tc>
        <w:tc>
          <w:tcPr>
            <w:tcW w:w="598" w:type="dxa"/>
            <w:tcBorders>
              <w:top w:val="nil"/>
              <w:left w:val="nil"/>
              <w:bottom w:val="nil"/>
              <w:right w:val="nil"/>
            </w:tcBorders>
            <w:shd w:val="clear" w:color="000000" w:fill="EDEDED"/>
            <w:noWrap/>
            <w:vAlign w:val="center"/>
            <w:hideMark/>
          </w:tcPr>
          <w:p w14:paraId="67E96D86"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 - </w:t>
            </w:r>
          </w:p>
        </w:tc>
        <w:tc>
          <w:tcPr>
            <w:tcW w:w="580" w:type="dxa"/>
            <w:tcBorders>
              <w:top w:val="nil"/>
              <w:left w:val="nil"/>
              <w:bottom w:val="nil"/>
              <w:right w:val="nil"/>
            </w:tcBorders>
            <w:shd w:val="clear" w:color="000000" w:fill="EDEDED"/>
            <w:noWrap/>
            <w:vAlign w:val="center"/>
            <w:hideMark/>
          </w:tcPr>
          <w:p w14:paraId="011B953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(18) </w:t>
            </w:r>
          </w:p>
        </w:tc>
        <w:tc>
          <w:tcPr>
            <w:tcW w:w="598" w:type="dxa"/>
            <w:tcBorders>
              <w:top w:val="nil"/>
              <w:left w:val="nil"/>
              <w:bottom w:val="nil"/>
              <w:right w:val="nil"/>
            </w:tcBorders>
            <w:shd w:val="clear" w:color="000000" w:fill="EDEDED"/>
            <w:noWrap/>
            <w:vAlign w:val="center"/>
            <w:hideMark/>
          </w:tcPr>
          <w:p w14:paraId="1A38D353"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(77) </w:t>
            </w:r>
          </w:p>
        </w:tc>
        <w:tc>
          <w:tcPr>
            <w:tcW w:w="960" w:type="dxa"/>
            <w:tcBorders>
              <w:top w:val="nil"/>
              <w:left w:val="single" w:sz="8" w:space="0" w:color="auto"/>
              <w:bottom w:val="nil"/>
              <w:right w:val="single" w:sz="8" w:space="0" w:color="auto"/>
            </w:tcBorders>
            <w:shd w:val="clear" w:color="000000" w:fill="EDEDED"/>
            <w:noWrap/>
            <w:vAlign w:val="center"/>
            <w:hideMark/>
          </w:tcPr>
          <w:p w14:paraId="110FD74C"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(1,010) </w:t>
            </w:r>
          </w:p>
        </w:tc>
        <w:tc>
          <w:tcPr>
            <w:tcW w:w="960" w:type="dxa"/>
            <w:tcBorders>
              <w:top w:val="nil"/>
              <w:left w:val="nil"/>
              <w:bottom w:val="nil"/>
              <w:right w:val="nil"/>
            </w:tcBorders>
            <w:shd w:val="clear" w:color="000000" w:fill="D6DCE4"/>
            <w:noWrap/>
            <w:vAlign w:val="center"/>
            <w:hideMark/>
          </w:tcPr>
          <w:p w14:paraId="27C329CF"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(790)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0527A5F5"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nil"/>
              <w:left w:val="nil"/>
              <w:bottom w:val="nil"/>
              <w:right w:val="nil"/>
            </w:tcBorders>
            <w:shd w:val="clear" w:color="000000" w:fill="D6DCE4"/>
            <w:noWrap/>
            <w:vAlign w:val="center"/>
            <w:hideMark/>
          </w:tcPr>
          <w:p w14:paraId="5D16693A"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(1,067) </w:t>
            </w:r>
          </w:p>
        </w:tc>
        <w:tc>
          <w:tcPr>
            <w:tcW w:w="1020" w:type="dxa"/>
            <w:tcBorders>
              <w:top w:val="nil"/>
              <w:left w:val="single" w:sz="8" w:space="0" w:color="auto"/>
              <w:bottom w:val="nil"/>
              <w:right w:val="single" w:sz="8" w:space="0" w:color="auto"/>
            </w:tcBorders>
            <w:shd w:val="clear" w:color="000000" w:fill="ACB9CA"/>
            <w:noWrap/>
            <w:vAlign w:val="center"/>
            <w:hideMark/>
          </w:tcPr>
          <w:p w14:paraId="3FCFC7A0" w14:textId="77777777" w:rsidR="00233D05" w:rsidRPr="00233D05" w:rsidRDefault="00233D05" w:rsidP="00233D05">
            <w:pPr>
              <w:jc w:val="right"/>
              <w:rPr>
                <w:rFonts w:ascii="Calibri" w:hAnsi="Calibri" w:cs="Calibri"/>
                <w:color w:val="000000"/>
                <w:sz w:val="18"/>
                <w:szCs w:val="18"/>
                <w:lang w:eastAsia="en-GB"/>
              </w:rPr>
            </w:pPr>
            <w:r w:rsidRPr="00233D05">
              <w:rPr>
                <w:rFonts w:ascii="Calibri" w:hAnsi="Calibri" w:cs="Calibri"/>
                <w:color w:val="000000"/>
                <w:sz w:val="18"/>
                <w:szCs w:val="18"/>
                <w:lang w:eastAsia="en-GB"/>
              </w:rPr>
              <w:t xml:space="preserve">(1,857) </w:t>
            </w:r>
          </w:p>
        </w:tc>
      </w:tr>
      <w:tr w:rsidR="00233D05" w:rsidRPr="00233D05" w14:paraId="2DCCEEA2" w14:textId="77777777" w:rsidTr="00233D05">
        <w:trPr>
          <w:trHeight w:val="214"/>
        </w:trPr>
        <w:tc>
          <w:tcPr>
            <w:tcW w:w="308" w:type="dxa"/>
            <w:vMerge/>
            <w:tcBorders>
              <w:top w:val="single" w:sz="4" w:space="0" w:color="auto"/>
              <w:left w:val="single" w:sz="8" w:space="0" w:color="auto"/>
              <w:bottom w:val="single" w:sz="4" w:space="0" w:color="000000"/>
              <w:right w:val="single" w:sz="4" w:space="0" w:color="auto"/>
            </w:tcBorders>
            <w:vAlign w:val="center"/>
            <w:hideMark/>
          </w:tcPr>
          <w:p w14:paraId="66A82A46" w14:textId="77777777" w:rsidR="00233D05" w:rsidRPr="00233D05" w:rsidRDefault="00233D05" w:rsidP="00233D05">
            <w:pPr>
              <w:rPr>
                <w:rFonts w:ascii="Calibri" w:hAnsi="Calibri" w:cs="Calibri"/>
                <w:b/>
                <w:bCs/>
                <w:color w:val="000000"/>
                <w:sz w:val="18"/>
                <w:szCs w:val="18"/>
                <w:lang w:eastAsia="en-GB"/>
              </w:rPr>
            </w:pPr>
          </w:p>
        </w:tc>
        <w:tc>
          <w:tcPr>
            <w:tcW w:w="1848" w:type="dxa"/>
            <w:tcBorders>
              <w:top w:val="single" w:sz="4" w:space="0" w:color="auto"/>
              <w:left w:val="nil"/>
              <w:bottom w:val="single" w:sz="4" w:space="0" w:color="auto"/>
              <w:right w:val="nil"/>
            </w:tcBorders>
            <w:shd w:val="clear" w:color="000000" w:fill="EDEDED"/>
            <w:noWrap/>
            <w:vAlign w:val="bottom"/>
            <w:hideMark/>
          </w:tcPr>
          <w:p w14:paraId="5C6AA661" w14:textId="77777777" w:rsidR="00233D05" w:rsidRPr="00233D05" w:rsidRDefault="00233D05" w:rsidP="00233D05">
            <w:pPr>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Adjusted EBITDA</w:t>
            </w:r>
          </w:p>
        </w:tc>
        <w:tc>
          <w:tcPr>
            <w:tcW w:w="960" w:type="dxa"/>
            <w:tcBorders>
              <w:top w:val="single" w:sz="4" w:space="0" w:color="auto"/>
              <w:left w:val="single" w:sz="8" w:space="0" w:color="auto"/>
              <w:bottom w:val="single" w:sz="4" w:space="0" w:color="auto"/>
              <w:right w:val="single" w:sz="8" w:space="0" w:color="auto"/>
            </w:tcBorders>
            <w:shd w:val="clear" w:color="000000" w:fill="EDEDED"/>
            <w:noWrap/>
            <w:vAlign w:val="center"/>
            <w:hideMark/>
          </w:tcPr>
          <w:p w14:paraId="027DC71C"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921 </w:t>
            </w:r>
          </w:p>
        </w:tc>
        <w:tc>
          <w:tcPr>
            <w:tcW w:w="598" w:type="dxa"/>
            <w:tcBorders>
              <w:top w:val="single" w:sz="4" w:space="0" w:color="auto"/>
              <w:left w:val="nil"/>
              <w:bottom w:val="single" w:sz="4" w:space="0" w:color="auto"/>
              <w:right w:val="nil"/>
            </w:tcBorders>
            <w:shd w:val="clear" w:color="000000" w:fill="EDEDED"/>
            <w:noWrap/>
            <w:vAlign w:val="center"/>
            <w:hideMark/>
          </w:tcPr>
          <w:p w14:paraId="2E4C37EB"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80" w:type="dxa"/>
            <w:tcBorders>
              <w:top w:val="single" w:sz="4" w:space="0" w:color="auto"/>
              <w:left w:val="nil"/>
              <w:bottom w:val="single" w:sz="4" w:space="0" w:color="auto"/>
              <w:right w:val="nil"/>
            </w:tcBorders>
            <w:shd w:val="clear" w:color="000000" w:fill="EDEDED"/>
            <w:noWrap/>
            <w:vAlign w:val="center"/>
            <w:hideMark/>
          </w:tcPr>
          <w:p w14:paraId="3D09F56F"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 </w:t>
            </w:r>
          </w:p>
        </w:tc>
        <w:tc>
          <w:tcPr>
            <w:tcW w:w="598" w:type="dxa"/>
            <w:tcBorders>
              <w:top w:val="single" w:sz="4" w:space="0" w:color="auto"/>
              <w:left w:val="nil"/>
              <w:bottom w:val="single" w:sz="4" w:space="0" w:color="auto"/>
              <w:right w:val="nil"/>
            </w:tcBorders>
            <w:shd w:val="clear" w:color="000000" w:fill="EDEDED"/>
            <w:noWrap/>
            <w:vAlign w:val="center"/>
            <w:hideMark/>
          </w:tcPr>
          <w:p w14:paraId="4219839B"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(77) </w:t>
            </w:r>
          </w:p>
        </w:tc>
        <w:tc>
          <w:tcPr>
            <w:tcW w:w="960" w:type="dxa"/>
            <w:tcBorders>
              <w:top w:val="single" w:sz="4" w:space="0" w:color="auto"/>
              <w:left w:val="single" w:sz="8" w:space="0" w:color="auto"/>
              <w:bottom w:val="single" w:sz="4" w:space="0" w:color="auto"/>
              <w:right w:val="single" w:sz="8" w:space="0" w:color="auto"/>
            </w:tcBorders>
            <w:shd w:val="clear" w:color="000000" w:fill="EDEDED"/>
            <w:noWrap/>
            <w:vAlign w:val="center"/>
            <w:hideMark/>
          </w:tcPr>
          <w:p w14:paraId="67DABACE"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844 </w:t>
            </w:r>
          </w:p>
        </w:tc>
        <w:tc>
          <w:tcPr>
            <w:tcW w:w="960" w:type="dxa"/>
            <w:tcBorders>
              <w:top w:val="single" w:sz="4" w:space="0" w:color="auto"/>
              <w:left w:val="nil"/>
              <w:bottom w:val="single" w:sz="4" w:space="0" w:color="auto"/>
              <w:right w:val="nil"/>
            </w:tcBorders>
            <w:shd w:val="clear" w:color="000000" w:fill="D6DCE4"/>
            <w:noWrap/>
            <w:vAlign w:val="center"/>
            <w:hideMark/>
          </w:tcPr>
          <w:p w14:paraId="4D3D6772"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663 </w:t>
            </w:r>
          </w:p>
        </w:tc>
        <w:tc>
          <w:tcPr>
            <w:tcW w:w="308" w:type="dxa"/>
            <w:vMerge/>
            <w:tcBorders>
              <w:top w:val="single" w:sz="4" w:space="0" w:color="auto"/>
              <w:left w:val="single" w:sz="4" w:space="0" w:color="auto"/>
              <w:bottom w:val="single" w:sz="4" w:space="0" w:color="000000"/>
              <w:right w:val="single" w:sz="4" w:space="0" w:color="auto"/>
            </w:tcBorders>
            <w:vAlign w:val="center"/>
            <w:hideMark/>
          </w:tcPr>
          <w:p w14:paraId="47B66EDC" w14:textId="77777777" w:rsidR="00233D05" w:rsidRPr="00233D05" w:rsidRDefault="00233D05" w:rsidP="00233D05">
            <w:pPr>
              <w:rPr>
                <w:rFonts w:ascii="Calibri" w:hAnsi="Calibri" w:cs="Calibri"/>
                <w:b/>
                <w:bCs/>
                <w:color w:val="000000"/>
                <w:sz w:val="18"/>
                <w:szCs w:val="18"/>
                <w:lang w:eastAsia="en-GB"/>
              </w:rPr>
            </w:pPr>
          </w:p>
        </w:tc>
        <w:tc>
          <w:tcPr>
            <w:tcW w:w="1020" w:type="dxa"/>
            <w:tcBorders>
              <w:top w:val="single" w:sz="4" w:space="0" w:color="auto"/>
              <w:left w:val="nil"/>
              <w:bottom w:val="single" w:sz="4" w:space="0" w:color="auto"/>
              <w:right w:val="nil"/>
            </w:tcBorders>
            <w:shd w:val="clear" w:color="000000" w:fill="D6DCE4"/>
            <w:noWrap/>
            <w:vAlign w:val="center"/>
            <w:hideMark/>
          </w:tcPr>
          <w:p w14:paraId="3CC7BDB9"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426 </w:t>
            </w:r>
          </w:p>
        </w:tc>
        <w:tc>
          <w:tcPr>
            <w:tcW w:w="1020" w:type="dxa"/>
            <w:tcBorders>
              <w:top w:val="single" w:sz="4" w:space="0" w:color="auto"/>
              <w:left w:val="single" w:sz="8" w:space="0" w:color="auto"/>
              <w:bottom w:val="single" w:sz="4" w:space="0" w:color="auto"/>
              <w:right w:val="single" w:sz="8" w:space="0" w:color="auto"/>
            </w:tcBorders>
            <w:shd w:val="clear" w:color="000000" w:fill="ACB9CA"/>
            <w:noWrap/>
            <w:vAlign w:val="center"/>
            <w:hideMark/>
          </w:tcPr>
          <w:p w14:paraId="55C626D7" w14:textId="77777777" w:rsidR="00233D05" w:rsidRPr="00233D05" w:rsidRDefault="00233D05" w:rsidP="00233D05">
            <w:pPr>
              <w:jc w:val="right"/>
              <w:rPr>
                <w:rFonts w:ascii="Calibri" w:hAnsi="Calibri" w:cs="Calibri"/>
                <w:b/>
                <w:bCs/>
                <w:color w:val="000000"/>
                <w:sz w:val="18"/>
                <w:szCs w:val="18"/>
                <w:lang w:eastAsia="en-GB"/>
              </w:rPr>
            </w:pPr>
            <w:r w:rsidRPr="00233D05">
              <w:rPr>
                <w:rFonts w:ascii="Calibri" w:hAnsi="Calibri" w:cs="Calibri"/>
                <w:b/>
                <w:bCs/>
                <w:color w:val="000000"/>
                <w:sz w:val="18"/>
                <w:szCs w:val="18"/>
                <w:lang w:eastAsia="en-GB"/>
              </w:rPr>
              <w:t xml:space="preserve"> 1,089 </w:t>
            </w:r>
          </w:p>
        </w:tc>
      </w:tr>
      <w:tr w:rsidR="00233D05" w:rsidRPr="00233D05" w14:paraId="137701A1" w14:textId="77777777" w:rsidTr="00233D05">
        <w:trPr>
          <w:trHeight w:val="34"/>
        </w:trPr>
        <w:tc>
          <w:tcPr>
            <w:tcW w:w="308" w:type="dxa"/>
            <w:tcBorders>
              <w:top w:val="nil"/>
              <w:left w:val="single" w:sz="8" w:space="0" w:color="auto"/>
              <w:bottom w:val="single" w:sz="8" w:space="0" w:color="auto"/>
              <w:right w:val="nil"/>
            </w:tcBorders>
            <w:shd w:val="clear" w:color="auto" w:fill="auto"/>
            <w:noWrap/>
            <w:vAlign w:val="center"/>
            <w:hideMark/>
          </w:tcPr>
          <w:p w14:paraId="29EB7F3D" w14:textId="77777777" w:rsidR="00233D05" w:rsidRPr="00233D05" w:rsidRDefault="00233D05" w:rsidP="00233D05">
            <w:pPr>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848" w:type="dxa"/>
            <w:tcBorders>
              <w:top w:val="nil"/>
              <w:left w:val="nil"/>
              <w:bottom w:val="single" w:sz="8" w:space="0" w:color="auto"/>
              <w:right w:val="nil"/>
            </w:tcBorders>
            <w:shd w:val="clear" w:color="auto" w:fill="auto"/>
            <w:noWrap/>
            <w:vAlign w:val="bottom"/>
            <w:hideMark/>
          </w:tcPr>
          <w:p w14:paraId="4A7D1E74" w14:textId="77777777" w:rsidR="00233D05" w:rsidRPr="00233D05" w:rsidRDefault="00233D05" w:rsidP="00233D05">
            <w:pPr>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D061312"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single" w:sz="8" w:space="0" w:color="auto"/>
              <w:right w:val="nil"/>
            </w:tcBorders>
            <w:shd w:val="clear" w:color="auto" w:fill="auto"/>
            <w:noWrap/>
            <w:vAlign w:val="bottom"/>
            <w:hideMark/>
          </w:tcPr>
          <w:p w14:paraId="2D166598"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80" w:type="dxa"/>
            <w:tcBorders>
              <w:top w:val="nil"/>
              <w:left w:val="nil"/>
              <w:bottom w:val="single" w:sz="8" w:space="0" w:color="auto"/>
              <w:right w:val="nil"/>
            </w:tcBorders>
            <w:shd w:val="clear" w:color="auto" w:fill="auto"/>
            <w:noWrap/>
            <w:vAlign w:val="bottom"/>
            <w:hideMark/>
          </w:tcPr>
          <w:p w14:paraId="4F4439B5"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598" w:type="dxa"/>
            <w:tcBorders>
              <w:top w:val="nil"/>
              <w:left w:val="nil"/>
              <w:bottom w:val="single" w:sz="8" w:space="0" w:color="auto"/>
              <w:right w:val="nil"/>
            </w:tcBorders>
            <w:shd w:val="clear" w:color="auto" w:fill="auto"/>
            <w:noWrap/>
            <w:vAlign w:val="bottom"/>
            <w:hideMark/>
          </w:tcPr>
          <w:p w14:paraId="0766A528"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7DA9F30"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960" w:type="dxa"/>
            <w:tcBorders>
              <w:top w:val="nil"/>
              <w:left w:val="nil"/>
              <w:bottom w:val="single" w:sz="8" w:space="0" w:color="auto"/>
              <w:right w:val="nil"/>
            </w:tcBorders>
            <w:shd w:val="clear" w:color="000000" w:fill="D6DCE4"/>
            <w:noWrap/>
            <w:vAlign w:val="bottom"/>
            <w:hideMark/>
          </w:tcPr>
          <w:p w14:paraId="6919BBFE"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308" w:type="dxa"/>
            <w:tcBorders>
              <w:top w:val="nil"/>
              <w:left w:val="nil"/>
              <w:bottom w:val="single" w:sz="8" w:space="0" w:color="auto"/>
              <w:right w:val="nil"/>
            </w:tcBorders>
            <w:shd w:val="clear" w:color="auto" w:fill="auto"/>
            <w:noWrap/>
            <w:vAlign w:val="center"/>
            <w:hideMark/>
          </w:tcPr>
          <w:p w14:paraId="1B4DEB06" w14:textId="77777777" w:rsidR="00233D05" w:rsidRPr="00233D05" w:rsidRDefault="00233D05" w:rsidP="00233D05">
            <w:pPr>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nil"/>
              <w:bottom w:val="single" w:sz="8" w:space="0" w:color="auto"/>
              <w:right w:val="nil"/>
            </w:tcBorders>
            <w:shd w:val="clear" w:color="000000" w:fill="D6DCE4"/>
            <w:noWrap/>
            <w:vAlign w:val="bottom"/>
            <w:hideMark/>
          </w:tcPr>
          <w:p w14:paraId="173E004D"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c>
          <w:tcPr>
            <w:tcW w:w="1020" w:type="dxa"/>
            <w:tcBorders>
              <w:top w:val="nil"/>
              <w:left w:val="single" w:sz="8" w:space="0" w:color="auto"/>
              <w:bottom w:val="single" w:sz="8" w:space="0" w:color="auto"/>
              <w:right w:val="single" w:sz="8" w:space="0" w:color="auto"/>
            </w:tcBorders>
            <w:shd w:val="clear" w:color="000000" w:fill="ACB9CA"/>
            <w:noWrap/>
            <w:vAlign w:val="bottom"/>
            <w:hideMark/>
          </w:tcPr>
          <w:p w14:paraId="409E4983" w14:textId="77777777" w:rsidR="00233D05" w:rsidRPr="00233D05" w:rsidRDefault="00233D05" w:rsidP="00233D05">
            <w:pPr>
              <w:jc w:val="right"/>
              <w:rPr>
                <w:rFonts w:ascii="Calibri" w:hAnsi="Calibri" w:cs="Calibri"/>
                <w:color w:val="000000"/>
                <w:sz w:val="2"/>
                <w:szCs w:val="2"/>
                <w:lang w:eastAsia="en-GB"/>
              </w:rPr>
            </w:pPr>
            <w:r w:rsidRPr="00233D05">
              <w:rPr>
                <w:rFonts w:ascii="Calibri" w:hAnsi="Calibri" w:cs="Calibri"/>
                <w:color w:val="000000"/>
                <w:sz w:val="2"/>
                <w:szCs w:val="2"/>
                <w:lang w:eastAsia="en-GB"/>
              </w:rPr>
              <w:t> </w:t>
            </w:r>
          </w:p>
        </w:tc>
      </w:tr>
    </w:tbl>
    <w:p w14:paraId="57864B90" w14:textId="77777777" w:rsidR="00670082" w:rsidRDefault="00670082" w:rsidP="00670082">
      <w:pPr>
        <w:rPr>
          <w:rFonts w:asciiTheme="minorHAnsi" w:hAnsiTheme="minorHAnsi"/>
          <w:sz w:val="20"/>
          <w:lang w:eastAsia="en-IE"/>
        </w:rPr>
      </w:pPr>
    </w:p>
    <w:p w14:paraId="560DB77E" w14:textId="77777777" w:rsidR="00670082" w:rsidRPr="00F017F3" w:rsidRDefault="00670082" w:rsidP="00670082">
      <w:pPr>
        <w:spacing w:after="80"/>
        <w:rPr>
          <w:rFonts w:asciiTheme="minorHAnsi" w:hAnsiTheme="minorHAnsi"/>
          <w:sz w:val="16"/>
          <w:szCs w:val="16"/>
          <w:lang w:eastAsia="en-IE"/>
        </w:rPr>
      </w:pPr>
    </w:p>
    <w:p w14:paraId="674530FE" w14:textId="77777777" w:rsidR="00670082" w:rsidRDefault="00670082" w:rsidP="00670082">
      <w:pPr>
        <w:rPr>
          <w:rFonts w:asciiTheme="minorHAnsi" w:hAnsiTheme="minorHAnsi"/>
          <w:b/>
          <w:sz w:val="20"/>
          <w:lang w:eastAsia="en-IE"/>
        </w:rPr>
      </w:pPr>
      <w:r>
        <w:rPr>
          <w:rFonts w:asciiTheme="minorHAnsi" w:hAnsiTheme="minorHAnsi"/>
          <w:b/>
          <w:sz w:val="20"/>
          <w:lang w:eastAsia="en-IE"/>
        </w:rPr>
        <w:br w:type="page"/>
      </w:r>
    </w:p>
    <w:p w14:paraId="64756068" w14:textId="77777777" w:rsidR="00670082" w:rsidRPr="00B51C38" w:rsidRDefault="00670082" w:rsidP="00670082">
      <w:pPr>
        <w:spacing w:after="120"/>
        <w:rPr>
          <w:rFonts w:asciiTheme="minorHAnsi" w:hAnsiTheme="minorHAnsi"/>
          <w:b/>
          <w:i/>
          <w:sz w:val="20"/>
        </w:rPr>
      </w:pPr>
      <w:r>
        <w:rPr>
          <w:rFonts w:asciiTheme="minorHAnsi" w:hAnsiTheme="minorHAnsi"/>
          <w:b/>
          <w:sz w:val="20"/>
          <w:lang w:eastAsia="en-IE"/>
        </w:rPr>
        <w:lastRenderedPageBreak/>
        <w:t>Appendix 4</w:t>
      </w:r>
      <w:r w:rsidRPr="00B51C38">
        <w:rPr>
          <w:rFonts w:asciiTheme="minorHAnsi" w:hAnsiTheme="minorHAnsi"/>
          <w:b/>
          <w:sz w:val="20"/>
          <w:lang w:eastAsia="en-IE"/>
        </w:rPr>
        <w:t xml:space="preserve">: Reconciliation of </w:t>
      </w:r>
      <w:r>
        <w:rPr>
          <w:rFonts w:asciiTheme="minorHAnsi" w:hAnsiTheme="minorHAnsi"/>
          <w:b/>
          <w:sz w:val="20"/>
          <w:lang w:eastAsia="en-IE"/>
        </w:rPr>
        <w:t>pro</w:t>
      </w:r>
      <w:r w:rsidR="00956296">
        <w:rPr>
          <w:rFonts w:asciiTheme="minorHAnsi" w:hAnsiTheme="minorHAnsi"/>
          <w:b/>
          <w:sz w:val="20"/>
          <w:lang w:eastAsia="en-IE"/>
        </w:rPr>
        <w:t xml:space="preserve"> </w:t>
      </w:r>
      <w:r>
        <w:rPr>
          <w:rFonts w:asciiTheme="minorHAnsi" w:hAnsiTheme="minorHAnsi"/>
          <w:b/>
          <w:sz w:val="20"/>
          <w:lang w:eastAsia="en-IE"/>
        </w:rPr>
        <w:t>forma results to Statutory results</w:t>
      </w:r>
    </w:p>
    <w:p w14:paraId="06005159" w14:textId="77777777" w:rsidR="00670082" w:rsidRDefault="00670082" w:rsidP="00D2298F">
      <w:pPr>
        <w:spacing w:after="240"/>
        <w:jc w:val="both"/>
        <w:rPr>
          <w:rFonts w:asciiTheme="minorHAnsi" w:hAnsiTheme="minorHAnsi"/>
          <w:sz w:val="20"/>
        </w:rPr>
      </w:pPr>
      <w:r w:rsidRPr="00843AC1">
        <w:rPr>
          <w:rFonts w:asciiTheme="minorHAnsi" w:hAnsiTheme="minorHAnsi"/>
          <w:sz w:val="20"/>
        </w:rPr>
        <w:t>The merger of Flutter and TSG completed on 5 May 2020, with the merger accounted for as an acquisition of TSG by Flutter on that date. The Statutory results reflect this accounting treatment. Pro</w:t>
      </w:r>
      <w:r w:rsidR="00956296">
        <w:rPr>
          <w:rFonts w:asciiTheme="minorHAnsi" w:hAnsiTheme="minorHAnsi"/>
          <w:sz w:val="20"/>
        </w:rPr>
        <w:t xml:space="preserve"> </w:t>
      </w:r>
      <w:r w:rsidRPr="00843AC1">
        <w:rPr>
          <w:rFonts w:asciiTheme="minorHAnsi" w:hAnsiTheme="minorHAnsi"/>
          <w:sz w:val="20"/>
        </w:rPr>
        <w:t xml:space="preserve">forma results for the Group are prepared as if Flutter and TSG had always been merged and are included in these Interim Results, as they best </w:t>
      </w:r>
      <w:r w:rsidR="00B16C7A">
        <w:rPr>
          <w:rFonts w:asciiTheme="minorHAnsi" w:hAnsiTheme="minorHAnsi"/>
          <w:sz w:val="20"/>
        </w:rPr>
        <w:t>represent</w:t>
      </w:r>
      <w:r w:rsidR="00B16C7A" w:rsidRPr="00843AC1">
        <w:rPr>
          <w:rFonts w:asciiTheme="minorHAnsi" w:hAnsiTheme="minorHAnsi"/>
          <w:sz w:val="20"/>
        </w:rPr>
        <w:t xml:space="preserve"> </w:t>
      </w:r>
      <w:r w:rsidRPr="00843AC1">
        <w:rPr>
          <w:rFonts w:asciiTheme="minorHAnsi" w:hAnsiTheme="minorHAnsi"/>
          <w:sz w:val="20"/>
        </w:rPr>
        <w:t xml:space="preserve">the </w:t>
      </w:r>
      <w:r w:rsidR="00B16C7A">
        <w:rPr>
          <w:rFonts w:asciiTheme="minorHAnsi" w:hAnsiTheme="minorHAnsi"/>
          <w:sz w:val="20"/>
        </w:rPr>
        <w:t xml:space="preserve">Group’s </w:t>
      </w:r>
      <w:r w:rsidRPr="00843AC1">
        <w:rPr>
          <w:rFonts w:asciiTheme="minorHAnsi" w:hAnsiTheme="minorHAnsi"/>
          <w:sz w:val="20"/>
        </w:rPr>
        <w:t xml:space="preserve">underlying </w:t>
      </w:r>
      <w:r w:rsidRPr="00AB3F2F">
        <w:rPr>
          <w:rFonts w:asciiTheme="minorHAnsi" w:hAnsiTheme="minorHAnsi"/>
          <w:sz w:val="20"/>
        </w:rPr>
        <w:t xml:space="preserve">performance. </w:t>
      </w:r>
      <w:r w:rsidRPr="00BB45F1">
        <w:rPr>
          <w:rFonts w:asciiTheme="minorHAnsi" w:hAnsiTheme="minorHAnsi"/>
          <w:sz w:val="20"/>
        </w:rPr>
        <w:t xml:space="preserve">The </w:t>
      </w:r>
      <w:r>
        <w:rPr>
          <w:rFonts w:asciiTheme="minorHAnsi" w:hAnsiTheme="minorHAnsi"/>
          <w:sz w:val="20"/>
        </w:rPr>
        <w:t xml:space="preserve">2019 </w:t>
      </w:r>
      <w:r w:rsidRPr="00BB45F1">
        <w:rPr>
          <w:rFonts w:asciiTheme="minorHAnsi" w:hAnsiTheme="minorHAnsi"/>
          <w:sz w:val="20"/>
        </w:rPr>
        <w:t xml:space="preserve">pro forma numbers </w:t>
      </w:r>
      <w:r>
        <w:rPr>
          <w:rFonts w:asciiTheme="minorHAnsi" w:hAnsiTheme="minorHAnsi"/>
          <w:sz w:val="20"/>
        </w:rPr>
        <w:t xml:space="preserve">also </w:t>
      </w:r>
      <w:r w:rsidRPr="00BB45F1">
        <w:rPr>
          <w:rFonts w:asciiTheme="minorHAnsi" w:hAnsiTheme="minorHAnsi"/>
          <w:sz w:val="20"/>
        </w:rPr>
        <w:t>include a 6-month contribution from Adjarabet in 2019</w:t>
      </w:r>
      <w:r w:rsidR="00B16C7A">
        <w:rPr>
          <w:rFonts w:asciiTheme="minorHAnsi" w:hAnsiTheme="minorHAnsi"/>
          <w:sz w:val="20"/>
        </w:rPr>
        <w:t xml:space="preserve">, completed on 1st </w:t>
      </w:r>
      <w:r w:rsidRPr="00BB45F1">
        <w:rPr>
          <w:rFonts w:asciiTheme="minorHAnsi" w:hAnsiTheme="minorHAnsi"/>
          <w:sz w:val="20"/>
        </w:rPr>
        <w:t>Feb 2019</w:t>
      </w:r>
      <w:r w:rsidR="00B16C7A">
        <w:rPr>
          <w:rFonts w:asciiTheme="minorHAnsi" w:hAnsiTheme="minorHAnsi"/>
          <w:sz w:val="20"/>
        </w:rPr>
        <w:t xml:space="preserve">.  </w:t>
      </w:r>
      <w:r w:rsidRPr="00AB3F2F">
        <w:rPr>
          <w:rFonts w:asciiTheme="minorHAnsi" w:hAnsiTheme="minorHAnsi"/>
          <w:sz w:val="20"/>
        </w:rPr>
        <w:t>The difference between the Statutory results and Pro</w:t>
      </w:r>
      <w:r w:rsidR="00956296">
        <w:rPr>
          <w:rFonts w:asciiTheme="minorHAnsi" w:hAnsiTheme="minorHAnsi"/>
          <w:sz w:val="20"/>
        </w:rPr>
        <w:t xml:space="preserve"> </w:t>
      </w:r>
      <w:r w:rsidRPr="00AB3F2F">
        <w:rPr>
          <w:rFonts w:asciiTheme="minorHAnsi" w:hAnsiTheme="minorHAnsi"/>
          <w:sz w:val="20"/>
        </w:rPr>
        <w:t>forma results is the results of TSG</w:t>
      </w:r>
      <w:r>
        <w:rPr>
          <w:rFonts w:asciiTheme="minorHAnsi" w:hAnsiTheme="minorHAnsi"/>
          <w:sz w:val="20"/>
        </w:rPr>
        <w:t xml:space="preserve"> and Adjarabet</w:t>
      </w:r>
      <w:r w:rsidRPr="00AB3F2F">
        <w:rPr>
          <w:rFonts w:asciiTheme="minorHAnsi" w:hAnsiTheme="minorHAnsi"/>
          <w:sz w:val="20"/>
        </w:rPr>
        <w:t xml:space="preserve"> in the period prior to completion as per the table below.</w:t>
      </w:r>
    </w:p>
    <w:tbl>
      <w:tblPr>
        <w:tblW w:w="8820" w:type="dxa"/>
        <w:tblLook w:val="04A0" w:firstRow="1" w:lastRow="0" w:firstColumn="1" w:lastColumn="0" w:noHBand="0" w:noVBand="1"/>
      </w:tblPr>
      <w:tblGrid>
        <w:gridCol w:w="3060"/>
        <w:gridCol w:w="960"/>
        <w:gridCol w:w="960"/>
        <w:gridCol w:w="960"/>
        <w:gridCol w:w="960"/>
        <w:gridCol w:w="960"/>
        <w:gridCol w:w="960"/>
      </w:tblGrid>
      <w:tr w:rsidR="00A61FA0" w:rsidRPr="00A61FA0" w14:paraId="2460720E" w14:textId="77777777" w:rsidTr="005F7FC8">
        <w:trPr>
          <w:trHeight w:val="809"/>
        </w:trPr>
        <w:tc>
          <w:tcPr>
            <w:tcW w:w="3060" w:type="dxa"/>
            <w:tcBorders>
              <w:top w:val="single" w:sz="8" w:space="0" w:color="auto"/>
              <w:left w:val="single" w:sz="8" w:space="0" w:color="auto"/>
              <w:bottom w:val="nil"/>
              <w:right w:val="nil"/>
            </w:tcBorders>
            <w:shd w:val="clear" w:color="auto" w:fill="auto"/>
            <w:noWrap/>
            <w:vAlign w:val="center"/>
            <w:hideMark/>
          </w:tcPr>
          <w:p w14:paraId="553D7575" w14:textId="77777777" w:rsidR="00A61FA0" w:rsidRPr="00A61FA0" w:rsidRDefault="00A61FA0" w:rsidP="00A61FA0">
            <w:pPr>
              <w:jc w:val="both"/>
              <w:rPr>
                <w:rFonts w:ascii="Calibri" w:hAnsi="Calibri" w:cs="Calibri"/>
                <w:b/>
                <w:bCs/>
                <w:sz w:val="20"/>
                <w:lang w:eastAsia="en-GB"/>
              </w:rPr>
            </w:pPr>
            <w:r w:rsidRPr="00A61FA0">
              <w:rPr>
                <w:rFonts w:ascii="Calibri" w:hAnsi="Calibri" w:cs="Calibri"/>
                <w:b/>
                <w:bCs/>
                <w:sz w:val="20"/>
                <w:lang w:eastAsia="en-GB"/>
              </w:rPr>
              <w:t> </w:t>
            </w:r>
          </w:p>
        </w:tc>
        <w:tc>
          <w:tcPr>
            <w:tcW w:w="1920" w:type="dxa"/>
            <w:gridSpan w:val="2"/>
            <w:tcBorders>
              <w:top w:val="single" w:sz="8" w:space="0" w:color="auto"/>
              <w:left w:val="single" w:sz="8" w:space="0" w:color="auto"/>
              <w:bottom w:val="nil"/>
              <w:right w:val="single" w:sz="8" w:space="0" w:color="000000"/>
            </w:tcBorders>
            <w:shd w:val="clear" w:color="000000" w:fill="F2F2F2"/>
            <w:noWrap/>
            <w:vAlign w:val="center"/>
            <w:hideMark/>
          </w:tcPr>
          <w:p w14:paraId="31CFF733" w14:textId="77777777" w:rsidR="00A61FA0" w:rsidRPr="00A61FA0" w:rsidRDefault="00A61FA0" w:rsidP="00A61FA0">
            <w:pPr>
              <w:jc w:val="center"/>
              <w:rPr>
                <w:rFonts w:ascii="Calibri" w:hAnsi="Calibri" w:cs="Calibri"/>
                <w:b/>
                <w:bCs/>
                <w:color w:val="000000"/>
                <w:sz w:val="20"/>
                <w:lang w:eastAsia="en-GB"/>
              </w:rPr>
            </w:pPr>
            <w:r w:rsidRPr="00A61FA0">
              <w:rPr>
                <w:rFonts w:ascii="Calibri" w:hAnsi="Calibri" w:cs="Calibri"/>
                <w:b/>
                <w:bCs/>
                <w:color w:val="000000"/>
                <w:sz w:val="20"/>
                <w:lang w:eastAsia="en-GB"/>
              </w:rPr>
              <w:t>Pro forma results</w:t>
            </w:r>
          </w:p>
        </w:tc>
        <w:tc>
          <w:tcPr>
            <w:tcW w:w="1920" w:type="dxa"/>
            <w:gridSpan w:val="2"/>
            <w:tcBorders>
              <w:top w:val="single" w:sz="8" w:space="0" w:color="auto"/>
              <w:left w:val="nil"/>
              <w:bottom w:val="nil"/>
              <w:right w:val="nil"/>
            </w:tcBorders>
            <w:shd w:val="clear" w:color="auto" w:fill="auto"/>
            <w:vAlign w:val="center"/>
            <w:hideMark/>
          </w:tcPr>
          <w:p w14:paraId="124B365F" w14:textId="77777777" w:rsidR="00A61FA0" w:rsidRPr="00A61FA0" w:rsidRDefault="00A61FA0" w:rsidP="00A61FA0">
            <w:pPr>
              <w:jc w:val="center"/>
              <w:rPr>
                <w:rFonts w:ascii="Calibri" w:hAnsi="Calibri" w:cs="Calibri"/>
                <w:b/>
                <w:bCs/>
                <w:color w:val="000000"/>
                <w:sz w:val="20"/>
                <w:lang w:eastAsia="en-GB"/>
              </w:rPr>
            </w:pPr>
            <w:r w:rsidRPr="00A61FA0">
              <w:rPr>
                <w:rFonts w:ascii="Calibri" w:hAnsi="Calibri" w:cs="Calibri"/>
                <w:b/>
                <w:bCs/>
                <w:color w:val="000000"/>
                <w:sz w:val="20"/>
                <w:lang w:eastAsia="en-GB"/>
              </w:rPr>
              <w:t>TSG &amp; Adjarabet results pre-merger completion*</w:t>
            </w:r>
          </w:p>
        </w:tc>
        <w:tc>
          <w:tcPr>
            <w:tcW w:w="1920" w:type="dxa"/>
            <w:gridSpan w:val="2"/>
            <w:tcBorders>
              <w:top w:val="single" w:sz="8" w:space="0" w:color="auto"/>
              <w:left w:val="single" w:sz="8" w:space="0" w:color="auto"/>
              <w:bottom w:val="nil"/>
              <w:right w:val="single" w:sz="8" w:space="0" w:color="000000"/>
            </w:tcBorders>
            <w:shd w:val="clear" w:color="000000" w:fill="F2F2F2"/>
            <w:noWrap/>
            <w:vAlign w:val="center"/>
            <w:hideMark/>
          </w:tcPr>
          <w:p w14:paraId="6A71A1FE" w14:textId="77777777" w:rsidR="00A61FA0" w:rsidRPr="00A61FA0" w:rsidRDefault="00A61FA0" w:rsidP="00A61FA0">
            <w:pPr>
              <w:jc w:val="center"/>
              <w:rPr>
                <w:rFonts w:ascii="Calibri" w:hAnsi="Calibri" w:cs="Calibri"/>
                <w:b/>
                <w:bCs/>
                <w:color w:val="000000"/>
                <w:sz w:val="20"/>
                <w:lang w:eastAsia="en-GB"/>
              </w:rPr>
            </w:pPr>
            <w:r w:rsidRPr="00A61FA0">
              <w:rPr>
                <w:rFonts w:ascii="Calibri" w:hAnsi="Calibri" w:cs="Calibri"/>
                <w:b/>
                <w:bCs/>
                <w:color w:val="000000"/>
                <w:sz w:val="20"/>
                <w:lang w:eastAsia="en-GB"/>
              </w:rPr>
              <w:t>Statutory results</w:t>
            </w:r>
          </w:p>
        </w:tc>
      </w:tr>
      <w:tr w:rsidR="00A61FA0" w:rsidRPr="00A61FA0" w14:paraId="73FDD2E1"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23044254" w14:textId="77777777" w:rsidR="00A61FA0" w:rsidRPr="00A61FA0" w:rsidRDefault="00A61FA0" w:rsidP="00A61FA0">
            <w:pPr>
              <w:jc w:val="both"/>
              <w:rPr>
                <w:rFonts w:ascii="Calibri" w:hAnsi="Calibri" w:cs="Calibri"/>
                <w:b/>
                <w:bCs/>
                <w:sz w:val="20"/>
                <w:lang w:eastAsia="en-GB"/>
              </w:rPr>
            </w:pPr>
            <w:r w:rsidRPr="00A61FA0">
              <w:rPr>
                <w:rFonts w:ascii="Calibri" w:hAnsi="Calibri" w:cs="Calibri"/>
                <w:b/>
                <w:bCs/>
                <w:sz w:val="20"/>
                <w:lang w:eastAsia="en-GB"/>
              </w:rPr>
              <w:t> </w:t>
            </w:r>
          </w:p>
        </w:tc>
        <w:tc>
          <w:tcPr>
            <w:tcW w:w="960" w:type="dxa"/>
            <w:tcBorders>
              <w:top w:val="nil"/>
              <w:left w:val="single" w:sz="8" w:space="0" w:color="auto"/>
              <w:bottom w:val="nil"/>
              <w:right w:val="nil"/>
            </w:tcBorders>
            <w:shd w:val="clear" w:color="000000" w:fill="F2F2F2"/>
            <w:noWrap/>
            <w:vAlign w:val="center"/>
            <w:hideMark/>
          </w:tcPr>
          <w:p w14:paraId="75714FAD"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960" w:type="dxa"/>
            <w:tcBorders>
              <w:top w:val="nil"/>
              <w:left w:val="nil"/>
              <w:bottom w:val="nil"/>
              <w:right w:val="single" w:sz="8" w:space="0" w:color="auto"/>
            </w:tcBorders>
            <w:shd w:val="clear" w:color="000000" w:fill="F2F2F2"/>
            <w:noWrap/>
            <w:vAlign w:val="center"/>
            <w:hideMark/>
          </w:tcPr>
          <w:p w14:paraId="170AA4C6"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960" w:type="dxa"/>
            <w:tcBorders>
              <w:top w:val="nil"/>
              <w:left w:val="nil"/>
              <w:bottom w:val="nil"/>
              <w:right w:val="nil"/>
            </w:tcBorders>
            <w:shd w:val="clear" w:color="auto" w:fill="auto"/>
            <w:noWrap/>
            <w:vAlign w:val="center"/>
            <w:hideMark/>
          </w:tcPr>
          <w:p w14:paraId="0E5FFC66"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960" w:type="dxa"/>
            <w:tcBorders>
              <w:top w:val="nil"/>
              <w:left w:val="nil"/>
              <w:bottom w:val="nil"/>
              <w:right w:val="nil"/>
            </w:tcBorders>
            <w:shd w:val="clear" w:color="auto" w:fill="auto"/>
            <w:noWrap/>
            <w:vAlign w:val="center"/>
            <w:hideMark/>
          </w:tcPr>
          <w:p w14:paraId="13629EF0"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960" w:type="dxa"/>
            <w:tcBorders>
              <w:top w:val="nil"/>
              <w:left w:val="single" w:sz="8" w:space="0" w:color="auto"/>
              <w:bottom w:val="nil"/>
              <w:right w:val="nil"/>
            </w:tcBorders>
            <w:shd w:val="clear" w:color="000000" w:fill="F2F2F2"/>
            <w:noWrap/>
            <w:vAlign w:val="center"/>
            <w:hideMark/>
          </w:tcPr>
          <w:p w14:paraId="49781469"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960" w:type="dxa"/>
            <w:tcBorders>
              <w:top w:val="nil"/>
              <w:left w:val="nil"/>
              <w:bottom w:val="nil"/>
              <w:right w:val="single" w:sz="8" w:space="0" w:color="auto"/>
            </w:tcBorders>
            <w:shd w:val="clear" w:color="000000" w:fill="F2F2F2"/>
            <w:noWrap/>
            <w:vAlign w:val="center"/>
            <w:hideMark/>
          </w:tcPr>
          <w:p w14:paraId="1EB3D4F7"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r>
      <w:tr w:rsidR="00A61FA0" w:rsidRPr="00A61FA0" w14:paraId="36810DFA" w14:textId="77777777" w:rsidTr="005F7FC8">
        <w:trPr>
          <w:trHeight w:val="263"/>
        </w:trPr>
        <w:tc>
          <w:tcPr>
            <w:tcW w:w="3060" w:type="dxa"/>
            <w:tcBorders>
              <w:top w:val="nil"/>
              <w:left w:val="single" w:sz="8" w:space="0" w:color="auto"/>
              <w:bottom w:val="single" w:sz="8" w:space="0" w:color="auto"/>
              <w:right w:val="nil"/>
            </w:tcBorders>
            <w:shd w:val="clear" w:color="auto" w:fill="auto"/>
            <w:hideMark/>
          </w:tcPr>
          <w:p w14:paraId="6B90090E" w14:textId="77777777" w:rsidR="00A61FA0" w:rsidRPr="00A61FA0" w:rsidRDefault="00A61FA0" w:rsidP="00A61FA0">
            <w:pPr>
              <w:rPr>
                <w:rFonts w:ascii="Calibri" w:hAnsi="Calibri" w:cs="Calibri"/>
                <w:b/>
                <w:bCs/>
                <w:color w:val="000000"/>
                <w:sz w:val="20"/>
                <w:lang w:eastAsia="en-GB"/>
              </w:rPr>
            </w:pPr>
            <w:r w:rsidRPr="00A61FA0">
              <w:rPr>
                <w:rFonts w:ascii="Calibri" w:hAnsi="Calibri" w:cs="Calibri"/>
                <w:b/>
                <w:bCs/>
                <w:color w:val="000000"/>
                <w:sz w:val="20"/>
                <w:lang w:eastAsia="en-GB"/>
              </w:rPr>
              <w:t>£m</w:t>
            </w:r>
          </w:p>
        </w:tc>
        <w:tc>
          <w:tcPr>
            <w:tcW w:w="960" w:type="dxa"/>
            <w:tcBorders>
              <w:top w:val="nil"/>
              <w:left w:val="single" w:sz="8" w:space="0" w:color="auto"/>
              <w:bottom w:val="single" w:sz="8" w:space="0" w:color="auto"/>
              <w:right w:val="nil"/>
            </w:tcBorders>
            <w:shd w:val="clear" w:color="000000" w:fill="F2F2F2"/>
            <w:noWrap/>
            <w:vAlign w:val="center"/>
            <w:hideMark/>
          </w:tcPr>
          <w:p w14:paraId="0FB86017"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2020</w:t>
            </w:r>
          </w:p>
        </w:tc>
        <w:tc>
          <w:tcPr>
            <w:tcW w:w="960" w:type="dxa"/>
            <w:tcBorders>
              <w:top w:val="nil"/>
              <w:left w:val="nil"/>
              <w:bottom w:val="single" w:sz="8" w:space="0" w:color="auto"/>
              <w:right w:val="single" w:sz="8" w:space="0" w:color="auto"/>
            </w:tcBorders>
            <w:shd w:val="clear" w:color="000000" w:fill="F2F2F2"/>
            <w:noWrap/>
            <w:vAlign w:val="center"/>
            <w:hideMark/>
          </w:tcPr>
          <w:p w14:paraId="2F4B0B87"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2019</w:t>
            </w:r>
          </w:p>
        </w:tc>
        <w:tc>
          <w:tcPr>
            <w:tcW w:w="960" w:type="dxa"/>
            <w:tcBorders>
              <w:top w:val="nil"/>
              <w:left w:val="nil"/>
              <w:bottom w:val="single" w:sz="8" w:space="0" w:color="auto"/>
              <w:right w:val="nil"/>
            </w:tcBorders>
            <w:shd w:val="clear" w:color="auto" w:fill="auto"/>
            <w:noWrap/>
            <w:vAlign w:val="center"/>
            <w:hideMark/>
          </w:tcPr>
          <w:p w14:paraId="6D060438"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2020</w:t>
            </w:r>
          </w:p>
        </w:tc>
        <w:tc>
          <w:tcPr>
            <w:tcW w:w="960" w:type="dxa"/>
            <w:tcBorders>
              <w:top w:val="nil"/>
              <w:left w:val="nil"/>
              <w:bottom w:val="single" w:sz="8" w:space="0" w:color="auto"/>
              <w:right w:val="nil"/>
            </w:tcBorders>
            <w:shd w:val="clear" w:color="auto" w:fill="auto"/>
            <w:noWrap/>
            <w:vAlign w:val="center"/>
            <w:hideMark/>
          </w:tcPr>
          <w:p w14:paraId="1ADCD1CE"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2019</w:t>
            </w:r>
          </w:p>
        </w:tc>
        <w:tc>
          <w:tcPr>
            <w:tcW w:w="960" w:type="dxa"/>
            <w:tcBorders>
              <w:top w:val="nil"/>
              <w:left w:val="single" w:sz="8" w:space="0" w:color="auto"/>
              <w:bottom w:val="single" w:sz="8" w:space="0" w:color="auto"/>
              <w:right w:val="nil"/>
            </w:tcBorders>
            <w:shd w:val="clear" w:color="000000" w:fill="F2F2F2"/>
            <w:noWrap/>
            <w:vAlign w:val="center"/>
            <w:hideMark/>
          </w:tcPr>
          <w:p w14:paraId="2469903F"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2020</w:t>
            </w:r>
          </w:p>
        </w:tc>
        <w:tc>
          <w:tcPr>
            <w:tcW w:w="960" w:type="dxa"/>
            <w:tcBorders>
              <w:top w:val="nil"/>
              <w:left w:val="nil"/>
              <w:bottom w:val="single" w:sz="8" w:space="0" w:color="auto"/>
              <w:right w:val="single" w:sz="8" w:space="0" w:color="auto"/>
            </w:tcBorders>
            <w:shd w:val="clear" w:color="000000" w:fill="F2F2F2"/>
            <w:noWrap/>
            <w:vAlign w:val="center"/>
            <w:hideMark/>
          </w:tcPr>
          <w:p w14:paraId="00CF9483"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2019</w:t>
            </w:r>
          </w:p>
        </w:tc>
      </w:tr>
      <w:tr w:rsidR="00A61FA0" w:rsidRPr="00A61FA0" w14:paraId="61FCDDAB"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100205FE" w14:textId="77777777" w:rsidR="00A61FA0" w:rsidRPr="00A61FA0" w:rsidRDefault="00A61FA0" w:rsidP="00A61FA0">
            <w:pPr>
              <w:jc w:val="both"/>
              <w:rPr>
                <w:rFonts w:ascii="Calibri" w:hAnsi="Calibri" w:cs="Calibri"/>
                <w:b/>
                <w:bCs/>
                <w:color w:val="FF0000"/>
                <w:sz w:val="2"/>
                <w:szCs w:val="2"/>
                <w:lang w:eastAsia="en-GB"/>
              </w:rPr>
            </w:pPr>
            <w:r w:rsidRPr="00A61FA0">
              <w:rPr>
                <w:rFonts w:ascii="Calibri" w:hAnsi="Calibri" w:cs="Calibri"/>
                <w:b/>
                <w:bCs/>
                <w:color w:val="FF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38AC9BDE"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50E46F23"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960" w:type="dxa"/>
            <w:tcBorders>
              <w:top w:val="nil"/>
              <w:left w:val="nil"/>
              <w:bottom w:val="nil"/>
              <w:right w:val="nil"/>
            </w:tcBorders>
            <w:shd w:val="clear" w:color="auto" w:fill="auto"/>
            <w:noWrap/>
            <w:vAlign w:val="center"/>
            <w:hideMark/>
          </w:tcPr>
          <w:p w14:paraId="6688633C" w14:textId="77777777" w:rsidR="00A61FA0" w:rsidRPr="00A61FA0" w:rsidRDefault="00A61FA0" w:rsidP="00A61FA0">
            <w:pPr>
              <w:jc w:val="right"/>
              <w:rPr>
                <w:rFonts w:ascii="Calibri" w:hAnsi="Calibri" w:cs="Calibri"/>
                <w:b/>
                <w:bCs/>
                <w:color w:val="000000"/>
                <w:sz w:val="2"/>
                <w:szCs w:val="2"/>
                <w:lang w:eastAsia="en-GB"/>
              </w:rPr>
            </w:pPr>
          </w:p>
        </w:tc>
        <w:tc>
          <w:tcPr>
            <w:tcW w:w="960" w:type="dxa"/>
            <w:tcBorders>
              <w:top w:val="nil"/>
              <w:left w:val="nil"/>
              <w:bottom w:val="nil"/>
              <w:right w:val="nil"/>
            </w:tcBorders>
            <w:shd w:val="clear" w:color="auto" w:fill="auto"/>
            <w:noWrap/>
            <w:vAlign w:val="center"/>
            <w:hideMark/>
          </w:tcPr>
          <w:p w14:paraId="1953E69E" w14:textId="77777777" w:rsidR="00A61FA0" w:rsidRPr="00A61FA0" w:rsidRDefault="00A61FA0" w:rsidP="00A61FA0">
            <w:pPr>
              <w:jc w:val="right"/>
              <w:rPr>
                <w:rFonts w:ascii="Times New Roman" w:hAnsi="Times New Roman"/>
                <w:sz w:val="20"/>
                <w:lang w:eastAsia="en-GB"/>
              </w:rPr>
            </w:pPr>
          </w:p>
        </w:tc>
        <w:tc>
          <w:tcPr>
            <w:tcW w:w="960" w:type="dxa"/>
            <w:tcBorders>
              <w:top w:val="nil"/>
              <w:left w:val="single" w:sz="8" w:space="0" w:color="auto"/>
              <w:bottom w:val="nil"/>
              <w:right w:val="nil"/>
            </w:tcBorders>
            <w:shd w:val="clear" w:color="000000" w:fill="F2F2F2"/>
            <w:noWrap/>
            <w:vAlign w:val="center"/>
            <w:hideMark/>
          </w:tcPr>
          <w:p w14:paraId="42C2EB81"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4AD17EDE"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r>
      <w:tr w:rsidR="00A61FA0" w:rsidRPr="00A61FA0" w14:paraId="584F3F6F"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3CD0CCDA"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Sports revenue</w:t>
            </w:r>
          </w:p>
        </w:tc>
        <w:tc>
          <w:tcPr>
            <w:tcW w:w="960" w:type="dxa"/>
            <w:tcBorders>
              <w:top w:val="nil"/>
              <w:left w:val="single" w:sz="8" w:space="0" w:color="auto"/>
              <w:bottom w:val="nil"/>
              <w:right w:val="nil"/>
            </w:tcBorders>
            <w:shd w:val="clear" w:color="000000" w:fill="F2F2F2"/>
            <w:noWrap/>
            <w:vAlign w:val="center"/>
            <w:hideMark/>
          </w:tcPr>
          <w:p w14:paraId="314F97F8"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1,199</w:t>
            </w:r>
          </w:p>
        </w:tc>
        <w:tc>
          <w:tcPr>
            <w:tcW w:w="960" w:type="dxa"/>
            <w:tcBorders>
              <w:top w:val="nil"/>
              <w:left w:val="nil"/>
              <w:bottom w:val="nil"/>
              <w:right w:val="single" w:sz="8" w:space="0" w:color="auto"/>
            </w:tcBorders>
            <w:shd w:val="clear" w:color="000000" w:fill="F2F2F2"/>
            <w:noWrap/>
            <w:vAlign w:val="center"/>
            <w:hideMark/>
          </w:tcPr>
          <w:p w14:paraId="5585D797"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1,117</w:t>
            </w:r>
          </w:p>
        </w:tc>
        <w:tc>
          <w:tcPr>
            <w:tcW w:w="960" w:type="dxa"/>
            <w:tcBorders>
              <w:top w:val="nil"/>
              <w:left w:val="nil"/>
              <w:bottom w:val="nil"/>
              <w:right w:val="nil"/>
            </w:tcBorders>
            <w:shd w:val="clear" w:color="auto" w:fill="auto"/>
            <w:noWrap/>
            <w:vAlign w:val="center"/>
            <w:hideMark/>
          </w:tcPr>
          <w:p w14:paraId="0AAC952C"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275</w:t>
            </w:r>
          </w:p>
        </w:tc>
        <w:tc>
          <w:tcPr>
            <w:tcW w:w="960" w:type="dxa"/>
            <w:tcBorders>
              <w:top w:val="nil"/>
              <w:left w:val="nil"/>
              <w:bottom w:val="nil"/>
              <w:right w:val="single" w:sz="8" w:space="0" w:color="auto"/>
            </w:tcBorders>
            <w:shd w:val="clear" w:color="auto" w:fill="auto"/>
            <w:noWrap/>
            <w:vAlign w:val="center"/>
            <w:hideMark/>
          </w:tcPr>
          <w:p w14:paraId="19E3803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323</w:t>
            </w:r>
          </w:p>
        </w:tc>
        <w:tc>
          <w:tcPr>
            <w:tcW w:w="960" w:type="dxa"/>
            <w:tcBorders>
              <w:top w:val="nil"/>
              <w:left w:val="nil"/>
              <w:bottom w:val="nil"/>
              <w:right w:val="nil"/>
            </w:tcBorders>
            <w:shd w:val="clear" w:color="000000" w:fill="F2F2F2"/>
            <w:noWrap/>
            <w:vAlign w:val="center"/>
            <w:hideMark/>
          </w:tcPr>
          <w:p w14:paraId="47BB9A66"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924</w:t>
            </w:r>
          </w:p>
        </w:tc>
        <w:tc>
          <w:tcPr>
            <w:tcW w:w="960" w:type="dxa"/>
            <w:tcBorders>
              <w:top w:val="nil"/>
              <w:left w:val="nil"/>
              <w:bottom w:val="nil"/>
              <w:right w:val="single" w:sz="8" w:space="0" w:color="auto"/>
            </w:tcBorders>
            <w:shd w:val="clear" w:color="000000" w:fill="F2F2F2"/>
            <w:noWrap/>
            <w:vAlign w:val="center"/>
            <w:hideMark/>
          </w:tcPr>
          <w:p w14:paraId="031F06A9" w14:textId="77777777" w:rsidR="00A61FA0" w:rsidRPr="00A61FA0" w:rsidRDefault="00A61FA0" w:rsidP="00A61FA0">
            <w:pPr>
              <w:jc w:val="right"/>
              <w:rPr>
                <w:rFonts w:ascii="Calibri" w:hAnsi="Calibri" w:cs="Calibri"/>
                <w:color w:val="000000"/>
                <w:sz w:val="20"/>
                <w:lang w:eastAsia="en-GB"/>
              </w:rPr>
            </w:pPr>
            <w:r w:rsidRPr="00A61FA0">
              <w:rPr>
                <w:rFonts w:ascii="Calibri" w:hAnsi="Calibri" w:cs="Calibri"/>
                <w:color w:val="000000"/>
                <w:sz w:val="20"/>
                <w:lang w:eastAsia="en-GB"/>
              </w:rPr>
              <w:t>794</w:t>
            </w:r>
          </w:p>
        </w:tc>
      </w:tr>
      <w:tr w:rsidR="00A61FA0" w:rsidRPr="00A61FA0" w14:paraId="6AB7DA61"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73416E73"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Gaming revenue</w:t>
            </w:r>
          </w:p>
        </w:tc>
        <w:tc>
          <w:tcPr>
            <w:tcW w:w="960" w:type="dxa"/>
            <w:tcBorders>
              <w:top w:val="nil"/>
              <w:left w:val="single" w:sz="8" w:space="0" w:color="auto"/>
              <w:bottom w:val="single" w:sz="8" w:space="0" w:color="auto"/>
              <w:right w:val="nil"/>
            </w:tcBorders>
            <w:shd w:val="clear" w:color="000000" w:fill="F2F2F2"/>
            <w:noWrap/>
            <w:vAlign w:val="center"/>
            <w:hideMark/>
          </w:tcPr>
          <w:p w14:paraId="30371C8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1,190</w:t>
            </w:r>
          </w:p>
        </w:tc>
        <w:tc>
          <w:tcPr>
            <w:tcW w:w="960" w:type="dxa"/>
            <w:tcBorders>
              <w:top w:val="nil"/>
              <w:left w:val="nil"/>
              <w:bottom w:val="single" w:sz="8" w:space="0" w:color="auto"/>
              <w:right w:val="single" w:sz="8" w:space="0" w:color="auto"/>
            </w:tcBorders>
            <w:shd w:val="clear" w:color="000000" w:fill="F2F2F2"/>
            <w:noWrap/>
            <w:vAlign w:val="center"/>
            <w:hideMark/>
          </w:tcPr>
          <w:p w14:paraId="4D4F20EB"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858</w:t>
            </w:r>
          </w:p>
        </w:tc>
        <w:tc>
          <w:tcPr>
            <w:tcW w:w="960" w:type="dxa"/>
            <w:tcBorders>
              <w:top w:val="nil"/>
              <w:left w:val="nil"/>
              <w:bottom w:val="single" w:sz="8" w:space="0" w:color="auto"/>
              <w:right w:val="nil"/>
            </w:tcBorders>
            <w:shd w:val="clear" w:color="auto" w:fill="auto"/>
            <w:noWrap/>
            <w:vAlign w:val="center"/>
            <w:hideMark/>
          </w:tcPr>
          <w:p w14:paraId="6FAEAD16"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592</w:t>
            </w:r>
          </w:p>
        </w:tc>
        <w:tc>
          <w:tcPr>
            <w:tcW w:w="960" w:type="dxa"/>
            <w:tcBorders>
              <w:top w:val="nil"/>
              <w:left w:val="nil"/>
              <w:bottom w:val="single" w:sz="8" w:space="0" w:color="auto"/>
              <w:right w:val="single" w:sz="8" w:space="0" w:color="auto"/>
            </w:tcBorders>
            <w:shd w:val="clear" w:color="auto" w:fill="auto"/>
            <w:noWrap/>
            <w:vAlign w:val="center"/>
            <w:hideMark/>
          </w:tcPr>
          <w:p w14:paraId="1B331D68"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633</w:t>
            </w:r>
          </w:p>
        </w:tc>
        <w:tc>
          <w:tcPr>
            <w:tcW w:w="960" w:type="dxa"/>
            <w:tcBorders>
              <w:top w:val="nil"/>
              <w:left w:val="nil"/>
              <w:bottom w:val="single" w:sz="8" w:space="0" w:color="auto"/>
              <w:right w:val="nil"/>
            </w:tcBorders>
            <w:shd w:val="clear" w:color="000000" w:fill="F2F2F2"/>
            <w:noWrap/>
            <w:vAlign w:val="center"/>
            <w:hideMark/>
          </w:tcPr>
          <w:p w14:paraId="12FBCE5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598</w:t>
            </w:r>
          </w:p>
        </w:tc>
        <w:tc>
          <w:tcPr>
            <w:tcW w:w="960" w:type="dxa"/>
            <w:tcBorders>
              <w:top w:val="nil"/>
              <w:left w:val="nil"/>
              <w:bottom w:val="single" w:sz="8" w:space="0" w:color="auto"/>
              <w:right w:val="single" w:sz="8" w:space="0" w:color="auto"/>
            </w:tcBorders>
            <w:shd w:val="clear" w:color="000000" w:fill="F2F2F2"/>
            <w:noWrap/>
            <w:vAlign w:val="center"/>
            <w:hideMark/>
          </w:tcPr>
          <w:p w14:paraId="6128865F" w14:textId="77777777" w:rsidR="00A61FA0" w:rsidRPr="00A61FA0" w:rsidRDefault="00A61FA0" w:rsidP="00A61FA0">
            <w:pPr>
              <w:jc w:val="right"/>
              <w:rPr>
                <w:rFonts w:ascii="Calibri" w:hAnsi="Calibri" w:cs="Calibri"/>
                <w:color w:val="000000"/>
                <w:sz w:val="20"/>
                <w:lang w:eastAsia="en-GB"/>
              </w:rPr>
            </w:pPr>
            <w:r w:rsidRPr="00A61FA0">
              <w:rPr>
                <w:rFonts w:ascii="Calibri" w:hAnsi="Calibri" w:cs="Calibri"/>
                <w:color w:val="000000"/>
                <w:sz w:val="20"/>
                <w:lang w:eastAsia="en-GB"/>
              </w:rPr>
              <w:t>225</w:t>
            </w:r>
          </w:p>
        </w:tc>
      </w:tr>
      <w:tr w:rsidR="00A61FA0" w:rsidRPr="00A61FA0" w14:paraId="3D4319BD"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2A419C59"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Total revenue</w:t>
            </w:r>
          </w:p>
        </w:tc>
        <w:tc>
          <w:tcPr>
            <w:tcW w:w="960" w:type="dxa"/>
            <w:tcBorders>
              <w:top w:val="nil"/>
              <w:left w:val="single" w:sz="8" w:space="0" w:color="auto"/>
              <w:bottom w:val="nil"/>
              <w:right w:val="nil"/>
            </w:tcBorders>
            <w:shd w:val="clear" w:color="000000" w:fill="F2F2F2"/>
            <w:noWrap/>
            <w:vAlign w:val="center"/>
            <w:hideMark/>
          </w:tcPr>
          <w:p w14:paraId="3217C56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2,389</w:t>
            </w:r>
          </w:p>
        </w:tc>
        <w:tc>
          <w:tcPr>
            <w:tcW w:w="960" w:type="dxa"/>
            <w:tcBorders>
              <w:top w:val="nil"/>
              <w:left w:val="nil"/>
              <w:bottom w:val="nil"/>
              <w:right w:val="single" w:sz="8" w:space="0" w:color="auto"/>
            </w:tcBorders>
            <w:shd w:val="clear" w:color="000000" w:fill="F2F2F2"/>
            <w:noWrap/>
            <w:vAlign w:val="center"/>
            <w:hideMark/>
          </w:tcPr>
          <w:p w14:paraId="54FC7CF8"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1,975</w:t>
            </w:r>
          </w:p>
        </w:tc>
        <w:tc>
          <w:tcPr>
            <w:tcW w:w="960" w:type="dxa"/>
            <w:tcBorders>
              <w:top w:val="nil"/>
              <w:left w:val="nil"/>
              <w:bottom w:val="nil"/>
              <w:right w:val="nil"/>
            </w:tcBorders>
            <w:shd w:val="clear" w:color="auto" w:fill="auto"/>
            <w:noWrap/>
            <w:vAlign w:val="center"/>
            <w:hideMark/>
          </w:tcPr>
          <w:p w14:paraId="755328A8"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866</w:t>
            </w:r>
          </w:p>
        </w:tc>
        <w:tc>
          <w:tcPr>
            <w:tcW w:w="960" w:type="dxa"/>
            <w:tcBorders>
              <w:top w:val="nil"/>
              <w:left w:val="nil"/>
              <w:bottom w:val="nil"/>
              <w:right w:val="single" w:sz="8" w:space="0" w:color="auto"/>
            </w:tcBorders>
            <w:shd w:val="clear" w:color="auto" w:fill="auto"/>
            <w:noWrap/>
            <w:vAlign w:val="center"/>
            <w:hideMark/>
          </w:tcPr>
          <w:p w14:paraId="124BAAD2"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955</w:t>
            </w:r>
          </w:p>
        </w:tc>
        <w:tc>
          <w:tcPr>
            <w:tcW w:w="960" w:type="dxa"/>
            <w:tcBorders>
              <w:top w:val="nil"/>
              <w:left w:val="nil"/>
              <w:bottom w:val="nil"/>
              <w:right w:val="nil"/>
            </w:tcBorders>
            <w:shd w:val="clear" w:color="000000" w:fill="F2F2F2"/>
            <w:noWrap/>
            <w:vAlign w:val="center"/>
            <w:hideMark/>
          </w:tcPr>
          <w:p w14:paraId="7BE50271"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1,522</w:t>
            </w:r>
          </w:p>
        </w:tc>
        <w:tc>
          <w:tcPr>
            <w:tcW w:w="960" w:type="dxa"/>
            <w:tcBorders>
              <w:top w:val="nil"/>
              <w:left w:val="nil"/>
              <w:bottom w:val="nil"/>
              <w:right w:val="single" w:sz="8" w:space="0" w:color="auto"/>
            </w:tcBorders>
            <w:shd w:val="clear" w:color="000000" w:fill="F2F2F2"/>
            <w:noWrap/>
            <w:vAlign w:val="center"/>
            <w:hideMark/>
          </w:tcPr>
          <w:p w14:paraId="1B9BA62F"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1,020</w:t>
            </w:r>
          </w:p>
        </w:tc>
      </w:tr>
      <w:tr w:rsidR="00A61FA0" w:rsidRPr="00A61FA0" w14:paraId="37B27D64"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523F3822"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5E594D56"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22F8C60B"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3CD259C1"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6CCA1F12"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000000" w:fill="F2F2F2"/>
            <w:noWrap/>
            <w:vAlign w:val="center"/>
            <w:hideMark/>
          </w:tcPr>
          <w:p w14:paraId="2116ED34"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07969A84"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241FB08C"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55812B16"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Cost of sales</w:t>
            </w:r>
          </w:p>
        </w:tc>
        <w:tc>
          <w:tcPr>
            <w:tcW w:w="960" w:type="dxa"/>
            <w:tcBorders>
              <w:top w:val="nil"/>
              <w:left w:val="single" w:sz="8" w:space="0" w:color="auto"/>
              <w:bottom w:val="nil"/>
              <w:right w:val="nil"/>
            </w:tcBorders>
            <w:shd w:val="clear" w:color="000000" w:fill="F2F2F2"/>
            <w:noWrap/>
            <w:vAlign w:val="center"/>
            <w:hideMark/>
          </w:tcPr>
          <w:p w14:paraId="575EC8F3"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(738)</w:t>
            </w:r>
          </w:p>
        </w:tc>
        <w:tc>
          <w:tcPr>
            <w:tcW w:w="960" w:type="dxa"/>
            <w:tcBorders>
              <w:top w:val="nil"/>
              <w:left w:val="nil"/>
              <w:bottom w:val="nil"/>
              <w:right w:val="single" w:sz="8" w:space="0" w:color="auto"/>
            </w:tcBorders>
            <w:shd w:val="clear" w:color="000000" w:fill="F2F2F2"/>
            <w:noWrap/>
            <w:vAlign w:val="center"/>
            <w:hideMark/>
          </w:tcPr>
          <w:p w14:paraId="6A5009F0"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(566)</w:t>
            </w:r>
          </w:p>
        </w:tc>
        <w:tc>
          <w:tcPr>
            <w:tcW w:w="960" w:type="dxa"/>
            <w:tcBorders>
              <w:top w:val="nil"/>
              <w:left w:val="nil"/>
              <w:bottom w:val="nil"/>
              <w:right w:val="nil"/>
            </w:tcBorders>
            <w:shd w:val="clear" w:color="auto" w:fill="auto"/>
            <w:noWrap/>
            <w:vAlign w:val="center"/>
            <w:hideMark/>
          </w:tcPr>
          <w:p w14:paraId="1B9A191A"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(243)</w:t>
            </w:r>
          </w:p>
        </w:tc>
        <w:tc>
          <w:tcPr>
            <w:tcW w:w="960" w:type="dxa"/>
            <w:tcBorders>
              <w:top w:val="nil"/>
              <w:left w:val="nil"/>
              <w:bottom w:val="nil"/>
              <w:right w:val="single" w:sz="8" w:space="0" w:color="auto"/>
            </w:tcBorders>
            <w:shd w:val="clear" w:color="auto" w:fill="auto"/>
            <w:noWrap/>
            <w:vAlign w:val="center"/>
            <w:hideMark/>
          </w:tcPr>
          <w:p w14:paraId="01C1B6EB"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(265)</w:t>
            </w:r>
          </w:p>
        </w:tc>
        <w:tc>
          <w:tcPr>
            <w:tcW w:w="960" w:type="dxa"/>
            <w:tcBorders>
              <w:top w:val="nil"/>
              <w:left w:val="nil"/>
              <w:bottom w:val="nil"/>
              <w:right w:val="nil"/>
            </w:tcBorders>
            <w:shd w:val="clear" w:color="000000" w:fill="F2F2F2"/>
            <w:noWrap/>
            <w:vAlign w:val="center"/>
            <w:hideMark/>
          </w:tcPr>
          <w:p w14:paraId="7F92F8E2"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(496)</w:t>
            </w:r>
          </w:p>
        </w:tc>
        <w:tc>
          <w:tcPr>
            <w:tcW w:w="960" w:type="dxa"/>
            <w:tcBorders>
              <w:top w:val="nil"/>
              <w:left w:val="nil"/>
              <w:bottom w:val="nil"/>
              <w:right w:val="single" w:sz="8" w:space="0" w:color="auto"/>
            </w:tcBorders>
            <w:shd w:val="clear" w:color="000000" w:fill="F2F2F2"/>
            <w:noWrap/>
            <w:vAlign w:val="center"/>
            <w:hideMark/>
          </w:tcPr>
          <w:p w14:paraId="4462FA0D" w14:textId="77777777" w:rsidR="00A61FA0" w:rsidRPr="00A61FA0" w:rsidRDefault="00A61FA0" w:rsidP="00A61FA0">
            <w:pPr>
              <w:jc w:val="right"/>
              <w:rPr>
                <w:rFonts w:ascii="Calibri" w:hAnsi="Calibri" w:cs="Calibri"/>
                <w:color w:val="000000"/>
                <w:sz w:val="20"/>
                <w:lang w:eastAsia="en-GB"/>
              </w:rPr>
            </w:pPr>
            <w:r w:rsidRPr="00A61FA0">
              <w:rPr>
                <w:rFonts w:ascii="Calibri" w:hAnsi="Calibri" w:cs="Calibri"/>
                <w:color w:val="000000"/>
                <w:sz w:val="20"/>
                <w:lang w:eastAsia="en-GB"/>
              </w:rPr>
              <w:t>(301)</w:t>
            </w:r>
          </w:p>
        </w:tc>
      </w:tr>
      <w:tr w:rsidR="00A61FA0" w:rsidRPr="00A61FA0" w14:paraId="0344AF73"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6EC4ACF2" w14:textId="77777777" w:rsidR="00A61FA0" w:rsidRPr="00A61FA0" w:rsidRDefault="00A61FA0" w:rsidP="00A61FA0">
            <w:pPr>
              <w:jc w:val="both"/>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Cost of sales as a % of net revenue</w:t>
            </w:r>
          </w:p>
        </w:tc>
        <w:tc>
          <w:tcPr>
            <w:tcW w:w="960" w:type="dxa"/>
            <w:tcBorders>
              <w:top w:val="nil"/>
              <w:left w:val="single" w:sz="8" w:space="0" w:color="auto"/>
              <w:bottom w:val="nil"/>
              <w:right w:val="nil"/>
            </w:tcBorders>
            <w:shd w:val="clear" w:color="000000" w:fill="F2F2F2"/>
            <w:noWrap/>
            <w:vAlign w:val="center"/>
            <w:hideMark/>
          </w:tcPr>
          <w:p w14:paraId="0A2BA1B3"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30.9%</w:t>
            </w:r>
          </w:p>
        </w:tc>
        <w:tc>
          <w:tcPr>
            <w:tcW w:w="960" w:type="dxa"/>
            <w:tcBorders>
              <w:top w:val="nil"/>
              <w:left w:val="nil"/>
              <w:bottom w:val="nil"/>
              <w:right w:val="single" w:sz="8" w:space="0" w:color="auto"/>
            </w:tcBorders>
            <w:shd w:val="clear" w:color="000000" w:fill="F2F2F2"/>
            <w:noWrap/>
            <w:vAlign w:val="center"/>
            <w:hideMark/>
          </w:tcPr>
          <w:p w14:paraId="46E70527"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28.7%</w:t>
            </w:r>
          </w:p>
        </w:tc>
        <w:tc>
          <w:tcPr>
            <w:tcW w:w="960" w:type="dxa"/>
            <w:tcBorders>
              <w:top w:val="nil"/>
              <w:left w:val="nil"/>
              <w:bottom w:val="nil"/>
              <w:right w:val="nil"/>
            </w:tcBorders>
            <w:shd w:val="clear" w:color="auto" w:fill="auto"/>
            <w:noWrap/>
            <w:vAlign w:val="center"/>
            <w:hideMark/>
          </w:tcPr>
          <w:p w14:paraId="27BD7AB1"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28.0%</w:t>
            </w:r>
          </w:p>
        </w:tc>
        <w:tc>
          <w:tcPr>
            <w:tcW w:w="960" w:type="dxa"/>
            <w:tcBorders>
              <w:top w:val="nil"/>
              <w:left w:val="nil"/>
              <w:bottom w:val="nil"/>
              <w:right w:val="single" w:sz="8" w:space="0" w:color="auto"/>
            </w:tcBorders>
            <w:shd w:val="clear" w:color="auto" w:fill="auto"/>
            <w:noWrap/>
            <w:vAlign w:val="center"/>
            <w:hideMark/>
          </w:tcPr>
          <w:p w14:paraId="2B18A3C1"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27.8%</w:t>
            </w:r>
          </w:p>
        </w:tc>
        <w:tc>
          <w:tcPr>
            <w:tcW w:w="960" w:type="dxa"/>
            <w:tcBorders>
              <w:top w:val="nil"/>
              <w:left w:val="nil"/>
              <w:bottom w:val="nil"/>
              <w:right w:val="nil"/>
            </w:tcBorders>
            <w:shd w:val="clear" w:color="000000" w:fill="F2F2F2"/>
            <w:noWrap/>
            <w:vAlign w:val="center"/>
            <w:hideMark/>
          </w:tcPr>
          <w:p w14:paraId="6B4EF994"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32.6%</w:t>
            </w:r>
          </w:p>
        </w:tc>
        <w:tc>
          <w:tcPr>
            <w:tcW w:w="960" w:type="dxa"/>
            <w:tcBorders>
              <w:top w:val="nil"/>
              <w:left w:val="nil"/>
              <w:bottom w:val="nil"/>
              <w:right w:val="single" w:sz="8" w:space="0" w:color="auto"/>
            </w:tcBorders>
            <w:shd w:val="clear" w:color="000000" w:fill="F2F2F2"/>
            <w:noWrap/>
            <w:vAlign w:val="center"/>
            <w:hideMark/>
          </w:tcPr>
          <w:p w14:paraId="4FC99422"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29.5%</w:t>
            </w:r>
          </w:p>
        </w:tc>
      </w:tr>
      <w:tr w:rsidR="00A61FA0" w:rsidRPr="00A61FA0" w14:paraId="7DFD23B6"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7D0B931C"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40178C31"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6269F74F"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164184CB"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6A901338"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000000" w:fill="F2F2F2"/>
            <w:noWrap/>
            <w:vAlign w:val="center"/>
            <w:hideMark/>
          </w:tcPr>
          <w:p w14:paraId="343E4361"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53ABB9A0"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6DA448A6"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734FEF3B"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Gross profit</w:t>
            </w:r>
          </w:p>
        </w:tc>
        <w:tc>
          <w:tcPr>
            <w:tcW w:w="960" w:type="dxa"/>
            <w:tcBorders>
              <w:top w:val="nil"/>
              <w:left w:val="single" w:sz="8" w:space="0" w:color="auto"/>
              <w:bottom w:val="nil"/>
              <w:right w:val="nil"/>
            </w:tcBorders>
            <w:shd w:val="clear" w:color="000000" w:fill="F2F2F2"/>
            <w:noWrap/>
            <w:vAlign w:val="center"/>
            <w:hideMark/>
          </w:tcPr>
          <w:p w14:paraId="5C999CD9"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1,650</w:t>
            </w:r>
          </w:p>
        </w:tc>
        <w:tc>
          <w:tcPr>
            <w:tcW w:w="960" w:type="dxa"/>
            <w:tcBorders>
              <w:top w:val="nil"/>
              <w:left w:val="nil"/>
              <w:bottom w:val="nil"/>
              <w:right w:val="single" w:sz="8" w:space="0" w:color="auto"/>
            </w:tcBorders>
            <w:shd w:val="clear" w:color="000000" w:fill="F2F2F2"/>
            <w:noWrap/>
            <w:vAlign w:val="center"/>
            <w:hideMark/>
          </w:tcPr>
          <w:p w14:paraId="0C2318C3"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1,409</w:t>
            </w:r>
          </w:p>
        </w:tc>
        <w:tc>
          <w:tcPr>
            <w:tcW w:w="960" w:type="dxa"/>
            <w:tcBorders>
              <w:top w:val="nil"/>
              <w:left w:val="nil"/>
              <w:bottom w:val="nil"/>
              <w:right w:val="nil"/>
            </w:tcBorders>
            <w:shd w:val="clear" w:color="auto" w:fill="auto"/>
            <w:noWrap/>
            <w:vAlign w:val="center"/>
            <w:hideMark/>
          </w:tcPr>
          <w:p w14:paraId="3979A1D8"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624</w:t>
            </w:r>
          </w:p>
        </w:tc>
        <w:tc>
          <w:tcPr>
            <w:tcW w:w="960" w:type="dxa"/>
            <w:tcBorders>
              <w:top w:val="nil"/>
              <w:left w:val="nil"/>
              <w:bottom w:val="nil"/>
              <w:right w:val="single" w:sz="8" w:space="0" w:color="auto"/>
            </w:tcBorders>
            <w:shd w:val="clear" w:color="auto" w:fill="auto"/>
            <w:noWrap/>
            <w:vAlign w:val="center"/>
            <w:hideMark/>
          </w:tcPr>
          <w:p w14:paraId="0A42AD5E"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690</w:t>
            </w:r>
          </w:p>
        </w:tc>
        <w:tc>
          <w:tcPr>
            <w:tcW w:w="960" w:type="dxa"/>
            <w:tcBorders>
              <w:top w:val="nil"/>
              <w:left w:val="nil"/>
              <w:bottom w:val="nil"/>
              <w:right w:val="nil"/>
            </w:tcBorders>
            <w:shd w:val="clear" w:color="000000" w:fill="F2F2F2"/>
            <w:noWrap/>
            <w:vAlign w:val="center"/>
            <w:hideMark/>
          </w:tcPr>
          <w:p w14:paraId="3B01B71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1,026</w:t>
            </w:r>
          </w:p>
        </w:tc>
        <w:tc>
          <w:tcPr>
            <w:tcW w:w="960" w:type="dxa"/>
            <w:tcBorders>
              <w:top w:val="nil"/>
              <w:left w:val="nil"/>
              <w:bottom w:val="nil"/>
              <w:right w:val="single" w:sz="8" w:space="0" w:color="auto"/>
            </w:tcBorders>
            <w:shd w:val="clear" w:color="000000" w:fill="F2F2F2"/>
            <w:noWrap/>
            <w:vAlign w:val="center"/>
            <w:hideMark/>
          </w:tcPr>
          <w:p w14:paraId="4BD9627E"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719</w:t>
            </w:r>
          </w:p>
        </w:tc>
      </w:tr>
      <w:tr w:rsidR="00A61FA0" w:rsidRPr="00A61FA0" w14:paraId="32105D13"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5283F014"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2A9E1F23"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0F1D3C76"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6FA53DED"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31459CBE"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000000" w:fill="F2F2F2"/>
            <w:noWrap/>
            <w:vAlign w:val="center"/>
            <w:hideMark/>
          </w:tcPr>
          <w:p w14:paraId="569AF160"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112ACD3D"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403F0560"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38CF796B"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Sales and marketing</w:t>
            </w:r>
          </w:p>
        </w:tc>
        <w:tc>
          <w:tcPr>
            <w:tcW w:w="960" w:type="dxa"/>
            <w:tcBorders>
              <w:top w:val="nil"/>
              <w:left w:val="single" w:sz="8" w:space="0" w:color="auto"/>
              <w:bottom w:val="nil"/>
              <w:right w:val="nil"/>
            </w:tcBorders>
            <w:shd w:val="clear" w:color="000000" w:fill="F2F2F2"/>
            <w:noWrap/>
            <w:vAlign w:val="center"/>
            <w:hideMark/>
          </w:tcPr>
          <w:p w14:paraId="0A71DDB5"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(42</w:t>
            </w:r>
            <w:r w:rsidR="00C0438C">
              <w:rPr>
                <w:rFonts w:ascii="Calibri" w:hAnsi="Calibri" w:cs="Calibri"/>
                <w:sz w:val="20"/>
                <w:lang w:eastAsia="en-GB"/>
              </w:rPr>
              <w:t>6</w:t>
            </w:r>
            <w:r w:rsidRPr="00A61FA0">
              <w:rPr>
                <w:rFonts w:ascii="Calibri" w:hAnsi="Calibri" w:cs="Calibri"/>
                <w:sz w:val="20"/>
                <w:lang w:eastAsia="en-GB"/>
              </w:rPr>
              <w:t>)</w:t>
            </w:r>
          </w:p>
        </w:tc>
        <w:tc>
          <w:tcPr>
            <w:tcW w:w="960" w:type="dxa"/>
            <w:tcBorders>
              <w:top w:val="nil"/>
              <w:left w:val="nil"/>
              <w:bottom w:val="nil"/>
              <w:right w:val="single" w:sz="8" w:space="0" w:color="auto"/>
            </w:tcBorders>
            <w:shd w:val="clear" w:color="000000" w:fill="F2F2F2"/>
            <w:noWrap/>
            <w:vAlign w:val="center"/>
            <w:hideMark/>
          </w:tcPr>
          <w:p w14:paraId="4D532871"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(389)</w:t>
            </w:r>
          </w:p>
        </w:tc>
        <w:tc>
          <w:tcPr>
            <w:tcW w:w="960" w:type="dxa"/>
            <w:tcBorders>
              <w:top w:val="nil"/>
              <w:left w:val="nil"/>
              <w:bottom w:val="nil"/>
              <w:right w:val="nil"/>
            </w:tcBorders>
            <w:shd w:val="clear" w:color="auto" w:fill="auto"/>
            <w:noWrap/>
            <w:vAlign w:val="center"/>
            <w:hideMark/>
          </w:tcPr>
          <w:p w14:paraId="0A436007"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w:t>
            </w:r>
            <w:r w:rsidR="00C0438C">
              <w:rPr>
                <w:rFonts w:ascii="Calibri" w:hAnsi="Calibri" w:cs="Calibri"/>
                <w:sz w:val="20"/>
                <w:lang w:eastAsia="en-GB"/>
              </w:rPr>
              <w:t>39</w:t>
            </w:r>
            <w:r w:rsidRPr="00A61FA0">
              <w:rPr>
                <w:rFonts w:ascii="Calibri" w:hAnsi="Calibri" w:cs="Calibri"/>
                <w:sz w:val="20"/>
                <w:lang w:eastAsia="en-GB"/>
              </w:rPr>
              <w:t>)</w:t>
            </w:r>
          </w:p>
        </w:tc>
        <w:tc>
          <w:tcPr>
            <w:tcW w:w="960" w:type="dxa"/>
            <w:tcBorders>
              <w:top w:val="nil"/>
              <w:left w:val="nil"/>
              <w:bottom w:val="nil"/>
              <w:right w:val="single" w:sz="8" w:space="0" w:color="auto"/>
            </w:tcBorders>
            <w:shd w:val="clear" w:color="auto" w:fill="auto"/>
            <w:noWrap/>
            <w:vAlign w:val="center"/>
            <w:hideMark/>
          </w:tcPr>
          <w:p w14:paraId="55C7B260"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(175)</w:t>
            </w:r>
          </w:p>
        </w:tc>
        <w:tc>
          <w:tcPr>
            <w:tcW w:w="960" w:type="dxa"/>
            <w:tcBorders>
              <w:top w:val="nil"/>
              <w:left w:val="nil"/>
              <w:bottom w:val="nil"/>
              <w:right w:val="nil"/>
            </w:tcBorders>
            <w:shd w:val="clear" w:color="000000" w:fill="F2F2F2"/>
            <w:noWrap/>
            <w:vAlign w:val="center"/>
            <w:hideMark/>
          </w:tcPr>
          <w:p w14:paraId="6912F1C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(287)</w:t>
            </w:r>
          </w:p>
        </w:tc>
        <w:tc>
          <w:tcPr>
            <w:tcW w:w="960" w:type="dxa"/>
            <w:tcBorders>
              <w:top w:val="nil"/>
              <w:left w:val="nil"/>
              <w:bottom w:val="nil"/>
              <w:right w:val="single" w:sz="8" w:space="0" w:color="auto"/>
            </w:tcBorders>
            <w:shd w:val="clear" w:color="000000" w:fill="F2F2F2"/>
            <w:noWrap/>
            <w:vAlign w:val="center"/>
            <w:hideMark/>
          </w:tcPr>
          <w:p w14:paraId="16D33904" w14:textId="77777777" w:rsidR="00A61FA0" w:rsidRPr="00A61FA0" w:rsidRDefault="00A61FA0" w:rsidP="00A61FA0">
            <w:pPr>
              <w:jc w:val="right"/>
              <w:rPr>
                <w:rFonts w:ascii="Calibri" w:hAnsi="Calibri" w:cs="Calibri"/>
                <w:color w:val="000000"/>
                <w:sz w:val="20"/>
                <w:lang w:eastAsia="en-GB"/>
              </w:rPr>
            </w:pPr>
            <w:r w:rsidRPr="00A61FA0">
              <w:rPr>
                <w:rFonts w:ascii="Calibri" w:hAnsi="Calibri" w:cs="Calibri"/>
                <w:color w:val="000000"/>
                <w:sz w:val="20"/>
                <w:lang w:eastAsia="en-GB"/>
              </w:rPr>
              <w:t>(214)</w:t>
            </w:r>
          </w:p>
        </w:tc>
      </w:tr>
      <w:tr w:rsidR="00A61FA0" w:rsidRPr="00A61FA0" w14:paraId="5DBB15CD"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4CBE132F"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Contribution</w:t>
            </w:r>
          </w:p>
        </w:tc>
        <w:tc>
          <w:tcPr>
            <w:tcW w:w="960" w:type="dxa"/>
            <w:tcBorders>
              <w:top w:val="nil"/>
              <w:left w:val="single" w:sz="8" w:space="0" w:color="auto"/>
              <w:bottom w:val="nil"/>
              <w:right w:val="nil"/>
            </w:tcBorders>
            <w:shd w:val="clear" w:color="000000" w:fill="F2F2F2"/>
            <w:noWrap/>
            <w:vAlign w:val="center"/>
            <w:hideMark/>
          </w:tcPr>
          <w:p w14:paraId="32F2CDB6" w14:textId="77777777" w:rsidR="00A61FA0" w:rsidRPr="00A61FA0" w:rsidRDefault="00A61FA0">
            <w:pPr>
              <w:jc w:val="right"/>
              <w:rPr>
                <w:rFonts w:ascii="Calibri" w:hAnsi="Calibri" w:cs="Calibri"/>
                <w:b/>
                <w:bCs/>
                <w:sz w:val="20"/>
                <w:lang w:eastAsia="en-GB"/>
              </w:rPr>
            </w:pPr>
            <w:r w:rsidRPr="00A61FA0">
              <w:rPr>
                <w:rFonts w:ascii="Calibri" w:hAnsi="Calibri" w:cs="Calibri"/>
                <w:b/>
                <w:bCs/>
                <w:sz w:val="20"/>
                <w:lang w:eastAsia="en-GB"/>
              </w:rPr>
              <w:t>1,22</w:t>
            </w:r>
            <w:r w:rsidR="00C0438C">
              <w:rPr>
                <w:rFonts w:ascii="Calibri" w:hAnsi="Calibri" w:cs="Calibri"/>
                <w:b/>
                <w:bCs/>
                <w:sz w:val="20"/>
                <w:lang w:eastAsia="en-GB"/>
              </w:rPr>
              <w:t>4</w:t>
            </w:r>
          </w:p>
        </w:tc>
        <w:tc>
          <w:tcPr>
            <w:tcW w:w="960" w:type="dxa"/>
            <w:tcBorders>
              <w:top w:val="nil"/>
              <w:left w:val="nil"/>
              <w:bottom w:val="nil"/>
              <w:right w:val="single" w:sz="8" w:space="0" w:color="auto"/>
            </w:tcBorders>
            <w:shd w:val="clear" w:color="000000" w:fill="F2F2F2"/>
            <w:noWrap/>
            <w:vAlign w:val="center"/>
            <w:hideMark/>
          </w:tcPr>
          <w:p w14:paraId="27CA9E94"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1,020</w:t>
            </w:r>
          </w:p>
        </w:tc>
        <w:tc>
          <w:tcPr>
            <w:tcW w:w="960" w:type="dxa"/>
            <w:tcBorders>
              <w:top w:val="nil"/>
              <w:left w:val="nil"/>
              <w:bottom w:val="nil"/>
              <w:right w:val="nil"/>
            </w:tcBorders>
            <w:shd w:val="clear" w:color="auto" w:fill="auto"/>
            <w:noWrap/>
            <w:vAlign w:val="center"/>
            <w:hideMark/>
          </w:tcPr>
          <w:p w14:paraId="233256FA"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48</w:t>
            </w:r>
            <w:r w:rsidR="00C0438C">
              <w:rPr>
                <w:rFonts w:ascii="Calibri" w:hAnsi="Calibri" w:cs="Calibri"/>
                <w:b/>
                <w:bCs/>
                <w:sz w:val="20"/>
                <w:lang w:eastAsia="en-GB"/>
              </w:rPr>
              <w:t>4</w:t>
            </w:r>
          </w:p>
        </w:tc>
        <w:tc>
          <w:tcPr>
            <w:tcW w:w="960" w:type="dxa"/>
            <w:tcBorders>
              <w:top w:val="nil"/>
              <w:left w:val="nil"/>
              <w:bottom w:val="nil"/>
              <w:right w:val="single" w:sz="8" w:space="0" w:color="auto"/>
            </w:tcBorders>
            <w:shd w:val="clear" w:color="auto" w:fill="auto"/>
            <w:noWrap/>
            <w:vAlign w:val="center"/>
            <w:hideMark/>
          </w:tcPr>
          <w:p w14:paraId="5D3F8C09"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515</w:t>
            </w:r>
          </w:p>
        </w:tc>
        <w:tc>
          <w:tcPr>
            <w:tcW w:w="960" w:type="dxa"/>
            <w:tcBorders>
              <w:top w:val="nil"/>
              <w:left w:val="nil"/>
              <w:bottom w:val="nil"/>
              <w:right w:val="nil"/>
            </w:tcBorders>
            <w:shd w:val="clear" w:color="000000" w:fill="F2F2F2"/>
            <w:noWrap/>
            <w:vAlign w:val="center"/>
            <w:hideMark/>
          </w:tcPr>
          <w:p w14:paraId="69EC1F97"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740</w:t>
            </w:r>
          </w:p>
        </w:tc>
        <w:tc>
          <w:tcPr>
            <w:tcW w:w="960" w:type="dxa"/>
            <w:tcBorders>
              <w:top w:val="nil"/>
              <w:left w:val="nil"/>
              <w:bottom w:val="nil"/>
              <w:right w:val="single" w:sz="8" w:space="0" w:color="auto"/>
            </w:tcBorders>
            <w:shd w:val="clear" w:color="000000" w:fill="F2F2F2"/>
            <w:noWrap/>
            <w:vAlign w:val="center"/>
            <w:hideMark/>
          </w:tcPr>
          <w:p w14:paraId="2284DA6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505</w:t>
            </w:r>
          </w:p>
        </w:tc>
      </w:tr>
      <w:tr w:rsidR="00A61FA0" w:rsidRPr="00A61FA0" w14:paraId="55F3D194"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6D4053C1"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57D9FDBC"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60E8016B"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3F8B43D5"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5CB613AD"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000000" w:fill="F2F2F2"/>
            <w:noWrap/>
            <w:vAlign w:val="center"/>
            <w:hideMark/>
          </w:tcPr>
          <w:p w14:paraId="501DB0C2"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1E12E54F"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1C66D95A"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5BBF85B"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Other operating costs</w:t>
            </w:r>
          </w:p>
        </w:tc>
        <w:tc>
          <w:tcPr>
            <w:tcW w:w="960" w:type="dxa"/>
            <w:tcBorders>
              <w:top w:val="nil"/>
              <w:left w:val="single" w:sz="8" w:space="0" w:color="auto"/>
              <w:bottom w:val="nil"/>
              <w:right w:val="nil"/>
            </w:tcBorders>
            <w:shd w:val="clear" w:color="000000" w:fill="F2F2F2"/>
            <w:noWrap/>
            <w:vAlign w:val="center"/>
            <w:hideMark/>
          </w:tcPr>
          <w:p w14:paraId="17336984"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(47</w:t>
            </w:r>
            <w:r w:rsidR="00C0438C">
              <w:rPr>
                <w:rFonts w:ascii="Calibri" w:hAnsi="Calibri" w:cs="Calibri"/>
                <w:sz w:val="20"/>
                <w:lang w:eastAsia="en-GB"/>
              </w:rPr>
              <w:t>3</w:t>
            </w:r>
            <w:r w:rsidRPr="00A61FA0">
              <w:rPr>
                <w:rFonts w:ascii="Calibri" w:hAnsi="Calibri" w:cs="Calibri"/>
                <w:sz w:val="20"/>
                <w:lang w:eastAsia="en-GB"/>
              </w:rPr>
              <w:t>)</w:t>
            </w:r>
          </w:p>
        </w:tc>
        <w:tc>
          <w:tcPr>
            <w:tcW w:w="960" w:type="dxa"/>
            <w:tcBorders>
              <w:top w:val="nil"/>
              <w:left w:val="nil"/>
              <w:bottom w:val="nil"/>
              <w:right w:val="single" w:sz="8" w:space="0" w:color="auto"/>
            </w:tcBorders>
            <w:shd w:val="clear" w:color="000000" w:fill="F2F2F2"/>
            <w:noWrap/>
            <w:vAlign w:val="center"/>
            <w:hideMark/>
          </w:tcPr>
          <w:p w14:paraId="2A63B81C"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(435)</w:t>
            </w:r>
          </w:p>
        </w:tc>
        <w:tc>
          <w:tcPr>
            <w:tcW w:w="960" w:type="dxa"/>
            <w:tcBorders>
              <w:top w:val="nil"/>
              <w:left w:val="nil"/>
              <w:bottom w:val="nil"/>
              <w:right w:val="nil"/>
            </w:tcBorders>
            <w:shd w:val="clear" w:color="auto" w:fill="auto"/>
            <w:noWrap/>
            <w:vAlign w:val="center"/>
            <w:hideMark/>
          </w:tcPr>
          <w:p w14:paraId="4E9AC4C4"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w:t>
            </w:r>
            <w:r w:rsidR="00C0438C">
              <w:rPr>
                <w:rFonts w:ascii="Calibri" w:hAnsi="Calibri" w:cs="Calibri"/>
                <w:sz w:val="20"/>
                <w:lang w:eastAsia="en-GB"/>
              </w:rPr>
              <w:t>3</w:t>
            </w:r>
            <w:r w:rsidRPr="00A61FA0">
              <w:rPr>
                <w:rFonts w:ascii="Calibri" w:hAnsi="Calibri" w:cs="Calibri"/>
                <w:sz w:val="20"/>
                <w:lang w:eastAsia="en-GB"/>
              </w:rPr>
              <w:t>)</w:t>
            </w:r>
          </w:p>
        </w:tc>
        <w:tc>
          <w:tcPr>
            <w:tcW w:w="960" w:type="dxa"/>
            <w:tcBorders>
              <w:top w:val="nil"/>
              <w:left w:val="nil"/>
              <w:bottom w:val="nil"/>
              <w:right w:val="single" w:sz="8" w:space="0" w:color="auto"/>
            </w:tcBorders>
            <w:shd w:val="clear" w:color="auto" w:fill="auto"/>
            <w:noWrap/>
            <w:vAlign w:val="center"/>
            <w:hideMark/>
          </w:tcPr>
          <w:p w14:paraId="227B6EB1" w14:textId="77777777" w:rsidR="00A61FA0" w:rsidRPr="00A61FA0" w:rsidRDefault="00A61FA0" w:rsidP="00842960">
            <w:pPr>
              <w:jc w:val="right"/>
              <w:rPr>
                <w:rFonts w:ascii="Calibri" w:hAnsi="Calibri" w:cs="Calibri"/>
                <w:sz w:val="20"/>
                <w:lang w:eastAsia="en-GB"/>
              </w:rPr>
            </w:pPr>
            <w:r w:rsidRPr="00A61FA0">
              <w:rPr>
                <w:rFonts w:ascii="Calibri" w:hAnsi="Calibri" w:cs="Calibri"/>
                <w:sz w:val="20"/>
                <w:lang w:eastAsia="en-GB"/>
              </w:rPr>
              <w:t>(17</w:t>
            </w:r>
            <w:r w:rsidR="00842960">
              <w:rPr>
                <w:rFonts w:ascii="Calibri" w:hAnsi="Calibri" w:cs="Calibri"/>
                <w:sz w:val="20"/>
                <w:lang w:eastAsia="en-GB"/>
              </w:rPr>
              <w:t>2</w:t>
            </w:r>
            <w:r w:rsidRPr="00A61FA0">
              <w:rPr>
                <w:rFonts w:ascii="Calibri" w:hAnsi="Calibri" w:cs="Calibri"/>
                <w:sz w:val="20"/>
                <w:lang w:eastAsia="en-GB"/>
              </w:rPr>
              <w:t>)</w:t>
            </w:r>
          </w:p>
        </w:tc>
        <w:tc>
          <w:tcPr>
            <w:tcW w:w="960" w:type="dxa"/>
            <w:tcBorders>
              <w:top w:val="nil"/>
              <w:left w:val="nil"/>
              <w:bottom w:val="nil"/>
              <w:right w:val="nil"/>
            </w:tcBorders>
            <w:shd w:val="clear" w:color="000000" w:fill="F2F2F2"/>
            <w:noWrap/>
            <w:vAlign w:val="center"/>
            <w:hideMark/>
          </w:tcPr>
          <w:p w14:paraId="74524DD2"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(360)</w:t>
            </w:r>
          </w:p>
        </w:tc>
        <w:tc>
          <w:tcPr>
            <w:tcW w:w="960" w:type="dxa"/>
            <w:tcBorders>
              <w:top w:val="nil"/>
              <w:left w:val="nil"/>
              <w:bottom w:val="nil"/>
              <w:right w:val="single" w:sz="8" w:space="0" w:color="auto"/>
            </w:tcBorders>
            <w:shd w:val="clear" w:color="000000" w:fill="F2F2F2"/>
            <w:noWrap/>
            <w:vAlign w:val="center"/>
            <w:hideMark/>
          </w:tcPr>
          <w:p w14:paraId="1480631C" w14:textId="77777777" w:rsidR="00A61FA0" w:rsidRPr="00A61FA0" w:rsidRDefault="00A61FA0" w:rsidP="00842960">
            <w:pPr>
              <w:jc w:val="right"/>
              <w:rPr>
                <w:rFonts w:ascii="Calibri" w:hAnsi="Calibri" w:cs="Calibri"/>
                <w:sz w:val="20"/>
                <w:lang w:eastAsia="en-GB"/>
              </w:rPr>
            </w:pPr>
            <w:r w:rsidRPr="00A61FA0">
              <w:rPr>
                <w:rFonts w:ascii="Calibri" w:hAnsi="Calibri" w:cs="Calibri"/>
                <w:sz w:val="20"/>
                <w:lang w:eastAsia="en-GB"/>
              </w:rPr>
              <w:t>(26</w:t>
            </w:r>
            <w:r w:rsidR="00842960">
              <w:rPr>
                <w:rFonts w:ascii="Calibri" w:hAnsi="Calibri" w:cs="Calibri"/>
                <w:sz w:val="20"/>
                <w:lang w:eastAsia="en-GB"/>
              </w:rPr>
              <w:t>3</w:t>
            </w:r>
            <w:r w:rsidRPr="00A61FA0">
              <w:rPr>
                <w:rFonts w:ascii="Calibri" w:hAnsi="Calibri" w:cs="Calibri"/>
                <w:sz w:val="20"/>
                <w:lang w:eastAsia="en-GB"/>
              </w:rPr>
              <w:t>)</w:t>
            </w:r>
          </w:p>
        </w:tc>
      </w:tr>
      <w:tr w:rsidR="00A61FA0" w:rsidRPr="00A61FA0" w14:paraId="34A619B8"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30AD23AB"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Corporate costs</w:t>
            </w:r>
          </w:p>
        </w:tc>
        <w:tc>
          <w:tcPr>
            <w:tcW w:w="960" w:type="dxa"/>
            <w:tcBorders>
              <w:top w:val="nil"/>
              <w:left w:val="single" w:sz="8" w:space="0" w:color="auto"/>
              <w:bottom w:val="single" w:sz="8" w:space="0" w:color="auto"/>
              <w:right w:val="nil"/>
            </w:tcBorders>
            <w:shd w:val="clear" w:color="000000" w:fill="F2F2F2"/>
            <w:noWrap/>
            <w:vAlign w:val="center"/>
            <w:hideMark/>
          </w:tcPr>
          <w:p w14:paraId="7D3E2604"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(67)</w:t>
            </w:r>
          </w:p>
        </w:tc>
        <w:tc>
          <w:tcPr>
            <w:tcW w:w="960" w:type="dxa"/>
            <w:tcBorders>
              <w:top w:val="nil"/>
              <w:left w:val="nil"/>
              <w:bottom w:val="single" w:sz="8" w:space="0" w:color="auto"/>
              <w:right w:val="single" w:sz="8" w:space="0" w:color="auto"/>
            </w:tcBorders>
            <w:shd w:val="clear" w:color="000000" w:fill="F2F2F2"/>
            <w:noWrap/>
            <w:vAlign w:val="center"/>
            <w:hideMark/>
          </w:tcPr>
          <w:p w14:paraId="544571EB"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(62)</w:t>
            </w:r>
          </w:p>
        </w:tc>
        <w:tc>
          <w:tcPr>
            <w:tcW w:w="960" w:type="dxa"/>
            <w:tcBorders>
              <w:top w:val="nil"/>
              <w:left w:val="nil"/>
              <w:bottom w:val="single" w:sz="8" w:space="0" w:color="auto"/>
              <w:right w:val="nil"/>
            </w:tcBorders>
            <w:shd w:val="clear" w:color="auto" w:fill="auto"/>
            <w:noWrap/>
            <w:vAlign w:val="center"/>
            <w:hideMark/>
          </w:tcPr>
          <w:p w14:paraId="073037F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(29)</w:t>
            </w:r>
          </w:p>
        </w:tc>
        <w:tc>
          <w:tcPr>
            <w:tcW w:w="960" w:type="dxa"/>
            <w:tcBorders>
              <w:top w:val="nil"/>
              <w:left w:val="nil"/>
              <w:bottom w:val="single" w:sz="8" w:space="0" w:color="auto"/>
              <w:right w:val="single" w:sz="8" w:space="0" w:color="auto"/>
            </w:tcBorders>
            <w:shd w:val="clear" w:color="auto" w:fill="auto"/>
            <w:noWrap/>
            <w:vAlign w:val="center"/>
            <w:hideMark/>
          </w:tcPr>
          <w:p w14:paraId="5FE0A2C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(36)</w:t>
            </w:r>
          </w:p>
        </w:tc>
        <w:tc>
          <w:tcPr>
            <w:tcW w:w="960" w:type="dxa"/>
            <w:tcBorders>
              <w:top w:val="nil"/>
              <w:left w:val="nil"/>
              <w:bottom w:val="single" w:sz="8" w:space="0" w:color="auto"/>
              <w:right w:val="nil"/>
            </w:tcBorders>
            <w:shd w:val="clear" w:color="000000" w:fill="F2F2F2"/>
            <w:noWrap/>
            <w:vAlign w:val="center"/>
            <w:hideMark/>
          </w:tcPr>
          <w:p w14:paraId="47D26DA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(38)</w:t>
            </w:r>
          </w:p>
        </w:tc>
        <w:tc>
          <w:tcPr>
            <w:tcW w:w="960" w:type="dxa"/>
            <w:tcBorders>
              <w:top w:val="nil"/>
              <w:left w:val="nil"/>
              <w:bottom w:val="single" w:sz="8" w:space="0" w:color="auto"/>
              <w:right w:val="single" w:sz="8" w:space="0" w:color="auto"/>
            </w:tcBorders>
            <w:shd w:val="clear" w:color="000000" w:fill="F2F2F2"/>
            <w:noWrap/>
            <w:vAlign w:val="center"/>
            <w:hideMark/>
          </w:tcPr>
          <w:p w14:paraId="6EC5C867" w14:textId="77777777" w:rsidR="00A61FA0" w:rsidRPr="00A61FA0" w:rsidRDefault="00A61FA0" w:rsidP="00A61FA0">
            <w:pPr>
              <w:jc w:val="right"/>
              <w:rPr>
                <w:rFonts w:ascii="Calibri" w:hAnsi="Calibri" w:cs="Calibri"/>
                <w:color w:val="000000"/>
                <w:sz w:val="20"/>
                <w:lang w:eastAsia="en-GB"/>
              </w:rPr>
            </w:pPr>
            <w:r w:rsidRPr="00A61FA0">
              <w:rPr>
                <w:rFonts w:ascii="Calibri" w:hAnsi="Calibri" w:cs="Calibri"/>
                <w:color w:val="000000"/>
                <w:sz w:val="20"/>
                <w:lang w:eastAsia="en-GB"/>
              </w:rPr>
              <w:t>(26)</w:t>
            </w:r>
          </w:p>
        </w:tc>
      </w:tr>
      <w:tr w:rsidR="00A61FA0" w:rsidRPr="00A61FA0" w14:paraId="1AF35680"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63357CE3" w14:textId="77777777" w:rsidR="00A61FA0" w:rsidRPr="00A61FA0" w:rsidRDefault="00A61FA0" w:rsidP="00A61FA0">
            <w:pPr>
              <w:jc w:val="both"/>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1604F087"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568C1946"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nil"/>
              <w:left w:val="nil"/>
              <w:bottom w:val="nil"/>
              <w:right w:val="nil"/>
            </w:tcBorders>
            <w:shd w:val="clear" w:color="auto" w:fill="auto"/>
            <w:noWrap/>
            <w:vAlign w:val="center"/>
            <w:hideMark/>
          </w:tcPr>
          <w:p w14:paraId="57B26F0A"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735ABFF3"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nil"/>
              <w:left w:val="nil"/>
              <w:bottom w:val="nil"/>
              <w:right w:val="nil"/>
            </w:tcBorders>
            <w:shd w:val="clear" w:color="000000" w:fill="F2F2F2"/>
            <w:noWrap/>
            <w:vAlign w:val="center"/>
            <w:hideMark/>
          </w:tcPr>
          <w:p w14:paraId="7B82CE00"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6425D899" w14:textId="77777777" w:rsidR="00A61FA0" w:rsidRPr="00A61FA0" w:rsidRDefault="00A61FA0" w:rsidP="00A61FA0">
            <w:pPr>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r>
      <w:tr w:rsidR="00A61FA0" w:rsidRPr="00A61FA0" w14:paraId="0ED94115"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44A3C14"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Adjusted EBITDA</w:t>
            </w:r>
            <w:r w:rsidRPr="00A61FA0">
              <w:rPr>
                <w:rFonts w:ascii="Calibri" w:hAnsi="Calibri" w:cs="Calibri"/>
                <w:b/>
                <w:bCs/>
                <w:color w:val="000000"/>
                <w:sz w:val="20"/>
                <w:vertAlign w:val="superscript"/>
                <w:lang w:eastAsia="en-GB"/>
              </w:rPr>
              <w:t>1,2</w:t>
            </w:r>
          </w:p>
        </w:tc>
        <w:tc>
          <w:tcPr>
            <w:tcW w:w="960" w:type="dxa"/>
            <w:tcBorders>
              <w:top w:val="nil"/>
              <w:left w:val="single" w:sz="8" w:space="0" w:color="auto"/>
              <w:bottom w:val="nil"/>
              <w:right w:val="nil"/>
            </w:tcBorders>
            <w:shd w:val="clear" w:color="000000" w:fill="F2F2F2"/>
            <w:noWrap/>
            <w:vAlign w:val="center"/>
            <w:hideMark/>
          </w:tcPr>
          <w:p w14:paraId="2EEF7AFF"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684</w:t>
            </w:r>
          </w:p>
        </w:tc>
        <w:tc>
          <w:tcPr>
            <w:tcW w:w="960" w:type="dxa"/>
            <w:tcBorders>
              <w:top w:val="nil"/>
              <w:left w:val="nil"/>
              <w:bottom w:val="nil"/>
              <w:right w:val="single" w:sz="8" w:space="0" w:color="auto"/>
            </w:tcBorders>
            <w:shd w:val="clear" w:color="000000" w:fill="F2F2F2"/>
            <w:noWrap/>
            <w:vAlign w:val="center"/>
            <w:hideMark/>
          </w:tcPr>
          <w:p w14:paraId="344E572A"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523</w:t>
            </w:r>
          </w:p>
        </w:tc>
        <w:tc>
          <w:tcPr>
            <w:tcW w:w="960" w:type="dxa"/>
            <w:tcBorders>
              <w:top w:val="nil"/>
              <w:left w:val="nil"/>
              <w:bottom w:val="nil"/>
              <w:right w:val="nil"/>
            </w:tcBorders>
            <w:shd w:val="clear" w:color="auto" w:fill="auto"/>
            <w:noWrap/>
            <w:vAlign w:val="center"/>
            <w:hideMark/>
          </w:tcPr>
          <w:p w14:paraId="3C72A78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342</w:t>
            </w:r>
          </w:p>
        </w:tc>
        <w:tc>
          <w:tcPr>
            <w:tcW w:w="960" w:type="dxa"/>
            <w:tcBorders>
              <w:top w:val="nil"/>
              <w:left w:val="nil"/>
              <w:bottom w:val="nil"/>
              <w:right w:val="single" w:sz="8" w:space="0" w:color="auto"/>
            </w:tcBorders>
            <w:shd w:val="clear" w:color="auto" w:fill="auto"/>
            <w:noWrap/>
            <w:vAlign w:val="center"/>
            <w:hideMark/>
          </w:tcPr>
          <w:p w14:paraId="15917B2D"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307</w:t>
            </w:r>
          </w:p>
        </w:tc>
        <w:tc>
          <w:tcPr>
            <w:tcW w:w="960" w:type="dxa"/>
            <w:tcBorders>
              <w:top w:val="nil"/>
              <w:left w:val="nil"/>
              <w:bottom w:val="nil"/>
              <w:right w:val="nil"/>
            </w:tcBorders>
            <w:shd w:val="clear" w:color="000000" w:fill="F2F2F2"/>
            <w:noWrap/>
            <w:vAlign w:val="center"/>
            <w:hideMark/>
          </w:tcPr>
          <w:p w14:paraId="092F295E"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342</w:t>
            </w:r>
          </w:p>
        </w:tc>
        <w:tc>
          <w:tcPr>
            <w:tcW w:w="960" w:type="dxa"/>
            <w:tcBorders>
              <w:top w:val="nil"/>
              <w:left w:val="nil"/>
              <w:bottom w:val="nil"/>
              <w:right w:val="single" w:sz="8" w:space="0" w:color="auto"/>
            </w:tcBorders>
            <w:shd w:val="clear" w:color="000000" w:fill="F2F2F2"/>
            <w:noWrap/>
            <w:vAlign w:val="center"/>
            <w:hideMark/>
          </w:tcPr>
          <w:p w14:paraId="7152C194"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216</w:t>
            </w:r>
          </w:p>
        </w:tc>
      </w:tr>
      <w:tr w:rsidR="00A61FA0" w:rsidRPr="00A61FA0" w14:paraId="6F555A00"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3FA26EE9" w14:textId="77777777" w:rsidR="00A61FA0" w:rsidRPr="00A61FA0" w:rsidRDefault="00A61FA0" w:rsidP="00A61FA0">
            <w:pPr>
              <w:jc w:val="both"/>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Adjusted EBITDA margin</w:t>
            </w:r>
          </w:p>
        </w:tc>
        <w:tc>
          <w:tcPr>
            <w:tcW w:w="960" w:type="dxa"/>
            <w:tcBorders>
              <w:top w:val="nil"/>
              <w:left w:val="single" w:sz="8" w:space="0" w:color="auto"/>
              <w:bottom w:val="nil"/>
              <w:right w:val="nil"/>
            </w:tcBorders>
            <w:shd w:val="clear" w:color="000000" w:fill="F2F2F2"/>
            <w:noWrap/>
            <w:vAlign w:val="center"/>
            <w:hideMark/>
          </w:tcPr>
          <w:p w14:paraId="5585C7E5"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28.6%</w:t>
            </w:r>
          </w:p>
        </w:tc>
        <w:tc>
          <w:tcPr>
            <w:tcW w:w="960" w:type="dxa"/>
            <w:tcBorders>
              <w:top w:val="nil"/>
              <w:left w:val="nil"/>
              <w:bottom w:val="nil"/>
              <w:right w:val="single" w:sz="8" w:space="0" w:color="auto"/>
            </w:tcBorders>
            <w:shd w:val="clear" w:color="000000" w:fill="F2F2F2"/>
            <w:noWrap/>
            <w:vAlign w:val="center"/>
            <w:hideMark/>
          </w:tcPr>
          <w:p w14:paraId="08528193"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26.5%</w:t>
            </w:r>
          </w:p>
        </w:tc>
        <w:tc>
          <w:tcPr>
            <w:tcW w:w="960" w:type="dxa"/>
            <w:tcBorders>
              <w:top w:val="nil"/>
              <w:left w:val="nil"/>
              <w:bottom w:val="nil"/>
              <w:right w:val="nil"/>
            </w:tcBorders>
            <w:shd w:val="clear" w:color="auto" w:fill="auto"/>
            <w:noWrap/>
            <w:vAlign w:val="center"/>
            <w:hideMark/>
          </w:tcPr>
          <w:p w14:paraId="60418EA9"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39.5%</w:t>
            </w:r>
          </w:p>
        </w:tc>
        <w:tc>
          <w:tcPr>
            <w:tcW w:w="960" w:type="dxa"/>
            <w:tcBorders>
              <w:top w:val="nil"/>
              <w:left w:val="nil"/>
              <w:bottom w:val="nil"/>
              <w:right w:val="single" w:sz="8" w:space="0" w:color="auto"/>
            </w:tcBorders>
            <w:shd w:val="clear" w:color="auto" w:fill="auto"/>
            <w:noWrap/>
            <w:vAlign w:val="center"/>
            <w:hideMark/>
          </w:tcPr>
          <w:p w14:paraId="4E0AD451"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32.2%</w:t>
            </w:r>
          </w:p>
        </w:tc>
        <w:tc>
          <w:tcPr>
            <w:tcW w:w="960" w:type="dxa"/>
            <w:tcBorders>
              <w:top w:val="nil"/>
              <w:left w:val="nil"/>
              <w:bottom w:val="nil"/>
              <w:right w:val="nil"/>
            </w:tcBorders>
            <w:shd w:val="clear" w:color="000000" w:fill="F2F2F2"/>
            <w:noWrap/>
            <w:vAlign w:val="center"/>
            <w:hideMark/>
          </w:tcPr>
          <w:p w14:paraId="108008FC"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22.4%</w:t>
            </w:r>
          </w:p>
        </w:tc>
        <w:tc>
          <w:tcPr>
            <w:tcW w:w="960" w:type="dxa"/>
            <w:tcBorders>
              <w:top w:val="nil"/>
              <w:left w:val="nil"/>
              <w:bottom w:val="nil"/>
              <w:right w:val="single" w:sz="8" w:space="0" w:color="auto"/>
            </w:tcBorders>
            <w:shd w:val="clear" w:color="000000" w:fill="F2F2F2"/>
            <w:noWrap/>
            <w:vAlign w:val="center"/>
            <w:hideMark/>
          </w:tcPr>
          <w:p w14:paraId="1AE5720F"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21.</w:t>
            </w:r>
            <w:r w:rsidR="00842960">
              <w:rPr>
                <w:rFonts w:ascii="Calibri" w:hAnsi="Calibri" w:cs="Calibri"/>
                <w:i/>
                <w:iCs/>
                <w:color w:val="000000"/>
                <w:sz w:val="18"/>
                <w:szCs w:val="18"/>
                <w:lang w:eastAsia="en-GB"/>
              </w:rPr>
              <w:t>1</w:t>
            </w:r>
            <w:r w:rsidRPr="00A61FA0">
              <w:rPr>
                <w:rFonts w:ascii="Calibri" w:hAnsi="Calibri" w:cs="Calibri"/>
                <w:i/>
                <w:iCs/>
                <w:color w:val="000000"/>
                <w:sz w:val="18"/>
                <w:szCs w:val="18"/>
                <w:lang w:eastAsia="en-GB"/>
              </w:rPr>
              <w:t>%</w:t>
            </w:r>
          </w:p>
        </w:tc>
      </w:tr>
      <w:tr w:rsidR="00A61FA0" w:rsidRPr="00A61FA0" w14:paraId="4CB97A1F"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386AA6D0"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6E8E5A4B"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662ADC31"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154E21D7"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7174E701"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000000" w:fill="F2F2F2"/>
            <w:noWrap/>
            <w:vAlign w:val="center"/>
            <w:hideMark/>
          </w:tcPr>
          <w:p w14:paraId="2CCF1085"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1EB97B3C"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524556FB"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28EE27D"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Depreciation and amortisation</w:t>
            </w:r>
          </w:p>
        </w:tc>
        <w:tc>
          <w:tcPr>
            <w:tcW w:w="960" w:type="dxa"/>
            <w:tcBorders>
              <w:top w:val="nil"/>
              <w:left w:val="single" w:sz="8" w:space="0" w:color="auto"/>
              <w:bottom w:val="single" w:sz="8" w:space="0" w:color="auto"/>
              <w:right w:val="nil"/>
            </w:tcBorders>
            <w:shd w:val="clear" w:color="000000" w:fill="F2F2F2"/>
            <w:noWrap/>
            <w:vAlign w:val="center"/>
            <w:hideMark/>
          </w:tcPr>
          <w:p w14:paraId="3E93861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(117)</w:t>
            </w:r>
          </w:p>
        </w:tc>
        <w:tc>
          <w:tcPr>
            <w:tcW w:w="960" w:type="dxa"/>
            <w:tcBorders>
              <w:top w:val="nil"/>
              <w:left w:val="nil"/>
              <w:bottom w:val="single" w:sz="8" w:space="0" w:color="auto"/>
              <w:right w:val="single" w:sz="8" w:space="0" w:color="auto"/>
            </w:tcBorders>
            <w:shd w:val="clear" w:color="000000" w:fill="F2F2F2"/>
            <w:noWrap/>
            <w:vAlign w:val="center"/>
            <w:hideMark/>
          </w:tcPr>
          <w:p w14:paraId="3C8CE2E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(103)</w:t>
            </w:r>
          </w:p>
        </w:tc>
        <w:tc>
          <w:tcPr>
            <w:tcW w:w="960" w:type="dxa"/>
            <w:tcBorders>
              <w:top w:val="nil"/>
              <w:left w:val="nil"/>
              <w:bottom w:val="single" w:sz="8" w:space="0" w:color="auto"/>
              <w:right w:val="nil"/>
            </w:tcBorders>
            <w:shd w:val="clear" w:color="auto" w:fill="auto"/>
            <w:noWrap/>
            <w:vAlign w:val="center"/>
            <w:hideMark/>
          </w:tcPr>
          <w:p w14:paraId="03EA6728"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(28)</w:t>
            </w:r>
          </w:p>
        </w:tc>
        <w:tc>
          <w:tcPr>
            <w:tcW w:w="960" w:type="dxa"/>
            <w:tcBorders>
              <w:top w:val="nil"/>
              <w:left w:val="nil"/>
              <w:bottom w:val="single" w:sz="8" w:space="0" w:color="auto"/>
              <w:right w:val="single" w:sz="8" w:space="0" w:color="auto"/>
            </w:tcBorders>
            <w:shd w:val="clear" w:color="auto" w:fill="auto"/>
            <w:noWrap/>
            <w:vAlign w:val="center"/>
            <w:hideMark/>
          </w:tcPr>
          <w:p w14:paraId="528420D4"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(34)</w:t>
            </w:r>
          </w:p>
        </w:tc>
        <w:tc>
          <w:tcPr>
            <w:tcW w:w="960" w:type="dxa"/>
            <w:tcBorders>
              <w:top w:val="nil"/>
              <w:left w:val="nil"/>
              <w:bottom w:val="single" w:sz="8" w:space="0" w:color="auto"/>
              <w:right w:val="nil"/>
            </w:tcBorders>
            <w:shd w:val="clear" w:color="000000" w:fill="F2F2F2"/>
            <w:noWrap/>
            <w:vAlign w:val="center"/>
            <w:hideMark/>
          </w:tcPr>
          <w:p w14:paraId="31EC40C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(89)</w:t>
            </w:r>
          </w:p>
        </w:tc>
        <w:tc>
          <w:tcPr>
            <w:tcW w:w="960" w:type="dxa"/>
            <w:tcBorders>
              <w:top w:val="nil"/>
              <w:left w:val="nil"/>
              <w:bottom w:val="single" w:sz="8" w:space="0" w:color="auto"/>
              <w:right w:val="single" w:sz="8" w:space="0" w:color="auto"/>
            </w:tcBorders>
            <w:shd w:val="clear" w:color="000000" w:fill="F2F2F2"/>
            <w:noWrap/>
            <w:vAlign w:val="center"/>
            <w:hideMark/>
          </w:tcPr>
          <w:p w14:paraId="4F7EE5DE" w14:textId="77777777" w:rsidR="00A61FA0" w:rsidRPr="00A61FA0" w:rsidRDefault="00A61FA0" w:rsidP="00A61FA0">
            <w:pPr>
              <w:jc w:val="right"/>
              <w:rPr>
                <w:rFonts w:ascii="Calibri" w:hAnsi="Calibri" w:cs="Calibri"/>
                <w:color w:val="000000"/>
                <w:sz w:val="20"/>
                <w:lang w:eastAsia="en-GB"/>
              </w:rPr>
            </w:pPr>
            <w:r w:rsidRPr="00A61FA0">
              <w:rPr>
                <w:rFonts w:ascii="Calibri" w:hAnsi="Calibri" w:cs="Calibri"/>
                <w:color w:val="000000"/>
                <w:sz w:val="20"/>
                <w:lang w:eastAsia="en-GB"/>
              </w:rPr>
              <w:t>(69)</w:t>
            </w:r>
          </w:p>
        </w:tc>
      </w:tr>
      <w:tr w:rsidR="00A61FA0" w:rsidRPr="00A61FA0" w14:paraId="7074DDB1"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4926B326"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6CB39C15"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4177C552"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2AD99FA6"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auto" w:fill="auto"/>
            <w:noWrap/>
            <w:vAlign w:val="center"/>
            <w:hideMark/>
          </w:tcPr>
          <w:p w14:paraId="79CE7A5E"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000000" w:fill="F2F2F2"/>
            <w:noWrap/>
            <w:vAlign w:val="center"/>
            <w:hideMark/>
          </w:tcPr>
          <w:p w14:paraId="01396AE7"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12C6D20C"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79E2543B"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4E69B1A5"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Adjusted</w:t>
            </w:r>
            <w:r w:rsidRPr="00A61FA0">
              <w:rPr>
                <w:rFonts w:ascii="Calibri" w:hAnsi="Calibri" w:cs="Calibri"/>
                <w:i/>
                <w:iCs/>
                <w:color w:val="000000"/>
                <w:sz w:val="18"/>
                <w:szCs w:val="18"/>
                <w:vertAlign w:val="superscript"/>
                <w:lang w:eastAsia="en-GB"/>
              </w:rPr>
              <w:t xml:space="preserve">1 </w:t>
            </w:r>
            <w:r w:rsidRPr="00A61FA0">
              <w:rPr>
                <w:rFonts w:ascii="Calibri" w:hAnsi="Calibri" w:cs="Calibri"/>
                <w:b/>
                <w:bCs/>
                <w:color w:val="000000"/>
                <w:sz w:val="20"/>
                <w:lang w:eastAsia="en-GB"/>
              </w:rPr>
              <w:t>operating profit</w:t>
            </w:r>
          </w:p>
        </w:tc>
        <w:tc>
          <w:tcPr>
            <w:tcW w:w="960" w:type="dxa"/>
            <w:tcBorders>
              <w:top w:val="nil"/>
              <w:left w:val="single" w:sz="8" w:space="0" w:color="auto"/>
              <w:bottom w:val="nil"/>
              <w:right w:val="nil"/>
            </w:tcBorders>
            <w:shd w:val="clear" w:color="000000" w:fill="F2F2F2"/>
            <w:noWrap/>
            <w:vAlign w:val="center"/>
            <w:hideMark/>
          </w:tcPr>
          <w:p w14:paraId="47D0DD2F"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567</w:t>
            </w:r>
          </w:p>
        </w:tc>
        <w:tc>
          <w:tcPr>
            <w:tcW w:w="960" w:type="dxa"/>
            <w:tcBorders>
              <w:top w:val="nil"/>
              <w:left w:val="nil"/>
              <w:bottom w:val="nil"/>
              <w:right w:val="single" w:sz="8" w:space="0" w:color="auto"/>
            </w:tcBorders>
            <w:shd w:val="clear" w:color="000000" w:fill="F2F2F2"/>
            <w:noWrap/>
            <w:vAlign w:val="center"/>
            <w:hideMark/>
          </w:tcPr>
          <w:p w14:paraId="32C23089"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420</w:t>
            </w:r>
          </w:p>
        </w:tc>
        <w:tc>
          <w:tcPr>
            <w:tcW w:w="960" w:type="dxa"/>
            <w:tcBorders>
              <w:top w:val="nil"/>
              <w:left w:val="nil"/>
              <w:bottom w:val="nil"/>
              <w:right w:val="nil"/>
            </w:tcBorders>
            <w:shd w:val="clear" w:color="auto" w:fill="auto"/>
            <w:noWrap/>
            <w:vAlign w:val="center"/>
            <w:hideMark/>
          </w:tcPr>
          <w:p w14:paraId="5ECCD727"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314</w:t>
            </w:r>
          </w:p>
        </w:tc>
        <w:tc>
          <w:tcPr>
            <w:tcW w:w="960" w:type="dxa"/>
            <w:tcBorders>
              <w:top w:val="nil"/>
              <w:left w:val="nil"/>
              <w:bottom w:val="nil"/>
              <w:right w:val="single" w:sz="8" w:space="0" w:color="auto"/>
            </w:tcBorders>
            <w:shd w:val="clear" w:color="auto" w:fill="auto"/>
            <w:noWrap/>
            <w:vAlign w:val="center"/>
            <w:hideMark/>
          </w:tcPr>
          <w:p w14:paraId="7366D5C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273</w:t>
            </w:r>
          </w:p>
        </w:tc>
        <w:tc>
          <w:tcPr>
            <w:tcW w:w="960" w:type="dxa"/>
            <w:tcBorders>
              <w:top w:val="nil"/>
              <w:left w:val="nil"/>
              <w:bottom w:val="nil"/>
              <w:right w:val="nil"/>
            </w:tcBorders>
            <w:shd w:val="clear" w:color="000000" w:fill="F2F2F2"/>
            <w:noWrap/>
            <w:vAlign w:val="center"/>
            <w:hideMark/>
          </w:tcPr>
          <w:p w14:paraId="4B23E844"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253</w:t>
            </w:r>
          </w:p>
        </w:tc>
        <w:tc>
          <w:tcPr>
            <w:tcW w:w="960" w:type="dxa"/>
            <w:tcBorders>
              <w:top w:val="nil"/>
              <w:left w:val="nil"/>
              <w:bottom w:val="nil"/>
              <w:right w:val="single" w:sz="8" w:space="0" w:color="auto"/>
            </w:tcBorders>
            <w:shd w:val="clear" w:color="000000" w:fill="F2F2F2"/>
            <w:noWrap/>
            <w:vAlign w:val="center"/>
            <w:hideMark/>
          </w:tcPr>
          <w:p w14:paraId="3B9262BA"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147</w:t>
            </w:r>
          </w:p>
        </w:tc>
      </w:tr>
      <w:tr w:rsidR="00A61FA0" w:rsidRPr="00A61FA0" w14:paraId="11BBB44D" w14:textId="77777777" w:rsidTr="005F7FC8">
        <w:trPr>
          <w:trHeight w:val="45"/>
        </w:trPr>
        <w:tc>
          <w:tcPr>
            <w:tcW w:w="3060" w:type="dxa"/>
            <w:tcBorders>
              <w:top w:val="single" w:sz="8" w:space="0" w:color="auto"/>
              <w:left w:val="single" w:sz="8" w:space="0" w:color="auto"/>
              <w:bottom w:val="nil"/>
              <w:right w:val="nil"/>
            </w:tcBorders>
            <w:shd w:val="clear" w:color="auto" w:fill="auto"/>
            <w:noWrap/>
            <w:vAlign w:val="center"/>
            <w:hideMark/>
          </w:tcPr>
          <w:p w14:paraId="7AC65364" w14:textId="77777777" w:rsidR="00A61FA0" w:rsidRPr="00A61FA0" w:rsidRDefault="00A61FA0" w:rsidP="00A61FA0">
            <w:pPr>
              <w:jc w:val="both"/>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960" w:type="dxa"/>
            <w:tcBorders>
              <w:top w:val="single" w:sz="8" w:space="0" w:color="auto"/>
              <w:left w:val="single" w:sz="8" w:space="0" w:color="auto"/>
              <w:bottom w:val="nil"/>
              <w:right w:val="nil"/>
            </w:tcBorders>
            <w:shd w:val="clear" w:color="000000" w:fill="F2F2F2"/>
            <w:noWrap/>
            <w:vAlign w:val="center"/>
            <w:hideMark/>
          </w:tcPr>
          <w:p w14:paraId="257A1C30"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single" w:sz="8" w:space="0" w:color="auto"/>
              <w:left w:val="nil"/>
              <w:bottom w:val="nil"/>
              <w:right w:val="single" w:sz="8" w:space="0" w:color="auto"/>
            </w:tcBorders>
            <w:shd w:val="clear" w:color="000000" w:fill="F2F2F2"/>
            <w:noWrap/>
            <w:vAlign w:val="center"/>
            <w:hideMark/>
          </w:tcPr>
          <w:p w14:paraId="589836D3"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single" w:sz="8" w:space="0" w:color="auto"/>
              <w:left w:val="nil"/>
              <w:bottom w:val="nil"/>
              <w:right w:val="nil"/>
            </w:tcBorders>
            <w:shd w:val="clear" w:color="auto" w:fill="auto"/>
            <w:noWrap/>
            <w:vAlign w:val="center"/>
            <w:hideMark/>
          </w:tcPr>
          <w:p w14:paraId="627C313D"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single" w:sz="8" w:space="0" w:color="auto"/>
              <w:left w:val="nil"/>
              <w:bottom w:val="nil"/>
              <w:right w:val="nil"/>
            </w:tcBorders>
            <w:shd w:val="clear" w:color="auto" w:fill="auto"/>
            <w:noWrap/>
            <w:vAlign w:val="center"/>
            <w:hideMark/>
          </w:tcPr>
          <w:p w14:paraId="5179E346"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single" w:sz="8" w:space="0" w:color="auto"/>
              <w:left w:val="single" w:sz="8" w:space="0" w:color="auto"/>
              <w:bottom w:val="nil"/>
              <w:right w:val="nil"/>
            </w:tcBorders>
            <w:shd w:val="clear" w:color="000000" w:fill="F2F2F2"/>
            <w:noWrap/>
            <w:vAlign w:val="center"/>
            <w:hideMark/>
          </w:tcPr>
          <w:p w14:paraId="4C10E6C5"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960" w:type="dxa"/>
            <w:tcBorders>
              <w:top w:val="single" w:sz="8" w:space="0" w:color="auto"/>
              <w:left w:val="nil"/>
              <w:bottom w:val="nil"/>
              <w:right w:val="single" w:sz="8" w:space="0" w:color="auto"/>
            </w:tcBorders>
            <w:shd w:val="clear" w:color="000000" w:fill="F2F2F2"/>
            <w:noWrap/>
            <w:vAlign w:val="center"/>
            <w:hideMark/>
          </w:tcPr>
          <w:p w14:paraId="3F71F473"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61E21525"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69009D40" w14:textId="77777777" w:rsidR="00A61FA0" w:rsidRPr="00A61FA0" w:rsidRDefault="00A61FA0" w:rsidP="00A61FA0">
            <w:pPr>
              <w:jc w:val="both"/>
              <w:rPr>
                <w:rFonts w:ascii="Calibri" w:hAnsi="Calibri" w:cs="Calibri"/>
                <w:b/>
                <w:bCs/>
                <w:color w:val="000000"/>
                <w:sz w:val="18"/>
                <w:szCs w:val="18"/>
                <w:lang w:eastAsia="en-GB"/>
              </w:rPr>
            </w:pPr>
            <w:r w:rsidRPr="00A61FA0">
              <w:rPr>
                <w:rFonts w:ascii="Calibri" w:hAnsi="Calibri" w:cs="Calibri"/>
                <w:b/>
                <w:bCs/>
                <w:color w:val="000000"/>
                <w:sz w:val="18"/>
                <w:szCs w:val="18"/>
                <w:lang w:eastAsia="en-GB"/>
              </w:rPr>
              <w:t>Revenue by division</w:t>
            </w:r>
          </w:p>
        </w:tc>
        <w:tc>
          <w:tcPr>
            <w:tcW w:w="960" w:type="dxa"/>
            <w:tcBorders>
              <w:top w:val="nil"/>
              <w:left w:val="single" w:sz="8" w:space="0" w:color="auto"/>
              <w:bottom w:val="nil"/>
              <w:right w:val="nil"/>
            </w:tcBorders>
            <w:shd w:val="clear" w:color="000000" w:fill="F2F2F2"/>
            <w:noWrap/>
            <w:vAlign w:val="center"/>
            <w:hideMark/>
          </w:tcPr>
          <w:p w14:paraId="579D91B1" w14:textId="77777777" w:rsidR="00A61FA0" w:rsidRPr="00A61FA0" w:rsidRDefault="00A61FA0" w:rsidP="00A61FA0">
            <w:pPr>
              <w:jc w:val="right"/>
              <w:rPr>
                <w:rFonts w:ascii="Calibri" w:hAnsi="Calibri" w:cs="Calibri"/>
                <w:b/>
                <w:bCs/>
                <w:sz w:val="18"/>
                <w:szCs w:val="18"/>
                <w:lang w:eastAsia="en-GB"/>
              </w:rPr>
            </w:pPr>
            <w:r w:rsidRPr="00A61FA0">
              <w:rPr>
                <w:rFonts w:ascii="Calibri" w:hAnsi="Calibri" w:cs="Calibri"/>
                <w:b/>
                <w:bCs/>
                <w:sz w:val="18"/>
                <w:szCs w:val="18"/>
                <w:lang w:eastAsia="en-GB"/>
              </w:rPr>
              <w:t> </w:t>
            </w:r>
          </w:p>
        </w:tc>
        <w:tc>
          <w:tcPr>
            <w:tcW w:w="960" w:type="dxa"/>
            <w:tcBorders>
              <w:top w:val="nil"/>
              <w:left w:val="nil"/>
              <w:bottom w:val="nil"/>
              <w:right w:val="single" w:sz="8" w:space="0" w:color="auto"/>
            </w:tcBorders>
            <w:shd w:val="clear" w:color="000000" w:fill="F2F2F2"/>
            <w:noWrap/>
            <w:vAlign w:val="center"/>
            <w:hideMark/>
          </w:tcPr>
          <w:p w14:paraId="52EB0D4A" w14:textId="77777777" w:rsidR="00A61FA0" w:rsidRPr="00A61FA0" w:rsidRDefault="00A61FA0" w:rsidP="00A61FA0">
            <w:pPr>
              <w:jc w:val="right"/>
              <w:rPr>
                <w:rFonts w:ascii="Calibri" w:hAnsi="Calibri" w:cs="Calibri"/>
                <w:b/>
                <w:bCs/>
                <w:sz w:val="18"/>
                <w:szCs w:val="18"/>
                <w:lang w:eastAsia="en-GB"/>
              </w:rPr>
            </w:pPr>
            <w:r w:rsidRPr="00A61FA0">
              <w:rPr>
                <w:rFonts w:ascii="Calibri" w:hAnsi="Calibri" w:cs="Calibri"/>
                <w:b/>
                <w:bCs/>
                <w:sz w:val="18"/>
                <w:szCs w:val="18"/>
                <w:lang w:eastAsia="en-GB"/>
              </w:rPr>
              <w:t> </w:t>
            </w:r>
          </w:p>
        </w:tc>
        <w:tc>
          <w:tcPr>
            <w:tcW w:w="960" w:type="dxa"/>
            <w:tcBorders>
              <w:top w:val="nil"/>
              <w:left w:val="nil"/>
              <w:bottom w:val="nil"/>
              <w:right w:val="nil"/>
            </w:tcBorders>
            <w:shd w:val="clear" w:color="auto" w:fill="auto"/>
            <w:noWrap/>
            <w:vAlign w:val="center"/>
            <w:hideMark/>
          </w:tcPr>
          <w:p w14:paraId="1E69AF7E" w14:textId="77777777" w:rsidR="00A61FA0" w:rsidRPr="00A61FA0" w:rsidRDefault="00A61FA0" w:rsidP="00A61FA0">
            <w:pPr>
              <w:jc w:val="right"/>
              <w:rPr>
                <w:rFonts w:ascii="Calibri" w:hAnsi="Calibri" w:cs="Calibri"/>
                <w:b/>
                <w:bCs/>
                <w:sz w:val="18"/>
                <w:szCs w:val="18"/>
                <w:lang w:eastAsia="en-GB"/>
              </w:rPr>
            </w:pPr>
          </w:p>
        </w:tc>
        <w:tc>
          <w:tcPr>
            <w:tcW w:w="960" w:type="dxa"/>
            <w:tcBorders>
              <w:top w:val="nil"/>
              <w:left w:val="nil"/>
              <w:bottom w:val="nil"/>
              <w:right w:val="nil"/>
            </w:tcBorders>
            <w:shd w:val="clear" w:color="auto" w:fill="auto"/>
            <w:noWrap/>
            <w:vAlign w:val="center"/>
            <w:hideMark/>
          </w:tcPr>
          <w:p w14:paraId="577E45EB" w14:textId="77777777" w:rsidR="00A61FA0" w:rsidRPr="00A61FA0" w:rsidRDefault="00A61FA0" w:rsidP="00A61FA0">
            <w:pPr>
              <w:jc w:val="right"/>
              <w:rPr>
                <w:rFonts w:ascii="Times New Roman" w:hAnsi="Times New Roman"/>
                <w:sz w:val="20"/>
                <w:lang w:eastAsia="en-GB"/>
              </w:rPr>
            </w:pPr>
          </w:p>
        </w:tc>
        <w:tc>
          <w:tcPr>
            <w:tcW w:w="960" w:type="dxa"/>
            <w:tcBorders>
              <w:top w:val="nil"/>
              <w:left w:val="single" w:sz="8" w:space="0" w:color="auto"/>
              <w:bottom w:val="nil"/>
              <w:right w:val="nil"/>
            </w:tcBorders>
            <w:shd w:val="clear" w:color="000000" w:fill="F2F2F2"/>
            <w:noWrap/>
            <w:vAlign w:val="center"/>
            <w:hideMark/>
          </w:tcPr>
          <w:p w14:paraId="224D3DB6"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 </w:t>
            </w:r>
          </w:p>
        </w:tc>
        <w:tc>
          <w:tcPr>
            <w:tcW w:w="960" w:type="dxa"/>
            <w:tcBorders>
              <w:top w:val="nil"/>
              <w:left w:val="nil"/>
              <w:bottom w:val="nil"/>
              <w:right w:val="single" w:sz="8" w:space="0" w:color="auto"/>
            </w:tcBorders>
            <w:shd w:val="clear" w:color="000000" w:fill="F2F2F2"/>
            <w:noWrap/>
            <w:vAlign w:val="center"/>
            <w:hideMark/>
          </w:tcPr>
          <w:p w14:paraId="084533D5"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 </w:t>
            </w:r>
          </w:p>
        </w:tc>
      </w:tr>
      <w:tr w:rsidR="00A61FA0" w:rsidRPr="00A61FA0" w14:paraId="30B29848"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39521112"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PPB</w:t>
            </w:r>
          </w:p>
        </w:tc>
        <w:tc>
          <w:tcPr>
            <w:tcW w:w="960" w:type="dxa"/>
            <w:tcBorders>
              <w:top w:val="nil"/>
              <w:left w:val="single" w:sz="8" w:space="0" w:color="auto"/>
              <w:bottom w:val="nil"/>
              <w:right w:val="nil"/>
            </w:tcBorders>
            <w:shd w:val="clear" w:color="000000" w:fill="F2F2F2"/>
            <w:noWrap/>
            <w:vAlign w:val="center"/>
            <w:hideMark/>
          </w:tcPr>
          <w:p w14:paraId="1C65B73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540</w:t>
            </w:r>
          </w:p>
        </w:tc>
        <w:tc>
          <w:tcPr>
            <w:tcW w:w="960" w:type="dxa"/>
            <w:tcBorders>
              <w:top w:val="nil"/>
              <w:left w:val="nil"/>
              <w:bottom w:val="nil"/>
              <w:right w:val="single" w:sz="8" w:space="0" w:color="auto"/>
            </w:tcBorders>
            <w:shd w:val="clear" w:color="000000" w:fill="F2F2F2"/>
            <w:noWrap/>
            <w:vAlign w:val="center"/>
            <w:hideMark/>
          </w:tcPr>
          <w:p w14:paraId="053233AA"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658</w:t>
            </w:r>
          </w:p>
        </w:tc>
        <w:tc>
          <w:tcPr>
            <w:tcW w:w="960" w:type="dxa"/>
            <w:tcBorders>
              <w:top w:val="nil"/>
              <w:left w:val="nil"/>
              <w:bottom w:val="nil"/>
              <w:right w:val="nil"/>
            </w:tcBorders>
            <w:shd w:val="clear" w:color="auto" w:fill="auto"/>
            <w:noWrap/>
            <w:vAlign w:val="center"/>
            <w:hideMark/>
          </w:tcPr>
          <w:p w14:paraId="71F4B834" w14:textId="77777777" w:rsidR="00A61FA0" w:rsidRPr="00A61FA0" w:rsidRDefault="00417DE4" w:rsidP="00A61FA0">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960" w:type="dxa"/>
            <w:tcBorders>
              <w:top w:val="nil"/>
              <w:left w:val="nil"/>
              <w:bottom w:val="nil"/>
              <w:right w:val="single" w:sz="8" w:space="0" w:color="auto"/>
            </w:tcBorders>
            <w:shd w:val="clear" w:color="auto" w:fill="auto"/>
            <w:noWrap/>
            <w:vAlign w:val="center"/>
            <w:hideMark/>
          </w:tcPr>
          <w:p w14:paraId="544B8C9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w:t>
            </w:r>
          </w:p>
        </w:tc>
        <w:tc>
          <w:tcPr>
            <w:tcW w:w="960" w:type="dxa"/>
            <w:tcBorders>
              <w:top w:val="nil"/>
              <w:left w:val="nil"/>
              <w:bottom w:val="nil"/>
              <w:right w:val="nil"/>
            </w:tcBorders>
            <w:shd w:val="clear" w:color="000000" w:fill="F2F2F2"/>
            <w:noWrap/>
            <w:vAlign w:val="center"/>
            <w:hideMark/>
          </w:tcPr>
          <w:p w14:paraId="715E4843"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540</w:t>
            </w:r>
          </w:p>
        </w:tc>
        <w:tc>
          <w:tcPr>
            <w:tcW w:w="960" w:type="dxa"/>
            <w:tcBorders>
              <w:top w:val="nil"/>
              <w:left w:val="nil"/>
              <w:bottom w:val="nil"/>
              <w:right w:val="single" w:sz="8" w:space="0" w:color="auto"/>
            </w:tcBorders>
            <w:shd w:val="clear" w:color="000000" w:fill="F2F2F2"/>
            <w:noWrap/>
            <w:vAlign w:val="center"/>
            <w:hideMark/>
          </w:tcPr>
          <w:p w14:paraId="49071B64"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653</w:t>
            </w:r>
          </w:p>
        </w:tc>
      </w:tr>
      <w:tr w:rsidR="00A61FA0" w:rsidRPr="00A61FA0" w14:paraId="0C49873F"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4E88CA89"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SBG</w:t>
            </w:r>
          </w:p>
        </w:tc>
        <w:tc>
          <w:tcPr>
            <w:tcW w:w="960" w:type="dxa"/>
            <w:tcBorders>
              <w:top w:val="nil"/>
              <w:left w:val="single" w:sz="8" w:space="0" w:color="auto"/>
              <w:bottom w:val="nil"/>
              <w:right w:val="nil"/>
            </w:tcBorders>
            <w:shd w:val="clear" w:color="000000" w:fill="F2F2F2"/>
            <w:noWrap/>
            <w:vAlign w:val="center"/>
            <w:hideMark/>
          </w:tcPr>
          <w:p w14:paraId="70CED57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439</w:t>
            </w:r>
          </w:p>
        </w:tc>
        <w:tc>
          <w:tcPr>
            <w:tcW w:w="960" w:type="dxa"/>
            <w:tcBorders>
              <w:top w:val="nil"/>
              <w:left w:val="nil"/>
              <w:bottom w:val="nil"/>
              <w:right w:val="single" w:sz="8" w:space="0" w:color="auto"/>
            </w:tcBorders>
            <w:shd w:val="clear" w:color="000000" w:fill="F2F2F2"/>
            <w:noWrap/>
            <w:vAlign w:val="center"/>
            <w:hideMark/>
          </w:tcPr>
          <w:p w14:paraId="49DF2A9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331</w:t>
            </w:r>
          </w:p>
        </w:tc>
        <w:tc>
          <w:tcPr>
            <w:tcW w:w="960" w:type="dxa"/>
            <w:tcBorders>
              <w:top w:val="nil"/>
              <w:left w:val="nil"/>
              <w:bottom w:val="nil"/>
              <w:right w:val="nil"/>
            </w:tcBorders>
            <w:shd w:val="clear" w:color="auto" w:fill="auto"/>
            <w:noWrap/>
            <w:vAlign w:val="center"/>
            <w:hideMark/>
          </w:tcPr>
          <w:p w14:paraId="1170C057"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290</w:t>
            </w:r>
          </w:p>
        </w:tc>
        <w:tc>
          <w:tcPr>
            <w:tcW w:w="960" w:type="dxa"/>
            <w:tcBorders>
              <w:top w:val="nil"/>
              <w:left w:val="nil"/>
              <w:bottom w:val="nil"/>
              <w:right w:val="nil"/>
            </w:tcBorders>
            <w:shd w:val="clear" w:color="auto" w:fill="auto"/>
            <w:noWrap/>
            <w:vAlign w:val="center"/>
            <w:hideMark/>
          </w:tcPr>
          <w:p w14:paraId="2D8F7DE8"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331</w:t>
            </w:r>
          </w:p>
        </w:tc>
        <w:tc>
          <w:tcPr>
            <w:tcW w:w="960" w:type="dxa"/>
            <w:tcBorders>
              <w:top w:val="nil"/>
              <w:left w:val="single" w:sz="8" w:space="0" w:color="auto"/>
              <w:bottom w:val="nil"/>
              <w:right w:val="nil"/>
            </w:tcBorders>
            <w:shd w:val="clear" w:color="000000" w:fill="F2F2F2"/>
            <w:noWrap/>
            <w:vAlign w:val="center"/>
            <w:hideMark/>
          </w:tcPr>
          <w:p w14:paraId="74DDFEE0"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149</w:t>
            </w:r>
          </w:p>
        </w:tc>
        <w:tc>
          <w:tcPr>
            <w:tcW w:w="960" w:type="dxa"/>
            <w:tcBorders>
              <w:top w:val="nil"/>
              <w:left w:val="nil"/>
              <w:bottom w:val="nil"/>
              <w:right w:val="single" w:sz="8" w:space="0" w:color="auto"/>
            </w:tcBorders>
            <w:shd w:val="clear" w:color="000000" w:fill="F2F2F2"/>
            <w:noWrap/>
            <w:vAlign w:val="center"/>
            <w:hideMark/>
          </w:tcPr>
          <w:p w14:paraId="0387D02A" w14:textId="77777777" w:rsidR="00A61FA0" w:rsidRPr="00A61FA0" w:rsidRDefault="00B16C7A" w:rsidP="00A61FA0">
            <w:pPr>
              <w:jc w:val="right"/>
              <w:rPr>
                <w:rFonts w:ascii="Calibri" w:hAnsi="Calibri" w:cs="Calibri"/>
                <w:color w:val="000000"/>
                <w:sz w:val="18"/>
                <w:szCs w:val="18"/>
                <w:lang w:eastAsia="en-GB"/>
              </w:rPr>
            </w:pPr>
            <w:r>
              <w:rPr>
                <w:rFonts w:ascii="Calibri" w:hAnsi="Calibri" w:cs="Calibri"/>
                <w:color w:val="000000"/>
                <w:sz w:val="18"/>
                <w:szCs w:val="18"/>
                <w:lang w:eastAsia="en-GB"/>
              </w:rPr>
              <w:t>-</w:t>
            </w:r>
            <w:r w:rsidR="00A61FA0" w:rsidRPr="00A61FA0">
              <w:rPr>
                <w:rFonts w:ascii="Calibri" w:hAnsi="Calibri" w:cs="Calibri"/>
                <w:color w:val="000000"/>
                <w:sz w:val="18"/>
                <w:szCs w:val="18"/>
                <w:lang w:eastAsia="en-GB"/>
              </w:rPr>
              <w:t> </w:t>
            </w:r>
          </w:p>
        </w:tc>
      </w:tr>
      <w:tr w:rsidR="00A61FA0" w:rsidRPr="00A61FA0" w14:paraId="4E7B11AC"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7BD620E6"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PokerStars</w:t>
            </w:r>
          </w:p>
        </w:tc>
        <w:tc>
          <w:tcPr>
            <w:tcW w:w="960" w:type="dxa"/>
            <w:tcBorders>
              <w:top w:val="nil"/>
              <w:left w:val="single" w:sz="8" w:space="0" w:color="auto"/>
              <w:bottom w:val="nil"/>
              <w:right w:val="nil"/>
            </w:tcBorders>
            <w:shd w:val="clear" w:color="000000" w:fill="F2F2F2"/>
            <w:noWrap/>
            <w:vAlign w:val="center"/>
            <w:hideMark/>
          </w:tcPr>
          <w:p w14:paraId="60B90D6A"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697</w:t>
            </w:r>
          </w:p>
        </w:tc>
        <w:tc>
          <w:tcPr>
            <w:tcW w:w="960" w:type="dxa"/>
            <w:tcBorders>
              <w:top w:val="nil"/>
              <w:left w:val="nil"/>
              <w:bottom w:val="nil"/>
              <w:right w:val="single" w:sz="8" w:space="0" w:color="auto"/>
            </w:tcBorders>
            <w:shd w:val="clear" w:color="000000" w:fill="F2F2F2"/>
            <w:noWrap/>
            <w:vAlign w:val="center"/>
            <w:hideMark/>
          </w:tcPr>
          <w:p w14:paraId="3644911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509</w:t>
            </w:r>
          </w:p>
        </w:tc>
        <w:tc>
          <w:tcPr>
            <w:tcW w:w="960" w:type="dxa"/>
            <w:tcBorders>
              <w:top w:val="nil"/>
              <w:left w:val="nil"/>
              <w:bottom w:val="nil"/>
              <w:right w:val="nil"/>
            </w:tcBorders>
            <w:shd w:val="clear" w:color="auto" w:fill="auto"/>
            <w:noWrap/>
            <w:vAlign w:val="center"/>
            <w:hideMark/>
          </w:tcPr>
          <w:p w14:paraId="7F7E3926" w14:textId="77777777" w:rsidR="00A61FA0" w:rsidRPr="00A61FA0" w:rsidRDefault="00A61FA0" w:rsidP="001E6AB6">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46</w:t>
            </w:r>
            <w:r w:rsidR="00420F59">
              <w:rPr>
                <w:rFonts w:ascii="Calibri" w:hAnsi="Calibri" w:cs="Calibri"/>
                <w:color w:val="000000"/>
                <w:sz w:val="18"/>
                <w:szCs w:val="18"/>
                <w:lang w:eastAsia="en-GB"/>
              </w:rPr>
              <w:t>8</w:t>
            </w:r>
          </w:p>
        </w:tc>
        <w:tc>
          <w:tcPr>
            <w:tcW w:w="960" w:type="dxa"/>
            <w:tcBorders>
              <w:top w:val="nil"/>
              <w:left w:val="nil"/>
              <w:bottom w:val="nil"/>
              <w:right w:val="nil"/>
            </w:tcBorders>
            <w:shd w:val="clear" w:color="auto" w:fill="auto"/>
            <w:noWrap/>
            <w:vAlign w:val="center"/>
            <w:hideMark/>
          </w:tcPr>
          <w:p w14:paraId="2863704D"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509</w:t>
            </w:r>
          </w:p>
        </w:tc>
        <w:tc>
          <w:tcPr>
            <w:tcW w:w="960" w:type="dxa"/>
            <w:tcBorders>
              <w:top w:val="nil"/>
              <w:left w:val="single" w:sz="8" w:space="0" w:color="auto"/>
              <w:bottom w:val="nil"/>
              <w:right w:val="nil"/>
            </w:tcBorders>
            <w:shd w:val="clear" w:color="000000" w:fill="F2F2F2"/>
            <w:noWrap/>
            <w:vAlign w:val="center"/>
            <w:hideMark/>
          </w:tcPr>
          <w:p w14:paraId="09D7F971"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230</w:t>
            </w:r>
          </w:p>
        </w:tc>
        <w:tc>
          <w:tcPr>
            <w:tcW w:w="960" w:type="dxa"/>
            <w:tcBorders>
              <w:top w:val="nil"/>
              <w:left w:val="nil"/>
              <w:bottom w:val="nil"/>
              <w:right w:val="single" w:sz="8" w:space="0" w:color="auto"/>
            </w:tcBorders>
            <w:shd w:val="clear" w:color="000000" w:fill="F2F2F2"/>
            <w:noWrap/>
            <w:vAlign w:val="center"/>
            <w:hideMark/>
          </w:tcPr>
          <w:p w14:paraId="3D8911C2" w14:textId="77777777" w:rsidR="00A61FA0" w:rsidRPr="00A61FA0" w:rsidRDefault="00B16C7A" w:rsidP="00A61FA0">
            <w:pPr>
              <w:jc w:val="right"/>
              <w:rPr>
                <w:rFonts w:ascii="Calibri" w:hAnsi="Calibri" w:cs="Calibri"/>
                <w:color w:val="000000"/>
                <w:sz w:val="18"/>
                <w:szCs w:val="18"/>
                <w:lang w:eastAsia="en-GB"/>
              </w:rPr>
            </w:pPr>
            <w:r>
              <w:rPr>
                <w:rFonts w:ascii="Calibri" w:hAnsi="Calibri" w:cs="Calibri"/>
                <w:color w:val="000000"/>
                <w:sz w:val="18"/>
                <w:szCs w:val="18"/>
                <w:lang w:eastAsia="en-GB"/>
              </w:rPr>
              <w:t>-</w:t>
            </w:r>
            <w:r w:rsidR="00A61FA0" w:rsidRPr="00A61FA0">
              <w:rPr>
                <w:rFonts w:ascii="Calibri" w:hAnsi="Calibri" w:cs="Calibri"/>
                <w:color w:val="000000"/>
                <w:sz w:val="18"/>
                <w:szCs w:val="18"/>
                <w:lang w:eastAsia="en-GB"/>
              </w:rPr>
              <w:t> </w:t>
            </w:r>
          </w:p>
        </w:tc>
      </w:tr>
      <w:tr w:rsidR="00A61FA0" w:rsidRPr="00A61FA0" w14:paraId="0FAF4535"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6261D749"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Australia</w:t>
            </w:r>
          </w:p>
        </w:tc>
        <w:tc>
          <w:tcPr>
            <w:tcW w:w="960" w:type="dxa"/>
            <w:tcBorders>
              <w:top w:val="nil"/>
              <w:left w:val="single" w:sz="8" w:space="0" w:color="auto"/>
              <w:bottom w:val="nil"/>
              <w:right w:val="nil"/>
            </w:tcBorders>
            <w:shd w:val="clear" w:color="000000" w:fill="F2F2F2"/>
            <w:noWrap/>
            <w:vAlign w:val="center"/>
            <w:hideMark/>
          </w:tcPr>
          <w:p w14:paraId="5E8D099F"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435</w:t>
            </w:r>
          </w:p>
        </w:tc>
        <w:tc>
          <w:tcPr>
            <w:tcW w:w="960" w:type="dxa"/>
            <w:tcBorders>
              <w:top w:val="nil"/>
              <w:left w:val="nil"/>
              <w:bottom w:val="nil"/>
              <w:right w:val="single" w:sz="8" w:space="0" w:color="auto"/>
            </w:tcBorders>
            <w:shd w:val="clear" w:color="000000" w:fill="F2F2F2"/>
            <w:noWrap/>
            <w:vAlign w:val="center"/>
            <w:hideMark/>
          </w:tcPr>
          <w:p w14:paraId="63B70D8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314</w:t>
            </w:r>
          </w:p>
        </w:tc>
        <w:tc>
          <w:tcPr>
            <w:tcW w:w="960" w:type="dxa"/>
            <w:tcBorders>
              <w:top w:val="nil"/>
              <w:left w:val="nil"/>
              <w:bottom w:val="nil"/>
              <w:right w:val="nil"/>
            </w:tcBorders>
            <w:shd w:val="clear" w:color="auto" w:fill="auto"/>
            <w:noWrap/>
            <w:vAlign w:val="center"/>
            <w:hideMark/>
          </w:tcPr>
          <w:p w14:paraId="008DC132"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87</w:t>
            </w:r>
          </w:p>
        </w:tc>
        <w:tc>
          <w:tcPr>
            <w:tcW w:w="960" w:type="dxa"/>
            <w:tcBorders>
              <w:top w:val="nil"/>
              <w:left w:val="nil"/>
              <w:bottom w:val="nil"/>
              <w:right w:val="nil"/>
            </w:tcBorders>
            <w:shd w:val="clear" w:color="auto" w:fill="auto"/>
            <w:noWrap/>
            <w:vAlign w:val="center"/>
            <w:hideMark/>
          </w:tcPr>
          <w:p w14:paraId="59393889"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107</w:t>
            </w:r>
          </w:p>
        </w:tc>
        <w:tc>
          <w:tcPr>
            <w:tcW w:w="960" w:type="dxa"/>
            <w:tcBorders>
              <w:top w:val="nil"/>
              <w:left w:val="single" w:sz="8" w:space="0" w:color="auto"/>
              <w:bottom w:val="nil"/>
              <w:right w:val="nil"/>
            </w:tcBorders>
            <w:shd w:val="clear" w:color="000000" w:fill="F2F2F2"/>
            <w:noWrap/>
            <w:vAlign w:val="center"/>
            <w:hideMark/>
          </w:tcPr>
          <w:p w14:paraId="033AC168"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348</w:t>
            </w:r>
          </w:p>
        </w:tc>
        <w:tc>
          <w:tcPr>
            <w:tcW w:w="960" w:type="dxa"/>
            <w:tcBorders>
              <w:top w:val="nil"/>
              <w:left w:val="nil"/>
              <w:bottom w:val="nil"/>
              <w:right w:val="single" w:sz="8" w:space="0" w:color="auto"/>
            </w:tcBorders>
            <w:shd w:val="clear" w:color="000000" w:fill="F2F2F2"/>
            <w:noWrap/>
            <w:vAlign w:val="center"/>
            <w:hideMark/>
          </w:tcPr>
          <w:p w14:paraId="001A655D"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207</w:t>
            </w:r>
          </w:p>
        </w:tc>
      </w:tr>
      <w:tr w:rsidR="00A61FA0" w:rsidRPr="00A61FA0" w14:paraId="07770BFF"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51FEB101"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US</w:t>
            </w:r>
          </w:p>
        </w:tc>
        <w:tc>
          <w:tcPr>
            <w:tcW w:w="960" w:type="dxa"/>
            <w:tcBorders>
              <w:top w:val="nil"/>
              <w:left w:val="single" w:sz="8" w:space="0" w:color="auto"/>
              <w:bottom w:val="nil"/>
              <w:right w:val="nil"/>
            </w:tcBorders>
            <w:shd w:val="clear" w:color="000000" w:fill="F2F2F2"/>
            <w:noWrap/>
            <w:vAlign w:val="center"/>
            <w:hideMark/>
          </w:tcPr>
          <w:p w14:paraId="32D94A2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278</w:t>
            </w:r>
          </w:p>
        </w:tc>
        <w:tc>
          <w:tcPr>
            <w:tcW w:w="960" w:type="dxa"/>
            <w:tcBorders>
              <w:top w:val="nil"/>
              <w:left w:val="nil"/>
              <w:bottom w:val="nil"/>
              <w:right w:val="single" w:sz="8" w:space="0" w:color="auto"/>
            </w:tcBorders>
            <w:shd w:val="clear" w:color="000000" w:fill="F2F2F2"/>
            <w:noWrap/>
            <w:vAlign w:val="center"/>
            <w:hideMark/>
          </w:tcPr>
          <w:p w14:paraId="54FDBAD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163</w:t>
            </w:r>
          </w:p>
        </w:tc>
        <w:tc>
          <w:tcPr>
            <w:tcW w:w="960" w:type="dxa"/>
            <w:tcBorders>
              <w:top w:val="nil"/>
              <w:left w:val="nil"/>
              <w:bottom w:val="nil"/>
              <w:right w:val="nil"/>
            </w:tcBorders>
            <w:shd w:val="clear" w:color="auto" w:fill="auto"/>
            <w:noWrap/>
            <w:vAlign w:val="center"/>
            <w:hideMark/>
          </w:tcPr>
          <w:p w14:paraId="24F69930"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22</w:t>
            </w:r>
          </w:p>
        </w:tc>
        <w:tc>
          <w:tcPr>
            <w:tcW w:w="960" w:type="dxa"/>
            <w:tcBorders>
              <w:top w:val="nil"/>
              <w:left w:val="nil"/>
              <w:bottom w:val="nil"/>
              <w:right w:val="nil"/>
            </w:tcBorders>
            <w:shd w:val="clear" w:color="auto" w:fill="auto"/>
            <w:noWrap/>
            <w:vAlign w:val="center"/>
            <w:hideMark/>
          </w:tcPr>
          <w:p w14:paraId="235F854E"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3</w:t>
            </w:r>
          </w:p>
        </w:tc>
        <w:tc>
          <w:tcPr>
            <w:tcW w:w="960" w:type="dxa"/>
            <w:tcBorders>
              <w:top w:val="nil"/>
              <w:left w:val="single" w:sz="8" w:space="0" w:color="auto"/>
              <w:bottom w:val="nil"/>
              <w:right w:val="nil"/>
            </w:tcBorders>
            <w:shd w:val="clear" w:color="000000" w:fill="F2F2F2"/>
            <w:noWrap/>
            <w:vAlign w:val="center"/>
            <w:hideMark/>
          </w:tcPr>
          <w:p w14:paraId="2289C406"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256</w:t>
            </w:r>
          </w:p>
        </w:tc>
        <w:tc>
          <w:tcPr>
            <w:tcW w:w="960" w:type="dxa"/>
            <w:tcBorders>
              <w:top w:val="nil"/>
              <w:left w:val="nil"/>
              <w:bottom w:val="nil"/>
              <w:right w:val="single" w:sz="8" w:space="0" w:color="auto"/>
            </w:tcBorders>
            <w:shd w:val="clear" w:color="000000" w:fill="F2F2F2"/>
            <w:noWrap/>
            <w:vAlign w:val="center"/>
            <w:hideMark/>
          </w:tcPr>
          <w:p w14:paraId="1A31E6FC"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160</w:t>
            </w:r>
          </w:p>
        </w:tc>
      </w:tr>
      <w:tr w:rsidR="00A61FA0" w:rsidRPr="00A61FA0" w14:paraId="7664D593" w14:textId="77777777" w:rsidTr="005F7FC8">
        <w:trPr>
          <w:trHeight w:val="34"/>
        </w:trPr>
        <w:tc>
          <w:tcPr>
            <w:tcW w:w="3060" w:type="dxa"/>
            <w:tcBorders>
              <w:top w:val="nil"/>
              <w:left w:val="single" w:sz="8" w:space="0" w:color="auto"/>
              <w:bottom w:val="nil"/>
              <w:right w:val="nil"/>
            </w:tcBorders>
            <w:shd w:val="clear" w:color="auto" w:fill="auto"/>
            <w:noWrap/>
            <w:vAlign w:val="center"/>
            <w:hideMark/>
          </w:tcPr>
          <w:p w14:paraId="7D13DCD2"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single" w:sz="8" w:space="0" w:color="auto"/>
              <w:bottom w:val="nil"/>
              <w:right w:val="nil"/>
            </w:tcBorders>
            <w:shd w:val="clear" w:color="000000" w:fill="F2F2F2"/>
            <w:noWrap/>
            <w:vAlign w:val="center"/>
            <w:hideMark/>
          </w:tcPr>
          <w:p w14:paraId="7E0B646A"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161827BA"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960" w:type="dxa"/>
            <w:tcBorders>
              <w:top w:val="nil"/>
              <w:left w:val="nil"/>
              <w:bottom w:val="nil"/>
              <w:right w:val="nil"/>
            </w:tcBorders>
            <w:shd w:val="clear" w:color="auto" w:fill="auto"/>
            <w:noWrap/>
            <w:vAlign w:val="center"/>
            <w:hideMark/>
          </w:tcPr>
          <w:p w14:paraId="37B8CFBB" w14:textId="77777777" w:rsidR="00A61FA0" w:rsidRPr="00A61FA0" w:rsidRDefault="00A61FA0" w:rsidP="00A61FA0">
            <w:pPr>
              <w:jc w:val="right"/>
              <w:rPr>
                <w:rFonts w:ascii="Calibri" w:hAnsi="Calibri" w:cs="Calibri"/>
                <w:sz w:val="2"/>
                <w:szCs w:val="2"/>
                <w:lang w:eastAsia="en-GB"/>
              </w:rPr>
            </w:pPr>
          </w:p>
        </w:tc>
        <w:tc>
          <w:tcPr>
            <w:tcW w:w="960" w:type="dxa"/>
            <w:tcBorders>
              <w:top w:val="nil"/>
              <w:left w:val="nil"/>
              <w:bottom w:val="nil"/>
              <w:right w:val="nil"/>
            </w:tcBorders>
            <w:shd w:val="clear" w:color="auto" w:fill="auto"/>
            <w:noWrap/>
            <w:vAlign w:val="center"/>
            <w:hideMark/>
          </w:tcPr>
          <w:p w14:paraId="48060583" w14:textId="77777777" w:rsidR="00A61FA0" w:rsidRPr="00A61FA0" w:rsidRDefault="00A61FA0" w:rsidP="00A61FA0">
            <w:pPr>
              <w:jc w:val="right"/>
              <w:rPr>
                <w:rFonts w:ascii="Times New Roman" w:hAnsi="Times New Roman"/>
                <w:sz w:val="20"/>
                <w:lang w:eastAsia="en-GB"/>
              </w:rPr>
            </w:pPr>
          </w:p>
        </w:tc>
        <w:tc>
          <w:tcPr>
            <w:tcW w:w="960" w:type="dxa"/>
            <w:tcBorders>
              <w:top w:val="nil"/>
              <w:left w:val="single" w:sz="8" w:space="0" w:color="auto"/>
              <w:bottom w:val="nil"/>
              <w:right w:val="nil"/>
            </w:tcBorders>
            <w:shd w:val="clear" w:color="000000" w:fill="F2F2F2"/>
            <w:noWrap/>
            <w:vAlign w:val="center"/>
            <w:hideMark/>
          </w:tcPr>
          <w:p w14:paraId="2A0E3E7E"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960" w:type="dxa"/>
            <w:tcBorders>
              <w:top w:val="nil"/>
              <w:left w:val="nil"/>
              <w:bottom w:val="nil"/>
              <w:right w:val="single" w:sz="8" w:space="0" w:color="auto"/>
            </w:tcBorders>
            <w:shd w:val="clear" w:color="000000" w:fill="F2F2F2"/>
            <w:noWrap/>
            <w:vAlign w:val="center"/>
            <w:hideMark/>
          </w:tcPr>
          <w:p w14:paraId="7F8041AF" w14:textId="77777777" w:rsidR="00A61FA0" w:rsidRPr="00A61FA0" w:rsidRDefault="00A61FA0" w:rsidP="00A61FA0">
            <w:pPr>
              <w:jc w:val="right"/>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7289C7E5"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1562641D" w14:textId="77777777" w:rsidR="00A61FA0" w:rsidRPr="00A61FA0" w:rsidRDefault="00A61FA0" w:rsidP="00A61FA0">
            <w:pPr>
              <w:jc w:val="both"/>
              <w:rPr>
                <w:rFonts w:ascii="Calibri" w:hAnsi="Calibri" w:cs="Calibri"/>
                <w:b/>
                <w:bCs/>
                <w:color w:val="000000"/>
                <w:sz w:val="18"/>
                <w:szCs w:val="18"/>
                <w:lang w:eastAsia="en-GB"/>
              </w:rPr>
            </w:pPr>
            <w:r w:rsidRPr="00A61FA0">
              <w:rPr>
                <w:rFonts w:ascii="Calibri" w:hAnsi="Calibri" w:cs="Calibri"/>
                <w:b/>
                <w:bCs/>
                <w:color w:val="000000"/>
                <w:sz w:val="18"/>
                <w:szCs w:val="18"/>
                <w:lang w:eastAsia="en-GB"/>
              </w:rPr>
              <w:t>Adjusted EBITDA by division</w:t>
            </w:r>
          </w:p>
        </w:tc>
        <w:tc>
          <w:tcPr>
            <w:tcW w:w="960" w:type="dxa"/>
            <w:tcBorders>
              <w:top w:val="nil"/>
              <w:left w:val="single" w:sz="8" w:space="0" w:color="auto"/>
              <w:bottom w:val="nil"/>
              <w:right w:val="nil"/>
            </w:tcBorders>
            <w:shd w:val="clear" w:color="000000" w:fill="F2F2F2"/>
            <w:noWrap/>
            <w:vAlign w:val="center"/>
            <w:hideMark/>
          </w:tcPr>
          <w:p w14:paraId="7AA75BD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 </w:t>
            </w:r>
          </w:p>
        </w:tc>
        <w:tc>
          <w:tcPr>
            <w:tcW w:w="960" w:type="dxa"/>
            <w:tcBorders>
              <w:top w:val="nil"/>
              <w:left w:val="nil"/>
              <w:bottom w:val="nil"/>
              <w:right w:val="single" w:sz="8" w:space="0" w:color="auto"/>
            </w:tcBorders>
            <w:shd w:val="clear" w:color="000000" w:fill="F2F2F2"/>
            <w:noWrap/>
            <w:vAlign w:val="center"/>
            <w:hideMark/>
          </w:tcPr>
          <w:p w14:paraId="017A2C0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 </w:t>
            </w:r>
          </w:p>
        </w:tc>
        <w:tc>
          <w:tcPr>
            <w:tcW w:w="960" w:type="dxa"/>
            <w:tcBorders>
              <w:top w:val="nil"/>
              <w:left w:val="nil"/>
              <w:bottom w:val="nil"/>
              <w:right w:val="nil"/>
            </w:tcBorders>
            <w:shd w:val="clear" w:color="auto" w:fill="auto"/>
            <w:noWrap/>
            <w:vAlign w:val="center"/>
            <w:hideMark/>
          </w:tcPr>
          <w:p w14:paraId="46F6FC80" w14:textId="77777777" w:rsidR="00A61FA0" w:rsidRPr="00A61FA0" w:rsidRDefault="00A61FA0" w:rsidP="00A61FA0">
            <w:pPr>
              <w:jc w:val="right"/>
              <w:rPr>
                <w:rFonts w:ascii="Calibri" w:hAnsi="Calibri" w:cs="Calibri"/>
                <w:sz w:val="18"/>
                <w:szCs w:val="18"/>
                <w:lang w:eastAsia="en-GB"/>
              </w:rPr>
            </w:pPr>
          </w:p>
        </w:tc>
        <w:tc>
          <w:tcPr>
            <w:tcW w:w="960" w:type="dxa"/>
            <w:tcBorders>
              <w:top w:val="nil"/>
              <w:left w:val="nil"/>
              <w:bottom w:val="nil"/>
              <w:right w:val="nil"/>
            </w:tcBorders>
            <w:shd w:val="clear" w:color="auto" w:fill="auto"/>
            <w:noWrap/>
            <w:vAlign w:val="center"/>
            <w:hideMark/>
          </w:tcPr>
          <w:p w14:paraId="0C41A80D" w14:textId="77777777" w:rsidR="00A61FA0" w:rsidRPr="00A61FA0" w:rsidRDefault="00A61FA0" w:rsidP="00A61FA0">
            <w:pPr>
              <w:jc w:val="right"/>
              <w:rPr>
                <w:rFonts w:ascii="Times New Roman" w:hAnsi="Times New Roman"/>
                <w:sz w:val="20"/>
                <w:lang w:eastAsia="en-GB"/>
              </w:rPr>
            </w:pPr>
          </w:p>
        </w:tc>
        <w:tc>
          <w:tcPr>
            <w:tcW w:w="960" w:type="dxa"/>
            <w:tcBorders>
              <w:top w:val="nil"/>
              <w:left w:val="single" w:sz="8" w:space="0" w:color="auto"/>
              <w:bottom w:val="nil"/>
              <w:right w:val="nil"/>
            </w:tcBorders>
            <w:shd w:val="clear" w:color="000000" w:fill="F2F2F2"/>
            <w:noWrap/>
            <w:vAlign w:val="center"/>
            <w:hideMark/>
          </w:tcPr>
          <w:p w14:paraId="4DD8A8BA"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 </w:t>
            </w:r>
          </w:p>
        </w:tc>
        <w:tc>
          <w:tcPr>
            <w:tcW w:w="960" w:type="dxa"/>
            <w:tcBorders>
              <w:top w:val="nil"/>
              <w:left w:val="nil"/>
              <w:bottom w:val="nil"/>
              <w:right w:val="single" w:sz="8" w:space="0" w:color="auto"/>
            </w:tcBorders>
            <w:shd w:val="clear" w:color="000000" w:fill="F2F2F2"/>
            <w:noWrap/>
            <w:vAlign w:val="center"/>
            <w:hideMark/>
          </w:tcPr>
          <w:p w14:paraId="0BCDD5A5"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 </w:t>
            </w:r>
          </w:p>
        </w:tc>
      </w:tr>
      <w:tr w:rsidR="00A61FA0" w:rsidRPr="00A61FA0" w14:paraId="28986555"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2AC69BCC"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PPB</w:t>
            </w:r>
          </w:p>
        </w:tc>
        <w:tc>
          <w:tcPr>
            <w:tcW w:w="960" w:type="dxa"/>
            <w:tcBorders>
              <w:top w:val="nil"/>
              <w:left w:val="single" w:sz="8" w:space="0" w:color="auto"/>
              <w:bottom w:val="nil"/>
              <w:right w:val="nil"/>
            </w:tcBorders>
            <w:shd w:val="clear" w:color="000000" w:fill="F2F2F2"/>
            <w:noWrap/>
            <w:vAlign w:val="center"/>
            <w:hideMark/>
          </w:tcPr>
          <w:p w14:paraId="2053A17A"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85</w:t>
            </w:r>
          </w:p>
        </w:tc>
        <w:tc>
          <w:tcPr>
            <w:tcW w:w="960" w:type="dxa"/>
            <w:tcBorders>
              <w:top w:val="nil"/>
              <w:left w:val="nil"/>
              <w:bottom w:val="nil"/>
              <w:right w:val="single" w:sz="8" w:space="0" w:color="auto"/>
            </w:tcBorders>
            <w:shd w:val="clear" w:color="000000" w:fill="F2F2F2"/>
            <w:noWrap/>
            <w:vAlign w:val="center"/>
            <w:hideMark/>
          </w:tcPr>
          <w:p w14:paraId="436679EC"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179</w:t>
            </w:r>
          </w:p>
        </w:tc>
        <w:tc>
          <w:tcPr>
            <w:tcW w:w="960" w:type="dxa"/>
            <w:tcBorders>
              <w:top w:val="nil"/>
              <w:left w:val="nil"/>
              <w:bottom w:val="nil"/>
              <w:right w:val="nil"/>
            </w:tcBorders>
            <w:shd w:val="clear" w:color="auto" w:fill="auto"/>
            <w:noWrap/>
            <w:vAlign w:val="center"/>
            <w:hideMark/>
          </w:tcPr>
          <w:p w14:paraId="4D6019D7" w14:textId="77777777" w:rsidR="00A61FA0" w:rsidRPr="00A61FA0" w:rsidRDefault="00417DE4" w:rsidP="001E6AB6">
            <w:pPr>
              <w:jc w:val="right"/>
              <w:rPr>
                <w:rFonts w:ascii="Calibri" w:hAnsi="Calibri" w:cs="Calibri"/>
                <w:color w:val="000000"/>
                <w:sz w:val="18"/>
                <w:szCs w:val="18"/>
                <w:lang w:eastAsia="en-GB"/>
              </w:rPr>
            </w:pPr>
            <w:r>
              <w:rPr>
                <w:rFonts w:ascii="Calibri" w:hAnsi="Calibri" w:cs="Calibri"/>
                <w:color w:val="000000"/>
                <w:sz w:val="18"/>
                <w:szCs w:val="18"/>
                <w:lang w:eastAsia="en-GB"/>
              </w:rPr>
              <w:t>-</w:t>
            </w:r>
          </w:p>
        </w:tc>
        <w:tc>
          <w:tcPr>
            <w:tcW w:w="960" w:type="dxa"/>
            <w:tcBorders>
              <w:top w:val="nil"/>
              <w:left w:val="nil"/>
              <w:bottom w:val="nil"/>
              <w:right w:val="nil"/>
            </w:tcBorders>
            <w:shd w:val="clear" w:color="auto" w:fill="auto"/>
            <w:noWrap/>
            <w:vAlign w:val="center"/>
            <w:hideMark/>
          </w:tcPr>
          <w:p w14:paraId="7ACC3567" w14:textId="77777777" w:rsidR="00A61FA0" w:rsidRPr="00A61FA0" w:rsidRDefault="00420F59" w:rsidP="00A61FA0">
            <w:pPr>
              <w:jc w:val="right"/>
              <w:rPr>
                <w:rFonts w:ascii="Calibri" w:hAnsi="Calibri" w:cs="Calibri"/>
                <w:color w:val="000000"/>
                <w:sz w:val="18"/>
                <w:szCs w:val="18"/>
                <w:lang w:eastAsia="en-GB"/>
              </w:rPr>
            </w:pPr>
            <w:r>
              <w:rPr>
                <w:rFonts w:ascii="Calibri" w:hAnsi="Calibri" w:cs="Calibri"/>
                <w:color w:val="000000"/>
                <w:sz w:val="18"/>
                <w:szCs w:val="18"/>
                <w:lang w:eastAsia="en-GB"/>
              </w:rPr>
              <w:t>1</w:t>
            </w:r>
          </w:p>
        </w:tc>
        <w:tc>
          <w:tcPr>
            <w:tcW w:w="960" w:type="dxa"/>
            <w:tcBorders>
              <w:top w:val="nil"/>
              <w:left w:val="single" w:sz="8" w:space="0" w:color="auto"/>
              <w:bottom w:val="nil"/>
              <w:right w:val="nil"/>
            </w:tcBorders>
            <w:shd w:val="clear" w:color="000000" w:fill="F2F2F2"/>
            <w:noWrap/>
            <w:vAlign w:val="center"/>
            <w:hideMark/>
          </w:tcPr>
          <w:p w14:paraId="0729AAA1"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85</w:t>
            </w:r>
          </w:p>
        </w:tc>
        <w:tc>
          <w:tcPr>
            <w:tcW w:w="960" w:type="dxa"/>
            <w:tcBorders>
              <w:top w:val="nil"/>
              <w:left w:val="nil"/>
              <w:bottom w:val="nil"/>
              <w:right w:val="single" w:sz="8" w:space="0" w:color="auto"/>
            </w:tcBorders>
            <w:shd w:val="clear" w:color="000000" w:fill="F2F2F2"/>
            <w:noWrap/>
            <w:vAlign w:val="center"/>
            <w:hideMark/>
          </w:tcPr>
          <w:p w14:paraId="64839FDA"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179</w:t>
            </w:r>
          </w:p>
        </w:tc>
      </w:tr>
      <w:tr w:rsidR="00A61FA0" w:rsidRPr="00A61FA0" w14:paraId="5488CC9B"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7974405F"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SBG</w:t>
            </w:r>
          </w:p>
        </w:tc>
        <w:tc>
          <w:tcPr>
            <w:tcW w:w="960" w:type="dxa"/>
            <w:tcBorders>
              <w:top w:val="nil"/>
              <w:left w:val="single" w:sz="8" w:space="0" w:color="auto"/>
              <w:bottom w:val="nil"/>
              <w:right w:val="nil"/>
            </w:tcBorders>
            <w:shd w:val="clear" w:color="000000" w:fill="F2F2F2"/>
            <w:noWrap/>
            <w:vAlign w:val="center"/>
            <w:hideMark/>
          </w:tcPr>
          <w:p w14:paraId="7BD67C3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184</w:t>
            </w:r>
          </w:p>
        </w:tc>
        <w:tc>
          <w:tcPr>
            <w:tcW w:w="960" w:type="dxa"/>
            <w:tcBorders>
              <w:top w:val="nil"/>
              <w:left w:val="nil"/>
              <w:bottom w:val="nil"/>
              <w:right w:val="single" w:sz="8" w:space="0" w:color="auto"/>
            </w:tcBorders>
            <w:shd w:val="clear" w:color="000000" w:fill="F2F2F2"/>
            <w:noWrap/>
            <w:vAlign w:val="center"/>
            <w:hideMark/>
          </w:tcPr>
          <w:p w14:paraId="6E672B0E"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111</w:t>
            </w:r>
          </w:p>
        </w:tc>
        <w:tc>
          <w:tcPr>
            <w:tcW w:w="960" w:type="dxa"/>
            <w:tcBorders>
              <w:top w:val="nil"/>
              <w:left w:val="nil"/>
              <w:bottom w:val="nil"/>
              <w:right w:val="nil"/>
            </w:tcBorders>
            <w:shd w:val="clear" w:color="auto" w:fill="auto"/>
            <w:noWrap/>
            <w:vAlign w:val="center"/>
            <w:hideMark/>
          </w:tcPr>
          <w:p w14:paraId="06EBAE67"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117</w:t>
            </w:r>
          </w:p>
        </w:tc>
        <w:tc>
          <w:tcPr>
            <w:tcW w:w="960" w:type="dxa"/>
            <w:tcBorders>
              <w:top w:val="nil"/>
              <w:left w:val="nil"/>
              <w:bottom w:val="nil"/>
              <w:right w:val="nil"/>
            </w:tcBorders>
            <w:shd w:val="clear" w:color="auto" w:fill="auto"/>
            <w:noWrap/>
            <w:vAlign w:val="center"/>
            <w:hideMark/>
          </w:tcPr>
          <w:p w14:paraId="1A8E51B4"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111</w:t>
            </w:r>
          </w:p>
        </w:tc>
        <w:tc>
          <w:tcPr>
            <w:tcW w:w="960" w:type="dxa"/>
            <w:tcBorders>
              <w:top w:val="nil"/>
              <w:left w:val="single" w:sz="8" w:space="0" w:color="auto"/>
              <w:bottom w:val="nil"/>
              <w:right w:val="nil"/>
            </w:tcBorders>
            <w:shd w:val="clear" w:color="000000" w:fill="F2F2F2"/>
            <w:noWrap/>
            <w:vAlign w:val="center"/>
            <w:hideMark/>
          </w:tcPr>
          <w:p w14:paraId="60E12747"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67</w:t>
            </w:r>
          </w:p>
        </w:tc>
        <w:tc>
          <w:tcPr>
            <w:tcW w:w="960" w:type="dxa"/>
            <w:tcBorders>
              <w:top w:val="nil"/>
              <w:left w:val="nil"/>
              <w:bottom w:val="nil"/>
              <w:right w:val="single" w:sz="8" w:space="0" w:color="auto"/>
            </w:tcBorders>
            <w:shd w:val="clear" w:color="000000" w:fill="F2F2F2"/>
            <w:noWrap/>
            <w:vAlign w:val="center"/>
            <w:hideMark/>
          </w:tcPr>
          <w:p w14:paraId="38ACB42C" w14:textId="77777777" w:rsidR="00A61FA0" w:rsidRPr="00A61FA0" w:rsidRDefault="00B16C7A" w:rsidP="00A61FA0">
            <w:pPr>
              <w:jc w:val="right"/>
              <w:rPr>
                <w:rFonts w:ascii="Calibri" w:hAnsi="Calibri" w:cs="Calibri"/>
                <w:color w:val="000000"/>
                <w:sz w:val="18"/>
                <w:szCs w:val="18"/>
                <w:lang w:eastAsia="en-GB"/>
              </w:rPr>
            </w:pPr>
            <w:r>
              <w:rPr>
                <w:rFonts w:ascii="Calibri" w:hAnsi="Calibri" w:cs="Calibri"/>
                <w:color w:val="000000"/>
                <w:sz w:val="18"/>
                <w:szCs w:val="18"/>
                <w:lang w:eastAsia="en-GB"/>
              </w:rPr>
              <w:t>-</w:t>
            </w:r>
            <w:r w:rsidR="00A61FA0" w:rsidRPr="00A61FA0">
              <w:rPr>
                <w:rFonts w:ascii="Calibri" w:hAnsi="Calibri" w:cs="Calibri"/>
                <w:color w:val="000000"/>
                <w:sz w:val="18"/>
                <w:szCs w:val="18"/>
                <w:lang w:eastAsia="en-GB"/>
              </w:rPr>
              <w:t> </w:t>
            </w:r>
          </w:p>
        </w:tc>
      </w:tr>
      <w:tr w:rsidR="00A61FA0" w:rsidRPr="00A61FA0" w14:paraId="298246E2"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1F1E413C"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PokerStars</w:t>
            </w:r>
          </w:p>
        </w:tc>
        <w:tc>
          <w:tcPr>
            <w:tcW w:w="960" w:type="dxa"/>
            <w:tcBorders>
              <w:top w:val="nil"/>
              <w:left w:val="single" w:sz="8" w:space="0" w:color="auto"/>
              <w:bottom w:val="nil"/>
              <w:right w:val="nil"/>
            </w:tcBorders>
            <w:shd w:val="clear" w:color="000000" w:fill="F2F2F2"/>
            <w:noWrap/>
            <w:vAlign w:val="center"/>
            <w:hideMark/>
          </w:tcPr>
          <w:p w14:paraId="66B955F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380</w:t>
            </w:r>
          </w:p>
        </w:tc>
        <w:tc>
          <w:tcPr>
            <w:tcW w:w="960" w:type="dxa"/>
            <w:tcBorders>
              <w:top w:val="nil"/>
              <w:left w:val="nil"/>
              <w:bottom w:val="nil"/>
              <w:right w:val="single" w:sz="8" w:space="0" w:color="auto"/>
            </w:tcBorders>
            <w:shd w:val="clear" w:color="000000" w:fill="F2F2F2"/>
            <w:noWrap/>
            <w:vAlign w:val="center"/>
            <w:hideMark/>
          </w:tcPr>
          <w:p w14:paraId="6F24B7C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237</w:t>
            </w:r>
          </w:p>
        </w:tc>
        <w:tc>
          <w:tcPr>
            <w:tcW w:w="960" w:type="dxa"/>
            <w:tcBorders>
              <w:top w:val="nil"/>
              <w:left w:val="nil"/>
              <w:bottom w:val="nil"/>
              <w:right w:val="nil"/>
            </w:tcBorders>
            <w:shd w:val="clear" w:color="auto" w:fill="auto"/>
            <w:noWrap/>
            <w:vAlign w:val="center"/>
            <w:hideMark/>
          </w:tcPr>
          <w:p w14:paraId="6EAB4A92"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264</w:t>
            </w:r>
          </w:p>
        </w:tc>
        <w:tc>
          <w:tcPr>
            <w:tcW w:w="960" w:type="dxa"/>
            <w:tcBorders>
              <w:top w:val="nil"/>
              <w:left w:val="nil"/>
              <w:bottom w:val="nil"/>
              <w:right w:val="nil"/>
            </w:tcBorders>
            <w:shd w:val="clear" w:color="auto" w:fill="auto"/>
            <w:noWrap/>
            <w:vAlign w:val="center"/>
            <w:hideMark/>
          </w:tcPr>
          <w:p w14:paraId="3C58B7DA"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237</w:t>
            </w:r>
          </w:p>
        </w:tc>
        <w:tc>
          <w:tcPr>
            <w:tcW w:w="960" w:type="dxa"/>
            <w:tcBorders>
              <w:top w:val="nil"/>
              <w:left w:val="single" w:sz="8" w:space="0" w:color="auto"/>
              <w:bottom w:val="nil"/>
              <w:right w:val="nil"/>
            </w:tcBorders>
            <w:shd w:val="clear" w:color="000000" w:fill="F2F2F2"/>
            <w:noWrap/>
            <w:vAlign w:val="center"/>
            <w:hideMark/>
          </w:tcPr>
          <w:p w14:paraId="329206EE"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116</w:t>
            </w:r>
          </w:p>
        </w:tc>
        <w:tc>
          <w:tcPr>
            <w:tcW w:w="960" w:type="dxa"/>
            <w:tcBorders>
              <w:top w:val="nil"/>
              <w:left w:val="nil"/>
              <w:bottom w:val="nil"/>
              <w:right w:val="single" w:sz="8" w:space="0" w:color="auto"/>
            </w:tcBorders>
            <w:shd w:val="clear" w:color="000000" w:fill="F2F2F2"/>
            <w:noWrap/>
            <w:vAlign w:val="center"/>
            <w:hideMark/>
          </w:tcPr>
          <w:p w14:paraId="27209F0C" w14:textId="77777777" w:rsidR="00A61FA0" w:rsidRPr="00A61FA0" w:rsidRDefault="00B16C7A" w:rsidP="00A61FA0">
            <w:pPr>
              <w:jc w:val="right"/>
              <w:rPr>
                <w:rFonts w:ascii="Calibri" w:hAnsi="Calibri" w:cs="Calibri"/>
                <w:color w:val="000000"/>
                <w:sz w:val="18"/>
                <w:szCs w:val="18"/>
                <w:lang w:eastAsia="en-GB"/>
              </w:rPr>
            </w:pPr>
            <w:r>
              <w:rPr>
                <w:rFonts w:ascii="Calibri" w:hAnsi="Calibri" w:cs="Calibri"/>
                <w:color w:val="000000"/>
                <w:sz w:val="18"/>
                <w:szCs w:val="18"/>
                <w:lang w:eastAsia="en-GB"/>
              </w:rPr>
              <w:t>-</w:t>
            </w:r>
            <w:r w:rsidR="00A61FA0" w:rsidRPr="00A61FA0">
              <w:rPr>
                <w:rFonts w:ascii="Calibri" w:hAnsi="Calibri" w:cs="Calibri"/>
                <w:color w:val="000000"/>
                <w:sz w:val="18"/>
                <w:szCs w:val="18"/>
                <w:lang w:eastAsia="en-GB"/>
              </w:rPr>
              <w:t> </w:t>
            </w:r>
          </w:p>
        </w:tc>
      </w:tr>
      <w:tr w:rsidR="00A61FA0" w:rsidRPr="00A61FA0" w14:paraId="3B5CB5F7"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05E6166F"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Australia</w:t>
            </w:r>
          </w:p>
        </w:tc>
        <w:tc>
          <w:tcPr>
            <w:tcW w:w="960" w:type="dxa"/>
            <w:tcBorders>
              <w:top w:val="nil"/>
              <w:left w:val="single" w:sz="8" w:space="0" w:color="auto"/>
              <w:bottom w:val="nil"/>
              <w:right w:val="nil"/>
            </w:tcBorders>
            <w:shd w:val="clear" w:color="000000" w:fill="F2F2F2"/>
            <w:noWrap/>
            <w:vAlign w:val="center"/>
            <w:hideMark/>
          </w:tcPr>
          <w:p w14:paraId="66F75AFE"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121</w:t>
            </w:r>
          </w:p>
        </w:tc>
        <w:tc>
          <w:tcPr>
            <w:tcW w:w="960" w:type="dxa"/>
            <w:tcBorders>
              <w:top w:val="nil"/>
              <w:left w:val="nil"/>
              <w:bottom w:val="nil"/>
              <w:right w:val="single" w:sz="8" w:space="0" w:color="auto"/>
            </w:tcBorders>
            <w:shd w:val="clear" w:color="000000" w:fill="F2F2F2"/>
            <w:noWrap/>
            <w:vAlign w:val="center"/>
            <w:hideMark/>
          </w:tcPr>
          <w:p w14:paraId="3A6AA4BB"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69</w:t>
            </w:r>
          </w:p>
        </w:tc>
        <w:tc>
          <w:tcPr>
            <w:tcW w:w="960" w:type="dxa"/>
            <w:tcBorders>
              <w:top w:val="nil"/>
              <w:left w:val="nil"/>
              <w:bottom w:val="nil"/>
              <w:right w:val="nil"/>
            </w:tcBorders>
            <w:shd w:val="clear" w:color="auto" w:fill="auto"/>
            <w:noWrap/>
            <w:vAlign w:val="center"/>
            <w:hideMark/>
          </w:tcPr>
          <w:p w14:paraId="283E6756"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11</w:t>
            </w:r>
          </w:p>
        </w:tc>
        <w:tc>
          <w:tcPr>
            <w:tcW w:w="960" w:type="dxa"/>
            <w:tcBorders>
              <w:top w:val="nil"/>
              <w:left w:val="nil"/>
              <w:bottom w:val="nil"/>
              <w:right w:val="nil"/>
            </w:tcBorders>
            <w:shd w:val="clear" w:color="auto" w:fill="auto"/>
            <w:noWrap/>
            <w:vAlign w:val="center"/>
            <w:hideMark/>
          </w:tcPr>
          <w:p w14:paraId="7D0F1A11"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w:t>
            </w:r>
            <w:r w:rsidR="00420F59">
              <w:rPr>
                <w:rFonts w:ascii="Calibri" w:hAnsi="Calibri" w:cs="Calibri"/>
                <w:color w:val="000000"/>
                <w:sz w:val="18"/>
                <w:szCs w:val="18"/>
                <w:lang w:eastAsia="en-GB"/>
              </w:rPr>
              <w:t>0</w:t>
            </w:r>
          </w:p>
        </w:tc>
        <w:tc>
          <w:tcPr>
            <w:tcW w:w="960" w:type="dxa"/>
            <w:tcBorders>
              <w:top w:val="nil"/>
              <w:left w:val="single" w:sz="8" w:space="0" w:color="auto"/>
              <w:bottom w:val="nil"/>
              <w:right w:val="nil"/>
            </w:tcBorders>
            <w:shd w:val="clear" w:color="000000" w:fill="F2F2F2"/>
            <w:noWrap/>
            <w:vAlign w:val="center"/>
            <w:hideMark/>
          </w:tcPr>
          <w:p w14:paraId="4767F77C"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110</w:t>
            </w:r>
          </w:p>
        </w:tc>
        <w:tc>
          <w:tcPr>
            <w:tcW w:w="960" w:type="dxa"/>
            <w:tcBorders>
              <w:top w:val="nil"/>
              <w:left w:val="nil"/>
              <w:bottom w:val="nil"/>
              <w:right w:val="single" w:sz="8" w:space="0" w:color="auto"/>
            </w:tcBorders>
            <w:shd w:val="clear" w:color="000000" w:fill="F2F2F2"/>
            <w:noWrap/>
            <w:vAlign w:val="center"/>
            <w:hideMark/>
          </w:tcPr>
          <w:p w14:paraId="7A8E2CE1"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58</w:t>
            </w:r>
          </w:p>
        </w:tc>
      </w:tr>
      <w:tr w:rsidR="00A61FA0" w:rsidRPr="00A61FA0" w14:paraId="78501A6D"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6EBD92E1"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US</w:t>
            </w:r>
          </w:p>
        </w:tc>
        <w:tc>
          <w:tcPr>
            <w:tcW w:w="960" w:type="dxa"/>
            <w:tcBorders>
              <w:top w:val="nil"/>
              <w:left w:val="single" w:sz="8" w:space="0" w:color="auto"/>
              <w:bottom w:val="nil"/>
              <w:right w:val="nil"/>
            </w:tcBorders>
            <w:shd w:val="clear" w:color="000000" w:fill="F2F2F2"/>
            <w:noWrap/>
            <w:vAlign w:val="center"/>
            <w:hideMark/>
          </w:tcPr>
          <w:p w14:paraId="79B8ACE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(19)</w:t>
            </w:r>
          </w:p>
        </w:tc>
        <w:tc>
          <w:tcPr>
            <w:tcW w:w="960" w:type="dxa"/>
            <w:tcBorders>
              <w:top w:val="nil"/>
              <w:left w:val="nil"/>
              <w:bottom w:val="nil"/>
              <w:right w:val="single" w:sz="8" w:space="0" w:color="auto"/>
            </w:tcBorders>
            <w:shd w:val="clear" w:color="000000" w:fill="F2F2F2"/>
            <w:noWrap/>
            <w:vAlign w:val="center"/>
            <w:hideMark/>
          </w:tcPr>
          <w:p w14:paraId="3CCD50B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(11)</w:t>
            </w:r>
          </w:p>
        </w:tc>
        <w:tc>
          <w:tcPr>
            <w:tcW w:w="960" w:type="dxa"/>
            <w:tcBorders>
              <w:top w:val="nil"/>
              <w:left w:val="nil"/>
              <w:bottom w:val="nil"/>
              <w:right w:val="nil"/>
            </w:tcBorders>
            <w:shd w:val="clear" w:color="auto" w:fill="auto"/>
            <w:noWrap/>
            <w:vAlign w:val="center"/>
            <w:hideMark/>
          </w:tcPr>
          <w:p w14:paraId="2B9E44A3" w14:textId="77777777" w:rsidR="00A61FA0" w:rsidRPr="00A61FA0" w:rsidRDefault="00A61FA0" w:rsidP="001E6AB6">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w:t>
            </w:r>
            <w:r w:rsidR="00420F59">
              <w:rPr>
                <w:rFonts w:ascii="Calibri" w:hAnsi="Calibri" w:cs="Calibri"/>
                <w:color w:val="000000"/>
                <w:sz w:val="18"/>
                <w:szCs w:val="18"/>
                <w:lang w:eastAsia="en-GB"/>
              </w:rPr>
              <w:t>2</w:t>
            </w:r>
            <w:r w:rsidRPr="00A61FA0">
              <w:rPr>
                <w:rFonts w:ascii="Calibri" w:hAnsi="Calibri" w:cs="Calibri"/>
                <w:color w:val="000000"/>
                <w:sz w:val="18"/>
                <w:szCs w:val="18"/>
                <w:lang w:eastAsia="en-GB"/>
              </w:rPr>
              <w:t>)</w:t>
            </w:r>
          </w:p>
        </w:tc>
        <w:tc>
          <w:tcPr>
            <w:tcW w:w="960" w:type="dxa"/>
            <w:tcBorders>
              <w:top w:val="nil"/>
              <w:left w:val="nil"/>
              <w:bottom w:val="nil"/>
              <w:right w:val="nil"/>
            </w:tcBorders>
            <w:shd w:val="clear" w:color="auto" w:fill="auto"/>
            <w:noWrap/>
            <w:vAlign w:val="center"/>
            <w:hideMark/>
          </w:tcPr>
          <w:p w14:paraId="71BBF7FB" w14:textId="77777777" w:rsidR="00A61FA0" w:rsidRPr="00A61FA0" w:rsidRDefault="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(1</w:t>
            </w:r>
            <w:r w:rsidR="00420F59">
              <w:rPr>
                <w:rFonts w:ascii="Calibri" w:hAnsi="Calibri" w:cs="Calibri"/>
                <w:color w:val="000000"/>
                <w:sz w:val="18"/>
                <w:szCs w:val="18"/>
                <w:lang w:eastAsia="en-GB"/>
              </w:rPr>
              <w:t>6</w:t>
            </w:r>
            <w:r w:rsidRPr="00A61FA0">
              <w:rPr>
                <w:rFonts w:ascii="Calibri" w:hAnsi="Calibri" w:cs="Calibri"/>
                <w:color w:val="000000"/>
                <w:sz w:val="18"/>
                <w:szCs w:val="18"/>
                <w:lang w:eastAsia="en-GB"/>
              </w:rPr>
              <w:t>)</w:t>
            </w:r>
          </w:p>
        </w:tc>
        <w:tc>
          <w:tcPr>
            <w:tcW w:w="960" w:type="dxa"/>
            <w:tcBorders>
              <w:top w:val="nil"/>
              <w:left w:val="single" w:sz="8" w:space="0" w:color="auto"/>
              <w:bottom w:val="nil"/>
              <w:right w:val="nil"/>
            </w:tcBorders>
            <w:shd w:val="clear" w:color="000000" w:fill="F2F2F2"/>
            <w:noWrap/>
            <w:vAlign w:val="center"/>
            <w:hideMark/>
          </w:tcPr>
          <w:p w14:paraId="53253F0F"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w:t>
            </w:r>
          </w:p>
        </w:tc>
        <w:tc>
          <w:tcPr>
            <w:tcW w:w="960" w:type="dxa"/>
            <w:tcBorders>
              <w:top w:val="nil"/>
              <w:left w:val="nil"/>
              <w:bottom w:val="nil"/>
              <w:right w:val="single" w:sz="8" w:space="0" w:color="auto"/>
            </w:tcBorders>
            <w:shd w:val="clear" w:color="000000" w:fill="F2F2F2"/>
            <w:noWrap/>
            <w:vAlign w:val="center"/>
            <w:hideMark/>
          </w:tcPr>
          <w:p w14:paraId="56F10B6C"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4</w:t>
            </w:r>
          </w:p>
        </w:tc>
      </w:tr>
      <w:tr w:rsidR="00A61FA0" w:rsidRPr="00A61FA0" w14:paraId="06C78D00" w14:textId="77777777" w:rsidTr="005F7FC8">
        <w:trPr>
          <w:trHeight w:val="255"/>
        </w:trPr>
        <w:tc>
          <w:tcPr>
            <w:tcW w:w="3060" w:type="dxa"/>
            <w:tcBorders>
              <w:top w:val="nil"/>
              <w:left w:val="single" w:sz="8" w:space="0" w:color="auto"/>
              <w:bottom w:val="single" w:sz="8" w:space="0" w:color="auto"/>
              <w:right w:val="nil"/>
            </w:tcBorders>
            <w:shd w:val="clear" w:color="auto" w:fill="auto"/>
            <w:noWrap/>
            <w:vAlign w:val="center"/>
            <w:hideMark/>
          </w:tcPr>
          <w:p w14:paraId="3412D2E4"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Corporate costs</w:t>
            </w:r>
          </w:p>
        </w:tc>
        <w:tc>
          <w:tcPr>
            <w:tcW w:w="960" w:type="dxa"/>
            <w:tcBorders>
              <w:top w:val="nil"/>
              <w:left w:val="single" w:sz="8" w:space="0" w:color="auto"/>
              <w:bottom w:val="single" w:sz="8" w:space="0" w:color="auto"/>
              <w:right w:val="nil"/>
            </w:tcBorders>
            <w:shd w:val="clear" w:color="000000" w:fill="F2F2F2"/>
            <w:noWrap/>
            <w:vAlign w:val="center"/>
            <w:hideMark/>
          </w:tcPr>
          <w:p w14:paraId="51314214"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(67)</w:t>
            </w:r>
          </w:p>
        </w:tc>
        <w:tc>
          <w:tcPr>
            <w:tcW w:w="960" w:type="dxa"/>
            <w:tcBorders>
              <w:top w:val="nil"/>
              <w:left w:val="nil"/>
              <w:bottom w:val="single" w:sz="8" w:space="0" w:color="auto"/>
              <w:right w:val="single" w:sz="8" w:space="0" w:color="auto"/>
            </w:tcBorders>
            <w:shd w:val="clear" w:color="000000" w:fill="F2F2F2"/>
            <w:noWrap/>
            <w:vAlign w:val="center"/>
            <w:hideMark/>
          </w:tcPr>
          <w:p w14:paraId="69C0DD84"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(62)</w:t>
            </w:r>
          </w:p>
        </w:tc>
        <w:tc>
          <w:tcPr>
            <w:tcW w:w="960" w:type="dxa"/>
            <w:tcBorders>
              <w:top w:val="nil"/>
              <w:left w:val="nil"/>
              <w:bottom w:val="single" w:sz="8" w:space="0" w:color="auto"/>
              <w:right w:val="nil"/>
            </w:tcBorders>
            <w:shd w:val="clear" w:color="auto" w:fill="auto"/>
            <w:noWrap/>
            <w:vAlign w:val="center"/>
            <w:hideMark/>
          </w:tcPr>
          <w:p w14:paraId="26FF1282"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(29)</w:t>
            </w:r>
          </w:p>
        </w:tc>
        <w:tc>
          <w:tcPr>
            <w:tcW w:w="960" w:type="dxa"/>
            <w:tcBorders>
              <w:top w:val="nil"/>
              <w:left w:val="nil"/>
              <w:bottom w:val="single" w:sz="8" w:space="0" w:color="auto"/>
              <w:right w:val="nil"/>
            </w:tcBorders>
            <w:shd w:val="clear" w:color="auto" w:fill="auto"/>
            <w:noWrap/>
            <w:vAlign w:val="center"/>
            <w:hideMark/>
          </w:tcPr>
          <w:p w14:paraId="2275BAE1"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(3</w:t>
            </w:r>
            <w:r w:rsidR="00420F59">
              <w:rPr>
                <w:rFonts w:ascii="Calibri" w:hAnsi="Calibri" w:cs="Calibri"/>
                <w:color w:val="000000"/>
                <w:sz w:val="18"/>
                <w:szCs w:val="18"/>
                <w:lang w:eastAsia="en-GB"/>
              </w:rPr>
              <w:t>6</w:t>
            </w:r>
            <w:r w:rsidRPr="00A61FA0">
              <w:rPr>
                <w:rFonts w:ascii="Calibri" w:hAnsi="Calibri" w:cs="Calibri"/>
                <w:color w:val="000000"/>
                <w:sz w:val="18"/>
                <w:szCs w:val="18"/>
                <w:lang w:eastAsia="en-GB"/>
              </w:rPr>
              <w:t>)</w:t>
            </w:r>
          </w:p>
        </w:tc>
        <w:tc>
          <w:tcPr>
            <w:tcW w:w="960" w:type="dxa"/>
            <w:tcBorders>
              <w:top w:val="nil"/>
              <w:left w:val="single" w:sz="8" w:space="0" w:color="auto"/>
              <w:bottom w:val="single" w:sz="8" w:space="0" w:color="auto"/>
              <w:right w:val="nil"/>
            </w:tcBorders>
            <w:shd w:val="clear" w:color="000000" w:fill="F2F2F2"/>
            <w:noWrap/>
            <w:vAlign w:val="center"/>
            <w:hideMark/>
          </w:tcPr>
          <w:p w14:paraId="198EFF51" w14:textId="77777777" w:rsidR="00A61FA0" w:rsidRPr="00A61FA0" w:rsidRDefault="00A61FA0" w:rsidP="00A61FA0">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(38)</w:t>
            </w:r>
          </w:p>
        </w:tc>
        <w:tc>
          <w:tcPr>
            <w:tcW w:w="960" w:type="dxa"/>
            <w:tcBorders>
              <w:top w:val="nil"/>
              <w:left w:val="nil"/>
              <w:bottom w:val="single" w:sz="8" w:space="0" w:color="auto"/>
              <w:right w:val="single" w:sz="8" w:space="0" w:color="auto"/>
            </w:tcBorders>
            <w:shd w:val="clear" w:color="000000" w:fill="F2F2F2"/>
            <w:noWrap/>
            <w:vAlign w:val="center"/>
            <w:hideMark/>
          </w:tcPr>
          <w:p w14:paraId="1DE57509" w14:textId="77777777" w:rsidR="00A61FA0" w:rsidRPr="00A61FA0" w:rsidRDefault="00A61FA0" w:rsidP="001E6AB6">
            <w:pPr>
              <w:jc w:val="right"/>
              <w:rPr>
                <w:rFonts w:ascii="Calibri" w:hAnsi="Calibri" w:cs="Calibri"/>
                <w:color w:val="000000"/>
                <w:sz w:val="18"/>
                <w:szCs w:val="18"/>
                <w:lang w:eastAsia="en-GB"/>
              </w:rPr>
            </w:pPr>
            <w:r w:rsidRPr="00A61FA0">
              <w:rPr>
                <w:rFonts w:ascii="Calibri" w:hAnsi="Calibri" w:cs="Calibri"/>
                <w:color w:val="000000"/>
                <w:sz w:val="18"/>
                <w:szCs w:val="18"/>
                <w:lang w:eastAsia="en-GB"/>
              </w:rPr>
              <w:t>(2</w:t>
            </w:r>
            <w:r w:rsidR="00420F59">
              <w:rPr>
                <w:rFonts w:ascii="Calibri" w:hAnsi="Calibri" w:cs="Calibri"/>
                <w:color w:val="000000"/>
                <w:sz w:val="18"/>
                <w:szCs w:val="18"/>
                <w:lang w:eastAsia="en-GB"/>
              </w:rPr>
              <w:t>6</w:t>
            </w:r>
            <w:r w:rsidRPr="00A61FA0">
              <w:rPr>
                <w:rFonts w:ascii="Calibri" w:hAnsi="Calibri" w:cs="Calibri"/>
                <w:color w:val="000000"/>
                <w:sz w:val="18"/>
                <w:szCs w:val="18"/>
                <w:lang w:eastAsia="en-GB"/>
              </w:rPr>
              <w:t>)</w:t>
            </w:r>
          </w:p>
        </w:tc>
      </w:tr>
    </w:tbl>
    <w:p w14:paraId="3078EB5A" w14:textId="77777777" w:rsidR="00670082" w:rsidRDefault="00670082" w:rsidP="00670082">
      <w:pPr>
        <w:spacing w:after="80"/>
        <w:rPr>
          <w:rFonts w:asciiTheme="minorHAnsi" w:hAnsiTheme="minorHAnsi"/>
          <w:sz w:val="16"/>
          <w:szCs w:val="16"/>
          <w:lang w:eastAsia="en-IE"/>
        </w:rPr>
      </w:pPr>
    </w:p>
    <w:p w14:paraId="29E9B7EF" w14:textId="77777777" w:rsidR="00670082" w:rsidRPr="00846A09" w:rsidRDefault="00670082" w:rsidP="00670082">
      <w:pPr>
        <w:spacing w:after="80"/>
        <w:rPr>
          <w:rFonts w:asciiTheme="minorHAnsi" w:hAnsiTheme="minorHAnsi"/>
          <w:sz w:val="16"/>
          <w:szCs w:val="16"/>
          <w:lang w:eastAsia="en-IE"/>
        </w:rPr>
      </w:pPr>
      <w:r>
        <w:rPr>
          <w:rFonts w:asciiTheme="minorHAnsi" w:hAnsiTheme="minorHAnsi"/>
          <w:sz w:val="16"/>
          <w:szCs w:val="16"/>
          <w:lang w:eastAsia="en-IE"/>
        </w:rPr>
        <w:t xml:space="preserve">* Note the adjustments to reflect the exclusion of TSG results prior to the merger also include any transactions that are now deemed to be intercompany as a result of the merger.  </w:t>
      </w:r>
    </w:p>
    <w:p w14:paraId="0642164F" w14:textId="77777777" w:rsidR="00670082" w:rsidRDefault="00670082" w:rsidP="00670082">
      <w:pPr>
        <w:spacing w:after="240"/>
        <w:rPr>
          <w:rFonts w:asciiTheme="minorHAnsi" w:hAnsiTheme="minorHAnsi"/>
          <w:sz w:val="20"/>
        </w:rPr>
      </w:pPr>
    </w:p>
    <w:p w14:paraId="305E76F1" w14:textId="77777777" w:rsidR="00670082" w:rsidRDefault="00670082" w:rsidP="00670082">
      <w:pPr>
        <w:spacing w:after="240"/>
        <w:rPr>
          <w:rFonts w:asciiTheme="minorHAnsi" w:hAnsiTheme="minorHAnsi"/>
          <w:sz w:val="20"/>
        </w:rPr>
      </w:pPr>
    </w:p>
    <w:p w14:paraId="3305D5C4" w14:textId="77777777" w:rsidR="00670082" w:rsidRDefault="00670082" w:rsidP="00670082">
      <w:pPr>
        <w:spacing w:after="240"/>
        <w:jc w:val="both"/>
        <w:rPr>
          <w:rFonts w:asciiTheme="minorHAnsi" w:hAnsiTheme="minorHAnsi"/>
          <w:sz w:val="20"/>
        </w:rPr>
      </w:pPr>
    </w:p>
    <w:p w14:paraId="01E68E5C" w14:textId="77777777" w:rsidR="00670082" w:rsidRDefault="00670082" w:rsidP="00670082">
      <w:pPr>
        <w:rPr>
          <w:rFonts w:asciiTheme="minorHAnsi" w:hAnsiTheme="minorHAnsi"/>
          <w:b/>
          <w:sz w:val="20"/>
          <w:lang w:eastAsia="en-IE"/>
        </w:rPr>
      </w:pPr>
      <w:r>
        <w:rPr>
          <w:rFonts w:asciiTheme="minorHAnsi" w:hAnsiTheme="minorHAnsi"/>
          <w:b/>
          <w:sz w:val="20"/>
          <w:lang w:eastAsia="en-IE"/>
        </w:rPr>
        <w:br w:type="page"/>
      </w:r>
    </w:p>
    <w:p w14:paraId="04EFFDD9" w14:textId="77777777" w:rsidR="00670082" w:rsidRPr="00742F60" w:rsidRDefault="00670082" w:rsidP="00670082">
      <w:pPr>
        <w:spacing w:after="120"/>
        <w:rPr>
          <w:rFonts w:asciiTheme="minorHAnsi" w:hAnsiTheme="minorHAnsi"/>
          <w:b/>
          <w:i/>
          <w:sz w:val="20"/>
        </w:rPr>
      </w:pPr>
      <w:r>
        <w:rPr>
          <w:rFonts w:asciiTheme="minorHAnsi" w:hAnsiTheme="minorHAnsi"/>
          <w:b/>
          <w:sz w:val="20"/>
          <w:lang w:eastAsia="en-IE"/>
        </w:rPr>
        <w:lastRenderedPageBreak/>
        <w:t>Appendix 5</w:t>
      </w:r>
      <w:r w:rsidRPr="00742F60">
        <w:rPr>
          <w:rFonts w:asciiTheme="minorHAnsi" w:hAnsiTheme="minorHAnsi"/>
          <w:b/>
          <w:sz w:val="20"/>
          <w:lang w:eastAsia="en-IE"/>
        </w:rPr>
        <w:t xml:space="preserve">: Reconciliation of </w:t>
      </w:r>
      <w:r w:rsidR="004A0472">
        <w:rPr>
          <w:rFonts w:asciiTheme="minorHAnsi" w:hAnsiTheme="minorHAnsi"/>
          <w:b/>
          <w:sz w:val="20"/>
          <w:lang w:eastAsia="en-IE"/>
        </w:rPr>
        <w:t xml:space="preserve">pro forma </w:t>
      </w:r>
      <w:r w:rsidRPr="00742F60">
        <w:rPr>
          <w:rFonts w:asciiTheme="minorHAnsi" w:hAnsiTheme="minorHAnsi"/>
          <w:b/>
          <w:sz w:val="20"/>
          <w:lang w:eastAsia="en-IE"/>
        </w:rPr>
        <w:t xml:space="preserve">growth rates to </w:t>
      </w:r>
      <w:r w:rsidR="004A0472">
        <w:rPr>
          <w:rFonts w:asciiTheme="minorHAnsi" w:hAnsiTheme="minorHAnsi"/>
          <w:b/>
          <w:sz w:val="20"/>
          <w:lang w:eastAsia="en-IE"/>
        </w:rPr>
        <w:t xml:space="preserve">pro forma </w:t>
      </w:r>
      <w:r w:rsidRPr="00742F60">
        <w:rPr>
          <w:rFonts w:asciiTheme="minorHAnsi" w:hAnsiTheme="minorHAnsi"/>
          <w:b/>
          <w:sz w:val="20"/>
          <w:lang w:eastAsia="en-IE"/>
        </w:rPr>
        <w:t>constant currency growth rates</w:t>
      </w:r>
    </w:p>
    <w:p w14:paraId="05EA1793" w14:textId="77777777" w:rsidR="00670082" w:rsidRPr="00742F60" w:rsidRDefault="00670082" w:rsidP="00670082">
      <w:pPr>
        <w:spacing w:after="240"/>
        <w:jc w:val="both"/>
        <w:rPr>
          <w:rFonts w:asciiTheme="minorHAnsi" w:hAnsiTheme="minorHAnsi"/>
          <w:sz w:val="20"/>
        </w:rPr>
      </w:pPr>
      <w:r w:rsidRPr="00742F60">
        <w:rPr>
          <w:rFonts w:asciiTheme="minorHAnsi" w:hAnsiTheme="minorHAnsi"/>
          <w:sz w:val="20"/>
        </w:rPr>
        <w:t>Constant currency (“cc”) growth is calculated by retranslating non-sterling denominated component of H1 2019 at H1 2020 exchange rates as per the table below.</w:t>
      </w:r>
    </w:p>
    <w:tbl>
      <w:tblPr>
        <w:tblW w:w="9572" w:type="dxa"/>
        <w:tblLook w:val="04A0" w:firstRow="1" w:lastRow="0" w:firstColumn="1" w:lastColumn="0" w:noHBand="0" w:noVBand="1"/>
      </w:tblPr>
      <w:tblGrid>
        <w:gridCol w:w="3060"/>
        <w:gridCol w:w="1080"/>
        <w:gridCol w:w="1088"/>
        <w:gridCol w:w="1088"/>
        <w:gridCol w:w="1080"/>
        <w:gridCol w:w="1088"/>
        <w:gridCol w:w="1088"/>
      </w:tblGrid>
      <w:tr w:rsidR="00A61FA0" w:rsidRPr="00A61FA0" w14:paraId="5D5E553A" w14:textId="77777777" w:rsidTr="005F7FC8">
        <w:trPr>
          <w:trHeight w:val="255"/>
        </w:trPr>
        <w:tc>
          <w:tcPr>
            <w:tcW w:w="3060" w:type="dxa"/>
            <w:tcBorders>
              <w:top w:val="single" w:sz="8" w:space="0" w:color="auto"/>
              <w:left w:val="single" w:sz="8" w:space="0" w:color="auto"/>
              <w:bottom w:val="nil"/>
              <w:right w:val="nil"/>
            </w:tcBorders>
            <w:shd w:val="clear" w:color="auto" w:fill="auto"/>
            <w:noWrap/>
            <w:vAlign w:val="center"/>
            <w:hideMark/>
          </w:tcPr>
          <w:p w14:paraId="00970D2E" w14:textId="77777777" w:rsidR="00A61FA0" w:rsidRPr="00A61FA0" w:rsidRDefault="00A61FA0" w:rsidP="00A61FA0">
            <w:pPr>
              <w:jc w:val="both"/>
              <w:rPr>
                <w:rFonts w:ascii="Calibri" w:hAnsi="Calibri" w:cs="Calibri"/>
                <w:b/>
                <w:bCs/>
                <w:sz w:val="20"/>
                <w:lang w:eastAsia="en-GB"/>
              </w:rPr>
            </w:pPr>
            <w:r w:rsidRPr="00A61FA0">
              <w:rPr>
                <w:rFonts w:ascii="Calibri" w:hAnsi="Calibri" w:cs="Calibri"/>
                <w:b/>
                <w:bCs/>
                <w:sz w:val="20"/>
                <w:lang w:eastAsia="en-GB"/>
              </w:rPr>
              <w:t> </w:t>
            </w:r>
          </w:p>
        </w:tc>
        <w:tc>
          <w:tcPr>
            <w:tcW w:w="1080" w:type="dxa"/>
            <w:tcBorders>
              <w:top w:val="single" w:sz="8" w:space="0" w:color="auto"/>
              <w:left w:val="single" w:sz="8" w:space="0" w:color="auto"/>
              <w:bottom w:val="nil"/>
              <w:right w:val="single" w:sz="8" w:space="0" w:color="auto"/>
            </w:tcBorders>
            <w:shd w:val="clear" w:color="000000" w:fill="F2F2F2"/>
            <w:noWrap/>
            <w:vAlign w:val="center"/>
            <w:hideMark/>
          </w:tcPr>
          <w:p w14:paraId="3DE15D6E" w14:textId="77777777" w:rsidR="00A61FA0" w:rsidRPr="00A61FA0" w:rsidRDefault="00A61FA0" w:rsidP="00A61FA0">
            <w:pPr>
              <w:rPr>
                <w:rFonts w:ascii="Calibri" w:hAnsi="Calibri" w:cs="Calibri"/>
                <w:b/>
                <w:bCs/>
                <w:color w:val="000000"/>
                <w:sz w:val="20"/>
                <w:lang w:eastAsia="en-GB"/>
              </w:rPr>
            </w:pPr>
            <w:r w:rsidRPr="00A61FA0">
              <w:rPr>
                <w:rFonts w:ascii="Calibri" w:hAnsi="Calibri" w:cs="Calibri"/>
                <w:b/>
                <w:bCs/>
                <w:color w:val="000000"/>
                <w:sz w:val="20"/>
                <w:lang w:eastAsia="en-GB"/>
              </w:rPr>
              <w:t> </w:t>
            </w:r>
          </w:p>
        </w:tc>
        <w:tc>
          <w:tcPr>
            <w:tcW w:w="1088" w:type="dxa"/>
            <w:tcBorders>
              <w:top w:val="single" w:sz="8" w:space="0" w:color="auto"/>
              <w:left w:val="nil"/>
              <w:bottom w:val="nil"/>
              <w:right w:val="nil"/>
            </w:tcBorders>
            <w:shd w:val="clear" w:color="auto" w:fill="auto"/>
            <w:noWrap/>
            <w:vAlign w:val="center"/>
            <w:hideMark/>
          </w:tcPr>
          <w:p w14:paraId="09CA0EFC" w14:textId="77777777" w:rsidR="00A61FA0" w:rsidRPr="00A61FA0" w:rsidRDefault="00A61FA0" w:rsidP="00A61FA0">
            <w:pPr>
              <w:rPr>
                <w:rFonts w:ascii="Calibri" w:hAnsi="Calibri" w:cs="Calibri"/>
                <w:b/>
                <w:bCs/>
                <w:color w:val="000000"/>
                <w:sz w:val="20"/>
                <w:lang w:eastAsia="en-GB"/>
              </w:rPr>
            </w:pPr>
            <w:r w:rsidRPr="00A61FA0">
              <w:rPr>
                <w:rFonts w:ascii="Calibri" w:hAnsi="Calibri" w:cs="Calibri"/>
                <w:b/>
                <w:bCs/>
                <w:color w:val="000000"/>
                <w:sz w:val="20"/>
                <w:lang w:eastAsia="en-GB"/>
              </w:rPr>
              <w:t> </w:t>
            </w:r>
          </w:p>
        </w:tc>
        <w:tc>
          <w:tcPr>
            <w:tcW w:w="1088" w:type="dxa"/>
            <w:tcBorders>
              <w:top w:val="single" w:sz="8" w:space="0" w:color="auto"/>
              <w:left w:val="nil"/>
              <w:bottom w:val="nil"/>
              <w:right w:val="single" w:sz="8" w:space="0" w:color="auto"/>
            </w:tcBorders>
            <w:shd w:val="clear" w:color="auto" w:fill="auto"/>
            <w:noWrap/>
            <w:vAlign w:val="center"/>
            <w:hideMark/>
          </w:tcPr>
          <w:p w14:paraId="27AD9AF6" w14:textId="77777777" w:rsidR="00A61FA0" w:rsidRPr="00A61FA0" w:rsidRDefault="00A61FA0" w:rsidP="00A61FA0">
            <w:pPr>
              <w:rPr>
                <w:rFonts w:ascii="Calibri" w:hAnsi="Calibri" w:cs="Calibri"/>
                <w:b/>
                <w:bCs/>
                <w:color w:val="000000"/>
                <w:sz w:val="20"/>
                <w:lang w:eastAsia="en-GB"/>
              </w:rPr>
            </w:pPr>
            <w:r w:rsidRPr="00A61FA0">
              <w:rPr>
                <w:rFonts w:ascii="Calibri" w:hAnsi="Calibri" w:cs="Calibri"/>
                <w:b/>
                <w:bCs/>
                <w:color w:val="000000"/>
                <w:sz w:val="20"/>
                <w:lang w:eastAsia="en-GB"/>
              </w:rPr>
              <w:t> </w:t>
            </w:r>
          </w:p>
        </w:tc>
        <w:tc>
          <w:tcPr>
            <w:tcW w:w="1080" w:type="dxa"/>
            <w:tcBorders>
              <w:top w:val="single" w:sz="8" w:space="0" w:color="auto"/>
              <w:left w:val="nil"/>
              <w:bottom w:val="nil"/>
              <w:right w:val="single" w:sz="8" w:space="0" w:color="auto"/>
            </w:tcBorders>
            <w:shd w:val="clear" w:color="auto" w:fill="auto"/>
            <w:noWrap/>
            <w:vAlign w:val="center"/>
            <w:hideMark/>
          </w:tcPr>
          <w:p w14:paraId="4A1E98CC"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1088" w:type="dxa"/>
            <w:tcBorders>
              <w:top w:val="single" w:sz="8" w:space="0" w:color="auto"/>
              <w:left w:val="nil"/>
              <w:bottom w:val="nil"/>
              <w:right w:val="nil"/>
            </w:tcBorders>
            <w:shd w:val="clear" w:color="auto" w:fill="auto"/>
            <w:noWrap/>
            <w:vAlign w:val="center"/>
            <w:hideMark/>
          </w:tcPr>
          <w:p w14:paraId="12D8A440"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1088" w:type="dxa"/>
            <w:tcBorders>
              <w:top w:val="single" w:sz="8" w:space="0" w:color="auto"/>
              <w:left w:val="nil"/>
              <w:bottom w:val="nil"/>
              <w:right w:val="single" w:sz="8" w:space="0" w:color="auto"/>
            </w:tcBorders>
            <w:shd w:val="clear" w:color="auto" w:fill="auto"/>
            <w:noWrap/>
            <w:vAlign w:val="center"/>
            <w:hideMark/>
          </w:tcPr>
          <w:p w14:paraId="1C21F26F"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CC</w:t>
            </w:r>
          </w:p>
        </w:tc>
      </w:tr>
      <w:tr w:rsidR="00A61FA0" w:rsidRPr="00A61FA0" w14:paraId="65339687"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6F88829" w14:textId="77777777" w:rsidR="00A61FA0" w:rsidRPr="00A61FA0" w:rsidRDefault="00A61FA0" w:rsidP="00A61FA0">
            <w:pPr>
              <w:jc w:val="both"/>
              <w:rPr>
                <w:rFonts w:ascii="Calibri" w:hAnsi="Calibri" w:cs="Calibri"/>
                <w:b/>
                <w:bCs/>
                <w:sz w:val="20"/>
                <w:lang w:eastAsia="en-GB"/>
              </w:rPr>
            </w:pPr>
            <w:r w:rsidRPr="00A61FA0">
              <w:rPr>
                <w:rFonts w:ascii="Calibri" w:hAnsi="Calibri" w:cs="Calibri"/>
                <w:b/>
                <w:bCs/>
                <w:sz w:val="20"/>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078C4A90"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1088" w:type="dxa"/>
            <w:tcBorders>
              <w:top w:val="nil"/>
              <w:left w:val="nil"/>
              <w:bottom w:val="nil"/>
              <w:right w:val="nil"/>
            </w:tcBorders>
            <w:shd w:val="clear" w:color="auto" w:fill="auto"/>
            <w:noWrap/>
            <w:vAlign w:val="center"/>
            <w:hideMark/>
          </w:tcPr>
          <w:p w14:paraId="2C153C99"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H1</w:t>
            </w:r>
          </w:p>
        </w:tc>
        <w:tc>
          <w:tcPr>
            <w:tcW w:w="1088" w:type="dxa"/>
            <w:tcBorders>
              <w:top w:val="nil"/>
              <w:left w:val="nil"/>
              <w:bottom w:val="nil"/>
              <w:right w:val="single" w:sz="8" w:space="0" w:color="auto"/>
            </w:tcBorders>
            <w:shd w:val="clear" w:color="auto" w:fill="auto"/>
            <w:noWrap/>
            <w:vAlign w:val="center"/>
            <w:hideMark/>
          </w:tcPr>
          <w:p w14:paraId="45C27B98"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w:t>
            </w:r>
          </w:p>
        </w:tc>
        <w:tc>
          <w:tcPr>
            <w:tcW w:w="1080" w:type="dxa"/>
            <w:tcBorders>
              <w:top w:val="nil"/>
              <w:left w:val="nil"/>
              <w:bottom w:val="nil"/>
              <w:right w:val="single" w:sz="8" w:space="0" w:color="auto"/>
            </w:tcBorders>
            <w:shd w:val="clear" w:color="auto" w:fill="auto"/>
            <w:noWrap/>
            <w:vAlign w:val="center"/>
            <w:hideMark/>
          </w:tcPr>
          <w:p w14:paraId="510C5108"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2019</w:t>
            </w:r>
          </w:p>
        </w:tc>
        <w:tc>
          <w:tcPr>
            <w:tcW w:w="1088" w:type="dxa"/>
            <w:tcBorders>
              <w:top w:val="nil"/>
              <w:left w:val="nil"/>
              <w:bottom w:val="nil"/>
              <w:right w:val="nil"/>
            </w:tcBorders>
            <w:shd w:val="clear" w:color="auto" w:fill="auto"/>
            <w:noWrap/>
            <w:vAlign w:val="center"/>
            <w:hideMark/>
          </w:tcPr>
          <w:p w14:paraId="608D7F70"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2019</w:t>
            </w:r>
          </w:p>
        </w:tc>
        <w:tc>
          <w:tcPr>
            <w:tcW w:w="1088" w:type="dxa"/>
            <w:tcBorders>
              <w:top w:val="nil"/>
              <w:left w:val="nil"/>
              <w:bottom w:val="nil"/>
              <w:right w:val="single" w:sz="8" w:space="0" w:color="auto"/>
            </w:tcBorders>
            <w:shd w:val="clear" w:color="auto" w:fill="auto"/>
            <w:noWrap/>
            <w:vAlign w:val="center"/>
            <w:hideMark/>
          </w:tcPr>
          <w:p w14:paraId="2F5EDC3B"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w:t>
            </w:r>
          </w:p>
        </w:tc>
      </w:tr>
      <w:tr w:rsidR="00A61FA0" w:rsidRPr="00A61FA0" w14:paraId="36E0F3A5" w14:textId="77777777" w:rsidTr="005F7FC8">
        <w:trPr>
          <w:trHeight w:val="263"/>
        </w:trPr>
        <w:tc>
          <w:tcPr>
            <w:tcW w:w="3060" w:type="dxa"/>
            <w:tcBorders>
              <w:top w:val="nil"/>
              <w:left w:val="single" w:sz="8" w:space="0" w:color="auto"/>
              <w:bottom w:val="single" w:sz="8" w:space="0" w:color="auto"/>
              <w:right w:val="nil"/>
            </w:tcBorders>
            <w:shd w:val="clear" w:color="auto" w:fill="auto"/>
            <w:hideMark/>
          </w:tcPr>
          <w:p w14:paraId="0722A3BF" w14:textId="77777777" w:rsidR="00A61FA0" w:rsidRPr="00A61FA0" w:rsidRDefault="00A61FA0" w:rsidP="00A61FA0">
            <w:pPr>
              <w:rPr>
                <w:rFonts w:ascii="Calibri" w:hAnsi="Calibri" w:cs="Calibri"/>
                <w:b/>
                <w:bCs/>
                <w:iCs/>
                <w:color w:val="000000"/>
                <w:sz w:val="20"/>
                <w:lang w:eastAsia="en-GB"/>
              </w:rPr>
            </w:pPr>
            <w:r w:rsidRPr="00A61FA0">
              <w:rPr>
                <w:rFonts w:ascii="Calibri" w:hAnsi="Calibri" w:cs="Calibri"/>
                <w:b/>
                <w:bCs/>
                <w:iCs/>
                <w:color w:val="000000"/>
                <w:sz w:val="20"/>
                <w:lang w:eastAsia="en-GB"/>
              </w:rPr>
              <w:t>£m, pro forma</w:t>
            </w:r>
          </w:p>
        </w:tc>
        <w:tc>
          <w:tcPr>
            <w:tcW w:w="1080" w:type="dxa"/>
            <w:tcBorders>
              <w:top w:val="nil"/>
              <w:left w:val="single" w:sz="8" w:space="0" w:color="auto"/>
              <w:bottom w:val="single" w:sz="8" w:space="0" w:color="auto"/>
              <w:right w:val="single" w:sz="8" w:space="0" w:color="auto"/>
            </w:tcBorders>
            <w:shd w:val="clear" w:color="000000" w:fill="F2F2F2"/>
            <w:noWrap/>
            <w:vAlign w:val="center"/>
            <w:hideMark/>
          </w:tcPr>
          <w:p w14:paraId="56F07CAD"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2020</w:t>
            </w:r>
          </w:p>
        </w:tc>
        <w:tc>
          <w:tcPr>
            <w:tcW w:w="1088" w:type="dxa"/>
            <w:tcBorders>
              <w:top w:val="nil"/>
              <w:left w:val="nil"/>
              <w:bottom w:val="single" w:sz="8" w:space="0" w:color="auto"/>
              <w:right w:val="nil"/>
            </w:tcBorders>
            <w:shd w:val="clear" w:color="auto" w:fill="auto"/>
            <w:noWrap/>
            <w:vAlign w:val="center"/>
            <w:hideMark/>
          </w:tcPr>
          <w:p w14:paraId="62EBCBB7"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2019</w:t>
            </w:r>
          </w:p>
        </w:tc>
        <w:tc>
          <w:tcPr>
            <w:tcW w:w="1088" w:type="dxa"/>
            <w:tcBorders>
              <w:top w:val="nil"/>
              <w:left w:val="nil"/>
              <w:bottom w:val="single" w:sz="8" w:space="0" w:color="auto"/>
              <w:right w:val="single" w:sz="8" w:space="0" w:color="auto"/>
            </w:tcBorders>
            <w:shd w:val="clear" w:color="auto" w:fill="auto"/>
            <w:noWrap/>
            <w:vAlign w:val="center"/>
            <w:hideMark/>
          </w:tcPr>
          <w:p w14:paraId="0AF327A4"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Change</w:t>
            </w:r>
          </w:p>
        </w:tc>
        <w:tc>
          <w:tcPr>
            <w:tcW w:w="1080" w:type="dxa"/>
            <w:tcBorders>
              <w:top w:val="nil"/>
              <w:left w:val="nil"/>
              <w:bottom w:val="single" w:sz="8" w:space="0" w:color="auto"/>
              <w:right w:val="single" w:sz="8" w:space="0" w:color="auto"/>
            </w:tcBorders>
            <w:shd w:val="clear" w:color="auto" w:fill="auto"/>
            <w:noWrap/>
            <w:vAlign w:val="center"/>
            <w:hideMark/>
          </w:tcPr>
          <w:p w14:paraId="2D44713B"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FX impact</w:t>
            </w:r>
          </w:p>
        </w:tc>
        <w:tc>
          <w:tcPr>
            <w:tcW w:w="1088" w:type="dxa"/>
            <w:tcBorders>
              <w:top w:val="nil"/>
              <w:left w:val="nil"/>
              <w:bottom w:val="single" w:sz="8" w:space="0" w:color="auto"/>
              <w:right w:val="nil"/>
            </w:tcBorders>
            <w:shd w:val="clear" w:color="auto" w:fill="auto"/>
            <w:noWrap/>
            <w:vAlign w:val="center"/>
            <w:hideMark/>
          </w:tcPr>
          <w:p w14:paraId="35B8B62E"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CC</w:t>
            </w:r>
          </w:p>
        </w:tc>
        <w:tc>
          <w:tcPr>
            <w:tcW w:w="1088" w:type="dxa"/>
            <w:tcBorders>
              <w:top w:val="nil"/>
              <w:left w:val="nil"/>
              <w:bottom w:val="single" w:sz="8" w:space="0" w:color="auto"/>
              <w:right w:val="single" w:sz="8" w:space="0" w:color="auto"/>
            </w:tcBorders>
            <w:shd w:val="clear" w:color="auto" w:fill="auto"/>
            <w:noWrap/>
            <w:vAlign w:val="center"/>
            <w:hideMark/>
          </w:tcPr>
          <w:p w14:paraId="0A31E313"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Change</w:t>
            </w:r>
          </w:p>
        </w:tc>
      </w:tr>
      <w:tr w:rsidR="00A61FA0" w:rsidRPr="00A61FA0" w14:paraId="7CEE6CCF"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6EEFCD11" w14:textId="77777777" w:rsidR="00A61FA0" w:rsidRPr="00A61FA0" w:rsidRDefault="00A61FA0" w:rsidP="00A61FA0">
            <w:pPr>
              <w:jc w:val="both"/>
              <w:rPr>
                <w:rFonts w:ascii="Calibri" w:hAnsi="Calibri" w:cs="Calibri"/>
                <w:b/>
                <w:bCs/>
                <w:color w:val="FF0000"/>
                <w:sz w:val="2"/>
                <w:szCs w:val="2"/>
                <w:lang w:eastAsia="en-GB"/>
              </w:rPr>
            </w:pPr>
            <w:r w:rsidRPr="00A61FA0">
              <w:rPr>
                <w:rFonts w:ascii="Calibri" w:hAnsi="Calibri" w:cs="Calibri"/>
                <w:b/>
                <w:bCs/>
                <w:color w:val="FF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009AF400"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1088" w:type="dxa"/>
            <w:tcBorders>
              <w:top w:val="nil"/>
              <w:left w:val="nil"/>
              <w:bottom w:val="nil"/>
              <w:right w:val="nil"/>
            </w:tcBorders>
            <w:shd w:val="clear" w:color="auto" w:fill="auto"/>
            <w:noWrap/>
            <w:vAlign w:val="center"/>
            <w:hideMark/>
          </w:tcPr>
          <w:p w14:paraId="538F49FD" w14:textId="77777777" w:rsidR="00A61FA0" w:rsidRPr="00A61FA0" w:rsidRDefault="00A61FA0" w:rsidP="00A61FA0">
            <w:pPr>
              <w:jc w:val="right"/>
              <w:rPr>
                <w:rFonts w:ascii="Calibri" w:hAnsi="Calibri" w:cs="Calibri"/>
                <w:b/>
                <w:bCs/>
                <w:color w:val="000000"/>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3B164C46"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6178E4CE"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1088" w:type="dxa"/>
            <w:tcBorders>
              <w:top w:val="nil"/>
              <w:left w:val="nil"/>
              <w:bottom w:val="nil"/>
              <w:right w:val="nil"/>
            </w:tcBorders>
            <w:shd w:val="clear" w:color="auto" w:fill="auto"/>
            <w:noWrap/>
            <w:vAlign w:val="center"/>
            <w:hideMark/>
          </w:tcPr>
          <w:p w14:paraId="75EEA8B2" w14:textId="77777777" w:rsidR="00A61FA0" w:rsidRPr="00A61FA0" w:rsidRDefault="00A61FA0" w:rsidP="00A61FA0">
            <w:pPr>
              <w:jc w:val="right"/>
              <w:rPr>
                <w:rFonts w:ascii="Calibri" w:hAnsi="Calibri" w:cs="Calibri"/>
                <w:b/>
                <w:bCs/>
                <w:color w:val="000000"/>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5FCAAA26" w14:textId="77777777" w:rsidR="00A61FA0" w:rsidRPr="00A61FA0" w:rsidRDefault="00A61FA0" w:rsidP="00A61FA0">
            <w:pPr>
              <w:jc w:val="right"/>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r>
      <w:tr w:rsidR="00A61FA0" w:rsidRPr="00A61FA0" w14:paraId="17E8BD67"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61D14ED0"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Sports revenue</w:t>
            </w:r>
          </w:p>
        </w:tc>
        <w:tc>
          <w:tcPr>
            <w:tcW w:w="1080" w:type="dxa"/>
            <w:tcBorders>
              <w:top w:val="nil"/>
              <w:left w:val="single" w:sz="8" w:space="0" w:color="auto"/>
              <w:bottom w:val="nil"/>
              <w:right w:val="single" w:sz="8" w:space="0" w:color="auto"/>
            </w:tcBorders>
            <w:shd w:val="clear" w:color="000000" w:fill="F2F2F2"/>
            <w:noWrap/>
            <w:vAlign w:val="center"/>
            <w:hideMark/>
          </w:tcPr>
          <w:p w14:paraId="35C96717"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1,199</w:t>
            </w:r>
          </w:p>
        </w:tc>
        <w:tc>
          <w:tcPr>
            <w:tcW w:w="1088" w:type="dxa"/>
            <w:tcBorders>
              <w:top w:val="nil"/>
              <w:left w:val="nil"/>
              <w:bottom w:val="nil"/>
              <w:right w:val="nil"/>
            </w:tcBorders>
            <w:shd w:val="clear" w:color="auto" w:fill="auto"/>
            <w:noWrap/>
            <w:vAlign w:val="center"/>
            <w:hideMark/>
          </w:tcPr>
          <w:p w14:paraId="0A84BBEB"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1,117</w:t>
            </w:r>
          </w:p>
        </w:tc>
        <w:tc>
          <w:tcPr>
            <w:tcW w:w="1088" w:type="dxa"/>
            <w:tcBorders>
              <w:top w:val="nil"/>
              <w:left w:val="nil"/>
              <w:bottom w:val="nil"/>
              <w:right w:val="single" w:sz="8" w:space="0" w:color="auto"/>
            </w:tcBorders>
            <w:shd w:val="clear" w:color="auto" w:fill="auto"/>
            <w:noWrap/>
            <w:vAlign w:val="center"/>
            <w:hideMark/>
          </w:tcPr>
          <w:p w14:paraId="2129E2B1"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+7%</w:t>
            </w:r>
          </w:p>
        </w:tc>
        <w:tc>
          <w:tcPr>
            <w:tcW w:w="1080" w:type="dxa"/>
            <w:tcBorders>
              <w:top w:val="nil"/>
              <w:left w:val="nil"/>
              <w:bottom w:val="nil"/>
              <w:right w:val="single" w:sz="8" w:space="0" w:color="auto"/>
            </w:tcBorders>
            <w:shd w:val="clear" w:color="auto" w:fill="auto"/>
            <w:noWrap/>
            <w:vAlign w:val="center"/>
            <w:hideMark/>
          </w:tcPr>
          <w:p w14:paraId="5EEA5C3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(10)</w:t>
            </w:r>
          </w:p>
        </w:tc>
        <w:tc>
          <w:tcPr>
            <w:tcW w:w="1088" w:type="dxa"/>
            <w:tcBorders>
              <w:top w:val="nil"/>
              <w:left w:val="nil"/>
              <w:bottom w:val="nil"/>
              <w:right w:val="nil"/>
            </w:tcBorders>
            <w:shd w:val="clear" w:color="auto" w:fill="auto"/>
            <w:noWrap/>
            <w:vAlign w:val="center"/>
            <w:hideMark/>
          </w:tcPr>
          <w:p w14:paraId="5FE19C5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1,107</w:t>
            </w:r>
          </w:p>
        </w:tc>
        <w:tc>
          <w:tcPr>
            <w:tcW w:w="1088" w:type="dxa"/>
            <w:tcBorders>
              <w:top w:val="nil"/>
              <w:left w:val="nil"/>
              <w:bottom w:val="nil"/>
              <w:right w:val="single" w:sz="8" w:space="0" w:color="auto"/>
            </w:tcBorders>
            <w:shd w:val="clear" w:color="auto" w:fill="auto"/>
            <w:noWrap/>
            <w:vAlign w:val="center"/>
            <w:hideMark/>
          </w:tcPr>
          <w:p w14:paraId="6D37FCC3" w14:textId="77777777" w:rsidR="00A61FA0" w:rsidRPr="00A61FA0" w:rsidRDefault="00A61FA0" w:rsidP="00A61FA0">
            <w:pPr>
              <w:jc w:val="right"/>
              <w:rPr>
                <w:rFonts w:ascii="Calibri" w:hAnsi="Calibri" w:cs="Calibri"/>
                <w:b/>
                <w:bCs/>
                <w:color w:val="000000"/>
                <w:sz w:val="20"/>
                <w:lang w:eastAsia="en-GB"/>
              </w:rPr>
            </w:pPr>
            <w:r w:rsidRPr="00A61FA0">
              <w:rPr>
                <w:rFonts w:ascii="Calibri" w:hAnsi="Calibri" w:cs="Calibri"/>
                <w:b/>
                <w:bCs/>
                <w:color w:val="000000"/>
                <w:sz w:val="20"/>
                <w:lang w:eastAsia="en-GB"/>
              </w:rPr>
              <w:t>+8%</w:t>
            </w:r>
          </w:p>
        </w:tc>
      </w:tr>
      <w:tr w:rsidR="00A61FA0" w:rsidRPr="00A61FA0" w14:paraId="498F15E4"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56B6D5EF"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Gaming revenue</w:t>
            </w:r>
          </w:p>
        </w:tc>
        <w:tc>
          <w:tcPr>
            <w:tcW w:w="1080" w:type="dxa"/>
            <w:tcBorders>
              <w:top w:val="nil"/>
              <w:left w:val="single" w:sz="8" w:space="0" w:color="auto"/>
              <w:bottom w:val="single" w:sz="8" w:space="0" w:color="auto"/>
              <w:right w:val="single" w:sz="8" w:space="0" w:color="auto"/>
            </w:tcBorders>
            <w:shd w:val="clear" w:color="000000" w:fill="F2F2F2"/>
            <w:noWrap/>
            <w:vAlign w:val="center"/>
            <w:hideMark/>
          </w:tcPr>
          <w:p w14:paraId="3F3A108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1,190</w:t>
            </w:r>
          </w:p>
        </w:tc>
        <w:tc>
          <w:tcPr>
            <w:tcW w:w="1088" w:type="dxa"/>
            <w:tcBorders>
              <w:top w:val="nil"/>
              <w:left w:val="nil"/>
              <w:bottom w:val="single" w:sz="8" w:space="0" w:color="auto"/>
              <w:right w:val="nil"/>
            </w:tcBorders>
            <w:shd w:val="clear" w:color="auto" w:fill="auto"/>
            <w:noWrap/>
            <w:vAlign w:val="center"/>
            <w:hideMark/>
          </w:tcPr>
          <w:p w14:paraId="31992206"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858</w:t>
            </w:r>
          </w:p>
        </w:tc>
        <w:tc>
          <w:tcPr>
            <w:tcW w:w="1088" w:type="dxa"/>
            <w:tcBorders>
              <w:top w:val="nil"/>
              <w:left w:val="nil"/>
              <w:bottom w:val="single" w:sz="8" w:space="0" w:color="auto"/>
              <w:right w:val="single" w:sz="8" w:space="0" w:color="auto"/>
            </w:tcBorders>
            <w:shd w:val="clear" w:color="auto" w:fill="auto"/>
            <w:noWrap/>
            <w:vAlign w:val="center"/>
            <w:hideMark/>
          </w:tcPr>
          <w:p w14:paraId="5ABB1A3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+39%</w:t>
            </w:r>
          </w:p>
        </w:tc>
        <w:tc>
          <w:tcPr>
            <w:tcW w:w="1080" w:type="dxa"/>
            <w:tcBorders>
              <w:top w:val="nil"/>
              <w:left w:val="nil"/>
              <w:bottom w:val="single" w:sz="8" w:space="0" w:color="auto"/>
              <w:right w:val="single" w:sz="8" w:space="0" w:color="auto"/>
            </w:tcBorders>
            <w:shd w:val="clear" w:color="auto" w:fill="auto"/>
            <w:noWrap/>
            <w:vAlign w:val="center"/>
            <w:hideMark/>
          </w:tcPr>
          <w:p w14:paraId="56EAA31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w:t>
            </w:r>
          </w:p>
        </w:tc>
        <w:tc>
          <w:tcPr>
            <w:tcW w:w="1088" w:type="dxa"/>
            <w:tcBorders>
              <w:top w:val="nil"/>
              <w:left w:val="nil"/>
              <w:bottom w:val="single" w:sz="8" w:space="0" w:color="auto"/>
              <w:right w:val="nil"/>
            </w:tcBorders>
            <w:shd w:val="clear" w:color="auto" w:fill="auto"/>
            <w:noWrap/>
            <w:vAlign w:val="center"/>
            <w:hideMark/>
          </w:tcPr>
          <w:p w14:paraId="027FE97A"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847</w:t>
            </w:r>
          </w:p>
        </w:tc>
        <w:tc>
          <w:tcPr>
            <w:tcW w:w="1088" w:type="dxa"/>
            <w:tcBorders>
              <w:top w:val="nil"/>
              <w:left w:val="nil"/>
              <w:bottom w:val="single" w:sz="8" w:space="0" w:color="auto"/>
              <w:right w:val="single" w:sz="8" w:space="0" w:color="auto"/>
            </w:tcBorders>
            <w:shd w:val="clear" w:color="auto" w:fill="auto"/>
            <w:noWrap/>
            <w:vAlign w:val="center"/>
            <w:hideMark/>
          </w:tcPr>
          <w:p w14:paraId="002C964F"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+40%</w:t>
            </w:r>
          </w:p>
        </w:tc>
      </w:tr>
      <w:tr w:rsidR="00A61FA0" w:rsidRPr="00A61FA0" w14:paraId="1277D2FA"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1147975A"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Total revenue</w:t>
            </w:r>
          </w:p>
        </w:tc>
        <w:tc>
          <w:tcPr>
            <w:tcW w:w="1080" w:type="dxa"/>
            <w:tcBorders>
              <w:top w:val="nil"/>
              <w:left w:val="single" w:sz="8" w:space="0" w:color="auto"/>
              <w:bottom w:val="nil"/>
              <w:right w:val="single" w:sz="8" w:space="0" w:color="auto"/>
            </w:tcBorders>
            <w:shd w:val="clear" w:color="000000" w:fill="F2F2F2"/>
            <w:noWrap/>
            <w:vAlign w:val="center"/>
            <w:hideMark/>
          </w:tcPr>
          <w:p w14:paraId="028624E0"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2,389</w:t>
            </w:r>
          </w:p>
        </w:tc>
        <w:tc>
          <w:tcPr>
            <w:tcW w:w="1088" w:type="dxa"/>
            <w:tcBorders>
              <w:top w:val="nil"/>
              <w:left w:val="nil"/>
              <w:bottom w:val="nil"/>
              <w:right w:val="nil"/>
            </w:tcBorders>
            <w:shd w:val="clear" w:color="auto" w:fill="auto"/>
            <w:noWrap/>
            <w:vAlign w:val="center"/>
            <w:hideMark/>
          </w:tcPr>
          <w:p w14:paraId="6F415C4B"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1,975</w:t>
            </w:r>
          </w:p>
        </w:tc>
        <w:tc>
          <w:tcPr>
            <w:tcW w:w="1088" w:type="dxa"/>
            <w:tcBorders>
              <w:top w:val="nil"/>
              <w:left w:val="nil"/>
              <w:bottom w:val="nil"/>
              <w:right w:val="single" w:sz="8" w:space="0" w:color="auto"/>
            </w:tcBorders>
            <w:shd w:val="clear" w:color="auto" w:fill="auto"/>
            <w:noWrap/>
            <w:vAlign w:val="center"/>
            <w:hideMark/>
          </w:tcPr>
          <w:p w14:paraId="397EAEEC"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+21%</w:t>
            </w:r>
          </w:p>
        </w:tc>
        <w:tc>
          <w:tcPr>
            <w:tcW w:w="1080" w:type="dxa"/>
            <w:tcBorders>
              <w:top w:val="nil"/>
              <w:left w:val="nil"/>
              <w:bottom w:val="nil"/>
              <w:right w:val="single" w:sz="8" w:space="0" w:color="auto"/>
            </w:tcBorders>
            <w:shd w:val="clear" w:color="auto" w:fill="auto"/>
            <w:noWrap/>
            <w:vAlign w:val="center"/>
            <w:hideMark/>
          </w:tcPr>
          <w:p w14:paraId="4C096016"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(21)</w:t>
            </w:r>
          </w:p>
        </w:tc>
        <w:tc>
          <w:tcPr>
            <w:tcW w:w="1088" w:type="dxa"/>
            <w:tcBorders>
              <w:top w:val="nil"/>
              <w:left w:val="nil"/>
              <w:bottom w:val="nil"/>
              <w:right w:val="nil"/>
            </w:tcBorders>
            <w:shd w:val="clear" w:color="auto" w:fill="auto"/>
            <w:noWrap/>
            <w:vAlign w:val="center"/>
            <w:hideMark/>
          </w:tcPr>
          <w:p w14:paraId="1EB8095B"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1,954</w:t>
            </w:r>
          </w:p>
        </w:tc>
        <w:tc>
          <w:tcPr>
            <w:tcW w:w="1088" w:type="dxa"/>
            <w:tcBorders>
              <w:top w:val="nil"/>
              <w:left w:val="nil"/>
              <w:bottom w:val="nil"/>
              <w:right w:val="single" w:sz="8" w:space="0" w:color="auto"/>
            </w:tcBorders>
            <w:shd w:val="clear" w:color="auto" w:fill="auto"/>
            <w:noWrap/>
            <w:vAlign w:val="center"/>
            <w:hideMark/>
          </w:tcPr>
          <w:p w14:paraId="154BA7FA"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+22%</w:t>
            </w:r>
          </w:p>
        </w:tc>
      </w:tr>
      <w:tr w:rsidR="00A61FA0" w:rsidRPr="00A61FA0" w14:paraId="0F91F53C"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19E57A4B"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13914EF0"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488E0FCC" w14:textId="77777777" w:rsidR="00A61FA0" w:rsidRPr="00A61FA0" w:rsidRDefault="00A61FA0" w:rsidP="00A61FA0">
            <w:pPr>
              <w:jc w:val="both"/>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0D00F14F"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78362243"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4FCD57E1" w14:textId="77777777" w:rsidR="00A61FA0" w:rsidRPr="00A61FA0" w:rsidRDefault="00A61FA0" w:rsidP="00A61FA0">
            <w:pPr>
              <w:jc w:val="both"/>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13B1302D" w14:textId="77777777" w:rsidR="00A61FA0" w:rsidRPr="00A61FA0" w:rsidRDefault="00A61FA0" w:rsidP="00A61FA0">
            <w:pPr>
              <w:jc w:val="both"/>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0E987756"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6D79ABD4"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Cost of sales</w:t>
            </w:r>
          </w:p>
        </w:tc>
        <w:tc>
          <w:tcPr>
            <w:tcW w:w="1080" w:type="dxa"/>
            <w:tcBorders>
              <w:top w:val="nil"/>
              <w:left w:val="single" w:sz="8" w:space="0" w:color="auto"/>
              <w:bottom w:val="nil"/>
              <w:right w:val="single" w:sz="8" w:space="0" w:color="auto"/>
            </w:tcBorders>
            <w:shd w:val="clear" w:color="000000" w:fill="F2F2F2"/>
            <w:noWrap/>
            <w:vAlign w:val="center"/>
            <w:hideMark/>
          </w:tcPr>
          <w:p w14:paraId="6FC1C43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(738)</w:t>
            </w:r>
          </w:p>
        </w:tc>
        <w:tc>
          <w:tcPr>
            <w:tcW w:w="1088" w:type="dxa"/>
            <w:tcBorders>
              <w:top w:val="nil"/>
              <w:left w:val="nil"/>
              <w:bottom w:val="nil"/>
              <w:right w:val="nil"/>
            </w:tcBorders>
            <w:shd w:val="clear" w:color="auto" w:fill="auto"/>
            <w:noWrap/>
            <w:vAlign w:val="center"/>
            <w:hideMark/>
          </w:tcPr>
          <w:p w14:paraId="7791A13C"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(566)</w:t>
            </w:r>
          </w:p>
        </w:tc>
        <w:tc>
          <w:tcPr>
            <w:tcW w:w="1088" w:type="dxa"/>
            <w:tcBorders>
              <w:top w:val="nil"/>
              <w:left w:val="nil"/>
              <w:bottom w:val="nil"/>
              <w:right w:val="single" w:sz="8" w:space="0" w:color="auto"/>
            </w:tcBorders>
            <w:shd w:val="clear" w:color="auto" w:fill="auto"/>
            <w:noWrap/>
            <w:vAlign w:val="center"/>
            <w:hideMark/>
          </w:tcPr>
          <w:p w14:paraId="28E3759B"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+30%</w:t>
            </w:r>
          </w:p>
        </w:tc>
        <w:tc>
          <w:tcPr>
            <w:tcW w:w="1080" w:type="dxa"/>
            <w:tcBorders>
              <w:top w:val="nil"/>
              <w:left w:val="nil"/>
              <w:bottom w:val="nil"/>
              <w:right w:val="single" w:sz="8" w:space="0" w:color="auto"/>
            </w:tcBorders>
            <w:shd w:val="clear" w:color="auto" w:fill="auto"/>
            <w:noWrap/>
            <w:vAlign w:val="center"/>
            <w:hideMark/>
          </w:tcPr>
          <w:p w14:paraId="39238A0F"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5</w:t>
            </w:r>
          </w:p>
        </w:tc>
        <w:tc>
          <w:tcPr>
            <w:tcW w:w="1088" w:type="dxa"/>
            <w:tcBorders>
              <w:top w:val="nil"/>
              <w:left w:val="nil"/>
              <w:bottom w:val="nil"/>
              <w:right w:val="nil"/>
            </w:tcBorders>
            <w:shd w:val="clear" w:color="auto" w:fill="auto"/>
            <w:noWrap/>
            <w:vAlign w:val="center"/>
            <w:hideMark/>
          </w:tcPr>
          <w:p w14:paraId="2374379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(561)</w:t>
            </w:r>
          </w:p>
        </w:tc>
        <w:tc>
          <w:tcPr>
            <w:tcW w:w="1088" w:type="dxa"/>
            <w:tcBorders>
              <w:top w:val="nil"/>
              <w:left w:val="nil"/>
              <w:bottom w:val="nil"/>
              <w:right w:val="single" w:sz="8" w:space="0" w:color="auto"/>
            </w:tcBorders>
            <w:shd w:val="clear" w:color="auto" w:fill="auto"/>
            <w:noWrap/>
            <w:vAlign w:val="center"/>
            <w:hideMark/>
          </w:tcPr>
          <w:p w14:paraId="3C867DE4"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+32%</w:t>
            </w:r>
          </w:p>
        </w:tc>
      </w:tr>
      <w:tr w:rsidR="00A61FA0" w:rsidRPr="00A61FA0" w14:paraId="54B2D0E3"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A26DA1D" w14:textId="77777777" w:rsidR="00A61FA0" w:rsidRPr="00A61FA0" w:rsidRDefault="00A61FA0" w:rsidP="00A61FA0">
            <w:pPr>
              <w:jc w:val="both"/>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Cost of sales as a % of net revenue</w:t>
            </w:r>
          </w:p>
        </w:tc>
        <w:tc>
          <w:tcPr>
            <w:tcW w:w="1080" w:type="dxa"/>
            <w:tcBorders>
              <w:top w:val="nil"/>
              <w:left w:val="single" w:sz="8" w:space="0" w:color="auto"/>
              <w:bottom w:val="nil"/>
              <w:right w:val="single" w:sz="8" w:space="0" w:color="auto"/>
            </w:tcBorders>
            <w:shd w:val="clear" w:color="000000" w:fill="F2F2F2"/>
            <w:noWrap/>
            <w:vAlign w:val="center"/>
            <w:hideMark/>
          </w:tcPr>
          <w:p w14:paraId="0F8A4309"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30.9%</w:t>
            </w:r>
          </w:p>
        </w:tc>
        <w:tc>
          <w:tcPr>
            <w:tcW w:w="1088" w:type="dxa"/>
            <w:tcBorders>
              <w:top w:val="nil"/>
              <w:left w:val="nil"/>
              <w:bottom w:val="nil"/>
              <w:right w:val="nil"/>
            </w:tcBorders>
            <w:shd w:val="clear" w:color="auto" w:fill="auto"/>
            <w:noWrap/>
            <w:vAlign w:val="center"/>
            <w:hideMark/>
          </w:tcPr>
          <w:p w14:paraId="463A6219"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28.7%</w:t>
            </w:r>
          </w:p>
        </w:tc>
        <w:tc>
          <w:tcPr>
            <w:tcW w:w="1088" w:type="dxa"/>
            <w:tcBorders>
              <w:top w:val="nil"/>
              <w:left w:val="nil"/>
              <w:bottom w:val="nil"/>
              <w:right w:val="single" w:sz="8" w:space="0" w:color="auto"/>
            </w:tcBorders>
            <w:shd w:val="clear" w:color="auto" w:fill="auto"/>
            <w:noWrap/>
            <w:vAlign w:val="center"/>
            <w:hideMark/>
          </w:tcPr>
          <w:p w14:paraId="48D22AE7"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+230bps</w:t>
            </w:r>
          </w:p>
        </w:tc>
        <w:tc>
          <w:tcPr>
            <w:tcW w:w="1080" w:type="dxa"/>
            <w:tcBorders>
              <w:top w:val="nil"/>
              <w:left w:val="nil"/>
              <w:bottom w:val="nil"/>
              <w:right w:val="single" w:sz="8" w:space="0" w:color="auto"/>
            </w:tcBorders>
            <w:shd w:val="clear" w:color="auto" w:fill="auto"/>
            <w:noWrap/>
            <w:vAlign w:val="center"/>
            <w:hideMark/>
          </w:tcPr>
          <w:p w14:paraId="41C4C73F"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 </w:t>
            </w:r>
          </w:p>
        </w:tc>
        <w:tc>
          <w:tcPr>
            <w:tcW w:w="1088" w:type="dxa"/>
            <w:tcBorders>
              <w:top w:val="nil"/>
              <w:left w:val="nil"/>
              <w:bottom w:val="nil"/>
              <w:right w:val="nil"/>
            </w:tcBorders>
            <w:shd w:val="clear" w:color="auto" w:fill="auto"/>
            <w:noWrap/>
            <w:vAlign w:val="center"/>
            <w:hideMark/>
          </w:tcPr>
          <w:p w14:paraId="351C81DF"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28.7%</w:t>
            </w:r>
          </w:p>
        </w:tc>
        <w:tc>
          <w:tcPr>
            <w:tcW w:w="1088" w:type="dxa"/>
            <w:tcBorders>
              <w:top w:val="nil"/>
              <w:left w:val="nil"/>
              <w:bottom w:val="nil"/>
              <w:right w:val="single" w:sz="8" w:space="0" w:color="auto"/>
            </w:tcBorders>
            <w:shd w:val="clear" w:color="auto" w:fill="auto"/>
            <w:noWrap/>
            <w:vAlign w:val="center"/>
            <w:hideMark/>
          </w:tcPr>
          <w:p w14:paraId="21AF1484"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+220bps</w:t>
            </w:r>
          </w:p>
        </w:tc>
      </w:tr>
      <w:tr w:rsidR="00A61FA0" w:rsidRPr="00A61FA0" w14:paraId="2091A550"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6B04727F"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24A970C4"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1357E825"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2E719E39"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57CFAED2"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55729E61"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2932E541"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0B97569B"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E7FB878"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Gross profit</w:t>
            </w:r>
          </w:p>
        </w:tc>
        <w:tc>
          <w:tcPr>
            <w:tcW w:w="1080" w:type="dxa"/>
            <w:tcBorders>
              <w:top w:val="nil"/>
              <w:left w:val="single" w:sz="8" w:space="0" w:color="auto"/>
              <w:bottom w:val="nil"/>
              <w:right w:val="single" w:sz="8" w:space="0" w:color="auto"/>
            </w:tcBorders>
            <w:shd w:val="clear" w:color="000000" w:fill="F2F2F2"/>
            <w:noWrap/>
            <w:vAlign w:val="center"/>
            <w:hideMark/>
          </w:tcPr>
          <w:p w14:paraId="54D4953B"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1,650</w:t>
            </w:r>
          </w:p>
        </w:tc>
        <w:tc>
          <w:tcPr>
            <w:tcW w:w="1088" w:type="dxa"/>
            <w:tcBorders>
              <w:top w:val="nil"/>
              <w:left w:val="nil"/>
              <w:bottom w:val="nil"/>
              <w:right w:val="nil"/>
            </w:tcBorders>
            <w:shd w:val="clear" w:color="auto" w:fill="auto"/>
            <w:noWrap/>
            <w:vAlign w:val="center"/>
            <w:hideMark/>
          </w:tcPr>
          <w:p w14:paraId="7A6DD6C4"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1,409</w:t>
            </w:r>
          </w:p>
        </w:tc>
        <w:tc>
          <w:tcPr>
            <w:tcW w:w="1088" w:type="dxa"/>
            <w:tcBorders>
              <w:top w:val="nil"/>
              <w:left w:val="nil"/>
              <w:bottom w:val="nil"/>
              <w:right w:val="single" w:sz="8" w:space="0" w:color="auto"/>
            </w:tcBorders>
            <w:shd w:val="clear" w:color="auto" w:fill="auto"/>
            <w:noWrap/>
            <w:vAlign w:val="center"/>
            <w:hideMark/>
          </w:tcPr>
          <w:p w14:paraId="62D51157"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+17%</w:t>
            </w:r>
          </w:p>
        </w:tc>
        <w:tc>
          <w:tcPr>
            <w:tcW w:w="1080" w:type="dxa"/>
            <w:tcBorders>
              <w:top w:val="nil"/>
              <w:left w:val="nil"/>
              <w:bottom w:val="nil"/>
              <w:right w:val="single" w:sz="8" w:space="0" w:color="auto"/>
            </w:tcBorders>
            <w:shd w:val="clear" w:color="auto" w:fill="auto"/>
            <w:noWrap/>
            <w:vAlign w:val="center"/>
            <w:hideMark/>
          </w:tcPr>
          <w:p w14:paraId="2307256D"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(16)</w:t>
            </w:r>
          </w:p>
        </w:tc>
        <w:tc>
          <w:tcPr>
            <w:tcW w:w="1088" w:type="dxa"/>
            <w:tcBorders>
              <w:top w:val="nil"/>
              <w:left w:val="nil"/>
              <w:bottom w:val="nil"/>
              <w:right w:val="nil"/>
            </w:tcBorders>
            <w:shd w:val="clear" w:color="auto" w:fill="auto"/>
            <w:noWrap/>
            <w:vAlign w:val="center"/>
            <w:hideMark/>
          </w:tcPr>
          <w:p w14:paraId="643392DF"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1,394</w:t>
            </w:r>
          </w:p>
        </w:tc>
        <w:tc>
          <w:tcPr>
            <w:tcW w:w="1088" w:type="dxa"/>
            <w:tcBorders>
              <w:top w:val="nil"/>
              <w:left w:val="nil"/>
              <w:bottom w:val="nil"/>
              <w:right w:val="single" w:sz="8" w:space="0" w:color="auto"/>
            </w:tcBorders>
            <w:shd w:val="clear" w:color="auto" w:fill="auto"/>
            <w:noWrap/>
            <w:vAlign w:val="center"/>
            <w:hideMark/>
          </w:tcPr>
          <w:p w14:paraId="299671C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+18%</w:t>
            </w:r>
          </w:p>
        </w:tc>
      </w:tr>
      <w:tr w:rsidR="00A61FA0" w:rsidRPr="00A61FA0" w14:paraId="0092E48F"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47E22916"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4A4F1459"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56CC6EA0"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7BBCD739"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1699A384"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1F22B188"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11017930"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6AAEB836"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1E56E551"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Sales and marketing</w:t>
            </w:r>
          </w:p>
        </w:tc>
        <w:tc>
          <w:tcPr>
            <w:tcW w:w="1080" w:type="dxa"/>
            <w:tcBorders>
              <w:top w:val="nil"/>
              <w:left w:val="single" w:sz="8" w:space="0" w:color="auto"/>
              <w:bottom w:val="nil"/>
              <w:right w:val="single" w:sz="8" w:space="0" w:color="auto"/>
            </w:tcBorders>
            <w:shd w:val="clear" w:color="000000" w:fill="F2F2F2"/>
            <w:noWrap/>
            <w:vAlign w:val="center"/>
            <w:hideMark/>
          </w:tcPr>
          <w:p w14:paraId="06A82414" w14:textId="77777777" w:rsidR="00A61FA0" w:rsidRPr="00A61FA0" w:rsidRDefault="00A61FA0">
            <w:pPr>
              <w:jc w:val="right"/>
              <w:rPr>
                <w:rFonts w:ascii="Calibri" w:hAnsi="Calibri" w:cs="Calibri"/>
                <w:sz w:val="20"/>
                <w:lang w:eastAsia="en-GB"/>
              </w:rPr>
            </w:pPr>
            <w:r w:rsidRPr="00A61FA0">
              <w:rPr>
                <w:rFonts w:ascii="Calibri" w:hAnsi="Calibri" w:cs="Calibri"/>
                <w:sz w:val="20"/>
                <w:lang w:eastAsia="en-GB"/>
              </w:rPr>
              <w:t>(42</w:t>
            </w:r>
            <w:r w:rsidR="00C0438C">
              <w:rPr>
                <w:rFonts w:ascii="Calibri" w:hAnsi="Calibri" w:cs="Calibri"/>
                <w:sz w:val="20"/>
                <w:lang w:eastAsia="en-GB"/>
              </w:rPr>
              <w:t>6</w:t>
            </w:r>
            <w:r w:rsidRPr="00A61FA0">
              <w:rPr>
                <w:rFonts w:ascii="Calibri" w:hAnsi="Calibri" w:cs="Calibri"/>
                <w:sz w:val="20"/>
                <w:lang w:eastAsia="en-GB"/>
              </w:rPr>
              <w:t>)</w:t>
            </w:r>
          </w:p>
        </w:tc>
        <w:tc>
          <w:tcPr>
            <w:tcW w:w="1088" w:type="dxa"/>
            <w:tcBorders>
              <w:top w:val="nil"/>
              <w:left w:val="nil"/>
              <w:bottom w:val="nil"/>
              <w:right w:val="nil"/>
            </w:tcBorders>
            <w:shd w:val="clear" w:color="auto" w:fill="auto"/>
            <w:noWrap/>
            <w:vAlign w:val="center"/>
            <w:hideMark/>
          </w:tcPr>
          <w:p w14:paraId="7B7CD576"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(389)</w:t>
            </w:r>
          </w:p>
        </w:tc>
        <w:tc>
          <w:tcPr>
            <w:tcW w:w="1088" w:type="dxa"/>
            <w:tcBorders>
              <w:top w:val="nil"/>
              <w:left w:val="nil"/>
              <w:bottom w:val="nil"/>
              <w:right w:val="single" w:sz="8" w:space="0" w:color="auto"/>
            </w:tcBorders>
            <w:shd w:val="clear" w:color="auto" w:fill="auto"/>
            <w:noWrap/>
            <w:vAlign w:val="center"/>
            <w:hideMark/>
          </w:tcPr>
          <w:p w14:paraId="7F160F47"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w:t>
            </w:r>
            <w:r w:rsidR="00C0438C">
              <w:rPr>
                <w:rFonts w:ascii="Calibri" w:hAnsi="Calibri" w:cs="Calibri"/>
                <w:sz w:val="20"/>
                <w:lang w:eastAsia="en-GB"/>
              </w:rPr>
              <w:t>9</w:t>
            </w:r>
            <w:r w:rsidRPr="00A61FA0">
              <w:rPr>
                <w:rFonts w:ascii="Calibri" w:hAnsi="Calibri" w:cs="Calibri"/>
                <w:sz w:val="20"/>
                <w:lang w:eastAsia="en-GB"/>
              </w:rPr>
              <w:t>%</w:t>
            </w:r>
          </w:p>
        </w:tc>
        <w:tc>
          <w:tcPr>
            <w:tcW w:w="1080" w:type="dxa"/>
            <w:tcBorders>
              <w:top w:val="nil"/>
              <w:left w:val="nil"/>
              <w:bottom w:val="nil"/>
              <w:right w:val="single" w:sz="8" w:space="0" w:color="auto"/>
            </w:tcBorders>
            <w:shd w:val="clear" w:color="auto" w:fill="auto"/>
            <w:noWrap/>
            <w:vAlign w:val="center"/>
            <w:hideMark/>
          </w:tcPr>
          <w:p w14:paraId="0C5525AF"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w:t>
            </w:r>
          </w:p>
        </w:tc>
        <w:tc>
          <w:tcPr>
            <w:tcW w:w="1088" w:type="dxa"/>
            <w:tcBorders>
              <w:top w:val="nil"/>
              <w:left w:val="nil"/>
              <w:bottom w:val="nil"/>
              <w:right w:val="nil"/>
            </w:tcBorders>
            <w:shd w:val="clear" w:color="auto" w:fill="auto"/>
            <w:noWrap/>
            <w:vAlign w:val="center"/>
            <w:hideMark/>
          </w:tcPr>
          <w:p w14:paraId="39936D0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(388)</w:t>
            </w:r>
          </w:p>
        </w:tc>
        <w:tc>
          <w:tcPr>
            <w:tcW w:w="1088" w:type="dxa"/>
            <w:tcBorders>
              <w:top w:val="nil"/>
              <w:left w:val="nil"/>
              <w:bottom w:val="nil"/>
              <w:right w:val="single" w:sz="8" w:space="0" w:color="auto"/>
            </w:tcBorders>
            <w:shd w:val="clear" w:color="auto" w:fill="auto"/>
            <w:noWrap/>
            <w:vAlign w:val="center"/>
            <w:hideMark/>
          </w:tcPr>
          <w:p w14:paraId="67CAD087"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+10%</w:t>
            </w:r>
          </w:p>
        </w:tc>
      </w:tr>
      <w:tr w:rsidR="00A61FA0" w:rsidRPr="00A61FA0" w14:paraId="1F30BE66"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4BDDE268"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Contribution</w:t>
            </w:r>
          </w:p>
        </w:tc>
        <w:tc>
          <w:tcPr>
            <w:tcW w:w="1080" w:type="dxa"/>
            <w:tcBorders>
              <w:top w:val="nil"/>
              <w:left w:val="single" w:sz="8" w:space="0" w:color="auto"/>
              <w:bottom w:val="nil"/>
              <w:right w:val="single" w:sz="8" w:space="0" w:color="auto"/>
            </w:tcBorders>
            <w:shd w:val="clear" w:color="000000" w:fill="F2F2F2"/>
            <w:noWrap/>
            <w:vAlign w:val="center"/>
            <w:hideMark/>
          </w:tcPr>
          <w:p w14:paraId="1A43941D"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1,22</w:t>
            </w:r>
            <w:r w:rsidR="00C0438C">
              <w:rPr>
                <w:rFonts w:ascii="Calibri" w:hAnsi="Calibri" w:cs="Calibri"/>
                <w:b/>
                <w:bCs/>
                <w:sz w:val="20"/>
                <w:lang w:eastAsia="en-GB"/>
              </w:rPr>
              <w:t>4</w:t>
            </w:r>
          </w:p>
        </w:tc>
        <w:tc>
          <w:tcPr>
            <w:tcW w:w="1088" w:type="dxa"/>
            <w:tcBorders>
              <w:top w:val="nil"/>
              <w:left w:val="nil"/>
              <w:bottom w:val="nil"/>
              <w:right w:val="nil"/>
            </w:tcBorders>
            <w:shd w:val="clear" w:color="auto" w:fill="auto"/>
            <w:noWrap/>
            <w:vAlign w:val="center"/>
            <w:hideMark/>
          </w:tcPr>
          <w:p w14:paraId="2D95D854"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1,020</w:t>
            </w:r>
          </w:p>
        </w:tc>
        <w:tc>
          <w:tcPr>
            <w:tcW w:w="1088" w:type="dxa"/>
            <w:tcBorders>
              <w:top w:val="nil"/>
              <w:left w:val="nil"/>
              <w:bottom w:val="nil"/>
              <w:right w:val="single" w:sz="8" w:space="0" w:color="auto"/>
            </w:tcBorders>
            <w:shd w:val="clear" w:color="auto" w:fill="auto"/>
            <w:noWrap/>
            <w:vAlign w:val="center"/>
            <w:hideMark/>
          </w:tcPr>
          <w:p w14:paraId="6898E668"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+20%</w:t>
            </w:r>
          </w:p>
        </w:tc>
        <w:tc>
          <w:tcPr>
            <w:tcW w:w="1080" w:type="dxa"/>
            <w:tcBorders>
              <w:top w:val="nil"/>
              <w:left w:val="nil"/>
              <w:bottom w:val="nil"/>
              <w:right w:val="single" w:sz="8" w:space="0" w:color="auto"/>
            </w:tcBorders>
            <w:shd w:val="clear" w:color="auto" w:fill="auto"/>
            <w:noWrap/>
            <w:vAlign w:val="center"/>
            <w:hideMark/>
          </w:tcPr>
          <w:p w14:paraId="4CCC0018"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(14)</w:t>
            </w:r>
          </w:p>
        </w:tc>
        <w:tc>
          <w:tcPr>
            <w:tcW w:w="1088" w:type="dxa"/>
            <w:tcBorders>
              <w:top w:val="nil"/>
              <w:left w:val="nil"/>
              <w:bottom w:val="nil"/>
              <w:right w:val="nil"/>
            </w:tcBorders>
            <w:shd w:val="clear" w:color="auto" w:fill="auto"/>
            <w:noWrap/>
            <w:vAlign w:val="center"/>
            <w:hideMark/>
          </w:tcPr>
          <w:p w14:paraId="492C6A2A"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1,005</w:t>
            </w:r>
          </w:p>
        </w:tc>
        <w:tc>
          <w:tcPr>
            <w:tcW w:w="1088" w:type="dxa"/>
            <w:tcBorders>
              <w:top w:val="nil"/>
              <w:left w:val="nil"/>
              <w:bottom w:val="nil"/>
              <w:right w:val="single" w:sz="8" w:space="0" w:color="auto"/>
            </w:tcBorders>
            <w:shd w:val="clear" w:color="auto" w:fill="auto"/>
            <w:noWrap/>
            <w:vAlign w:val="center"/>
            <w:hideMark/>
          </w:tcPr>
          <w:p w14:paraId="47F1B81B"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+22%</w:t>
            </w:r>
          </w:p>
        </w:tc>
      </w:tr>
      <w:tr w:rsidR="00A61FA0" w:rsidRPr="00A61FA0" w14:paraId="280D13F4"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2C0519AF"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5AB7251D"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3F17C1DF"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0D7556EA"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69940CBF"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6FB9EF00"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4B12B741"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06DDABA2"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18C33B3B"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Other operating costs</w:t>
            </w:r>
          </w:p>
        </w:tc>
        <w:tc>
          <w:tcPr>
            <w:tcW w:w="1080" w:type="dxa"/>
            <w:tcBorders>
              <w:top w:val="nil"/>
              <w:left w:val="single" w:sz="8" w:space="0" w:color="auto"/>
              <w:bottom w:val="nil"/>
              <w:right w:val="single" w:sz="8" w:space="0" w:color="auto"/>
            </w:tcBorders>
            <w:shd w:val="clear" w:color="000000" w:fill="F2F2F2"/>
            <w:noWrap/>
            <w:vAlign w:val="center"/>
            <w:hideMark/>
          </w:tcPr>
          <w:p w14:paraId="14C3F3C5"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(47</w:t>
            </w:r>
            <w:r w:rsidR="00C0438C">
              <w:rPr>
                <w:rFonts w:ascii="Calibri" w:hAnsi="Calibri" w:cs="Calibri"/>
                <w:sz w:val="20"/>
                <w:lang w:eastAsia="en-GB"/>
              </w:rPr>
              <w:t>3</w:t>
            </w:r>
            <w:r w:rsidRPr="00A61FA0">
              <w:rPr>
                <w:rFonts w:ascii="Calibri" w:hAnsi="Calibri" w:cs="Calibri"/>
                <w:sz w:val="20"/>
                <w:lang w:eastAsia="en-GB"/>
              </w:rPr>
              <w:t>)</w:t>
            </w:r>
          </w:p>
        </w:tc>
        <w:tc>
          <w:tcPr>
            <w:tcW w:w="1088" w:type="dxa"/>
            <w:tcBorders>
              <w:top w:val="nil"/>
              <w:left w:val="nil"/>
              <w:bottom w:val="nil"/>
              <w:right w:val="nil"/>
            </w:tcBorders>
            <w:shd w:val="clear" w:color="auto" w:fill="auto"/>
            <w:noWrap/>
            <w:vAlign w:val="center"/>
            <w:hideMark/>
          </w:tcPr>
          <w:p w14:paraId="3C6B7BEC"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(435)</w:t>
            </w:r>
          </w:p>
        </w:tc>
        <w:tc>
          <w:tcPr>
            <w:tcW w:w="1088" w:type="dxa"/>
            <w:tcBorders>
              <w:top w:val="nil"/>
              <w:left w:val="nil"/>
              <w:bottom w:val="nil"/>
              <w:right w:val="single" w:sz="8" w:space="0" w:color="auto"/>
            </w:tcBorders>
            <w:shd w:val="clear" w:color="auto" w:fill="auto"/>
            <w:noWrap/>
            <w:vAlign w:val="center"/>
            <w:hideMark/>
          </w:tcPr>
          <w:p w14:paraId="027DDEC9"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+9%</w:t>
            </w:r>
          </w:p>
        </w:tc>
        <w:tc>
          <w:tcPr>
            <w:tcW w:w="1080" w:type="dxa"/>
            <w:tcBorders>
              <w:top w:val="nil"/>
              <w:left w:val="nil"/>
              <w:bottom w:val="nil"/>
              <w:right w:val="single" w:sz="8" w:space="0" w:color="auto"/>
            </w:tcBorders>
            <w:shd w:val="clear" w:color="auto" w:fill="auto"/>
            <w:noWrap/>
            <w:vAlign w:val="center"/>
            <w:hideMark/>
          </w:tcPr>
          <w:p w14:paraId="31D87486"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w:t>
            </w:r>
          </w:p>
        </w:tc>
        <w:tc>
          <w:tcPr>
            <w:tcW w:w="1088" w:type="dxa"/>
            <w:tcBorders>
              <w:top w:val="nil"/>
              <w:left w:val="nil"/>
              <w:bottom w:val="nil"/>
              <w:right w:val="nil"/>
            </w:tcBorders>
            <w:shd w:val="clear" w:color="auto" w:fill="auto"/>
            <w:noWrap/>
            <w:vAlign w:val="center"/>
            <w:hideMark/>
          </w:tcPr>
          <w:p w14:paraId="57FB18AA"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(434)</w:t>
            </w:r>
          </w:p>
        </w:tc>
        <w:tc>
          <w:tcPr>
            <w:tcW w:w="1088" w:type="dxa"/>
            <w:tcBorders>
              <w:top w:val="nil"/>
              <w:left w:val="nil"/>
              <w:bottom w:val="nil"/>
              <w:right w:val="single" w:sz="8" w:space="0" w:color="auto"/>
            </w:tcBorders>
            <w:shd w:val="clear" w:color="auto" w:fill="auto"/>
            <w:noWrap/>
            <w:vAlign w:val="center"/>
            <w:hideMark/>
          </w:tcPr>
          <w:p w14:paraId="56EE1663"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+9%</w:t>
            </w:r>
          </w:p>
        </w:tc>
      </w:tr>
      <w:tr w:rsidR="00A61FA0" w:rsidRPr="00A61FA0" w14:paraId="5FA28E0C"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010E2D43"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Corporate costs</w:t>
            </w:r>
          </w:p>
        </w:tc>
        <w:tc>
          <w:tcPr>
            <w:tcW w:w="1080" w:type="dxa"/>
            <w:tcBorders>
              <w:top w:val="nil"/>
              <w:left w:val="single" w:sz="8" w:space="0" w:color="auto"/>
              <w:bottom w:val="nil"/>
              <w:right w:val="single" w:sz="8" w:space="0" w:color="auto"/>
            </w:tcBorders>
            <w:shd w:val="clear" w:color="000000" w:fill="F2F2F2"/>
            <w:noWrap/>
            <w:vAlign w:val="center"/>
            <w:hideMark/>
          </w:tcPr>
          <w:p w14:paraId="17EB1ACA"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(67)</w:t>
            </w:r>
          </w:p>
        </w:tc>
        <w:tc>
          <w:tcPr>
            <w:tcW w:w="1088" w:type="dxa"/>
            <w:tcBorders>
              <w:top w:val="nil"/>
              <w:left w:val="nil"/>
              <w:bottom w:val="nil"/>
              <w:right w:val="nil"/>
            </w:tcBorders>
            <w:shd w:val="clear" w:color="auto" w:fill="auto"/>
            <w:noWrap/>
            <w:vAlign w:val="center"/>
            <w:hideMark/>
          </w:tcPr>
          <w:p w14:paraId="316F7ABF"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(62)</w:t>
            </w:r>
          </w:p>
        </w:tc>
        <w:tc>
          <w:tcPr>
            <w:tcW w:w="1088" w:type="dxa"/>
            <w:tcBorders>
              <w:top w:val="nil"/>
              <w:left w:val="nil"/>
              <w:bottom w:val="nil"/>
              <w:right w:val="single" w:sz="8" w:space="0" w:color="auto"/>
            </w:tcBorders>
            <w:shd w:val="clear" w:color="auto" w:fill="auto"/>
            <w:noWrap/>
            <w:vAlign w:val="center"/>
            <w:hideMark/>
          </w:tcPr>
          <w:p w14:paraId="1CC4BBA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+9%</w:t>
            </w:r>
          </w:p>
        </w:tc>
        <w:tc>
          <w:tcPr>
            <w:tcW w:w="1080" w:type="dxa"/>
            <w:tcBorders>
              <w:top w:val="nil"/>
              <w:left w:val="nil"/>
              <w:bottom w:val="nil"/>
              <w:right w:val="single" w:sz="8" w:space="0" w:color="auto"/>
            </w:tcBorders>
            <w:shd w:val="clear" w:color="auto" w:fill="auto"/>
            <w:noWrap/>
            <w:vAlign w:val="center"/>
            <w:hideMark/>
          </w:tcPr>
          <w:p w14:paraId="4260CC94"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w:t>
            </w:r>
          </w:p>
        </w:tc>
        <w:tc>
          <w:tcPr>
            <w:tcW w:w="1088" w:type="dxa"/>
            <w:tcBorders>
              <w:top w:val="nil"/>
              <w:left w:val="nil"/>
              <w:bottom w:val="nil"/>
              <w:right w:val="nil"/>
            </w:tcBorders>
            <w:shd w:val="clear" w:color="auto" w:fill="auto"/>
            <w:noWrap/>
            <w:vAlign w:val="center"/>
            <w:hideMark/>
          </w:tcPr>
          <w:p w14:paraId="16951B1A"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(63)</w:t>
            </w:r>
          </w:p>
        </w:tc>
        <w:tc>
          <w:tcPr>
            <w:tcW w:w="1088" w:type="dxa"/>
            <w:tcBorders>
              <w:top w:val="nil"/>
              <w:left w:val="nil"/>
              <w:bottom w:val="nil"/>
              <w:right w:val="single" w:sz="8" w:space="0" w:color="auto"/>
            </w:tcBorders>
            <w:shd w:val="clear" w:color="auto" w:fill="auto"/>
            <w:noWrap/>
            <w:vAlign w:val="center"/>
            <w:hideMark/>
          </w:tcPr>
          <w:p w14:paraId="713D819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+7%</w:t>
            </w:r>
          </w:p>
        </w:tc>
      </w:tr>
      <w:tr w:rsidR="00A61FA0" w:rsidRPr="00A61FA0" w14:paraId="3980D6E6"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7A3041BD" w14:textId="77777777" w:rsidR="00A61FA0" w:rsidRPr="00A61FA0" w:rsidRDefault="00A61FA0" w:rsidP="00A61FA0">
            <w:pPr>
              <w:jc w:val="both"/>
              <w:rPr>
                <w:rFonts w:ascii="Calibri" w:hAnsi="Calibri" w:cs="Calibri"/>
                <w:b/>
                <w:bCs/>
                <w:color w:val="000000"/>
                <w:sz w:val="2"/>
                <w:szCs w:val="2"/>
                <w:lang w:eastAsia="en-GB"/>
              </w:rPr>
            </w:pPr>
            <w:r w:rsidRPr="00A61FA0">
              <w:rPr>
                <w:rFonts w:ascii="Calibri" w:hAnsi="Calibri" w:cs="Calibri"/>
                <w:b/>
                <w:bCs/>
                <w:color w:val="000000"/>
                <w:sz w:val="2"/>
                <w:szCs w:val="2"/>
                <w:lang w:eastAsia="en-GB"/>
              </w:rPr>
              <w:t> </w:t>
            </w:r>
          </w:p>
        </w:tc>
        <w:tc>
          <w:tcPr>
            <w:tcW w:w="1080" w:type="dxa"/>
            <w:tcBorders>
              <w:top w:val="single" w:sz="8" w:space="0" w:color="auto"/>
              <w:left w:val="single" w:sz="8" w:space="0" w:color="auto"/>
              <w:bottom w:val="nil"/>
              <w:right w:val="single" w:sz="8" w:space="0" w:color="auto"/>
            </w:tcBorders>
            <w:shd w:val="clear" w:color="000000" w:fill="F2F2F2"/>
            <w:noWrap/>
            <w:vAlign w:val="center"/>
            <w:hideMark/>
          </w:tcPr>
          <w:p w14:paraId="2856F8A1"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1088" w:type="dxa"/>
            <w:tcBorders>
              <w:top w:val="single" w:sz="8" w:space="0" w:color="auto"/>
              <w:left w:val="nil"/>
              <w:bottom w:val="nil"/>
              <w:right w:val="nil"/>
            </w:tcBorders>
            <w:shd w:val="clear" w:color="auto" w:fill="auto"/>
            <w:noWrap/>
            <w:vAlign w:val="center"/>
            <w:hideMark/>
          </w:tcPr>
          <w:p w14:paraId="2B8D13D4"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1088" w:type="dxa"/>
            <w:tcBorders>
              <w:top w:val="single" w:sz="8" w:space="0" w:color="auto"/>
              <w:left w:val="nil"/>
              <w:bottom w:val="nil"/>
              <w:right w:val="single" w:sz="8" w:space="0" w:color="auto"/>
            </w:tcBorders>
            <w:shd w:val="clear" w:color="auto" w:fill="auto"/>
            <w:noWrap/>
            <w:vAlign w:val="center"/>
            <w:hideMark/>
          </w:tcPr>
          <w:p w14:paraId="5E3E6F99"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1080" w:type="dxa"/>
            <w:tcBorders>
              <w:top w:val="single" w:sz="8" w:space="0" w:color="auto"/>
              <w:left w:val="nil"/>
              <w:bottom w:val="nil"/>
              <w:right w:val="single" w:sz="8" w:space="0" w:color="auto"/>
            </w:tcBorders>
            <w:shd w:val="clear" w:color="auto" w:fill="auto"/>
            <w:noWrap/>
            <w:vAlign w:val="center"/>
            <w:hideMark/>
          </w:tcPr>
          <w:p w14:paraId="1C4C3AA5"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1088" w:type="dxa"/>
            <w:tcBorders>
              <w:top w:val="single" w:sz="8" w:space="0" w:color="auto"/>
              <w:left w:val="nil"/>
              <w:bottom w:val="nil"/>
              <w:right w:val="nil"/>
            </w:tcBorders>
            <w:shd w:val="clear" w:color="auto" w:fill="auto"/>
            <w:noWrap/>
            <w:vAlign w:val="center"/>
            <w:hideMark/>
          </w:tcPr>
          <w:p w14:paraId="33727B4C"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c>
          <w:tcPr>
            <w:tcW w:w="1088" w:type="dxa"/>
            <w:tcBorders>
              <w:top w:val="single" w:sz="8" w:space="0" w:color="auto"/>
              <w:left w:val="nil"/>
              <w:bottom w:val="nil"/>
              <w:right w:val="single" w:sz="8" w:space="0" w:color="auto"/>
            </w:tcBorders>
            <w:shd w:val="clear" w:color="auto" w:fill="auto"/>
            <w:noWrap/>
            <w:vAlign w:val="center"/>
            <w:hideMark/>
          </w:tcPr>
          <w:p w14:paraId="49F0E4A8" w14:textId="77777777" w:rsidR="00A61FA0" w:rsidRPr="00A61FA0" w:rsidRDefault="00A61FA0" w:rsidP="00A61FA0">
            <w:pPr>
              <w:jc w:val="right"/>
              <w:rPr>
                <w:rFonts w:ascii="Calibri" w:hAnsi="Calibri" w:cs="Calibri"/>
                <w:b/>
                <w:bCs/>
                <w:sz w:val="2"/>
                <w:szCs w:val="2"/>
                <w:lang w:eastAsia="en-GB"/>
              </w:rPr>
            </w:pPr>
            <w:r w:rsidRPr="00A61FA0">
              <w:rPr>
                <w:rFonts w:ascii="Calibri" w:hAnsi="Calibri" w:cs="Calibri"/>
                <w:b/>
                <w:bCs/>
                <w:sz w:val="2"/>
                <w:szCs w:val="2"/>
                <w:lang w:eastAsia="en-GB"/>
              </w:rPr>
              <w:t> </w:t>
            </w:r>
          </w:p>
        </w:tc>
      </w:tr>
      <w:tr w:rsidR="00A61FA0" w:rsidRPr="00A61FA0" w14:paraId="64ACD6C1"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1EC1158A"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Adjusted EBITDA</w:t>
            </w:r>
            <w:r w:rsidRPr="00A61FA0">
              <w:rPr>
                <w:rFonts w:ascii="Calibri" w:hAnsi="Calibri" w:cs="Calibri"/>
                <w:b/>
                <w:bCs/>
                <w:color w:val="000000"/>
                <w:sz w:val="20"/>
                <w:vertAlign w:val="superscript"/>
                <w:lang w:eastAsia="en-GB"/>
              </w:rPr>
              <w:t>1,2</w:t>
            </w:r>
          </w:p>
        </w:tc>
        <w:tc>
          <w:tcPr>
            <w:tcW w:w="1080" w:type="dxa"/>
            <w:tcBorders>
              <w:top w:val="nil"/>
              <w:left w:val="single" w:sz="8" w:space="0" w:color="auto"/>
              <w:bottom w:val="nil"/>
              <w:right w:val="single" w:sz="8" w:space="0" w:color="auto"/>
            </w:tcBorders>
            <w:shd w:val="clear" w:color="000000" w:fill="F2F2F2"/>
            <w:noWrap/>
            <w:vAlign w:val="center"/>
            <w:hideMark/>
          </w:tcPr>
          <w:p w14:paraId="70641CC2"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684</w:t>
            </w:r>
          </w:p>
        </w:tc>
        <w:tc>
          <w:tcPr>
            <w:tcW w:w="1088" w:type="dxa"/>
            <w:tcBorders>
              <w:top w:val="nil"/>
              <w:left w:val="nil"/>
              <w:bottom w:val="nil"/>
              <w:right w:val="nil"/>
            </w:tcBorders>
            <w:shd w:val="clear" w:color="auto" w:fill="auto"/>
            <w:noWrap/>
            <w:vAlign w:val="center"/>
            <w:hideMark/>
          </w:tcPr>
          <w:p w14:paraId="4BB01F35"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523</w:t>
            </w:r>
          </w:p>
        </w:tc>
        <w:tc>
          <w:tcPr>
            <w:tcW w:w="1088" w:type="dxa"/>
            <w:tcBorders>
              <w:top w:val="nil"/>
              <w:left w:val="nil"/>
              <w:bottom w:val="nil"/>
              <w:right w:val="single" w:sz="8" w:space="0" w:color="auto"/>
            </w:tcBorders>
            <w:shd w:val="clear" w:color="auto" w:fill="auto"/>
            <w:noWrap/>
            <w:vAlign w:val="center"/>
            <w:hideMark/>
          </w:tcPr>
          <w:p w14:paraId="3EAA2146"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+31%</w:t>
            </w:r>
          </w:p>
        </w:tc>
        <w:tc>
          <w:tcPr>
            <w:tcW w:w="1080" w:type="dxa"/>
            <w:tcBorders>
              <w:top w:val="nil"/>
              <w:left w:val="nil"/>
              <w:bottom w:val="nil"/>
              <w:right w:val="single" w:sz="8" w:space="0" w:color="auto"/>
            </w:tcBorders>
            <w:shd w:val="clear" w:color="auto" w:fill="auto"/>
            <w:noWrap/>
            <w:vAlign w:val="center"/>
            <w:hideMark/>
          </w:tcPr>
          <w:p w14:paraId="1FCB5F49"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(15)</w:t>
            </w:r>
          </w:p>
        </w:tc>
        <w:tc>
          <w:tcPr>
            <w:tcW w:w="1088" w:type="dxa"/>
            <w:tcBorders>
              <w:top w:val="nil"/>
              <w:left w:val="nil"/>
              <w:bottom w:val="nil"/>
              <w:right w:val="nil"/>
            </w:tcBorders>
            <w:shd w:val="clear" w:color="auto" w:fill="auto"/>
            <w:noWrap/>
            <w:vAlign w:val="center"/>
            <w:hideMark/>
          </w:tcPr>
          <w:p w14:paraId="581339BA"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508</w:t>
            </w:r>
          </w:p>
        </w:tc>
        <w:tc>
          <w:tcPr>
            <w:tcW w:w="1088" w:type="dxa"/>
            <w:tcBorders>
              <w:top w:val="nil"/>
              <w:left w:val="nil"/>
              <w:bottom w:val="nil"/>
              <w:right w:val="single" w:sz="8" w:space="0" w:color="auto"/>
            </w:tcBorders>
            <w:shd w:val="clear" w:color="auto" w:fill="auto"/>
            <w:noWrap/>
            <w:vAlign w:val="center"/>
            <w:hideMark/>
          </w:tcPr>
          <w:p w14:paraId="749A75F9"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+35%</w:t>
            </w:r>
          </w:p>
        </w:tc>
      </w:tr>
      <w:tr w:rsidR="00A61FA0" w:rsidRPr="00A61FA0" w14:paraId="36790271"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55B78959" w14:textId="77777777" w:rsidR="00A61FA0" w:rsidRPr="00A61FA0" w:rsidRDefault="00A61FA0" w:rsidP="00A61FA0">
            <w:pPr>
              <w:jc w:val="both"/>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Adjusted EBITDA margin</w:t>
            </w:r>
          </w:p>
        </w:tc>
        <w:tc>
          <w:tcPr>
            <w:tcW w:w="1080" w:type="dxa"/>
            <w:tcBorders>
              <w:top w:val="nil"/>
              <w:left w:val="single" w:sz="8" w:space="0" w:color="auto"/>
              <w:bottom w:val="nil"/>
              <w:right w:val="single" w:sz="8" w:space="0" w:color="auto"/>
            </w:tcBorders>
            <w:shd w:val="clear" w:color="000000" w:fill="F2F2F2"/>
            <w:noWrap/>
            <w:vAlign w:val="center"/>
            <w:hideMark/>
          </w:tcPr>
          <w:p w14:paraId="7D1CEFFF"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28.6%</w:t>
            </w:r>
          </w:p>
        </w:tc>
        <w:tc>
          <w:tcPr>
            <w:tcW w:w="1088" w:type="dxa"/>
            <w:tcBorders>
              <w:top w:val="nil"/>
              <w:left w:val="nil"/>
              <w:bottom w:val="nil"/>
              <w:right w:val="nil"/>
            </w:tcBorders>
            <w:shd w:val="clear" w:color="auto" w:fill="auto"/>
            <w:noWrap/>
            <w:vAlign w:val="center"/>
            <w:hideMark/>
          </w:tcPr>
          <w:p w14:paraId="5A301394"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26.5%</w:t>
            </w:r>
          </w:p>
        </w:tc>
        <w:tc>
          <w:tcPr>
            <w:tcW w:w="1088" w:type="dxa"/>
            <w:tcBorders>
              <w:top w:val="nil"/>
              <w:left w:val="nil"/>
              <w:bottom w:val="nil"/>
              <w:right w:val="single" w:sz="8" w:space="0" w:color="auto"/>
            </w:tcBorders>
            <w:shd w:val="clear" w:color="auto" w:fill="auto"/>
            <w:noWrap/>
            <w:vAlign w:val="center"/>
            <w:hideMark/>
          </w:tcPr>
          <w:p w14:paraId="016BFE0B"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+210bps</w:t>
            </w:r>
          </w:p>
        </w:tc>
        <w:tc>
          <w:tcPr>
            <w:tcW w:w="1080" w:type="dxa"/>
            <w:tcBorders>
              <w:top w:val="nil"/>
              <w:left w:val="nil"/>
              <w:bottom w:val="nil"/>
              <w:right w:val="single" w:sz="8" w:space="0" w:color="auto"/>
            </w:tcBorders>
            <w:shd w:val="clear" w:color="auto" w:fill="auto"/>
            <w:noWrap/>
            <w:vAlign w:val="center"/>
            <w:hideMark/>
          </w:tcPr>
          <w:p w14:paraId="26FDA757"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 </w:t>
            </w:r>
          </w:p>
        </w:tc>
        <w:tc>
          <w:tcPr>
            <w:tcW w:w="1088" w:type="dxa"/>
            <w:tcBorders>
              <w:top w:val="nil"/>
              <w:left w:val="nil"/>
              <w:bottom w:val="nil"/>
              <w:right w:val="nil"/>
            </w:tcBorders>
            <w:shd w:val="clear" w:color="auto" w:fill="auto"/>
            <w:noWrap/>
            <w:vAlign w:val="center"/>
            <w:hideMark/>
          </w:tcPr>
          <w:p w14:paraId="6C09890C"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26.0%</w:t>
            </w:r>
          </w:p>
        </w:tc>
        <w:tc>
          <w:tcPr>
            <w:tcW w:w="1088" w:type="dxa"/>
            <w:tcBorders>
              <w:top w:val="nil"/>
              <w:left w:val="nil"/>
              <w:bottom w:val="nil"/>
              <w:right w:val="single" w:sz="8" w:space="0" w:color="auto"/>
            </w:tcBorders>
            <w:shd w:val="clear" w:color="auto" w:fill="auto"/>
            <w:noWrap/>
            <w:vAlign w:val="center"/>
            <w:hideMark/>
          </w:tcPr>
          <w:p w14:paraId="44DB91E6" w14:textId="77777777" w:rsidR="00A61FA0" w:rsidRPr="00A61FA0" w:rsidRDefault="00A61FA0" w:rsidP="00A61FA0">
            <w:pPr>
              <w:jc w:val="right"/>
              <w:rPr>
                <w:rFonts w:ascii="Calibri" w:hAnsi="Calibri" w:cs="Calibri"/>
                <w:i/>
                <w:iCs/>
                <w:color w:val="000000"/>
                <w:sz w:val="18"/>
                <w:szCs w:val="18"/>
                <w:lang w:eastAsia="en-GB"/>
              </w:rPr>
            </w:pPr>
            <w:r w:rsidRPr="00A61FA0">
              <w:rPr>
                <w:rFonts w:ascii="Calibri" w:hAnsi="Calibri" w:cs="Calibri"/>
                <w:i/>
                <w:iCs/>
                <w:color w:val="000000"/>
                <w:sz w:val="18"/>
                <w:szCs w:val="18"/>
                <w:lang w:eastAsia="en-GB"/>
              </w:rPr>
              <w:t>+260bps</w:t>
            </w:r>
          </w:p>
        </w:tc>
      </w:tr>
      <w:tr w:rsidR="00A61FA0" w:rsidRPr="00A61FA0" w14:paraId="23C201A3"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5B5F7361"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77DA3144"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08A10687"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2484103C"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796F8132"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45BC4C3B"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63C55104"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68C68FB3"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64C5955E" w14:textId="77777777" w:rsidR="00A61FA0" w:rsidRPr="00A61FA0" w:rsidRDefault="00A61FA0" w:rsidP="00A61FA0">
            <w:pPr>
              <w:jc w:val="both"/>
              <w:rPr>
                <w:rFonts w:ascii="Calibri" w:hAnsi="Calibri" w:cs="Calibri"/>
                <w:color w:val="000000"/>
                <w:sz w:val="20"/>
                <w:lang w:eastAsia="en-GB"/>
              </w:rPr>
            </w:pPr>
            <w:r w:rsidRPr="00A61FA0">
              <w:rPr>
                <w:rFonts w:ascii="Calibri" w:hAnsi="Calibri" w:cs="Calibri"/>
                <w:color w:val="000000"/>
                <w:sz w:val="20"/>
                <w:lang w:eastAsia="en-GB"/>
              </w:rPr>
              <w:t>Depreciation and amortisation</w:t>
            </w:r>
          </w:p>
        </w:tc>
        <w:tc>
          <w:tcPr>
            <w:tcW w:w="1080" w:type="dxa"/>
            <w:tcBorders>
              <w:top w:val="nil"/>
              <w:left w:val="single" w:sz="8" w:space="0" w:color="auto"/>
              <w:bottom w:val="single" w:sz="8" w:space="0" w:color="auto"/>
              <w:right w:val="single" w:sz="8" w:space="0" w:color="auto"/>
            </w:tcBorders>
            <w:shd w:val="clear" w:color="000000" w:fill="F2F2F2"/>
            <w:noWrap/>
            <w:vAlign w:val="center"/>
            <w:hideMark/>
          </w:tcPr>
          <w:p w14:paraId="0B00181C"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(117)</w:t>
            </w:r>
          </w:p>
        </w:tc>
        <w:tc>
          <w:tcPr>
            <w:tcW w:w="1088" w:type="dxa"/>
            <w:tcBorders>
              <w:top w:val="nil"/>
              <w:left w:val="nil"/>
              <w:bottom w:val="single" w:sz="8" w:space="0" w:color="auto"/>
              <w:right w:val="nil"/>
            </w:tcBorders>
            <w:shd w:val="clear" w:color="auto" w:fill="auto"/>
            <w:noWrap/>
            <w:vAlign w:val="center"/>
            <w:hideMark/>
          </w:tcPr>
          <w:p w14:paraId="1DA99F4C"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(103)</w:t>
            </w:r>
          </w:p>
        </w:tc>
        <w:tc>
          <w:tcPr>
            <w:tcW w:w="1088" w:type="dxa"/>
            <w:tcBorders>
              <w:top w:val="nil"/>
              <w:left w:val="nil"/>
              <w:bottom w:val="single" w:sz="8" w:space="0" w:color="auto"/>
              <w:right w:val="single" w:sz="8" w:space="0" w:color="auto"/>
            </w:tcBorders>
            <w:shd w:val="clear" w:color="auto" w:fill="auto"/>
            <w:noWrap/>
            <w:vAlign w:val="center"/>
            <w:hideMark/>
          </w:tcPr>
          <w:p w14:paraId="0F50F822"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+14%</w:t>
            </w:r>
          </w:p>
        </w:tc>
        <w:tc>
          <w:tcPr>
            <w:tcW w:w="1080" w:type="dxa"/>
            <w:tcBorders>
              <w:top w:val="nil"/>
              <w:left w:val="nil"/>
              <w:bottom w:val="single" w:sz="8" w:space="0" w:color="auto"/>
              <w:right w:val="single" w:sz="8" w:space="0" w:color="auto"/>
            </w:tcBorders>
            <w:shd w:val="clear" w:color="auto" w:fill="auto"/>
            <w:noWrap/>
            <w:vAlign w:val="center"/>
            <w:hideMark/>
          </w:tcPr>
          <w:p w14:paraId="304BFBCE"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0</w:t>
            </w:r>
          </w:p>
        </w:tc>
        <w:tc>
          <w:tcPr>
            <w:tcW w:w="1088" w:type="dxa"/>
            <w:tcBorders>
              <w:top w:val="nil"/>
              <w:left w:val="nil"/>
              <w:bottom w:val="single" w:sz="8" w:space="0" w:color="auto"/>
              <w:right w:val="nil"/>
            </w:tcBorders>
            <w:shd w:val="clear" w:color="auto" w:fill="auto"/>
            <w:noWrap/>
            <w:vAlign w:val="center"/>
            <w:hideMark/>
          </w:tcPr>
          <w:p w14:paraId="6E07E44D"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(102)</w:t>
            </w:r>
          </w:p>
        </w:tc>
        <w:tc>
          <w:tcPr>
            <w:tcW w:w="1088" w:type="dxa"/>
            <w:tcBorders>
              <w:top w:val="nil"/>
              <w:left w:val="nil"/>
              <w:bottom w:val="single" w:sz="8" w:space="0" w:color="auto"/>
              <w:right w:val="single" w:sz="8" w:space="0" w:color="auto"/>
            </w:tcBorders>
            <w:shd w:val="clear" w:color="auto" w:fill="auto"/>
            <w:noWrap/>
            <w:vAlign w:val="center"/>
            <w:hideMark/>
          </w:tcPr>
          <w:p w14:paraId="3FCE4F57" w14:textId="77777777" w:rsidR="00A61FA0" w:rsidRPr="00A61FA0" w:rsidRDefault="00A61FA0" w:rsidP="00A61FA0">
            <w:pPr>
              <w:jc w:val="right"/>
              <w:rPr>
                <w:rFonts w:ascii="Calibri" w:hAnsi="Calibri" w:cs="Calibri"/>
                <w:sz w:val="20"/>
                <w:lang w:eastAsia="en-GB"/>
              </w:rPr>
            </w:pPr>
            <w:r w:rsidRPr="00A61FA0">
              <w:rPr>
                <w:rFonts w:ascii="Calibri" w:hAnsi="Calibri" w:cs="Calibri"/>
                <w:sz w:val="20"/>
                <w:lang w:eastAsia="en-GB"/>
              </w:rPr>
              <w:t>+14%</w:t>
            </w:r>
          </w:p>
        </w:tc>
      </w:tr>
      <w:tr w:rsidR="00A61FA0" w:rsidRPr="00A61FA0" w14:paraId="56AA2AB4" w14:textId="77777777" w:rsidTr="005F7FC8">
        <w:trPr>
          <w:trHeight w:val="39"/>
        </w:trPr>
        <w:tc>
          <w:tcPr>
            <w:tcW w:w="3060" w:type="dxa"/>
            <w:tcBorders>
              <w:top w:val="nil"/>
              <w:left w:val="single" w:sz="8" w:space="0" w:color="auto"/>
              <w:bottom w:val="nil"/>
              <w:right w:val="nil"/>
            </w:tcBorders>
            <w:shd w:val="clear" w:color="auto" w:fill="auto"/>
            <w:noWrap/>
            <w:vAlign w:val="center"/>
            <w:hideMark/>
          </w:tcPr>
          <w:p w14:paraId="2483B0BA"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6B1F9C38"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36B90994"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73B148B5"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733F2EB4"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59EF9F68"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58C347E6"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2CB19518" w14:textId="77777777" w:rsidTr="005F7FC8">
        <w:trPr>
          <w:trHeight w:val="263"/>
        </w:trPr>
        <w:tc>
          <w:tcPr>
            <w:tcW w:w="3060" w:type="dxa"/>
            <w:tcBorders>
              <w:top w:val="nil"/>
              <w:left w:val="single" w:sz="8" w:space="0" w:color="auto"/>
              <w:bottom w:val="nil"/>
              <w:right w:val="nil"/>
            </w:tcBorders>
            <w:shd w:val="clear" w:color="auto" w:fill="auto"/>
            <w:noWrap/>
            <w:vAlign w:val="center"/>
            <w:hideMark/>
          </w:tcPr>
          <w:p w14:paraId="593527A9" w14:textId="77777777" w:rsidR="00A61FA0" w:rsidRPr="00A61FA0" w:rsidRDefault="00A61FA0" w:rsidP="00A61FA0">
            <w:pPr>
              <w:jc w:val="both"/>
              <w:rPr>
                <w:rFonts w:ascii="Calibri" w:hAnsi="Calibri" w:cs="Calibri"/>
                <w:b/>
                <w:bCs/>
                <w:color w:val="000000"/>
                <w:sz w:val="20"/>
                <w:lang w:eastAsia="en-GB"/>
              </w:rPr>
            </w:pPr>
            <w:r w:rsidRPr="00A61FA0">
              <w:rPr>
                <w:rFonts w:ascii="Calibri" w:hAnsi="Calibri" w:cs="Calibri"/>
                <w:b/>
                <w:bCs/>
                <w:color w:val="000000"/>
                <w:sz w:val="20"/>
                <w:lang w:eastAsia="en-GB"/>
              </w:rPr>
              <w:t>Adjusted</w:t>
            </w:r>
            <w:r w:rsidRPr="00A61FA0">
              <w:rPr>
                <w:rFonts w:ascii="Calibri" w:hAnsi="Calibri" w:cs="Calibri"/>
                <w:i/>
                <w:iCs/>
                <w:color w:val="000000"/>
                <w:sz w:val="18"/>
                <w:szCs w:val="18"/>
                <w:vertAlign w:val="superscript"/>
                <w:lang w:eastAsia="en-GB"/>
              </w:rPr>
              <w:t xml:space="preserve">1 </w:t>
            </w:r>
            <w:r w:rsidRPr="00A61FA0">
              <w:rPr>
                <w:rFonts w:ascii="Calibri" w:hAnsi="Calibri" w:cs="Calibri"/>
                <w:b/>
                <w:bCs/>
                <w:color w:val="000000"/>
                <w:sz w:val="20"/>
                <w:lang w:eastAsia="en-GB"/>
              </w:rPr>
              <w:t>operating profit</w:t>
            </w:r>
          </w:p>
        </w:tc>
        <w:tc>
          <w:tcPr>
            <w:tcW w:w="1080" w:type="dxa"/>
            <w:tcBorders>
              <w:top w:val="nil"/>
              <w:left w:val="single" w:sz="8" w:space="0" w:color="auto"/>
              <w:bottom w:val="single" w:sz="8" w:space="0" w:color="auto"/>
              <w:right w:val="single" w:sz="8" w:space="0" w:color="auto"/>
            </w:tcBorders>
            <w:shd w:val="clear" w:color="000000" w:fill="F2F2F2"/>
            <w:noWrap/>
            <w:vAlign w:val="center"/>
            <w:hideMark/>
          </w:tcPr>
          <w:p w14:paraId="673F6A4A"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567</w:t>
            </w:r>
          </w:p>
        </w:tc>
        <w:tc>
          <w:tcPr>
            <w:tcW w:w="1088" w:type="dxa"/>
            <w:tcBorders>
              <w:top w:val="nil"/>
              <w:left w:val="nil"/>
              <w:bottom w:val="single" w:sz="8" w:space="0" w:color="auto"/>
              <w:right w:val="nil"/>
            </w:tcBorders>
            <w:shd w:val="clear" w:color="auto" w:fill="auto"/>
            <w:noWrap/>
            <w:vAlign w:val="center"/>
            <w:hideMark/>
          </w:tcPr>
          <w:p w14:paraId="06DD884E"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420</w:t>
            </w:r>
          </w:p>
        </w:tc>
        <w:tc>
          <w:tcPr>
            <w:tcW w:w="1088" w:type="dxa"/>
            <w:tcBorders>
              <w:top w:val="nil"/>
              <w:left w:val="nil"/>
              <w:bottom w:val="single" w:sz="8" w:space="0" w:color="auto"/>
              <w:right w:val="single" w:sz="8" w:space="0" w:color="auto"/>
            </w:tcBorders>
            <w:shd w:val="clear" w:color="auto" w:fill="auto"/>
            <w:noWrap/>
            <w:vAlign w:val="center"/>
            <w:hideMark/>
          </w:tcPr>
          <w:p w14:paraId="7BC2CFA1"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+35%</w:t>
            </w:r>
          </w:p>
        </w:tc>
        <w:tc>
          <w:tcPr>
            <w:tcW w:w="1080" w:type="dxa"/>
            <w:tcBorders>
              <w:top w:val="nil"/>
              <w:left w:val="nil"/>
              <w:bottom w:val="single" w:sz="8" w:space="0" w:color="auto"/>
              <w:right w:val="single" w:sz="8" w:space="0" w:color="auto"/>
            </w:tcBorders>
            <w:shd w:val="clear" w:color="auto" w:fill="auto"/>
            <w:noWrap/>
            <w:vAlign w:val="center"/>
            <w:hideMark/>
          </w:tcPr>
          <w:p w14:paraId="7BA455A3"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(15)</w:t>
            </w:r>
          </w:p>
        </w:tc>
        <w:tc>
          <w:tcPr>
            <w:tcW w:w="1088" w:type="dxa"/>
            <w:tcBorders>
              <w:top w:val="nil"/>
              <w:left w:val="nil"/>
              <w:bottom w:val="single" w:sz="8" w:space="0" w:color="auto"/>
              <w:right w:val="nil"/>
            </w:tcBorders>
            <w:shd w:val="clear" w:color="auto" w:fill="auto"/>
            <w:noWrap/>
            <w:vAlign w:val="center"/>
            <w:hideMark/>
          </w:tcPr>
          <w:p w14:paraId="6A763BAF"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406</w:t>
            </w:r>
          </w:p>
        </w:tc>
        <w:tc>
          <w:tcPr>
            <w:tcW w:w="1088" w:type="dxa"/>
            <w:tcBorders>
              <w:top w:val="nil"/>
              <w:left w:val="nil"/>
              <w:bottom w:val="single" w:sz="8" w:space="0" w:color="auto"/>
              <w:right w:val="single" w:sz="8" w:space="0" w:color="auto"/>
            </w:tcBorders>
            <w:shd w:val="clear" w:color="auto" w:fill="auto"/>
            <w:noWrap/>
            <w:vAlign w:val="center"/>
            <w:hideMark/>
          </w:tcPr>
          <w:p w14:paraId="54DC90F3" w14:textId="77777777" w:rsidR="00A61FA0" w:rsidRPr="00A61FA0" w:rsidRDefault="00A61FA0" w:rsidP="00A61FA0">
            <w:pPr>
              <w:jc w:val="right"/>
              <w:rPr>
                <w:rFonts w:ascii="Calibri" w:hAnsi="Calibri" w:cs="Calibri"/>
                <w:b/>
                <w:bCs/>
                <w:sz w:val="20"/>
                <w:lang w:eastAsia="en-GB"/>
              </w:rPr>
            </w:pPr>
            <w:r w:rsidRPr="00A61FA0">
              <w:rPr>
                <w:rFonts w:ascii="Calibri" w:hAnsi="Calibri" w:cs="Calibri"/>
                <w:b/>
                <w:bCs/>
                <w:sz w:val="20"/>
                <w:lang w:eastAsia="en-GB"/>
              </w:rPr>
              <w:t>+40%</w:t>
            </w:r>
          </w:p>
        </w:tc>
      </w:tr>
      <w:tr w:rsidR="00A61FA0" w:rsidRPr="00A61FA0" w14:paraId="3BD7E6BD" w14:textId="77777777" w:rsidTr="005F7FC8">
        <w:trPr>
          <w:trHeight w:val="89"/>
        </w:trPr>
        <w:tc>
          <w:tcPr>
            <w:tcW w:w="3060" w:type="dxa"/>
            <w:tcBorders>
              <w:top w:val="nil"/>
              <w:left w:val="single" w:sz="8" w:space="0" w:color="auto"/>
              <w:bottom w:val="nil"/>
              <w:right w:val="nil"/>
            </w:tcBorders>
            <w:shd w:val="clear" w:color="auto" w:fill="auto"/>
            <w:noWrap/>
            <w:vAlign w:val="bottom"/>
            <w:hideMark/>
          </w:tcPr>
          <w:p w14:paraId="33B172E4" w14:textId="77777777" w:rsidR="00A61FA0" w:rsidRPr="00A61FA0" w:rsidRDefault="00A61FA0" w:rsidP="00A61FA0">
            <w:pPr>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bottom"/>
            <w:hideMark/>
          </w:tcPr>
          <w:p w14:paraId="39915F02" w14:textId="77777777" w:rsidR="00A61FA0" w:rsidRPr="00A61FA0" w:rsidRDefault="00A61FA0" w:rsidP="00A61FA0">
            <w:pPr>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8" w:type="dxa"/>
            <w:tcBorders>
              <w:top w:val="nil"/>
              <w:left w:val="nil"/>
              <w:bottom w:val="nil"/>
              <w:right w:val="nil"/>
            </w:tcBorders>
            <w:shd w:val="clear" w:color="auto" w:fill="auto"/>
            <w:noWrap/>
            <w:vAlign w:val="bottom"/>
            <w:hideMark/>
          </w:tcPr>
          <w:p w14:paraId="18F6A2D3" w14:textId="77777777" w:rsidR="00A61FA0" w:rsidRPr="00A61FA0" w:rsidRDefault="00A61FA0" w:rsidP="00A61FA0">
            <w:pPr>
              <w:rPr>
                <w:rFonts w:ascii="Calibri" w:hAnsi="Calibri" w:cs="Calibri"/>
                <w:color w:val="000000"/>
                <w:sz w:val="2"/>
                <w:szCs w:val="2"/>
                <w:lang w:eastAsia="en-GB"/>
              </w:rPr>
            </w:pPr>
          </w:p>
        </w:tc>
        <w:tc>
          <w:tcPr>
            <w:tcW w:w="1088" w:type="dxa"/>
            <w:tcBorders>
              <w:top w:val="nil"/>
              <w:left w:val="nil"/>
              <w:bottom w:val="nil"/>
              <w:right w:val="single" w:sz="8" w:space="0" w:color="auto"/>
            </w:tcBorders>
            <w:shd w:val="clear" w:color="auto" w:fill="auto"/>
            <w:noWrap/>
            <w:vAlign w:val="bottom"/>
            <w:hideMark/>
          </w:tcPr>
          <w:p w14:paraId="48D13CFD" w14:textId="77777777" w:rsidR="00A61FA0" w:rsidRPr="00A61FA0" w:rsidRDefault="00A61FA0" w:rsidP="00A61FA0">
            <w:pPr>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nil"/>
              <w:bottom w:val="nil"/>
              <w:right w:val="single" w:sz="8" w:space="0" w:color="auto"/>
            </w:tcBorders>
            <w:shd w:val="clear" w:color="auto" w:fill="auto"/>
            <w:noWrap/>
            <w:vAlign w:val="bottom"/>
            <w:hideMark/>
          </w:tcPr>
          <w:p w14:paraId="1E1D8290" w14:textId="77777777" w:rsidR="00A61FA0" w:rsidRPr="00A61FA0" w:rsidRDefault="00A61FA0" w:rsidP="00A61FA0">
            <w:pPr>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8" w:type="dxa"/>
            <w:tcBorders>
              <w:top w:val="nil"/>
              <w:left w:val="nil"/>
              <w:bottom w:val="nil"/>
              <w:right w:val="nil"/>
            </w:tcBorders>
            <w:shd w:val="clear" w:color="auto" w:fill="auto"/>
            <w:noWrap/>
            <w:vAlign w:val="bottom"/>
            <w:hideMark/>
          </w:tcPr>
          <w:p w14:paraId="6D26A12E" w14:textId="77777777" w:rsidR="00A61FA0" w:rsidRPr="00A61FA0" w:rsidRDefault="00A61FA0" w:rsidP="00A61FA0">
            <w:pPr>
              <w:rPr>
                <w:rFonts w:ascii="Calibri" w:hAnsi="Calibri" w:cs="Calibri"/>
                <w:color w:val="000000"/>
                <w:sz w:val="2"/>
                <w:szCs w:val="2"/>
                <w:lang w:eastAsia="en-GB"/>
              </w:rPr>
            </w:pPr>
          </w:p>
        </w:tc>
        <w:tc>
          <w:tcPr>
            <w:tcW w:w="1088" w:type="dxa"/>
            <w:tcBorders>
              <w:top w:val="nil"/>
              <w:left w:val="nil"/>
              <w:bottom w:val="nil"/>
              <w:right w:val="single" w:sz="8" w:space="0" w:color="auto"/>
            </w:tcBorders>
            <w:shd w:val="clear" w:color="auto" w:fill="auto"/>
            <w:noWrap/>
            <w:vAlign w:val="bottom"/>
            <w:hideMark/>
          </w:tcPr>
          <w:p w14:paraId="7E025DDD" w14:textId="77777777" w:rsidR="00A61FA0" w:rsidRPr="00A61FA0" w:rsidRDefault="00A61FA0" w:rsidP="00A61FA0">
            <w:pPr>
              <w:rPr>
                <w:rFonts w:ascii="Calibri" w:hAnsi="Calibri" w:cs="Calibri"/>
                <w:color w:val="000000"/>
                <w:sz w:val="2"/>
                <w:szCs w:val="2"/>
                <w:lang w:eastAsia="en-GB"/>
              </w:rPr>
            </w:pPr>
            <w:r w:rsidRPr="00A61FA0">
              <w:rPr>
                <w:rFonts w:ascii="Calibri" w:hAnsi="Calibri" w:cs="Calibri"/>
                <w:color w:val="000000"/>
                <w:sz w:val="2"/>
                <w:szCs w:val="2"/>
                <w:lang w:eastAsia="en-GB"/>
              </w:rPr>
              <w:t> </w:t>
            </w:r>
          </w:p>
        </w:tc>
      </w:tr>
      <w:tr w:rsidR="00A61FA0" w:rsidRPr="00A61FA0" w14:paraId="32C1C12B"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64BBB973" w14:textId="77777777" w:rsidR="00A61FA0" w:rsidRPr="00A61FA0" w:rsidRDefault="00A61FA0" w:rsidP="00A61FA0">
            <w:pPr>
              <w:jc w:val="both"/>
              <w:rPr>
                <w:rFonts w:ascii="Calibri" w:hAnsi="Calibri" w:cs="Calibri"/>
                <w:b/>
                <w:bCs/>
                <w:color w:val="000000"/>
                <w:sz w:val="18"/>
                <w:szCs w:val="18"/>
                <w:lang w:eastAsia="en-GB"/>
              </w:rPr>
            </w:pPr>
            <w:r w:rsidRPr="00A61FA0">
              <w:rPr>
                <w:rFonts w:ascii="Calibri" w:hAnsi="Calibri" w:cs="Calibri"/>
                <w:b/>
                <w:bCs/>
                <w:color w:val="000000"/>
                <w:sz w:val="18"/>
                <w:szCs w:val="18"/>
                <w:lang w:eastAsia="en-GB"/>
              </w:rPr>
              <w:t>Revenue by division</w:t>
            </w:r>
          </w:p>
        </w:tc>
        <w:tc>
          <w:tcPr>
            <w:tcW w:w="1080" w:type="dxa"/>
            <w:tcBorders>
              <w:top w:val="nil"/>
              <w:left w:val="single" w:sz="8" w:space="0" w:color="auto"/>
              <w:bottom w:val="nil"/>
              <w:right w:val="single" w:sz="8" w:space="0" w:color="auto"/>
            </w:tcBorders>
            <w:shd w:val="clear" w:color="000000" w:fill="F2F2F2"/>
            <w:noWrap/>
            <w:vAlign w:val="center"/>
            <w:hideMark/>
          </w:tcPr>
          <w:p w14:paraId="10C653FC" w14:textId="77777777" w:rsidR="00A61FA0" w:rsidRPr="00A61FA0" w:rsidRDefault="00A61FA0" w:rsidP="00A61FA0">
            <w:pPr>
              <w:jc w:val="right"/>
              <w:rPr>
                <w:rFonts w:ascii="Calibri" w:hAnsi="Calibri" w:cs="Calibri"/>
                <w:b/>
                <w:bCs/>
                <w:sz w:val="18"/>
                <w:szCs w:val="18"/>
                <w:lang w:eastAsia="en-GB"/>
              </w:rPr>
            </w:pPr>
            <w:r w:rsidRPr="00A61FA0">
              <w:rPr>
                <w:rFonts w:ascii="Calibri" w:hAnsi="Calibri" w:cs="Calibri"/>
                <w:b/>
                <w:bCs/>
                <w:sz w:val="18"/>
                <w:szCs w:val="18"/>
                <w:lang w:eastAsia="en-GB"/>
              </w:rPr>
              <w:t> </w:t>
            </w:r>
          </w:p>
        </w:tc>
        <w:tc>
          <w:tcPr>
            <w:tcW w:w="1088" w:type="dxa"/>
            <w:tcBorders>
              <w:top w:val="nil"/>
              <w:left w:val="nil"/>
              <w:bottom w:val="nil"/>
              <w:right w:val="nil"/>
            </w:tcBorders>
            <w:shd w:val="clear" w:color="auto" w:fill="auto"/>
            <w:noWrap/>
            <w:vAlign w:val="center"/>
            <w:hideMark/>
          </w:tcPr>
          <w:p w14:paraId="2390B0E8" w14:textId="77777777" w:rsidR="00A61FA0" w:rsidRPr="00A61FA0" w:rsidRDefault="00A61FA0" w:rsidP="00A61FA0">
            <w:pPr>
              <w:jc w:val="right"/>
              <w:rPr>
                <w:rFonts w:ascii="Calibri" w:hAnsi="Calibri" w:cs="Calibri"/>
                <w:b/>
                <w:bCs/>
                <w:sz w:val="18"/>
                <w:szCs w:val="18"/>
                <w:lang w:eastAsia="en-GB"/>
              </w:rPr>
            </w:pPr>
          </w:p>
        </w:tc>
        <w:tc>
          <w:tcPr>
            <w:tcW w:w="1088" w:type="dxa"/>
            <w:tcBorders>
              <w:top w:val="nil"/>
              <w:left w:val="nil"/>
              <w:bottom w:val="nil"/>
              <w:right w:val="single" w:sz="8" w:space="0" w:color="auto"/>
            </w:tcBorders>
            <w:shd w:val="clear" w:color="auto" w:fill="auto"/>
            <w:noWrap/>
            <w:vAlign w:val="center"/>
            <w:hideMark/>
          </w:tcPr>
          <w:p w14:paraId="00DF7D44" w14:textId="77777777" w:rsidR="00A61FA0" w:rsidRPr="00A61FA0" w:rsidRDefault="00A61FA0" w:rsidP="00A61FA0">
            <w:pPr>
              <w:jc w:val="right"/>
              <w:rPr>
                <w:rFonts w:ascii="Calibri" w:hAnsi="Calibri" w:cs="Calibri"/>
                <w:b/>
                <w:bCs/>
                <w:sz w:val="18"/>
                <w:szCs w:val="18"/>
                <w:lang w:eastAsia="en-GB"/>
              </w:rPr>
            </w:pPr>
            <w:r w:rsidRPr="00A61FA0">
              <w:rPr>
                <w:rFonts w:ascii="Calibri" w:hAnsi="Calibri" w:cs="Calibri"/>
                <w:b/>
                <w:bCs/>
                <w:sz w:val="18"/>
                <w:szCs w:val="18"/>
                <w:lang w:eastAsia="en-GB"/>
              </w:rPr>
              <w:t> </w:t>
            </w:r>
          </w:p>
        </w:tc>
        <w:tc>
          <w:tcPr>
            <w:tcW w:w="1080" w:type="dxa"/>
            <w:tcBorders>
              <w:top w:val="nil"/>
              <w:left w:val="nil"/>
              <w:bottom w:val="nil"/>
              <w:right w:val="single" w:sz="8" w:space="0" w:color="auto"/>
            </w:tcBorders>
            <w:shd w:val="clear" w:color="auto" w:fill="auto"/>
            <w:noWrap/>
            <w:vAlign w:val="center"/>
            <w:hideMark/>
          </w:tcPr>
          <w:p w14:paraId="18D54A09" w14:textId="77777777" w:rsidR="00A61FA0" w:rsidRPr="00A61FA0" w:rsidRDefault="00A61FA0" w:rsidP="00A61FA0">
            <w:pPr>
              <w:jc w:val="right"/>
              <w:rPr>
                <w:rFonts w:ascii="Calibri" w:hAnsi="Calibri" w:cs="Calibri"/>
                <w:b/>
                <w:bCs/>
                <w:sz w:val="18"/>
                <w:szCs w:val="18"/>
                <w:lang w:eastAsia="en-GB"/>
              </w:rPr>
            </w:pPr>
            <w:r w:rsidRPr="00A61FA0">
              <w:rPr>
                <w:rFonts w:ascii="Calibri" w:hAnsi="Calibri" w:cs="Calibri"/>
                <w:b/>
                <w:bCs/>
                <w:sz w:val="18"/>
                <w:szCs w:val="18"/>
                <w:lang w:eastAsia="en-GB"/>
              </w:rPr>
              <w:t> </w:t>
            </w:r>
          </w:p>
        </w:tc>
        <w:tc>
          <w:tcPr>
            <w:tcW w:w="1088" w:type="dxa"/>
            <w:tcBorders>
              <w:top w:val="nil"/>
              <w:left w:val="nil"/>
              <w:bottom w:val="nil"/>
              <w:right w:val="nil"/>
            </w:tcBorders>
            <w:shd w:val="clear" w:color="auto" w:fill="auto"/>
            <w:noWrap/>
            <w:vAlign w:val="center"/>
            <w:hideMark/>
          </w:tcPr>
          <w:p w14:paraId="4985F4D1" w14:textId="77777777" w:rsidR="00A61FA0" w:rsidRPr="00A61FA0" w:rsidRDefault="00A61FA0" w:rsidP="00A61FA0">
            <w:pPr>
              <w:jc w:val="right"/>
              <w:rPr>
                <w:rFonts w:ascii="Calibri" w:hAnsi="Calibri" w:cs="Calibri"/>
                <w:b/>
                <w:bCs/>
                <w:sz w:val="18"/>
                <w:szCs w:val="18"/>
                <w:lang w:eastAsia="en-GB"/>
              </w:rPr>
            </w:pPr>
          </w:p>
        </w:tc>
        <w:tc>
          <w:tcPr>
            <w:tcW w:w="1088" w:type="dxa"/>
            <w:tcBorders>
              <w:top w:val="nil"/>
              <w:left w:val="nil"/>
              <w:bottom w:val="nil"/>
              <w:right w:val="single" w:sz="8" w:space="0" w:color="auto"/>
            </w:tcBorders>
            <w:shd w:val="clear" w:color="auto" w:fill="auto"/>
            <w:noWrap/>
            <w:vAlign w:val="center"/>
            <w:hideMark/>
          </w:tcPr>
          <w:p w14:paraId="330DC816" w14:textId="77777777" w:rsidR="00A61FA0" w:rsidRPr="00A61FA0" w:rsidRDefault="00A61FA0" w:rsidP="00A61FA0">
            <w:pPr>
              <w:jc w:val="right"/>
              <w:rPr>
                <w:rFonts w:ascii="Calibri" w:hAnsi="Calibri" w:cs="Calibri"/>
                <w:b/>
                <w:bCs/>
                <w:sz w:val="18"/>
                <w:szCs w:val="18"/>
                <w:lang w:eastAsia="en-GB"/>
              </w:rPr>
            </w:pPr>
            <w:r w:rsidRPr="00A61FA0">
              <w:rPr>
                <w:rFonts w:ascii="Calibri" w:hAnsi="Calibri" w:cs="Calibri"/>
                <w:b/>
                <w:bCs/>
                <w:sz w:val="18"/>
                <w:szCs w:val="18"/>
                <w:lang w:eastAsia="en-GB"/>
              </w:rPr>
              <w:t> </w:t>
            </w:r>
          </w:p>
        </w:tc>
      </w:tr>
      <w:tr w:rsidR="00A61FA0" w:rsidRPr="00A61FA0" w14:paraId="24523B8D"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4E1C6BE8"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PPB</w:t>
            </w:r>
          </w:p>
        </w:tc>
        <w:tc>
          <w:tcPr>
            <w:tcW w:w="1080" w:type="dxa"/>
            <w:tcBorders>
              <w:top w:val="nil"/>
              <w:left w:val="single" w:sz="8" w:space="0" w:color="auto"/>
              <w:bottom w:val="nil"/>
              <w:right w:val="single" w:sz="8" w:space="0" w:color="auto"/>
            </w:tcBorders>
            <w:shd w:val="clear" w:color="000000" w:fill="F2F2F2"/>
            <w:noWrap/>
            <w:vAlign w:val="center"/>
            <w:hideMark/>
          </w:tcPr>
          <w:p w14:paraId="3364829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540</w:t>
            </w:r>
          </w:p>
        </w:tc>
        <w:tc>
          <w:tcPr>
            <w:tcW w:w="1088" w:type="dxa"/>
            <w:tcBorders>
              <w:top w:val="nil"/>
              <w:left w:val="nil"/>
              <w:bottom w:val="nil"/>
              <w:right w:val="nil"/>
            </w:tcBorders>
            <w:shd w:val="clear" w:color="auto" w:fill="auto"/>
            <w:noWrap/>
            <w:vAlign w:val="center"/>
            <w:hideMark/>
          </w:tcPr>
          <w:p w14:paraId="31F2B67E"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658</w:t>
            </w:r>
          </w:p>
        </w:tc>
        <w:tc>
          <w:tcPr>
            <w:tcW w:w="1088" w:type="dxa"/>
            <w:tcBorders>
              <w:top w:val="nil"/>
              <w:left w:val="nil"/>
              <w:bottom w:val="nil"/>
              <w:right w:val="single" w:sz="8" w:space="0" w:color="auto"/>
            </w:tcBorders>
            <w:shd w:val="clear" w:color="auto" w:fill="auto"/>
            <w:noWrap/>
            <w:vAlign w:val="center"/>
            <w:hideMark/>
          </w:tcPr>
          <w:p w14:paraId="474FDF3B"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-18%</w:t>
            </w:r>
          </w:p>
        </w:tc>
        <w:tc>
          <w:tcPr>
            <w:tcW w:w="1080" w:type="dxa"/>
            <w:tcBorders>
              <w:top w:val="nil"/>
              <w:left w:val="nil"/>
              <w:bottom w:val="nil"/>
              <w:right w:val="single" w:sz="8" w:space="0" w:color="auto"/>
            </w:tcBorders>
            <w:shd w:val="clear" w:color="auto" w:fill="auto"/>
            <w:noWrap/>
            <w:vAlign w:val="center"/>
            <w:hideMark/>
          </w:tcPr>
          <w:p w14:paraId="5E33C40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(2)</w:t>
            </w:r>
          </w:p>
        </w:tc>
        <w:tc>
          <w:tcPr>
            <w:tcW w:w="1088" w:type="dxa"/>
            <w:tcBorders>
              <w:top w:val="nil"/>
              <w:left w:val="nil"/>
              <w:bottom w:val="nil"/>
              <w:right w:val="nil"/>
            </w:tcBorders>
            <w:shd w:val="clear" w:color="auto" w:fill="auto"/>
            <w:noWrap/>
            <w:vAlign w:val="center"/>
            <w:hideMark/>
          </w:tcPr>
          <w:p w14:paraId="02F357F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656</w:t>
            </w:r>
          </w:p>
        </w:tc>
        <w:tc>
          <w:tcPr>
            <w:tcW w:w="1088" w:type="dxa"/>
            <w:tcBorders>
              <w:top w:val="nil"/>
              <w:left w:val="nil"/>
              <w:bottom w:val="nil"/>
              <w:right w:val="single" w:sz="8" w:space="0" w:color="auto"/>
            </w:tcBorders>
            <w:shd w:val="clear" w:color="auto" w:fill="auto"/>
            <w:noWrap/>
            <w:vAlign w:val="center"/>
            <w:hideMark/>
          </w:tcPr>
          <w:p w14:paraId="4C81A2E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-18%</w:t>
            </w:r>
          </w:p>
        </w:tc>
      </w:tr>
      <w:tr w:rsidR="00A61FA0" w:rsidRPr="00A61FA0" w14:paraId="192C8DC5"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01C36858"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SBG</w:t>
            </w:r>
          </w:p>
        </w:tc>
        <w:tc>
          <w:tcPr>
            <w:tcW w:w="1080" w:type="dxa"/>
            <w:tcBorders>
              <w:top w:val="nil"/>
              <w:left w:val="single" w:sz="8" w:space="0" w:color="auto"/>
              <w:bottom w:val="nil"/>
              <w:right w:val="single" w:sz="8" w:space="0" w:color="auto"/>
            </w:tcBorders>
            <w:shd w:val="clear" w:color="000000" w:fill="F2F2F2"/>
            <w:noWrap/>
            <w:vAlign w:val="center"/>
            <w:hideMark/>
          </w:tcPr>
          <w:p w14:paraId="40869C76"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439</w:t>
            </w:r>
          </w:p>
        </w:tc>
        <w:tc>
          <w:tcPr>
            <w:tcW w:w="1088" w:type="dxa"/>
            <w:tcBorders>
              <w:top w:val="nil"/>
              <w:left w:val="nil"/>
              <w:bottom w:val="nil"/>
              <w:right w:val="nil"/>
            </w:tcBorders>
            <w:shd w:val="clear" w:color="auto" w:fill="auto"/>
            <w:noWrap/>
            <w:vAlign w:val="center"/>
            <w:hideMark/>
          </w:tcPr>
          <w:p w14:paraId="072D1FF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331</w:t>
            </w:r>
          </w:p>
        </w:tc>
        <w:tc>
          <w:tcPr>
            <w:tcW w:w="1088" w:type="dxa"/>
            <w:tcBorders>
              <w:top w:val="nil"/>
              <w:left w:val="nil"/>
              <w:bottom w:val="nil"/>
              <w:right w:val="single" w:sz="8" w:space="0" w:color="auto"/>
            </w:tcBorders>
            <w:shd w:val="clear" w:color="auto" w:fill="auto"/>
            <w:noWrap/>
            <w:vAlign w:val="center"/>
            <w:hideMark/>
          </w:tcPr>
          <w:p w14:paraId="692FB04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+32%</w:t>
            </w:r>
          </w:p>
        </w:tc>
        <w:tc>
          <w:tcPr>
            <w:tcW w:w="1080" w:type="dxa"/>
            <w:tcBorders>
              <w:top w:val="nil"/>
              <w:left w:val="nil"/>
              <w:bottom w:val="nil"/>
              <w:right w:val="single" w:sz="8" w:space="0" w:color="auto"/>
            </w:tcBorders>
            <w:shd w:val="clear" w:color="auto" w:fill="auto"/>
            <w:noWrap/>
            <w:vAlign w:val="center"/>
            <w:hideMark/>
          </w:tcPr>
          <w:p w14:paraId="6589749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(0)</w:t>
            </w:r>
          </w:p>
        </w:tc>
        <w:tc>
          <w:tcPr>
            <w:tcW w:w="1088" w:type="dxa"/>
            <w:tcBorders>
              <w:top w:val="nil"/>
              <w:left w:val="nil"/>
              <w:bottom w:val="nil"/>
              <w:right w:val="nil"/>
            </w:tcBorders>
            <w:shd w:val="clear" w:color="auto" w:fill="auto"/>
            <w:noWrap/>
            <w:vAlign w:val="center"/>
            <w:hideMark/>
          </w:tcPr>
          <w:p w14:paraId="6549DF6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331</w:t>
            </w:r>
          </w:p>
        </w:tc>
        <w:tc>
          <w:tcPr>
            <w:tcW w:w="1088" w:type="dxa"/>
            <w:tcBorders>
              <w:top w:val="nil"/>
              <w:left w:val="nil"/>
              <w:bottom w:val="nil"/>
              <w:right w:val="single" w:sz="8" w:space="0" w:color="auto"/>
            </w:tcBorders>
            <w:shd w:val="clear" w:color="auto" w:fill="auto"/>
            <w:noWrap/>
            <w:vAlign w:val="center"/>
            <w:hideMark/>
          </w:tcPr>
          <w:p w14:paraId="5E0C4E81"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+32%</w:t>
            </w:r>
          </w:p>
        </w:tc>
      </w:tr>
      <w:tr w:rsidR="00A61FA0" w:rsidRPr="00A61FA0" w14:paraId="458476E8"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5D478F6A"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PokerStars</w:t>
            </w:r>
          </w:p>
        </w:tc>
        <w:tc>
          <w:tcPr>
            <w:tcW w:w="1080" w:type="dxa"/>
            <w:tcBorders>
              <w:top w:val="nil"/>
              <w:left w:val="single" w:sz="8" w:space="0" w:color="auto"/>
              <w:bottom w:val="nil"/>
              <w:right w:val="single" w:sz="8" w:space="0" w:color="auto"/>
            </w:tcBorders>
            <w:shd w:val="clear" w:color="000000" w:fill="F2F2F2"/>
            <w:noWrap/>
            <w:vAlign w:val="center"/>
            <w:hideMark/>
          </w:tcPr>
          <w:p w14:paraId="1D55AEFA"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697</w:t>
            </w:r>
          </w:p>
        </w:tc>
        <w:tc>
          <w:tcPr>
            <w:tcW w:w="1088" w:type="dxa"/>
            <w:tcBorders>
              <w:top w:val="nil"/>
              <w:left w:val="nil"/>
              <w:bottom w:val="nil"/>
              <w:right w:val="nil"/>
            </w:tcBorders>
            <w:shd w:val="clear" w:color="auto" w:fill="auto"/>
            <w:noWrap/>
            <w:vAlign w:val="center"/>
            <w:hideMark/>
          </w:tcPr>
          <w:p w14:paraId="7B265BA6"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509</w:t>
            </w:r>
          </w:p>
        </w:tc>
        <w:tc>
          <w:tcPr>
            <w:tcW w:w="1088" w:type="dxa"/>
            <w:tcBorders>
              <w:top w:val="nil"/>
              <w:left w:val="nil"/>
              <w:bottom w:val="nil"/>
              <w:right w:val="single" w:sz="8" w:space="0" w:color="auto"/>
            </w:tcBorders>
            <w:shd w:val="clear" w:color="auto" w:fill="auto"/>
            <w:noWrap/>
            <w:vAlign w:val="center"/>
            <w:hideMark/>
          </w:tcPr>
          <w:p w14:paraId="0996DD4E"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+37%</w:t>
            </w:r>
          </w:p>
        </w:tc>
        <w:tc>
          <w:tcPr>
            <w:tcW w:w="1080" w:type="dxa"/>
            <w:tcBorders>
              <w:top w:val="nil"/>
              <w:left w:val="nil"/>
              <w:bottom w:val="nil"/>
              <w:right w:val="single" w:sz="8" w:space="0" w:color="auto"/>
            </w:tcBorders>
            <w:shd w:val="clear" w:color="auto" w:fill="auto"/>
            <w:noWrap/>
            <w:vAlign w:val="center"/>
            <w:hideMark/>
          </w:tcPr>
          <w:p w14:paraId="7BB49F5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(9)</w:t>
            </w:r>
          </w:p>
        </w:tc>
        <w:tc>
          <w:tcPr>
            <w:tcW w:w="1088" w:type="dxa"/>
            <w:tcBorders>
              <w:top w:val="nil"/>
              <w:left w:val="nil"/>
              <w:bottom w:val="nil"/>
              <w:right w:val="nil"/>
            </w:tcBorders>
            <w:shd w:val="clear" w:color="auto" w:fill="auto"/>
            <w:noWrap/>
            <w:vAlign w:val="center"/>
            <w:hideMark/>
          </w:tcPr>
          <w:p w14:paraId="5B511083"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500</w:t>
            </w:r>
          </w:p>
        </w:tc>
        <w:tc>
          <w:tcPr>
            <w:tcW w:w="1088" w:type="dxa"/>
            <w:tcBorders>
              <w:top w:val="nil"/>
              <w:left w:val="nil"/>
              <w:bottom w:val="nil"/>
              <w:right w:val="single" w:sz="8" w:space="0" w:color="auto"/>
            </w:tcBorders>
            <w:shd w:val="clear" w:color="auto" w:fill="auto"/>
            <w:noWrap/>
            <w:vAlign w:val="center"/>
            <w:hideMark/>
          </w:tcPr>
          <w:p w14:paraId="4FF35804"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+40%</w:t>
            </w:r>
          </w:p>
        </w:tc>
      </w:tr>
      <w:tr w:rsidR="00A61FA0" w:rsidRPr="00A61FA0" w14:paraId="09CC80A1"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05D279E0"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Australia</w:t>
            </w:r>
          </w:p>
        </w:tc>
        <w:tc>
          <w:tcPr>
            <w:tcW w:w="1080" w:type="dxa"/>
            <w:tcBorders>
              <w:top w:val="nil"/>
              <w:left w:val="single" w:sz="8" w:space="0" w:color="auto"/>
              <w:bottom w:val="nil"/>
              <w:right w:val="single" w:sz="8" w:space="0" w:color="auto"/>
            </w:tcBorders>
            <w:shd w:val="clear" w:color="000000" w:fill="F2F2F2"/>
            <w:noWrap/>
            <w:vAlign w:val="center"/>
            <w:hideMark/>
          </w:tcPr>
          <w:p w14:paraId="769A46CF"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435</w:t>
            </w:r>
          </w:p>
        </w:tc>
        <w:tc>
          <w:tcPr>
            <w:tcW w:w="1088" w:type="dxa"/>
            <w:tcBorders>
              <w:top w:val="nil"/>
              <w:left w:val="nil"/>
              <w:bottom w:val="nil"/>
              <w:right w:val="nil"/>
            </w:tcBorders>
            <w:shd w:val="clear" w:color="auto" w:fill="auto"/>
            <w:noWrap/>
            <w:vAlign w:val="center"/>
            <w:hideMark/>
          </w:tcPr>
          <w:p w14:paraId="179B7B7F"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314</w:t>
            </w:r>
          </w:p>
        </w:tc>
        <w:tc>
          <w:tcPr>
            <w:tcW w:w="1088" w:type="dxa"/>
            <w:tcBorders>
              <w:top w:val="nil"/>
              <w:left w:val="nil"/>
              <w:bottom w:val="nil"/>
              <w:right w:val="single" w:sz="8" w:space="0" w:color="auto"/>
            </w:tcBorders>
            <w:shd w:val="clear" w:color="auto" w:fill="auto"/>
            <w:noWrap/>
            <w:vAlign w:val="center"/>
            <w:hideMark/>
          </w:tcPr>
          <w:p w14:paraId="42DD7A33"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+39%</w:t>
            </w:r>
          </w:p>
        </w:tc>
        <w:tc>
          <w:tcPr>
            <w:tcW w:w="1080" w:type="dxa"/>
            <w:tcBorders>
              <w:top w:val="nil"/>
              <w:left w:val="nil"/>
              <w:bottom w:val="nil"/>
              <w:right w:val="single" w:sz="8" w:space="0" w:color="auto"/>
            </w:tcBorders>
            <w:shd w:val="clear" w:color="auto" w:fill="auto"/>
            <w:noWrap/>
            <w:vAlign w:val="center"/>
            <w:hideMark/>
          </w:tcPr>
          <w:p w14:paraId="45A5BFCF"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(14)</w:t>
            </w:r>
          </w:p>
        </w:tc>
        <w:tc>
          <w:tcPr>
            <w:tcW w:w="1088" w:type="dxa"/>
            <w:tcBorders>
              <w:top w:val="nil"/>
              <w:left w:val="nil"/>
              <w:bottom w:val="nil"/>
              <w:right w:val="nil"/>
            </w:tcBorders>
            <w:shd w:val="clear" w:color="auto" w:fill="auto"/>
            <w:noWrap/>
            <w:vAlign w:val="center"/>
            <w:hideMark/>
          </w:tcPr>
          <w:p w14:paraId="02BC3468"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300</w:t>
            </w:r>
          </w:p>
        </w:tc>
        <w:tc>
          <w:tcPr>
            <w:tcW w:w="1088" w:type="dxa"/>
            <w:tcBorders>
              <w:top w:val="nil"/>
              <w:left w:val="nil"/>
              <w:bottom w:val="nil"/>
              <w:right w:val="single" w:sz="8" w:space="0" w:color="auto"/>
            </w:tcBorders>
            <w:shd w:val="clear" w:color="auto" w:fill="auto"/>
            <w:noWrap/>
            <w:vAlign w:val="center"/>
            <w:hideMark/>
          </w:tcPr>
          <w:p w14:paraId="093322D8"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+45%</w:t>
            </w:r>
          </w:p>
        </w:tc>
      </w:tr>
      <w:tr w:rsidR="00A61FA0" w:rsidRPr="00A61FA0" w14:paraId="5593D449"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056F67E4"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US</w:t>
            </w:r>
          </w:p>
        </w:tc>
        <w:tc>
          <w:tcPr>
            <w:tcW w:w="1080" w:type="dxa"/>
            <w:tcBorders>
              <w:top w:val="nil"/>
              <w:left w:val="single" w:sz="8" w:space="0" w:color="auto"/>
              <w:bottom w:val="nil"/>
              <w:right w:val="single" w:sz="8" w:space="0" w:color="auto"/>
            </w:tcBorders>
            <w:shd w:val="clear" w:color="000000" w:fill="F2F2F2"/>
            <w:noWrap/>
            <w:vAlign w:val="center"/>
            <w:hideMark/>
          </w:tcPr>
          <w:p w14:paraId="1DF13E0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278</w:t>
            </w:r>
          </w:p>
        </w:tc>
        <w:tc>
          <w:tcPr>
            <w:tcW w:w="1088" w:type="dxa"/>
            <w:tcBorders>
              <w:top w:val="nil"/>
              <w:left w:val="nil"/>
              <w:bottom w:val="nil"/>
              <w:right w:val="nil"/>
            </w:tcBorders>
            <w:shd w:val="clear" w:color="auto" w:fill="auto"/>
            <w:noWrap/>
            <w:vAlign w:val="center"/>
            <w:hideMark/>
          </w:tcPr>
          <w:p w14:paraId="4AE50E7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163</w:t>
            </w:r>
          </w:p>
        </w:tc>
        <w:tc>
          <w:tcPr>
            <w:tcW w:w="1088" w:type="dxa"/>
            <w:tcBorders>
              <w:top w:val="nil"/>
              <w:left w:val="nil"/>
              <w:bottom w:val="nil"/>
              <w:right w:val="single" w:sz="8" w:space="0" w:color="auto"/>
            </w:tcBorders>
            <w:shd w:val="clear" w:color="auto" w:fill="auto"/>
            <w:noWrap/>
            <w:vAlign w:val="center"/>
            <w:hideMark/>
          </w:tcPr>
          <w:p w14:paraId="5069A358"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+71%</w:t>
            </w:r>
          </w:p>
        </w:tc>
        <w:tc>
          <w:tcPr>
            <w:tcW w:w="1080" w:type="dxa"/>
            <w:tcBorders>
              <w:top w:val="nil"/>
              <w:left w:val="nil"/>
              <w:bottom w:val="nil"/>
              <w:right w:val="single" w:sz="8" w:space="0" w:color="auto"/>
            </w:tcBorders>
            <w:shd w:val="clear" w:color="auto" w:fill="auto"/>
            <w:noWrap/>
            <w:vAlign w:val="center"/>
            <w:hideMark/>
          </w:tcPr>
          <w:p w14:paraId="7FAC4586"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w:t>
            </w:r>
          </w:p>
        </w:tc>
        <w:tc>
          <w:tcPr>
            <w:tcW w:w="1088" w:type="dxa"/>
            <w:tcBorders>
              <w:top w:val="nil"/>
              <w:left w:val="nil"/>
              <w:bottom w:val="nil"/>
              <w:right w:val="nil"/>
            </w:tcBorders>
            <w:shd w:val="clear" w:color="auto" w:fill="auto"/>
            <w:noWrap/>
            <w:vAlign w:val="center"/>
            <w:hideMark/>
          </w:tcPr>
          <w:p w14:paraId="0EF42EBA"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168</w:t>
            </w:r>
          </w:p>
        </w:tc>
        <w:tc>
          <w:tcPr>
            <w:tcW w:w="1088" w:type="dxa"/>
            <w:tcBorders>
              <w:top w:val="nil"/>
              <w:left w:val="nil"/>
              <w:bottom w:val="nil"/>
              <w:right w:val="single" w:sz="8" w:space="0" w:color="auto"/>
            </w:tcBorders>
            <w:shd w:val="clear" w:color="auto" w:fill="auto"/>
            <w:noWrap/>
            <w:vAlign w:val="center"/>
            <w:hideMark/>
          </w:tcPr>
          <w:p w14:paraId="48B15196"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+66%</w:t>
            </w:r>
          </w:p>
        </w:tc>
      </w:tr>
      <w:tr w:rsidR="00A61FA0" w:rsidRPr="00A61FA0" w14:paraId="0714051B" w14:textId="77777777" w:rsidTr="005F7FC8">
        <w:trPr>
          <w:trHeight w:val="34"/>
        </w:trPr>
        <w:tc>
          <w:tcPr>
            <w:tcW w:w="3060" w:type="dxa"/>
            <w:tcBorders>
              <w:top w:val="nil"/>
              <w:left w:val="single" w:sz="8" w:space="0" w:color="auto"/>
              <w:bottom w:val="nil"/>
              <w:right w:val="nil"/>
            </w:tcBorders>
            <w:shd w:val="clear" w:color="auto" w:fill="auto"/>
            <w:noWrap/>
            <w:vAlign w:val="center"/>
            <w:hideMark/>
          </w:tcPr>
          <w:p w14:paraId="2343EAD5" w14:textId="77777777" w:rsidR="00A61FA0" w:rsidRPr="00A61FA0" w:rsidRDefault="00A61FA0" w:rsidP="00A61FA0">
            <w:pPr>
              <w:jc w:val="both"/>
              <w:rPr>
                <w:rFonts w:ascii="Calibri" w:hAnsi="Calibri" w:cs="Calibri"/>
                <w:color w:val="000000"/>
                <w:sz w:val="2"/>
                <w:szCs w:val="2"/>
                <w:lang w:eastAsia="en-GB"/>
              </w:rPr>
            </w:pPr>
            <w:r w:rsidRPr="00A61FA0">
              <w:rPr>
                <w:rFonts w:ascii="Calibri" w:hAnsi="Calibri" w:cs="Calibri"/>
                <w:color w:val="000000"/>
                <w:sz w:val="2"/>
                <w:szCs w:val="2"/>
                <w:lang w:eastAsia="en-GB"/>
              </w:rPr>
              <w:t> </w:t>
            </w:r>
          </w:p>
        </w:tc>
        <w:tc>
          <w:tcPr>
            <w:tcW w:w="1080" w:type="dxa"/>
            <w:tcBorders>
              <w:top w:val="nil"/>
              <w:left w:val="single" w:sz="8" w:space="0" w:color="auto"/>
              <w:bottom w:val="nil"/>
              <w:right w:val="single" w:sz="8" w:space="0" w:color="auto"/>
            </w:tcBorders>
            <w:shd w:val="clear" w:color="000000" w:fill="F2F2F2"/>
            <w:noWrap/>
            <w:vAlign w:val="center"/>
            <w:hideMark/>
          </w:tcPr>
          <w:p w14:paraId="7F94BFF2"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0894AD90"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4AD33086"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0" w:type="dxa"/>
            <w:tcBorders>
              <w:top w:val="nil"/>
              <w:left w:val="nil"/>
              <w:bottom w:val="nil"/>
              <w:right w:val="single" w:sz="8" w:space="0" w:color="auto"/>
            </w:tcBorders>
            <w:shd w:val="clear" w:color="auto" w:fill="auto"/>
            <w:noWrap/>
            <w:vAlign w:val="center"/>
            <w:hideMark/>
          </w:tcPr>
          <w:p w14:paraId="22F95BE6"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c>
          <w:tcPr>
            <w:tcW w:w="1088" w:type="dxa"/>
            <w:tcBorders>
              <w:top w:val="nil"/>
              <w:left w:val="nil"/>
              <w:bottom w:val="nil"/>
              <w:right w:val="nil"/>
            </w:tcBorders>
            <w:shd w:val="clear" w:color="auto" w:fill="auto"/>
            <w:noWrap/>
            <w:vAlign w:val="center"/>
            <w:hideMark/>
          </w:tcPr>
          <w:p w14:paraId="53474A84" w14:textId="77777777" w:rsidR="00A61FA0" w:rsidRPr="00A61FA0" w:rsidRDefault="00A61FA0" w:rsidP="00A61FA0">
            <w:pPr>
              <w:jc w:val="right"/>
              <w:rPr>
                <w:rFonts w:ascii="Calibri" w:hAnsi="Calibri" w:cs="Calibri"/>
                <w:sz w:val="2"/>
                <w:szCs w:val="2"/>
                <w:lang w:eastAsia="en-GB"/>
              </w:rPr>
            </w:pPr>
          </w:p>
        </w:tc>
        <w:tc>
          <w:tcPr>
            <w:tcW w:w="1088" w:type="dxa"/>
            <w:tcBorders>
              <w:top w:val="nil"/>
              <w:left w:val="nil"/>
              <w:bottom w:val="nil"/>
              <w:right w:val="single" w:sz="8" w:space="0" w:color="auto"/>
            </w:tcBorders>
            <w:shd w:val="clear" w:color="auto" w:fill="auto"/>
            <w:noWrap/>
            <w:vAlign w:val="center"/>
            <w:hideMark/>
          </w:tcPr>
          <w:p w14:paraId="71027A20" w14:textId="77777777" w:rsidR="00A61FA0" w:rsidRPr="00A61FA0" w:rsidRDefault="00A61FA0" w:rsidP="00A61FA0">
            <w:pPr>
              <w:jc w:val="right"/>
              <w:rPr>
                <w:rFonts w:ascii="Calibri" w:hAnsi="Calibri" w:cs="Calibri"/>
                <w:sz w:val="2"/>
                <w:szCs w:val="2"/>
                <w:lang w:eastAsia="en-GB"/>
              </w:rPr>
            </w:pPr>
            <w:r w:rsidRPr="00A61FA0">
              <w:rPr>
                <w:rFonts w:ascii="Calibri" w:hAnsi="Calibri" w:cs="Calibri"/>
                <w:sz w:val="2"/>
                <w:szCs w:val="2"/>
                <w:lang w:eastAsia="en-GB"/>
              </w:rPr>
              <w:t> </w:t>
            </w:r>
          </w:p>
        </w:tc>
      </w:tr>
      <w:tr w:rsidR="00A61FA0" w:rsidRPr="00A61FA0" w14:paraId="2C10656A"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26148A71" w14:textId="77777777" w:rsidR="00A61FA0" w:rsidRPr="00A61FA0" w:rsidRDefault="00A61FA0" w:rsidP="00A61FA0">
            <w:pPr>
              <w:jc w:val="both"/>
              <w:rPr>
                <w:rFonts w:ascii="Calibri" w:hAnsi="Calibri" w:cs="Calibri"/>
                <w:b/>
                <w:bCs/>
                <w:color w:val="000000"/>
                <w:sz w:val="18"/>
                <w:szCs w:val="18"/>
                <w:lang w:eastAsia="en-GB"/>
              </w:rPr>
            </w:pPr>
            <w:r w:rsidRPr="00A61FA0">
              <w:rPr>
                <w:rFonts w:ascii="Calibri" w:hAnsi="Calibri" w:cs="Calibri"/>
                <w:b/>
                <w:bCs/>
                <w:color w:val="000000"/>
                <w:sz w:val="18"/>
                <w:szCs w:val="18"/>
                <w:lang w:eastAsia="en-GB"/>
              </w:rPr>
              <w:t>Adjusted EBITDA by division</w:t>
            </w:r>
          </w:p>
        </w:tc>
        <w:tc>
          <w:tcPr>
            <w:tcW w:w="1080" w:type="dxa"/>
            <w:tcBorders>
              <w:top w:val="nil"/>
              <w:left w:val="single" w:sz="8" w:space="0" w:color="auto"/>
              <w:bottom w:val="nil"/>
              <w:right w:val="single" w:sz="8" w:space="0" w:color="auto"/>
            </w:tcBorders>
            <w:shd w:val="clear" w:color="000000" w:fill="F2F2F2"/>
            <w:noWrap/>
            <w:vAlign w:val="center"/>
            <w:hideMark/>
          </w:tcPr>
          <w:p w14:paraId="7D0FDC46"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 </w:t>
            </w:r>
          </w:p>
        </w:tc>
        <w:tc>
          <w:tcPr>
            <w:tcW w:w="1088" w:type="dxa"/>
            <w:tcBorders>
              <w:top w:val="nil"/>
              <w:left w:val="nil"/>
              <w:bottom w:val="nil"/>
              <w:right w:val="nil"/>
            </w:tcBorders>
            <w:shd w:val="clear" w:color="auto" w:fill="auto"/>
            <w:noWrap/>
            <w:vAlign w:val="center"/>
            <w:hideMark/>
          </w:tcPr>
          <w:p w14:paraId="648277B7" w14:textId="77777777" w:rsidR="00A61FA0" w:rsidRPr="00A61FA0" w:rsidRDefault="00A61FA0" w:rsidP="00A61FA0">
            <w:pPr>
              <w:jc w:val="right"/>
              <w:rPr>
                <w:rFonts w:ascii="Calibri" w:hAnsi="Calibri" w:cs="Calibri"/>
                <w:sz w:val="18"/>
                <w:szCs w:val="18"/>
                <w:lang w:eastAsia="en-GB"/>
              </w:rPr>
            </w:pPr>
          </w:p>
        </w:tc>
        <w:tc>
          <w:tcPr>
            <w:tcW w:w="1088" w:type="dxa"/>
            <w:tcBorders>
              <w:top w:val="nil"/>
              <w:left w:val="nil"/>
              <w:bottom w:val="nil"/>
              <w:right w:val="single" w:sz="8" w:space="0" w:color="auto"/>
            </w:tcBorders>
            <w:shd w:val="clear" w:color="auto" w:fill="auto"/>
            <w:noWrap/>
            <w:vAlign w:val="center"/>
            <w:hideMark/>
          </w:tcPr>
          <w:p w14:paraId="7C37A548"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 </w:t>
            </w:r>
          </w:p>
        </w:tc>
        <w:tc>
          <w:tcPr>
            <w:tcW w:w="1080" w:type="dxa"/>
            <w:tcBorders>
              <w:top w:val="nil"/>
              <w:left w:val="nil"/>
              <w:bottom w:val="nil"/>
              <w:right w:val="single" w:sz="8" w:space="0" w:color="auto"/>
            </w:tcBorders>
            <w:shd w:val="clear" w:color="auto" w:fill="auto"/>
            <w:noWrap/>
            <w:vAlign w:val="center"/>
            <w:hideMark/>
          </w:tcPr>
          <w:p w14:paraId="7DCCBA6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 </w:t>
            </w:r>
          </w:p>
        </w:tc>
        <w:tc>
          <w:tcPr>
            <w:tcW w:w="1088" w:type="dxa"/>
            <w:tcBorders>
              <w:top w:val="nil"/>
              <w:left w:val="nil"/>
              <w:bottom w:val="nil"/>
              <w:right w:val="nil"/>
            </w:tcBorders>
            <w:shd w:val="clear" w:color="auto" w:fill="auto"/>
            <w:noWrap/>
            <w:vAlign w:val="center"/>
            <w:hideMark/>
          </w:tcPr>
          <w:p w14:paraId="32172BED" w14:textId="77777777" w:rsidR="00A61FA0" w:rsidRPr="00A61FA0" w:rsidRDefault="00A61FA0" w:rsidP="00A61FA0">
            <w:pPr>
              <w:jc w:val="right"/>
              <w:rPr>
                <w:rFonts w:ascii="Calibri" w:hAnsi="Calibri" w:cs="Calibri"/>
                <w:sz w:val="18"/>
                <w:szCs w:val="18"/>
                <w:lang w:eastAsia="en-GB"/>
              </w:rPr>
            </w:pPr>
          </w:p>
        </w:tc>
        <w:tc>
          <w:tcPr>
            <w:tcW w:w="1088" w:type="dxa"/>
            <w:tcBorders>
              <w:top w:val="nil"/>
              <w:left w:val="nil"/>
              <w:bottom w:val="nil"/>
              <w:right w:val="single" w:sz="8" w:space="0" w:color="auto"/>
            </w:tcBorders>
            <w:shd w:val="clear" w:color="auto" w:fill="auto"/>
            <w:noWrap/>
            <w:vAlign w:val="center"/>
            <w:hideMark/>
          </w:tcPr>
          <w:p w14:paraId="3DFCF359"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 </w:t>
            </w:r>
          </w:p>
        </w:tc>
      </w:tr>
      <w:tr w:rsidR="00A61FA0" w:rsidRPr="00A61FA0" w14:paraId="3D3E1903"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0C0F634F"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PPB</w:t>
            </w:r>
          </w:p>
        </w:tc>
        <w:tc>
          <w:tcPr>
            <w:tcW w:w="1080" w:type="dxa"/>
            <w:tcBorders>
              <w:top w:val="nil"/>
              <w:left w:val="single" w:sz="8" w:space="0" w:color="auto"/>
              <w:bottom w:val="nil"/>
              <w:right w:val="single" w:sz="8" w:space="0" w:color="auto"/>
            </w:tcBorders>
            <w:shd w:val="clear" w:color="000000" w:fill="F2F2F2"/>
            <w:noWrap/>
            <w:vAlign w:val="center"/>
            <w:hideMark/>
          </w:tcPr>
          <w:p w14:paraId="4561925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85</w:t>
            </w:r>
          </w:p>
        </w:tc>
        <w:tc>
          <w:tcPr>
            <w:tcW w:w="1088" w:type="dxa"/>
            <w:tcBorders>
              <w:top w:val="nil"/>
              <w:left w:val="nil"/>
              <w:bottom w:val="nil"/>
              <w:right w:val="nil"/>
            </w:tcBorders>
            <w:shd w:val="clear" w:color="auto" w:fill="auto"/>
            <w:noWrap/>
            <w:vAlign w:val="center"/>
            <w:hideMark/>
          </w:tcPr>
          <w:p w14:paraId="4B37AF6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179</w:t>
            </w:r>
          </w:p>
        </w:tc>
        <w:tc>
          <w:tcPr>
            <w:tcW w:w="1088" w:type="dxa"/>
            <w:tcBorders>
              <w:top w:val="nil"/>
              <w:left w:val="nil"/>
              <w:bottom w:val="nil"/>
              <w:right w:val="single" w:sz="8" w:space="0" w:color="auto"/>
            </w:tcBorders>
            <w:shd w:val="clear" w:color="auto" w:fill="auto"/>
            <w:noWrap/>
            <w:vAlign w:val="center"/>
            <w:hideMark/>
          </w:tcPr>
          <w:p w14:paraId="3250EB2B"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-53%</w:t>
            </w:r>
          </w:p>
        </w:tc>
        <w:tc>
          <w:tcPr>
            <w:tcW w:w="1080" w:type="dxa"/>
            <w:tcBorders>
              <w:top w:val="nil"/>
              <w:left w:val="nil"/>
              <w:bottom w:val="nil"/>
              <w:right w:val="single" w:sz="8" w:space="0" w:color="auto"/>
            </w:tcBorders>
            <w:shd w:val="clear" w:color="auto" w:fill="auto"/>
            <w:noWrap/>
            <w:vAlign w:val="center"/>
            <w:hideMark/>
          </w:tcPr>
          <w:p w14:paraId="655AA7E9"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w:t>
            </w:r>
          </w:p>
        </w:tc>
        <w:tc>
          <w:tcPr>
            <w:tcW w:w="1088" w:type="dxa"/>
            <w:tcBorders>
              <w:top w:val="nil"/>
              <w:left w:val="nil"/>
              <w:bottom w:val="nil"/>
              <w:right w:val="nil"/>
            </w:tcBorders>
            <w:shd w:val="clear" w:color="auto" w:fill="auto"/>
            <w:noWrap/>
            <w:vAlign w:val="center"/>
            <w:hideMark/>
          </w:tcPr>
          <w:p w14:paraId="61E886EF"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179</w:t>
            </w:r>
          </w:p>
        </w:tc>
        <w:tc>
          <w:tcPr>
            <w:tcW w:w="1088" w:type="dxa"/>
            <w:tcBorders>
              <w:top w:val="nil"/>
              <w:left w:val="nil"/>
              <w:bottom w:val="nil"/>
              <w:right w:val="single" w:sz="8" w:space="0" w:color="auto"/>
            </w:tcBorders>
            <w:shd w:val="clear" w:color="auto" w:fill="auto"/>
            <w:noWrap/>
            <w:vAlign w:val="center"/>
            <w:hideMark/>
          </w:tcPr>
          <w:p w14:paraId="308D713E"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-52%</w:t>
            </w:r>
          </w:p>
        </w:tc>
      </w:tr>
      <w:tr w:rsidR="00A61FA0" w:rsidRPr="00A61FA0" w14:paraId="742672EE"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1252587E"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SBG</w:t>
            </w:r>
          </w:p>
        </w:tc>
        <w:tc>
          <w:tcPr>
            <w:tcW w:w="1080" w:type="dxa"/>
            <w:tcBorders>
              <w:top w:val="nil"/>
              <w:left w:val="single" w:sz="8" w:space="0" w:color="auto"/>
              <w:bottom w:val="nil"/>
              <w:right w:val="single" w:sz="8" w:space="0" w:color="auto"/>
            </w:tcBorders>
            <w:shd w:val="clear" w:color="000000" w:fill="F2F2F2"/>
            <w:noWrap/>
            <w:vAlign w:val="center"/>
            <w:hideMark/>
          </w:tcPr>
          <w:p w14:paraId="7C19896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184</w:t>
            </w:r>
          </w:p>
        </w:tc>
        <w:tc>
          <w:tcPr>
            <w:tcW w:w="1088" w:type="dxa"/>
            <w:tcBorders>
              <w:top w:val="nil"/>
              <w:left w:val="nil"/>
              <w:bottom w:val="nil"/>
              <w:right w:val="nil"/>
            </w:tcBorders>
            <w:shd w:val="clear" w:color="auto" w:fill="auto"/>
            <w:noWrap/>
            <w:vAlign w:val="center"/>
            <w:hideMark/>
          </w:tcPr>
          <w:p w14:paraId="7ABA0884"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111</w:t>
            </w:r>
          </w:p>
        </w:tc>
        <w:tc>
          <w:tcPr>
            <w:tcW w:w="1088" w:type="dxa"/>
            <w:tcBorders>
              <w:top w:val="nil"/>
              <w:left w:val="nil"/>
              <w:bottom w:val="nil"/>
              <w:right w:val="single" w:sz="8" w:space="0" w:color="auto"/>
            </w:tcBorders>
            <w:shd w:val="clear" w:color="auto" w:fill="auto"/>
            <w:noWrap/>
            <w:vAlign w:val="center"/>
            <w:hideMark/>
          </w:tcPr>
          <w:p w14:paraId="4DE59BC6"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+66%</w:t>
            </w:r>
          </w:p>
        </w:tc>
        <w:tc>
          <w:tcPr>
            <w:tcW w:w="1080" w:type="dxa"/>
            <w:tcBorders>
              <w:top w:val="nil"/>
              <w:left w:val="nil"/>
              <w:bottom w:val="nil"/>
              <w:right w:val="single" w:sz="8" w:space="0" w:color="auto"/>
            </w:tcBorders>
            <w:shd w:val="clear" w:color="auto" w:fill="auto"/>
            <w:noWrap/>
            <w:vAlign w:val="center"/>
            <w:hideMark/>
          </w:tcPr>
          <w:p w14:paraId="7C95E374"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0</w:t>
            </w:r>
          </w:p>
        </w:tc>
        <w:tc>
          <w:tcPr>
            <w:tcW w:w="1088" w:type="dxa"/>
            <w:tcBorders>
              <w:top w:val="nil"/>
              <w:left w:val="nil"/>
              <w:bottom w:val="nil"/>
              <w:right w:val="nil"/>
            </w:tcBorders>
            <w:shd w:val="clear" w:color="auto" w:fill="auto"/>
            <w:noWrap/>
            <w:vAlign w:val="center"/>
            <w:hideMark/>
          </w:tcPr>
          <w:p w14:paraId="1D43C1E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111</w:t>
            </w:r>
          </w:p>
        </w:tc>
        <w:tc>
          <w:tcPr>
            <w:tcW w:w="1088" w:type="dxa"/>
            <w:tcBorders>
              <w:top w:val="nil"/>
              <w:left w:val="nil"/>
              <w:bottom w:val="nil"/>
              <w:right w:val="single" w:sz="8" w:space="0" w:color="auto"/>
            </w:tcBorders>
            <w:shd w:val="clear" w:color="auto" w:fill="auto"/>
            <w:noWrap/>
            <w:vAlign w:val="center"/>
            <w:hideMark/>
          </w:tcPr>
          <w:p w14:paraId="4B721F4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+66%</w:t>
            </w:r>
          </w:p>
        </w:tc>
      </w:tr>
      <w:tr w:rsidR="00A61FA0" w:rsidRPr="00A61FA0" w14:paraId="00ECC466"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0213FEA3"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PokerStars</w:t>
            </w:r>
          </w:p>
        </w:tc>
        <w:tc>
          <w:tcPr>
            <w:tcW w:w="1080" w:type="dxa"/>
            <w:tcBorders>
              <w:top w:val="nil"/>
              <w:left w:val="single" w:sz="8" w:space="0" w:color="auto"/>
              <w:bottom w:val="nil"/>
              <w:right w:val="single" w:sz="8" w:space="0" w:color="auto"/>
            </w:tcBorders>
            <w:shd w:val="clear" w:color="000000" w:fill="F2F2F2"/>
            <w:noWrap/>
            <w:vAlign w:val="center"/>
            <w:hideMark/>
          </w:tcPr>
          <w:p w14:paraId="541C758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380</w:t>
            </w:r>
          </w:p>
        </w:tc>
        <w:tc>
          <w:tcPr>
            <w:tcW w:w="1088" w:type="dxa"/>
            <w:tcBorders>
              <w:top w:val="nil"/>
              <w:left w:val="nil"/>
              <w:bottom w:val="nil"/>
              <w:right w:val="nil"/>
            </w:tcBorders>
            <w:shd w:val="clear" w:color="auto" w:fill="auto"/>
            <w:noWrap/>
            <w:vAlign w:val="center"/>
            <w:hideMark/>
          </w:tcPr>
          <w:p w14:paraId="62D58C5E"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237</w:t>
            </w:r>
          </w:p>
        </w:tc>
        <w:tc>
          <w:tcPr>
            <w:tcW w:w="1088" w:type="dxa"/>
            <w:tcBorders>
              <w:top w:val="nil"/>
              <w:left w:val="nil"/>
              <w:bottom w:val="nil"/>
              <w:right w:val="single" w:sz="8" w:space="0" w:color="auto"/>
            </w:tcBorders>
            <w:shd w:val="clear" w:color="auto" w:fill="auto"/>
            <w:noWrap/>
            <w:vAlign w:val="center"/>
            <w:hideMark/>
          </w:tcPr>
          <w:p w14:paraId="3576D834"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+60%</w:t>
            </w:r>
          </w:p>
        </w:tc>
        <w:tc>
          <w:tcPr>
            <w:tcW w:w="1080" w:type="dxa"/>
            <w:tcBorders>
              <w:top w:val="nil"/>
              <w:left w:val="nil"/>
              <w:bottom w:val="nil"/>
              <w:right w:val="single" w:sz="8" w:space="0" w:color="auto"/>
            </w:tcBorders>
            <w:shd w:val="clear" w:color="auto" w:fill="auto"/>
            <w:noWrap/>
            <w:vAlign w:val="center"/>
            <w:hideMark/>
          </w:tcPr>
          <w:p w14:paraId="2B510581"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(10)</w:t>
            </w:r>
          </w:p>
        </w:tc>
        <w:tc>
          <w:tcPr>
            <w:tcW w:w="1088" w:type="dxa"/>
            <w:tcBorders>
              <w:top w:val="nil"/>
              <w:left w:val="nil"/>
              <w:bottom w:val="nil"/>
              <w:right w:val="nil"/>
            </w:tcBorders>
            <w:shd w:val="clear" w:color="auto" w:fill="auto"/>
            <w:noWrap/>
            <w:vAlign w:val="center"/>
            <w:hideMark/>
          </w:tcPr>
          <w:p w14:paraId="5E4CEBB2"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227</w:t>
            </w:r>
          </w:p>
        </w:tc>
        <w:tc>
          <w:tcPr>
            <w:tcW w:w="1088" w:type="dxa"/>
            <w:tcBorders>
              <w:top w:val="nil"/>
              <w:left w:val="nil"/>
              <w:bottom w:val="nil"/>
              <w:right w:val="single" w:sz="8" w:space="0" w:color="auto"/>
            </w:tcBorders>
            <w:shd w:val="clear" w:color="auto" w:fill="auto"/>
            <w:noWrap/>
            <w:vAlign w:val="center"/>
            <w:hideMark/>
          </w:tcPr>
          <w:p w14:paraId="47FAF098"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+67%</w:t>
            </w:r>
          </w:p>
        </w:tc>
      </w:tr>
      <w:tr w:rsidR="00A61FA0" w:rsidRPr="00A61FA0" w14:paraId="29E3BCED"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163733FB"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Australia</w:t>
            </w:r>
          </w:p>
        </w:tc>
        <w:tc>
          <w:tcPr>
            <w:tcW w:w="1080" w:type="dxa"/>
            <w:tcBorders>
              <w:top w:val="nil"/>
              <w:left w:val="single" w:sz="8" w:space="0" w:color="auto"/>
              <w:bottom w:val="nil"/>
              <w:right w:val="single" w:sz="8" w:space="0" w:color="auto"/>
            </w:tcBorders>
            <w:shd w:val="clear" w:color="000000" w:fill="F2F2F2"/>
            <w:noWrap/>
            <w:vAlign w:val="center"/>
            <w:hideMark/>
          </w:tcPr>
          <w:p w14:paraId="5ED1DD21"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121</w:t>
            </w:r>
          </w:p>
        </w:tc>
        <w:tc>
          <w:tcPr>
            <w:tcW w:w="1088" w:type="dxa"/>
            <w:tcBorders>
              <w:top w:val="nil"/>
              <w:left w:val="nil"/>
              <w:bottom w:val="nil"/>
              <w:right w:val="nil"/>
            </w:tcBorders>
            <w:shd w:val="clear" w:color="auto" w:fill="auto"/>
            <w:noWrap/>
            <w:vAlign w:val="center"/>
            <w:hideMark/>
          </w:tcPr>
          <w:p w14:paraId="341D2221"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69</w:t>
            </w:r>
          </w:p>
        </w:tc>
        <w:tc>
          <w:tcPr>
            <w:tcW w:w="1088" w:type="dxa"/>
            <w:tcBorders>
              <w:top w:val="nil"/>
              <w:left w:val="nil"/>
              <w:bottom w:val="nil"/>
              <w:right w:val="single" w:sz="8" w:space="0" w:color="auto"/>
            </w:tcBorders>
            <w:shd w:val="clear" w:color="auto" w:fill="auto"/>
            <w:noWrap/>
            <w:vAlign w:val="center"/>
            <w:hideMark/>
          </w:tcPr>
          <w:p w14:paraId="5CB313C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+76%</w:t>
            </w:r>
          </w:p>
        </w:tc>
        <w:tc>
          <w:tcPr>
            <w:tcW w:w="1080" w:type="dxa"/>
            <w:tcBorders>
              <w:top w:val="nil"/>
              <w:left w:val="nil"/>
              <w:bottom w:val="nil"/>
              <w:right w:val="single" w:sz="8" w:space="0" w:color="auto"/>
            </w:tcBorders>
            <w:shd w:val="clear" w:color="auto" w:fill="auto"/>
            <w:noWrap/>
            <w:vAlign w:val="center"/>
            <w:hideMark/>
          </w:tcPr>
          <w:p w14:paraId="5D0A46DB"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(3)</w:t>
            </w:r>
          </w:p>
        </w:tc>
        <w:tc>
          <w:tcPr>
            <w:tcW w:w="1088" w:type="dxa"/>
            <w:tcBorders>
              <w:top w:val="nil"/>
              <w:left w:val="nil"/>
              <w:bottom w:val="nil"/>
              <w:right w:val="nil"/>
            </w:tcBorders>
            <w:shd w:val="clear" w:color="auto" w:fill="auto"/>
            <w:noWrap/>
            <w:vAlign w:val="center"/>
            <w:hideMark/>
          </w:tcPr>
          <w:p w14:paraId="6E4D14A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66</w:t>
            </w:r>
          </w:p>
        </w:tc>
        <w:tc>
          <w:tcPr>
            <w:tcW w:w="1088" w:type="dxa"/>
            <w:tcBorders>
              <w:top w:val="nil"/>
              <w:left w:val="nil"/>
              <w:bottom w:val="nil"/>
              <w:right w:val="single" w:sz="8" w:space="0" w:color="auto"/>
            </w:tcBorders>
            <w:shd w:val="clear" w:color="auto" w:fill="auto"/>
            <w:noWrap/>
            <w:vAlign w:val="center"/>
            <w:hideMark/>
          </w:tcPr>
          <w:p w14:paraId="1E1F17E0"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+84%</w:t>
            </w:r>
          </w:p>
        </w:tc>
      </w:tr>
      <w:tr w:rsidR="00A61FA0" w:rsidRPr="00A61FA0" w14:paraId="3DF4D649" w14:textId="77777777" w:rsidTr="005F7FC8">
        <w:trPr>
          <w:trHeight w:val="255"/>
        </w:trPr>
        <w:tc>
          <w:tcPr>
            <w:tcW w:w="3060" w:type="dxa"/>
            <w:tcBorders>
              <w:top w:val="nil"/>
              <w:left w:val="single" w:sz="8" w:space="0" w:color="auto"/>
              <w:bottom w:val="nil"/>
              <w:right w:val="nil"/>
            </w:tcBorders>
            <w:shd w:val="clear" w:color="auto" w:fill="auto"/>
            <w:noWrap/>
            <w:vAlign w:val="center"/>
            <w:hideMark/>
          </w:tcPr>
          <w:p w14:paraId="20D38DB1"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US</w:t>
            </w:r>
          </w:p>
        </w:tc>
        <w:tc>
          <w:tcPr>
            <w:tcW w:w="1080" w:type="dxa"/>
            <w:tcBorders>
              <w:top w:val="nil"/>
              <w:left w:val="single" w:sz="8" w:space="0" w:color="auto"/>
              <w:bottom w:val="nil"/>
              <w:right w:val="single" w:sz="8" w:space="0" w:color="auto"/>
            </w:tcBorders>
            <w:shd w:val="clear" w:color="000000" w:fill="F2F2F2"/>
            <w:noWrap/>
            <w:vAlign w:val="center"/>
            <w:hideMark/>
          </w:tcPr>
          <w:p w14:paraId="6EEF7E9D"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(19)</w:t>
            </w:r>
          </w:p>
        </w:tc>
        <w:tc>
          <w:tcPr>
            <w:tcW w:w="1088" w:type="dxa"/>
            <w:tcBorders>
              <w:top w:val="nil"/>
              <w:left w:val="nil"/>
              <w:bottom w:val="nil"/>
              <w:right w:val="nil"/>
            </w:tcBorders>
            <w:shd w:val="clear" w:color="auto" w:fill="auto"/>
            <w:noWrap/>
            <w:vAlign w:val="center"/>
            <w:hideMark/>
          </w:tcPr>
          <w:p w14:paraId="74D9398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(11)</w:t>
            </w:r>
          </w:p>
        </w:tc>
        <w:tc>
          <w:tcPr>
            <w:tcW w:w="1088" w:type="dxa"/>
            <w:tcBorders>
              <w:top w:val="nil"/>
              <w:left w:val="nil"/>
              <w:bottom w:val="nil"/>
              <w:right w:val="single" w:sz="8" w:space="0" w:color="auto"/>
            </w:tcBorders>
            <w:shd w:val="clear" w:color="auto" w:fill="auto"/>
            <w:noWrap/>
            <w:vAlign w:val="center"/>
            <w:hideMark/>
          </w:tcPr>
          <w:p w14:paraId="4C80F0D8"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+69%</w:t>
            </w:r>
          </w:p>
        </w:tc>
        <w:tc>
          <w:tcPr>
            <w:tcW w:w="1080" w:type="dxa"/>
            <w:tcBorders>
              <w:top w:val="nil"/>
              <w:left w:val="nil"/>
              <w:bottom w:val="nil"/>
              <w:right w:val="single" w:sz="8" w:space="0" w:color="auto"/>
            </w:tcBorders>
            <w:shd w:val="clear" w:color="auto" w:fill="auto"/>
            <w:noWrap/>
            <w:vAlign w:val="center"/>
            <w:hideMark/>
          </w:tcPr>
          <w:p w14:paraId="09A4719A"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(0)</w:t>
            </w:r>
          </w:p>
        </w:tc>
        <w:tc>
          <w:tcPr>
            <w:tcW w:w="1088" w:type="dxa"/>
            <w:tcBorders>
              <w:top w:val="nil"/>
              <w:left w:val="nil"/>
              <w:bottom w:val="nil"/>
              <w:right w:val="nil"/>
            </w:tcBorders>
            <w:shd w:val="clear" w:color="auto" w:fill="auto"/>
            <w:noWrap/>
            <w:vAlign w:val="center"/>
            <w:hideMark/>
          </w:tcPr>
          <w:p w14:paraId="04A6E057"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(12)</w:t>
            </w:r>
          </w:p>
        </w:tc>
        <w:tc>
          <w:tcPr>
            <w:tcW w:w="1088" w:type="dxa"/>
            <w:tcBorders>
              <w:top w:val="nil"/>
              <w:left w:val="nil"/>
              <w:bottom w:val="nil"/>
              <w:right w:val="single" w:sz="8" w:space="0" w:color="auto"/>
            </w:tcBorders>
            <w:shd w:val="clear" w:color="auto" w:fill="auto"/>
            <w:noWrap/>
            <w:vAlign w:val="center"/>
            <w:hideMark/>
          </w:tcPr>
          <w:p w14:paraId="10F91059"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+68%</w:t>
            </w:r>
          </w:p>
        </w:tc>
      </w:tr>
      <w:tr w:rsidR="00A61FA0" w:rsidRPr="00A61FA0" w14:paraId="651C5D54" w14:textId="77777777" w:rsidTr="005F7FC8">
        <w:trPr>
          <w:trHeight w:val="255"/>
        </w:trPr>
        <w:tc>
          <w:tcPr>
            <w:tcW w:w="3060" w:type="dxa"/>
            <w:tcBorders>
              <w:top w:val="nil"/>
              <w:left w:val="single" w:sz="8" w:space="0" w:color="auto"/>
              <w:bottom w:val="single" w:sz="8" w:space="0" w:color="auto"/>
              <w:right w:val="nil"/>
            </w:tcBorders>
            <w:shd w:val="clear" w:color="auto" w:fill="auto"/>
            <w:noWrap/>
            <w:vAlign w:val="center"/>
            <w:hideMark/>
          </w:tcPr>
          <w:p w14:paraId="74CD91F2" w14:textId="77777777" w:rsidR="00A61FA0" w:rsidRPr="00A61FA0" w:rsidRDefault="00A61FA0" w:rsidP="00A61FA0">
            <w:pPr>
              <w:jc w:val="both"/>
              <w:rPr>
                <w:rFonts w:ascii="Calibri" w:hAnsi="Calibri" w:cs="Calibri"/>
                <w:color w:val="000000"/>
                <w:sz w:val="18"/>
                <w:szCs w:val="18"/>
                <w:lang w:eastAsia="en-GB"/>
              </w:rPr>
            </w:pPr>
            <w:r w:rsidRPr="00A61FA0">
              <w:rPr>
                <w:rFonts w:ascii="Calibri" w:hAnsi="Calibri" w:cs="Calibri"/>
                <w:color w:val="000000"/>
                <w:sz w:val="18"/>
                <w:szCs w:val="18"/>
                <w:lang w:eastAsia="en-GB"/>
              </w:rPr>
              <w:t>Corporate costs</w:t>
            </w:r>
          </w:p>
        </w:tc>
        <w:tc>
          <w:tcPr>
            <w:tcW w:w="1080" w:type="dxa"/>
            <w:tcBorders>
              <w:top w:val="nil"/>
              <w:left w:val="single" w:sz="8" w:space="0" w:color="auto"/>
              <w:bottom w:val="single" w:sz="8" w:space="0" w:color="auto"/>
              <w:right w:val="single" w:sz="8" w:space="0" w:color="auto"/>
            </w:tcBorders>
            <w:shd w:val="clear" w:color="000000" w:fill="F2F2F2"/>
            <w:noWrap/>
            <w:vAlign w:val="center"/>
            <w:hideMark/>
          </w:tcPr>
          <w:p w14:paraId="0D64F28B"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(67)</w:t>
            </w:r>
          </w:p>
        </w:tc>
        <w:tc>
          <w:tcPr>
            <w:tcW w:w="1088" w:type="dxa"/>
            <w:tcBorders>
              <w:top w:val="nil"/>
              <w:left w:val="nil"/>
              <w:bottom w:val="single" w:sz="8" w:space="0" w:color="auto"/>
              <w:right w:val="nil"/>
            </w:tcBorders>
            <w:shd w:val="clear" w:color="auto" w:fill="auto"/>
            <w:noWrap/>
            <w:vAlign w:val="center"/>
            <w:hideMark/>
          </w:tcPr>
          <w:p w14:paraId="74B97B43"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(62)</w:t>
            </w:r>
          </w:p>
        </w:tc>
        <w:tc>
          <w:tcPr>
            <w:tcW w:w="1088" w:type="dxa"/>
            <w:tcBorders>
              <w:top w:val="nil"/>
              <w:left w:val="nil"/>
              <w:bottom w:val="single" w:sz="8" w:space="0" w:color="auto"/>
              <w:right w:val="single" w:sz="8" w:space="0" w:color="auto"/>
            </w:tcBorders>
            <w:shd w:val="clear" w:color="auto" w:fill="auto"/>
            <w:noWrap/>
            <w:vAlign w:val="center"/>
            <w:hideMark/>
          </w:tcPr>
          <w:p w14:paraId="0ABA9F19"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+9%</w:t>
            </w:r>
          </w:p>
        </w:tc>
        <w:tc>
          <w:tcPr>
            <w:tcW w:w="1080" w:type="dxa"/>
            <w:tcBorders>
              <w:top w:val="nil"/>
              <w:left w:val="nil"/>
              <w:bottom w:val="single" w:sz="8" w:space="0" w:color="auto"/>
              <w:right w:val="single" w:sz="8" w:space="0" w:color="auto"/>
            </w:tcBorders>
            <w:shd w:val="clear" w:color="auto" w:fill="auto"/>
            <w:noWrap/>
            <w:vAlign w:val="center"/>
            <w:hideMark/>
          </w:tcPr>
          <w:p w14:paraId="347628F9"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(1)</w:t>
            </w:r>
          </w:p>
        </w:tc>
        <w:tc>
          <w:tcPr>
            <w:tcW w:w="1088" w:type="dxa"/>
            <w:tcBorders>
              <w:top w:val="nil"/>
              <w:left w:val="nil"/>
              <w:bottom w:val="single" w:sz="8" w:space="0" w:color="auto"/>
              <w:right w:val="nil"/>
            </w:tcBorders>
            <w:shd w:val="clear" w:color="auto" w:fill="auto"/>
            <w:noWrap/>
            <w:vAlign w:val="center"/>
            <w:hideMark/>
          </w:tcPr>
          <w:p w14:paraId="340E9659"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(63)</w:t>
            </w:r>
          </w:p>
        </w:tc>
        <w:tc>
          <w:tcPr>
            <w:tcW w:w="1088" w:type="dxa"/>
            <w:tcBorders>
              <w:top w:val="nil"/>
              <w:left w:val="nil"/>
              <w:bottom w:val="single" w:sz="8" w:space="0" w:color="auto"/>
              <w:right w:val="single" w:sz="8" w:space="0" w:color="auto"/>
            </w:tcBorders>
            <w:shd w:val="clear" w:color="auto" w:fill="auto"/>
            <w:noWrap/>
            <w:vAlign w:val="center"/>
            <w:hideMark/>
          </w:tcPr>
          <w:p w14:paraId="2EAAAF85" w14:textId="77777777" w:rsidR="00A61FA0" w:rsidRPr="00A61FA0" w:rsidRDefault="00A61FA0" w:rsidP="00A61FA0">
            <w:pPr>
              <w:jc w:val="right"/>
              <w:rPr>
                <w:rFonts w:ascii="Calibri" w:hAnsi="Calibri" w:cs="Calibri"/>
                <w:sz w:val="18"/>
                <w:szCs w:val="18"/>
                <w:lang w:eastAsia="en-GB"/>
              </w:rPr>
            </w:pPr>
            <w:r w:rsidRPr="00A61FA0">
              <w:rPr>
                <w:rFonts w:ascii="Calibri" w:hAnsi="Calibri" w:cs="Calibri"/>
                <w:sz w:val="18"/>
                <w:szCs w:val="18"/>
                <w:lang w:eastAsia="en-GB"/>
              </w:rPr>
              <w:t>+7%</w:t>
            </w:r>
          </w:p>
        </w:tc>
      </w:tr>
    </w:tbl>
    <w:p w14:paraId="0C353B75" w14:textId="77777777" w:rsidR="00670082" w:rsidRDefault="00670082" w:rsidP="00670082">
      <w:pPr>
        <w:rPr>
          <w:rFonts w:asciiTheme="minorHAnsi" w:hAnsiTheme="minorHAnsi"/>
          <w:b/>
          <w:color w:val="FF0000"/>
          <w:sz w:val="22"/>
          <w:szCs w:val="22"/>
          <w:lang w:val="en-IE"/>
        </w:rPr>
      </w:pPr>
    </w:p>
    <w:p w14:paraId="7136A61B" w14:textId="77777777" w:rsidR="00670082" w:rsidRDefault="00670082" w:rsidP="00670082">
      <w:pPr>
        <w:rPr>
          <w:rFonts w:asciiTheme="minorHAnsi" w:hAnsiTheme="minorHAnsi"/>
          <w:b/>
          <w:color w:val="FF0000"/>
          <w:sz w:val="22"/>
          <w:szCs w:val="22"/>
          <w:lang w:val="en-IE"/>
        </w:rPr>
      </w:pPr>
    </w:p>
    <w:p w14:paraId="588F5943" w14:textId="77777777" w:rsidR="00670082" w:rsidRDefault="00670082" w:rsidP="00670082">
      <w:pPr>
        <w:rPr>
          <w:rFonts w:asciiTheme="minorHAnsi" w:hAnsiTheme="minorHAnsi"/>
          <w:b/>
          <w:color w:val="FF0000"/>
          <w:sz w:val="22"/>
          <w:szCs w:val="22"/>
          <w:lang w:val="en-IE"/>
        </w:rPr>
      </w:pPr>
    </w:p>
    <w:p w14:paraId="0E603822" w14:textId="77777777" w:rsidR="00670082" w:rsidRDefault="00670082" w:rsidP="00670082">
      <w:pPr>
        <w:rPr>
          <w:rFonts w:asciiTheme="minorHAnsi" w:hAnsiTheme="minorHAnsi"/>
          <w:b/>
          <w:color w:val="FF0000"/>
          <w:sz w:val="22"/>
          <w:szCs w:val="22"/>
          <w:lang w:val="en-IE"/>
        </w:rPr>
      </w:pPr>
    </w:p>
    <w:p w14:paraId="1C562D32" w14:textId="77777777" w:rsidR="000765D5" w:rsidRDefault="000765D5">
      <w:pPr>
        <w:rPr>
          <w:rFonts w:asciiTheme="minorHAnsi" w:hAnsiTheme="minorHAnsi"/>
          <w:sz w:val="20"/>
          <w:lang w:eastAsia="en-IE"/>
        </w:rPr>
      </w:pPr>
      <w:r>
        <w:rPr>
          <w:rFonts w:asciiTheme="minorHAnsi" w:hAnsiTheme="minorHAnsi"/>
          <w:sz w:val="20"/>
          <w:lang w:eastAsia="en-IE"/>
        </w:rPr>
        <w:br w:type="page"/>
      </w:r>
    </w:p>
    <w:p w14:paraId="31109D86" w14:textId="77777777" w:rsidR="000765D5" w:rsidRPr="008B758B" w:rsidRDefault="000765D5" w:rsidP="000765D5">
      <w:pPr>
        <w:spacing w:after="120"/>
        <w:rPr>
          <w:rFonts w:asciiTheme="minorHAnsi" w:hAnsiTheme="minorHAnsi"/>
          <w:b/>
          <w:sz w:val="20"/>
          <w:lang w:eastAsia="en-IE"/>
        </w:rPr>
      </w:pPr>
      <w:r w:rsidRPr="008B758B">
        <w:rPr>
          <w:rFonts w:asciiTheme="minorHAnsi" w:hAnsiTheme="minorHAnsi"/>
          <w:b/>
          <w:sz w:val="20"/>
          <w:lang w:eastAsia="en-IE"/>
        </w:rPr>
        <w:lastRenderedPageBreak/>
        <w:t>Appendix 6: Reconciliation of Pr</w:t>
      </w:r>
      <w:r>
        <w:rPr>
          <w:rFonts w:asciiTheme="minorHAnsi" w:hAnsiTheme="minorHAnsi"/>
          <w:b/>
          <w:sz w:val="20"/>
          <w:lang w:eastAsia="en-IE"/>
        </w:rPr>
        <w:t xml:space="preserve">o forma </w:t>
      </w:r>
      <w:r w:rsidRPr="008B758B">
        <w:rPr>
          <w:rFonts w:asciiTheme="minorHAnsi" w:hAnsiTheme="minorHAnsi"/>
          <w:b/>
          <w:sz w:val="20"/>
          <w:lang w:eastAsia="en-IE"/>
        </w:rPr>
        <w:t>cash flow to Reported statutory cash flow</w:t>
      </w:r>
    </w:p>
    <w:p w14:paraId="6577E6A8" w14:textId="77777777" w:rsidR="000765D5" w:rsidRPr="001B3C9B" w:rsidRDefault="000765D5" w:rsidP="000765D5">
      <w:pPr>
        <w:spacing w:after="240"/>
        <w:jc w:val="both"/>
        <w:rPr>
          <w:rFonts w:asciiTheme="minorHAnsi" w:hAnsiTheme="minorHAnsi"/>
          <w:sz w:val="20"/>
        </w:rPr>
      </w:pPr>
      <w:r>
        <w:rPr>
          <w:rFonts w:asciiTheme="minorHAnsi" w:hAnsiTheme="minorHAnsi"/>
          <w:sz w:val="20"/>
        </w:rPr>
        <w:t>In the Operating and Financial Review the cash flow has been presented on a pro forma net cash basis. T</w:t>
      </w:r>
      <w:r w:rsidRPr="00843AC1">
        <w:rPr>
          <w:rFonts w:asciiTheme="minorHAnsi" w:hAnsiTheme="minorHAnsi"/>
          <w:sz w:val="20"/>
        </w:rPr>
        <w:t xml:space="preserve">he merger of Flutter and TSG completed on 5 May 2020, with the merger accounted for as an acquisition of TSG by Flutter on that date. The Statutory </w:t>
      </w:r>
      <w:r>
        <w:rPr>
          <w:rFonts w:asciiTheme="minorHAnsi" w:hAnsiTheme="minorHAnsi"/>
          <w:sz w:val="20"/>
        </w:rPr>
        <w:t>cash flow</w:t>
      </w:r>
      <w:r w:rsidRPr="00843AC1">
        <w:rPr>
          <w:rFonts w:asciiTheme="minorHAnsi" w:hAnsiTheme="minorHAnsi"/>
          <w:sz w:val="20"/>
        </w:rPr>
        <w:t xml:space="preserve"> reflect</w:t>
      </w:r>
      <w:r>
        <w:rPr>
          <w:rFonts w:asciiTheme="minorHAnsi" w:hAnsiTheme="minorHAnsi"/>
          <w:sz w:val="20"/>
        </w:rPr>
        <w:t>s</w:t>
      </w:r>
      <w:r w:rsidRPr="00843AC1">
        <w:rPr>
          <w:rFonts w:asciiTheme="minorHAnsi" w:hAnsiTheme="minorHAnsi"/>
          <w:sz w:val="20"/>
        </w:rPr>
        <w:t xml:space="preserve"> this treatment</w:t>
      </w:r>
      <w:r>
        <w:rPr>
          <w:rFonts w:asciiTheme="minorHAnsi" w:hAnsiTheme="minorHAnsi"/>
          <w:sz w:val="20"/>
        </w:rPr>
        <w:t xml:space="preserve"> while the P</w:t>
      </w:r>
      <w:r w:rsidRPr="00843AC1">
        <w:rPr>
          <w:rFonts w:asciiTheme="minorHAnsi" w:hAnsiTheme="minorHAnsi"/>
          <w:sz w:val="20"/>
        </w:rPr>
        <w:t>ro</w:t>
      </w:r>
      <w:r>
        <w:rPr>
          <w:rFonts w:asciiTheme="minorHAnsi" w:hAnsiTheme="minorHAnsi"/>
          <w:sz w:val="20"/>
        </w:rPr>
        <w:t xml:space="preserve"> </w:t>
      </w:r>
      <w:r w:rsidRPr="00843AC1">
        <w:rPr>
          <w:rFonts w:asciiTheme="minorHAnsi" w:hAnsiTheme="minorHAnsi"/>
          <w:sz w:val="20"/>
        </w:rPr>
        <w:t xml:space="preserve">forma </w:t>
      </w:r>
      <w:r>
        <w:rPr>
          <w:rFonts w:asciiTheme="minorHAnsi" w:hAnsiTheme="minorHAnsi"/>
          <w:sz w:val="20"/>
        </w:rPr>
        <w:t>cash flow</w:t>
      </w:r>
      <w:r w:rsidRPr="00843AC1">
        <w:rPr>
          <w:rFonts w:asciiTheme="minorHAnsi" w:hAnsiTheme="minorHAnsi"/>
          <w:sz w:val="20"/>
        </w:rPr>
        <w:t xml:space="preserve"> </w:t>
      </w:r>
      <w:r>
        <w:rPr>
          <w:rFonts w:asciiTheme="minorHAnsi" w:hAnsiTheme="minorHAnsi"/>
          <w:sz w:val="20"/>
        </w:rPr>
        <w:t>is</w:t>
      </w:r>
      <w:r w:rsidRPr="00843AC1">
        <w:rPr>
          <w:rFonts w:asciiTheme="minorHAnsi" w:hAnsiTheme="minorHAnsi"/>
          <w:sz w:val="20"/>
        </w:rPr>
        <w:t xml:space="preserve"> prepared as if Flutter and TSG had always been merged</w:t>
      </w:r>
      <w:r w:rsidRPr="00AB3F2F">
        <w:rPr>
          <w:rFonts w:asciiTheme="minorHAnsi" w:hAnsiTheme="minorHAnsi"/>
          <w:sz w:val="20"/>
        </w:rPr>
        <w:t xml:space="preserve">. </w:t>
      </w:r>
      <w:r>
        <w:rPr>
          <w:rFonts w:asciiTheme="minorHAnsi" w:hAnsiTheme="minorHAnsi"/>
          <w:sz w:val="20"/>
        </w:rPr>
        <w:t>The difference between the net cash basis and the reported cash flow is the inclusion of borrowings to determine a net cash position</w:t>
      </w:r>
      <w:r w:rsidR="008F6945">
        <w:rPr>
          <w:rFonts w:asciiTheme="minorHAnsi" w:hAnsiTheme="minorHAnsi"/>
          <w:sz w:val="20"/>
        </w:rPr>
        <w:t>.</w:t>
      </w:r>
      <w:r>
        <w:rPr>
          <w:rFonts w:asciiTheme="minorHAnsi" w:hAnsiTheme="minorHAnsi"/>
          <w:sz w:val="20"/>
        </w:rPr>
        <w:t xml:space="preserve"> </w:t>
      </w:r>
    </w:p>
    <w:tbl>
      <w:tblPr>
        <w:tblW w:w="9200" w:type="dxa"/>
        <w:tblLook w:val="04A0" w:firstRow="1" w:lastRow="0" w:firstColumn="1" w:lastColumn="0" w:noHBand="0" w:noVBand="1"/>
      </w:tblPr>
      <w:tblGrid>
        <w:gridCol w:w="4240"/>
        <w:gridCol w:w="1240"/>
        <w:gridCol w:w="1240"/>
        <w:gridCol w:w="1240"/>
        <w:gridCol w:w="1240"/>
      </w:tblGrid>
      <w:tr w:rsidR="000765D5" w:rsidRPr="004234D8" w14:paraId="62C8CB5F" w14:textId="77777777" w:rsidTr="00966718">
        <w:trPr>
          <w:trHeight w:val="809"/>
        </w:trPr>
        <w:tc>
          <w:tcPr>
            <w:tcW w:w="4240" w:type="dxa"/>
            <w:tcBorders>
              <w:top w:val="single" w:sz="8" w:space="0" w:color="auto"/>
              <w:left w:val="single" w:sz="8" w:space="0" w:color="auto"/>
              <w:bottom w:val="nil"/>
              <w:right w:val="nil"/>
            </w:tcBorders>
            <w:shd w:val="clear" w:color="auto" w:fill="auto"/>
            <w:noWrap/>
            <w:vAlign w:val="center"/>
            <w:hideMark/>
          </w:tcPr>
          <w:p w14:paraId="43D8B816" w14:textId="77777777" w:rsidR="000765D5" w:rsidRPr="004234D8" w:rsidRDefault="000765D5" w:rsidP="00966718">
            <w:pPr>
              <w:jc w:val="both"/>
              <w:rPr>
                <w:rFonts w:ascii="Calibri" w:hAnsi="Calibri" w:cs="Calibri"/>
                <w:b/>
                <w:bCs/>
                <w:sz w:val="20"/>
                <w:lang w:eastAsia="en-GB"/>
              </w:rPr>
            </w:pPr>
            <w:r w:rsidRPr="004234D8">
              <w:rPr>
                <w:rFonts w:ascii="Calibri" w:hAnsi="Calibri" w:cs="Calibri"/>
                <w:b/>
                <w:bCs/>
                <w:sz w:val="20"/>
                <w:lang w:eastAsia="en-GB"/>
              </w:rPr>
              <w:t> </w:t>
            </w:r>
          </w:p>
        </w:tc>
        <w:tc>
          <w:tcPr>
            <w:tcW w:w="1240" w:type="dxa"/>
            <w:tcBorders>
              <w:top w:val="single" w:sz="8" w:space="0" w:color="auto"/>
              <w:left w:val="single" w:sz="8" w:space="0" w:color="auto"/>
              <w:bottom w:val="nil"/>
              <w:right w:val="single" w:sz="8" w:space="0" w:color="auto"/>
            </w:tcBorders>
            <w:shd w:val="clear" w:color="000000" w:fill="F2F2F2"/>
            <w:vAlign w:val="center"/>
            <w:hideMark/>
          </w:tcPr>
          <w:p w14:paraId="6C1B03E6" w14:textId="77777777" w:rsidR="000765D5" w:rsidRPr="004234D8" w:rsidRDefault="000765D5" w:rsidP="00966718">
            <w:pPr>
              <w:jc w:val="center"/>
              <w:rPr>
                <w:rFonts w:ascii="Calibri" w:hAnsi="Calibri" w:cs="Calibri"/>
                <w:b/>
                <w:bCs/>
                <w:color w:val="000000"/>
                <w:sz w:val="20"/>
                <w:lang w:eastAsia="en-GB"/>
              </w:rPr>
            </w:pPr>
            <w:r w:rsidRPr="004234D8">
              <w:rPr>
                <w:rFonts w:ascii="Calibri" w:hAnsi="Calibri" w:cs="Calibri"/>
                <w:b/>
                <w:bCs/>
                <w:color w:val="000000"/>
                <w:sz w:val="20"/>
                <w:lang w:eastAsia="en-GB"/>
              </w:rPr>
              <w:t>Pro forma cash flow</w:t>
            </w:r>
          </w:p>
        </w:tc>
        <w:tc>
          <w:tcPr>
            <w:tcW w:w="1240" w:type="dxa"/>
            <w:tcBorders>
              <w:top w:val="single" w:sz="8" w:space="0" w:color="auto"/>
              <w:left w:val="nil"/>
              <w:bottom w:val="nil"/>
              <w:right w:val="single" w:sz="8" w:space="0" w:color="auto"/>
            </w:tcBorders>
            <w:shd w:val="clear" w:color="auto" w:fill="auto"/>
            <w:vAlign w:val="center"/>
            <w:hideMark/>
          </w:tcPr>
          <w:p w14:paraId="63717B93" w14:textId="77777777" w:rsidR="000765D5" w:rsidRPr="004234D8" w:rsidRDefault="000765D5" w:rsidP="00966718">
            <w:pPr>
              <w:jc w:val="center"/>
              <w:rPr>
                <w:rFonts w:ascii="Calibri" w:hAnsi="Calibri" w:cs="Calibri"/>
                <w:b/>
                <w:bCs/>
                <w:color w:val="000000"/>
                <w:sz w:val="20"/>
                <w:lang w:eastAsia="en-GB"/>
              </w:rPr>
            </w:pPr>
            <w:r w:rsidRPr="004234D8">
              <w:rPr>
                <w:rFonts w:ascii="Calibri" w:hAnsi="Calibri" w:cs="Calibri"/>
                <w:b/>
                <w:bCs/>
                <w:color w:val="000000"/>
                <w:sz w:val="20"/>
                <w:lang w:eastAsia="en-GB"/>
              </w:rPr>
              <w:t>TSG results pre-merger completion</w:t>
            </w:r>
          </w:p>
        </w:tc>
        <w:tc>
          <w:tcPr>
            <w:tcW w:w="1240" w:type="dxa"/>
            <w:tcBorders>
              <w:top w:val="single" w:sz="8" w:space="0" w:color="auto"/>
              <w:left w:val="nil"/>
              <w:bottom w:val="nil"/>
              <w:right w:val="single" w:sz="8" w:space="0" w:color="auto"/>
            </w:tcBorders>
            <w:shd w:val="clear" w:color="auto" w:fill="auto"/>
            <w:vAlign w:val="center"/>
            <w:hideMark/>
          </w:tcPr>
          <w:p w14:paraId="139E9B55" w14:textId="77777777" w:rsidR="000765D5" w:rsidRPr="004234D8" w:rsidRDefault="000765D5" w:rsidP="00966718">
            <w:pPr>
              <w:jc w:val="center"/>
              <w:rPr>
                <w:rFonts w:ascii="Calibri" w:hAnsi="Calibri" w:cs="Calibri"/>
                <w:b/>
                <w:bCs/>
                <w:color w:val="000000"/>
                <w:sz w:val="20"/>
                <w:lang w:eastAsia="en-GB"/>
              </w:rPr>
            </w:pPr>
            <w:r w:rsidRPr="004234D8">
              <w:rPr>
                <w:rFonts w:ascii="Calibri" w:hAnsi="Calibri" w:cs="Calibri"/>
                <w:b/>
                <w:bCs/>
                <w:color w:val="000000"/>
                <w:sz w:val="20"/>
                <w:lang w:eastAsia="en-GB"/>
              </w:rPr>
              <w:t>Adjustment to include borrowings</w:t>
            </w:r>
          </w:p>
        </w:tc>
        <w:tc>
          <w:tcPr>
            <w:tcW w:w="1240" w:type="dxa"/>
            <w:tcBorders>
              <w:top w:val="single" w:sz="8" w:space="0" w:color="auto"/>
              <w:left w:val="nil"/>
              <w:bottom w:val="nil"/>
              <w:right w:val="single" w:sz="8" w:space="0" w:color="auto"/>
            </w:tcBorders>
            <w:shd w:val="clear" w:color="000000" w:fill="F2F2F2"/>
            <w:vAlign w:val="center"/>
            <w:hideMark/>
          </w:tcPr>
          <w:p w14:paraId="46B9D90E" w14:textId="77777777" w:rsidR="000765D5" w:rsidRPr="004234D8" w:rsidRDefault="000765D5" w:rsidP="00966718">
            <w:pPr>
              <w:jc w:val="center"/>
              <w:rPr>
                <w:rFonts w:ascii="Calibri" w:hAnsi="Calibri" w:cs="Calibri"/>
                <w:b/>
                <w:bCs/>
                <w:color w:val="000000"/>
                <w:sz w:val="20"/>
                <w:lang w:eastAsia="en-GB"/>
              </w:rPr>
            </w:pPr>
            <w:r w:rsidRPr="004234D8">
              <w:rPr>
                <w:rFonts w:ascii="Calibri" w:hAnsi="Calibri" w:cs="Calibri"/>
                <w:b/>
                <w:bCs/>
                <w:color w:val="000000"/>
                <w:sz w:val="20"/>
                <w:lang w:eastAsia="en-GB"/>
              </w:rPr>
              <w:t>Statutory cash flow</w:t>
            </w:r>
          </w:p>
        </w:tc>
      </w:tr>
      <w:tr w:rsidR="000765D5" w:rsidRPr="004234D8" w14:paraId="4BBAA57F" w14:textId="77777777" w:rsidTr="00966718">
        <w:trPr>
          <w:trHeight w:val="288"/>
        </w:trPr>
        <w:tc>
          <w:tcPr>
            <w:tcW w:w="4240" w:type="dxa"/>
            <w:tcBorders>
              <w:top w:val="nil"/>
              <w:left w:val="single" w:sz="8" w:space="0" w:color="auto"/>
              <w:bottom w:val="nil"/>
              <w:right w:val="nil"/>
            </w:tcBorders>
            <w:shd w:val="clear" w:color="auto" w:fill="auto"/>
            <w:noWrap/>
            <w:vAlign w:val="center"/>
            <w:hideMark/>
          </w:tcPr>
          <w:p w14:paraId="4C2EDAD2" w14:textId="77777777" w:rsidR="000765D5" w:rsidRPr="004234D8" w:rsidRDefault="000765D5" w:rsidP="00966718">
            <w:pPr>
              <w:jc w:val="both"/>
              <w:rPr>
                <w:rFonts w:ascii="Calibri" w:hAnsi="Calibri" w:cs="Calibri"/>
                <w:b/>
                <w:bCs/>
                <w:sz w:val="20"/>
                <w:lang w:eastAsia="en-GB"/>
              </w:rPr>
            </w:pPr>
            <w:r w:rsidRPr="004234D8">
              <w:rPr>
                <w:rFonts w:ascii="Calibri" w:hAnsi="Calibri" w:cs="Calibri"/>
                <w:b/>
                <w:bCs/>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3C8D85ED"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H1</w:t>
            </w:r>
          </w:p>
        </w:tc>
        <w:tc>
          <w:tcPr>
            <w:tcW w:w="1240" w:type="dxa"/>
            <w:tcBorders>
              <w:top w:val="nil"/>
              <w:left w:val="nil"/>
              <w:bottom w:val="nil"/>
              <w:right w:val="single" w:sz="8" w:space="0" w:color="auto"/>
            </w:tcBorders>
            <w:shd w:val="clear" w:color="auto" w:fill="auto"/>
            <w:noWrap/>
            <w:vAlign w:val="center"/>
            <w:hideMark/>
          </w:tcPr>
          <w:p w14:paraId="1C57B48F"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H1</w:t>
            </w:r>
          </w:p>
        </w:tc>
        <w:tc>
          <w:tcPr>
            <w:tcW w:w="1240" w:type="dxa"/>
            <w:tcBorders>
              <w:top w:val="nil"/>
              <w:left w:val="nil"/>
              <w:bottom w:val="nil"/>
              <w:right w:val="single" w:sz="8" w:space="0" w:color="auto"/>
            </w:tcBorders>
            <w:shd w:val="clear" w:color="auto" w:fill="auto"/>
            <w:noWrap/>
            <w:vAlign w:val="center"/>
            <w:hideMark/>
          </w:tcPr>
          <w:p w14:paraId="6BB69528"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H1</w:t>
            </w:r>
          </w:p>
        </w:tc>
        <w:tc>
          <w:tcPr>
            <w:tcW w:w="1240" w:type="dxa"/>
            <w:tcBorders>
              <w:top w:val="nil"/>
              <w:left w:val="nil"/>
              <w:bottom w:val="nil"/>
              <w:right w:val="single" w:sz="8" w:space="0" w:color="auto"/>
            </w:tcBorders>
            <w:shd w:val="clear" w:color="000000" w:fill="F2F2F2"/>
            <w:noWrap/>
            <w:vAlign w:val="center"/>
            <w:hideMark/>
          </w:tcPr>
          <w:p w14:paraId="56851D1C"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H1</w:t>
            </w:r>
          </w:p>
        </w:tc>
      </w:tr>
      <w:tr w:rsidR="000765D5" w:rsidRPr="004234D8" w14:paraId="3E822785" w14:textId="77777777" w:rsidTr="00966718">
        <w:trPr>
          <w:trHeight w:val="299"/>
        </w:trPr>
        <w:tc>
          <w:tcPr>
            <w:tcW w:w="4240" w:type="dxa"/>
            <w:tcBorders>
              <w:top w:val="nil"/>
              <w:left w:val="single" w:sz="8" w:space="0" w:color="auto"/>
              <w:bottom w:val="single" w:sz="8" w:space="0" w:color="auto"/>
              <w:right w:val="nil"/>
            </w:tcBorders>
            <w:shd w:val="clear" w:color="auto" w:fill="auto"/>
            <w:hideMark/>
          </w:tcPr>
          <w:p w14:paraId="526BC94F"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£m</w:t>
            </w:r>
          </w:p>
        </w:tc>
        <w:tc>
          <w:tcPr>
            <w:tcW w:w="1240" w:type="dxa"/>
            <w:tcBorders>
              <w:top w:val="nil"/>
              <w:left w:val="single" w:sz="8" w:space="0" w:color="auto"/>
              <w:bottom w:val="single" w:sz="8" w:space="0" w:color="auto"/>
              <w:right w:val="single" w:sz="8" w:space="0" w:color="auto"/>
            </w:tcBorders>
            <w:shd w:val="clear" w:color="000000" w:fill="F2F2F2"/>
            <w:noWrap/>
            <w:vAlign w:val="center"/>
            <w:hideMark/>
          </w:tcPr>
          <w:p w14:paraId="0C16C32E"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2020</w:t>
            </w:r>
          </w:p>
        </w:tc>
        <w:tc>
          <w:tcPr>
            <w:tcW w:w="1240" w:type="dxa"/>
            <w:tcBorders>
              <w:top w:val="nil"/>
              <w:left w:val="nil"/>
              <w:bottom w:val="single" w:sz="8" w:space="0" w:color="auto"/>
              <w:right w:val="single" w:sz="8" w:space="0" w:color="auto"/>
            </w:tcBorders>
            <w:shd w:val="clear" w:color="auto" w:fill="auto"/>
            <w:noWrap/>
            <w:vAlign w:val="center"/>
            <w:hideMark/>
          </w:tcPr>
          <w:p w14:paraId="604A6944"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2020</w:t>
            </w:r>
          </w:p>
        </w:tc>
        <w:tc>
          <w:tcPr>
            <w:tcW w:w="1240" w:type="dxa"/>
            <w:tcBorders>
              <w:top w:val="nil"/>
              <w:left w:val="nil"/>
              <w:bottom w:val="single" w:sz="8" w:space="0" w:color="auto"/>
              <w:right w:val="single" w:sz="8" w:space="0" w:color="auto"/>
            </w:tcBorders>
            <w:shd w:val="clear" w:color="auto" w:fill="auto"/>
            <w:noWrap/>
            <w:vAlign w:val="center"/>
            <w:hideMark/>
          </w:tcPr>
          <w:p w14:paraId="21B54054"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2020</w:t>
            </w:r>
          </w:p>
        </w:tc>
        <w:tc>
          <w:tcPr>
            <w:tcW w:w="1240" w:type="dxa"/>
            <w:tcBorders>
              <w:top w:val="nil"/>
              <w:left w:val="nil"/>
              <w:bottom w:val="single" w:sz="8" w:space="0" w:color="auto"/>
              <w:right w:val="single" w:sz="8" w:space="0" w:color="auto"/>
            </w:tcBorders>
            <w:shd w:val="clear" w:color="000000" w:fill="F2F2F2"/>
            <w:noWrap/>
            <w:vAlign w:val="center"/>
            <w:hideMark/>
          </w:tcPr>
          <w:p w14:paraId="41719C33" w14:textId="77777777" w:rsidR="000765D5" w:rsidRPr="004234D8" w:rsidRDefault="000765D5" w:rsidP="00966718">
            <w:pPr>
              <w:jc w:val="right"/>
              <w:rPr>
                <w:rFonts w:ascii="Calibri" w:hAnsi="Calibri" w:cs="Calibri"/>
                <w:b/>
                <w:bCs/>
                <w:color w:val="000000"/>
                <w:sz w:val="20"/>
                <w:lang w:eastAsia="en-GB"/>
              </w:rPr>
            </w:pPr>
            <w:r w:rsidRPr="004234D8">
              <w:rPr>
                <w:rFonts w:ascii="Calibri" w:hAnsi="Calibri" w:cs="Calibri"/>
                <w:b/>
                <w:bCs/>
                <w:color w:val="000000"/>
                <w:sz w:val="20"/>
                <w:lang w:eastAsia="en-GB"/>
              </w:rPr>
              <w:t>2020</w:t>
            </w:r>
          </w:p>
        </w:tc>
      </w:tr>
      <w:tr w:rsidR="000765D5" w:rsidRPr="004234D8" w14:paraId="2EB7058F" w14:textId="77777777" w:rsidTr="00966718">
        <w:trPr>
          <w:trHeight w:val="34"/>
        </w:trPr>
        <w:tc>
          <w:tcPr>
            <w:tcW w:w="4240" w:type="dxa"/>
            <w:tcBorders>
              <w:top w:val="nil"/>
              <w:left w:val="single" w:sz="8" w:space="0" w:color="auto"/>
              <w:bottom w:val="nil"/>
              <w:right w:val="nil"/>
            </w:tcBorders>
            <w:shd w:val="clear" w:color="auto" w:fill="auto"/>
            <w:noWrap/>
            <w:vAlign w:val="center"/>
            <w:hideMark/>
          </w:tcPr>
          <w:p w14:paraId="2232EEBD" w14:textId="77777777" w:rsidR="000765D5" w:rsidRPr="004234D8" w:rsidRDefault="000765D5" w:rsidP="00966718">
            <w:pPr>
              <w:jc w:val="both"/>
              <w:rPr>
                <w:rFonts w:ascii="Calibri" w:hAnsi="Calibri" w:cs="Calibri"/>
                <w:b/>
                <w:bCs/>
                <w:color w:val="FF0000"/>
                <w:sz w:val="2"/>
                <w:szCs w:val="2"/>
                <w:lang w:eastAsia="en-GB"/>
              </w:rPr>
            </w:pPr>
            <w:r w:rsidRPr="004234D8">
              <w:rPr>
                <w:rFonts w:ascii="Calibri" w:hAnsi="Calibri" w:cs="Calibri"/>
                <w:b/>
                <w:bCs/>
                <w:color w:val="FF0000"/>
                <w:sz w:val="2"/>
                <w:szCs w:val="2"/>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16FD7ED6" w14:textId="77777777" w:rsidR="000765D5" w:rsidRPr="004234D8" w:rsidRDefault="000765D5" w:rsidP="00966718">
            <w:pPr>
              <w:jc w:val="right"/>
              <w:rPr>
                <w:rFonts w:ascii="Calibri" w:hAnsi="Calibri" w:cs="Calibri"/>
                <w:b/>
                <w:bCs/>
                <w:color w:val="000000"/>
                <w:sz w:val="2"/>
                <w:szCs w:val="2"/>
                <w:lang w:eastAsia="en-GB"/>
              </w:rPr>
            </w:pPr>
            <w:r w:rsidRPr="004234D8">
              <w:rPr>
                <w:rFonts w:ascii="Calibri" w:hAnsi="Calibri" w:cs="Calibri"/>
                <w:b/>
                <w:bCs/>
                <w:color w:val="000000"/>
                <w:sz w:val="2"/>
                <w:szCs w:val="2"/>
                <w:lang w:eastAsia="en-GB"/>
              </w:rPr>
              <w:t> </w:t>
            </w:r>
          </w:p>
        </w:tc>
        <w:tc>
          <w:tcPr>
            <w:tcW w:w="1240" w:type="dxa"/>
            <w:tcBorders>
              <w:top w:val="nil"/>
              <w:left w:val="nil"/>
              <w:bottom w:val="nil"/>
              <w:right w:val="single" w:sz="8" w:space="0" w:color="auto"/>
            </w:tcBorders>
            <w:shd w:val="clear" w:color="auto" w:fill="auto"/>
            <w:noWrap/>
            <w:vAlign w:val="center"/>
            <w:hideMark/>
          </w:tcPr>
          <w:p w14:paraId="15F797BC" w14:textId="77777777" w:rsidR="000765D5" w:rsidRPr="004234D8" w:rsidRDefault="000765D5" w:rsidP="00966718">
            <w:pPr>
              <w:jc w:val="right"/>
              <w:rPr>
                <w:rFonts w:ascii="Calibri" w:hAnsi="Calibri" w:cs="Calibri"/>
                <w:b/>
                <w:bCs/>
                <w:color w:val="000000"/>
                <w:sz w:val="2"/>
                <w:szCs w:val="2"/>
                <w:lang w:eastAsia="en-GB"/>
              </w:rPr>
            </w:pPr>
            <w:r w:rsidRPr="004234D8">
              <w:rPr>
                <w:rFonts w:ascii="Calibri" w:hAnsi="Calibri" w:cs="Calibri"/>
                <w:b/>
                <w:bCs/>
                <w:color w:val="000000"/>
                <w:sz w:val="2"/>
                <w:szCs w:val="2"/>
                <w:lang w:eastAsia="en-GB"/>
              </w:rPr>
              <w:t> </w:t>
            </w:r>
          </w:p>
        </w:tc>
        <w:tc>
          <w:tcPr>
            <w:tcW w:w="1240" w:type="dxa"/>
            <w:tcBorders>
              <w:top w:val="nil"/>
              <w:left w:val="nil"/>
              <w:bottom w:val="nil"/>
              <w:right w:val="single" w:sz="8" w:space="0" w:color="auto"/>
            </w:tcBorders>
            <w:shd w:val="clear" w:color="auto" w:fill="auto"/>
            <w:noWrap/>
            <w:vAlign w:val="center"/>
            <w:hideMark/>
          </w:tcPr>
          <w:p w14:paraId="5684BF6B" w14:textId="77777777" w:rsidR="000765D5" w:rsidRPr="004234D8" w:rsidRDefault="000765D5" w:rsidP="00966718">
            <w:pPr>
              <w:jc w:val="right"/>
              <w:rPr>
                <w:rFonts w:ascii="Calibri" w:hAnsi="Calibri" w:cs="Calibri"/>
                <w:b/>
                <w:bCs/>
                <w:color w:val="000000"/>
                <w:sz w:val="2"/>
                <w:szCs w:val="2"/>
                <w:lang w:eastAsia="en-GB"/>
              </w:rPr>
            </w:pPr>
            <w:r w:rsidRPr="004234D8">
              <w:rPr>
                <w:rFonts w:ascii="Calibri" w:hAnsi="Calibri" w:cs="Calibri"/>
                <w:b/>
                <w:bCs/>
                <w:color w:val="000000"/>
                <w:sz w:val="2"/>
                <w:szCs w:val="2"/>
                <w:lang w:eastAsia="en-GB"/>
              </w:rPr>
              <w:t> </w:t>
            </w:r>
          </w:p>
        </w:tc>
        <w:tc>
          <w:tcPr>
            <w:tcW w:w="1240" w:type="dxa"/>
            <w:tcBorders>
              <w:top w:val="nil"/>
              <w:left w:val="nil"/>
              <w:bottom w:val="nil"/>
              <w:right w:val="single" w:sz="8" w:space="0" w:color="auto"/>
            </w:tcBorders>
            <w:shd w:val="clear" w:color="000000" w:fill="F2F2F2"/>
            <w:noWrap/>
            <w:vAlign w:val="center"/>
            <w:hideMark/>
          </w:tcPr>
          <w:p w14:paraId="3DB04795" w14:textId="77777777" w:rsidR="000765D5" w:rsidRPr="004234D8" w:rsidRDefault="000765D5" w:rsidP="00966718">
            <w:pPr>
              <w:jc w:val="right"/>
              <w:rPr>
                <w:rFonts w:ascii="Calibri" w:hAnsi="Calibri" w:cs="Calibri"/>
                <w:b/>
                <w:bCs/>
                <w:color w:val="000000"/>
                <w:sz w:val="2"/>
                <w:szCs w:val="2"/>
                <w:lang w:eastAsia="en-GB"/>
              </w:rPr>
            </w:pPr>
            <w:r w:rsidRPr="004234D8">
              <w:rPr>
                <w:rFonts w:ascii="Calibri" w:hAnsi="Calibri" w:cs="Calibri"/>
                <w:b/>
                <w:bCs/>
                <w:color w:val="000000"/>
                <w:sz w:val="2"/>
                <w:szCs w:val="2"/>
                <w:lang w:eastAsia="en-GB"/>
              </w:rPr>
              <w:t> </w:t>
            </w:r>
          </w:p>
        </w:tc>
      </w:tr>
      <w:tr w:rsidR="000765D5" w:rsidRPr="004234D8" w14:paraId="2470F26A"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3E5CFE0A"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Adjusted EBITDA</w:t>
            </w:r>
          </w:p>
        </w:tc>
        <w:tc>
          <w:tcPr>
            <w:tcW w:w="1240" w:type="dxa"/>
            <w:tcBorders>
              <w:top w:val="nil"/>
              <w:left w:val="single" w:sz="8" w:space="0" w:color="auto"/>
              <w:bottom w:val="nil"/>
              <w:right w:val="single" w:sz="8" w:space="0" w:color="auto"/>
            </w:tcBorders>
            <w:shd w:val="clear" w:color="000000" w:fill="F2F2F2"/>
            <w:noWrap/>
            <w:vAlign w:val="center"/>
            <w:hideMark/>
          </w:tcPr>
          <w:p w14:paraId="108A9D3A"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684</w:t>
            </w:r>
          </w:p>
        </w:tc>
        <w:tc>
          <w:tcPr>
            <w:tcW w:w="1240" w:type="dxa"/>
            <w:tcBorders>
              <w:top w:val="nil"/>
              <w:left w:val="nil"/>
              <w:bottom w:val="nil"/>
              <w:right w:val="single" w:sz="8" w:space="0" w:color="auto"/>
            </w:tcBorders>
            <w:shd w:val="clear" w:color="auto" w:fill="auto"/>
            <w:noWrap/>
            <w:vAlign w:val="center"/>
            <w:hideMark/>
          </w:tcPr>
          <w:p w14:paraId="30BE7A83"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342</w:t>
            </w:r>
          </w:p>
        </w:tc>
        <w:tc>
          <w:tcPr>
            <w:tcW w:w="1240" w:type="dxa"/>
            <w:tcBorders>
              <w:top w:val="nil"/>
              <w:left w:val="nil"/>
              <w:bottom w:val="nil"/>
              <w:right w:val="single" w:sz="8" w:space="0" w:color="auto"/>
            </w:tcBorders>
            <w:shd w:val="clear" w:color="auto" w:fill="auto"/>
            <w:noWrap/>
            <w:vAlign w:val="center"/>
            <w:hideMark/>
          </w:tcPr>
          <w:p w14:paraId="166EAF29"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 </w:t>
            </w:r>
          </w:p>
        </w:tc>
        <w:tc>
          <w:tcPr>
            <w:tcW w:w="1240" w:type="dxa"/>
            <w:tcBorders>
              <w:top w:val="nil"/>
              <w:left w:val="nil"/>
              <w:bottom w:val="nil"/>
              <w:right w:val="single" w:sz="8" w:space="0" w:color="auto"/>
            </w:tcBorders>
            <w:shd w:val="clear" w:color="000000" w:fill="F2F2F2"/>
            <w:noWrap/>
            <w:vAlign w:val="center"/>
            <w:hideMark/>
          </w:tcPr>
          <w:p w14:paraId="2F427AE2"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342</w:t>
            </w:r>
          </w:p>
        </w:tc>
      </w:tr>
      <w:tr w:rsidR="000765D5" w:rsidRPr="004234D8" w14:paraId="51B22048"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1C109CD5"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Capex</w:t>
            </w:r>
          </w:p>
        </w:tc>
        <w:tc>
          <w:tcPr>
            <w:tcW w:w="1240" w:type="dxa"/>
            <w:tcBorders>
              <w:top w:val="nil"/>
              <w:left w:val="single" w:sz="8" w:space="0" w:color="auto"/>
              <w:bottom w:val="nil"/>
              <w:right w:val="nil"/>
            </w:tcBorders>
            <w:shd w:val="clear" w:color="000000" w:fill="F2F2F2"/>
            <w:noWrap/>
            <w:vAlign w:val="center"/>
            <w:hideMark/>
          </w:tcPr>
          <w:p w14:paraId="445D666E"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w:t>
            </w:r>
            <w:r>
              <w:rPr>
                <w:rFonts w:ascii="Calibri" w:hAnsi="Calibri" w:cs="Calibri"/>
                <w:sz w:val="20"/>
                <w:lang w:eastAsia="en-GB"/>
              </w:rPr>
              <w:t>18</w:t>
            </w:r>
            <w:r w:rsidRPr="004234D8">
              <w:rPr>
                <w:rFonts w:ascii="Calibri" w:hAnsi="Calibri" w:cs="Calibri"/>
                <w:sz w:val="20"/>
                <w:lang w:eastAsia="en-GB"/>
              </w:rPr>
              <w:t>)</w:t>
            </w:r>
          </w:p>
        </w:tc>
        <w:tc>
          <w:tcPr>
            <w:tcW w:w="1240" w:type="dxa"/>
            <w:tcBorders>
              <w:top w:val="nil"/>
              <w:left w:val="single" w:sz="8" w:space="0" w:color="auto"/>
              <w:bottom w:val="nil"/>
              <w:right w:val="nil"/>
            </w:tcBorders>
            <w:shd w:val="clear" w:color="auto" w:fill="auto"/>
            <w:noWrap/>
            <w:vAlign w:val="center"/>
            <w:hideMark/>
          </w:tcPr>
          <w:p w14:paraId="4E2F55A3"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(33)</w:t>
            </w:r>
          </w:p>
        </w:tc>
        <w:tc>
          <w:tcPr>
            <w:tcW w:w="1240" w:type="dxa"/>
            <w:tcBorders>
              <w:top w:val="nil"/>
              <w:left w:val="single" w:sz="8" w:space="0" w:color="auto"/>
              <w:bottom w:val="nil"/>
              <w:right w:val="nil"/>
            </w:tcBorders>
            <w:shd w:val="clear" w:color="auto" w:fill="auto"/>
            <w:noWrap/>
            <w:vAlign w:val="center"/>
            <w:hideMark/>
          </w:tcPr>
          <w:p w14:paraId="08F53997"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42AF147F"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(8</w:t>
            </w:r>
            <w:r>
              <w:rPr>
                <w:rFonts w:ascii="Calibri" w:hAnsi="Calibri" w:cs="Calibri"/>
                <w:sz w:val="20"/>
                <w:lang w:eastAsia="en-GB"/>
              </w:rPr>
              <w:t>5</w:t>
            </w:r>
            <w:r w:rsidRPr="004234D8">
              <w:rPr>
                <w:rFonts w:ascii="Calibri" w:hAnsi="Calibri" w:cs="Calibri"/>
                <w:sz w:val="20"/>
                <w:lang w:eastAsia="en-GB"/>
              </w:rPr>
              <w:t>)</w:t>
            </w:r>
          </w:p>
        </w:tc>
      </w:tr>
      <w:tr w:rsidR="000765D5" w:rsidRPr="004234D8" w14:paraId="4DCCD1EC"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398D4352"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Working capital</w:t>
            </w:r>
          </w:p>
        </w:tc>
        <w:tc>
          <w:tcPr>
            <w:tcW w:w="1240" w:type="dxa"/>
            <w:tcBorders>
              <w:top w:val="nil"/>
              <w:left w:val="single" w:sz="8" w:space="0" w:color="auto"/>
              <w:bottom w:val="nil"/>
              <w:right w:val="nil"/>
            </w:tcBorders>
            <w:shd w:val="clear" w:color="000000" w:fill="F2F2F2"/>
            <w:noWrap/>
            <w:vAlign w:val="center"/>
            <w:hideMark/>
          </w:tcPr>
          <w:p w14:paraId="7B5C8078"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10</w:t>
            </w:r>
            <w:r>
              <w:rPr>
                <w:rFonts w:ascii="Calibri" w:hAnsi="Calibri" w:cs="Calibri"/>
                <w:sz w:val="20"/>
                <w:lang w:eastAsia="en-GB"/>
              </w:rPr>
              <w:t>5</w:t>
            </w:r>
          </w:p>
        </w:tc>
        <w:tc>
          <w:tcPr>
            <w:tcW w:w="1240" w:type="dxa"/>
            <w:tcBorders>
              <w:top w:val="nil"/>
              <w:left w:val="single" w:sz="8" w:space="0" w:color="auto"/>
              <w:bottom w:val="nil"/>
              <w:right w:val="nil"/>
            </w:tcBorders>
            <w:shd w:val="clear" w:color="auto" w:fill="auto"/>
            <w:noWrap/>
            <w:vAlign w:val="center"/>
            <w:hideMark/>
          </w:tcPr>
          <w:p w14:paraId="26B97A13" w14:textId="77777777" w:rsidR="000765D5" w:rsidRPr="004234D8" w:rsidRDefault="000765D5" w:rsidP="00640B6F">
            <w:pPr>
              <w:jc w:val="right"/>
              <w:rPr>
                <w:rFonts w:ascii="Calibri" w:hAnsi="Calibri" w:cs="Calibri"/>
                <w:sz w:val="20"/>
                <w:lang w:eastAsia="en-GB"/>
              </w:rPr>
            </w:pPr>
            <w:r w:rsidRPr="004234D8">
              <w:rPr>
                <w:rFonts w:ascii="Calibri" w:hAnsi="Calibri" w:cs="Calibri"/>
                <w:sz w:val="20"/>
                <w:lang w:eastAsia="en-GB"/>
              </w:rPr>
              <w:t>(</w:t>
            </w:r>
            <w:r w:rsidR="00640B6F">
              <w:rPr>
                <w:rFonts w:ascii="Calibri" w:hAnsi="Calibri" w:cs="Calibri"/>
                <w:sz w:val="20"/>
                <w:lang w:eastAsia="en-GB"/>
              </w:rPr>
              <w:t>8</w:t>
            </w:r>
            <w:r w:rsidRPr="004234D8">
              <w:rPr>
                <w:rFonts w:ascii="Calibri" w:hAnsi="Calibri" w:cs="Calibri"/>
                <w:sz w:val="20"/>
                <w:lang w:eastAsia="en-GB"/>
              </w:rPr>
              <w:t>)</w:t>
            </w:r>
          </w:p>
        </w:tc>
        <w:tc>
          <w:tcPr>
            <w:tcW w:w="1240" w:type="dxa"/>
            <w:tcBorders>
              <w:top w:val="nil"/>
              <w:left w:val="single" w:sz="8" w:space="0" w:color="auto"/>
              <w:bottom w:val="nil"/>
              <w:right w:val="nil"/>
            </w:tcBorders>
            <w:shd w:val="clear" w:color="auto" w:fill="auto"/>
            <w:noWrap/>
            <w:vAlign w:val="center"/>
            <w:hideMark/>
          </w:tcPr>
          <w:p w14:paraId="348CF5C2"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1EBCD890"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11</w:t>
            </w:r>
            <w:r>
              <w:rPr>
                <w:rFonts w:ascii="Calibri" w:hAnsi="Calibri" w:cs="Calibri"/>
                <w:sz w:val="20"/>
                <w:lang w:eastAsia="en-GB"/>
              </w:rPr>
              <w:t>4</w:t>
            </w:r>
          </w:p>
        </w:tc>
      </w:tr>
      <w:tr w:rsidR="000765D5" w:rsidRPr="004234D8" w14:paraId="16386839"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459E1AC2"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Corporation tax</w:t>
            </w:r>
          </w:p>
        </w:tc>
        <w:tc>
          <w:tcPr>
            <w:tcW w:w="1240" w:type="dxa"/>
            <w:tcBorders>
              <w:top w:val="nil"/>
              <w:left w:val="single" w:sz="8" w:space="0" w:color="auto"/>
              <w:bottom w:val="nil"/>
              <w:right w:val="nil"/>
            </w:tcBorders>
            <w:shd w:val="clear" w:color="000000" w:fill="F2F2F2"/>
            <w:noWrap/>
            <w:vAlign w:val="center"/>
            <w:hideMark/>
          </w:tcPr>
          <w:p w14:paraId="5D755E04"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(63)</w:t>
            </w:r>
          </w:p>
        </w:tc>
        <w:tc>
          <w:tcPr>
            <w:tcW w:w="1240" w:type="dxa"/>
            <w:tcBorders>
              <w:top w:val="nil"/>
              <w:left w:val="single" w:sz="8" w:space="0" w:color="auto"/>
              <w:bottom w:val="nil"/>
              <w:right w:val="nil"/>
            </w:tcBorders>
            <w:shd w:val="clear" w:color="auto" w:fill="auto"/>
            <w:noWrap/>
            <w:vAlign w:val="center"/>
            <w:hideMark/>
          </w:tcPr>
          <w:p w14:paraId="7AA49B9D"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(3)</w:t>
            </w:r>
          </w:p>
        </w:tc>
        <w:tc>
          <w:tcPr>
            <w:tcW w:w="1240" w:type="dxa"/>
            <w:tcBorders>
              <w:top w:val="nil"/>
              <w:left w:val="single" w:sz="8" w:space="0" w:color="auto"/>
              <w:bottom w:val="nil"/>
              <w:right w:val="nil"/>
            </w:tcBorders>
            <w:shd w:val="clear" w:color="auto" w:fill="auto"/>
            <w:noWrap/>
            <w:vAlign w:val="center"/>
            <w:hideMark/>
          </w:tcPr>
          <w:p w14:paraId="17F2BFE9"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56B91A72"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(60)</w:t>
            </w:r>
          </w:p>
        </w:tc>
      </w:tr>
      <w:tr w:rsidR="000765D5" w:rsidRPr="004234D8" w14:paraId="2FA825F6"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0D032043"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Adjusted free cash flow</w:t>
            </w:r>
          </w:p>
        </w:tc>
        <w:tc>
          <w:tcPr>
            <w:tcW w:w="1240" w:type="dxa"/>
            <w:tcBorders>
              <w:top w:val="single" w:sz="8" w:space="0" w:color="auto"/>
              <w:left w:val="single" w:sz="8" w:space="0" w:color="auto"/>
              <w:bottom w:val="nil"/>
              <w:right w:val="nil"/>
            </w:tcBorders>
            <w:shd w:val="clear" w:color="000000" w:fill="F2F2F2"/>
            <w:noWrap/>
            <w:vAlign w:val="center"/>
            <w:hideMark/>
          </w:tcPr>
          <w:p w14:paraId="4BF95DBE"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60</w:t>
            </w:r>
            <w:r>
              <w:rPr>
                <w:rFonts w:ascii="Calibri" w:hAnsi="Calibri" w:cs="Calibri"/>
                <w:b/>
                <w:bCs/>
                <w:sz w:val="20"/>
                <w:lang w:eastAsia="en-GB"/>
              </w:rPr>
              <w:t>8</w:t>
            </w:r>
          </w:p>
        </w:tc>
        <w:tc>
          <w:tcPr>
            <w:tcW w:w="1240" w:type="dxa"/>
            <w:tcBorders>
              <w:top w:val="single" w:sz="8" w:space="0" w:color="auto"/>
              <w:left w:val="single" w:sz="8" w:space="0" w:color="auto"/>
              <w:bottom w:val="nil"/>
              <w:right w:val="nil"/>
            </w:tcBorders>
            <w:shd w:val="clear" w:color="auto" w:fill="auto"/>
            <w:noWrap/>
            <w:vAlign w:val="center"/>
            <w:hideMark/>
          </w:tcPr>
          <w:p w14:paraId="388E0CBA"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298</w:t>
            </w:r>
          </w:p>
        </w:tc>
        <w:tc>
          <w:tcPr>
            <w:tcW w:w="1240" w:type="dxa"/>
            <w:tcBorders>
              <w:top w:val="single" w:sz="8" w:space="0" w:color="auto"/>
              <w:left w:val="single" w:sz="8" w:space="0" w:color="auto"/>
              <w:bottom w:val="nil"/>
              <w:right w:val="nil"/>
            </w:tcBorders>
            <w:shd w:val="clear" w:color="auto" w:fill="auto"/>
            <w:noWrap/>
            <w:vAlign w:val="center"/>
            <w:hideMark/>
          </w:tcPr>
          <w:p w14:paraId="3C8B1915"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 </w:t>
            </w:r>
          </w:p>
        </w:tc>
        <w:tc>
          <w:tcPr>
            <w:tcW w:w="1240" w:type="dxa"/>
            <w:tcBorders>
              <w:top w:val="single" w:sz="8" w:space="0" w:color="auto"/>
              <w:left w:val="single" w:sz="8" w:space="0" w:color="auto"/>
              <w:bottom w:val="nil"/>
              <w:right w:val="single" w:sz="8" w:space="0" w:color="auto"/>
            </w:tcBorders>
            <w:shd w:val="clear" w:color="000000" w:fill="F2F2F2"/>
            <w:noWrap/>
            <w:vAlign w:val="center"/>
            <w:hideMark/>
          </w:tcPr>
          <w:p w14:paraId="3F4E087B"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31</w:t>
            </w:r>
            <w:r>
              <w:rPr>
                <w:rFonts w:ascii="Calibri" w:hAnsi="Calibri" w:cs="Calibri"/>
                <w:b/>
                <w:bCs/>
                <w:sz w:val="20"/>
                <w:lang w:eastAsia="en-GB"/>
              </w:rPr>
              <w:t>1</w:t>
            </w:r>
          </w:p>
        </w:tc>
      </w:tr>
      <w:tr w:rsidR="000765D5" w:rsidRPr="004234D8" w14:paraId="314F47DA" w14:textId="77777777" w:rsidTr="00966718">
        <w:trPr>
          <w:trHeight w:val="299"/>
        </w:trPr>
        <w:tc>
          <w:tcPr>
            <w:tcW w:w="4240" w:type="dxa"/>
            <w:tcBorders>
              <w:top w:val="nil"/>
              <w:left w:val="single" w:sz="8" w:space="0" w:color="auto"/>
              <w:bottom w:val="nil"/>
              <w:right w:val="nil"/>
            </w:tcBorders>
            <w:shd w:val="clear" w:color="auto" w:fill="auto"/>
            <w:vAlign w:val="center"/>
            <w:hideMark/>
          </w:tcPr>
          <w:p w14:paraId="60C50896"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Cash flow from separately disclosed items (SDI)</w:t>
            </w:r>
          </w:p>
        </w:tc>
        <w:tc>
          <w:tcPr>
            <w:tcW w:w="1240" w:type="dxa"/>
            <w:tcBorders>
              <w:top w:val="nil"/>
              <w:left w:val="single" w:sz="8" w:space="0" w:color="auto"/>
              <w:bottom w:val="nil"/>
              <w:right w:val="nil"/>
            </w:tcBorders>
            <w:shd w:val="clear" w:color="000000" w:fill="F2F2F2"/>
            <w:noWrap/>
            <w:vAlign w:val="center"/>
            <w:hideMark/>
          </w:tcPr>
          <w:p w14:paraId="01E74181"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(84)</w:t>
            </w:r>
          </w:p>
        </w:tc>
        <w:tc>
          <w:tcPr>
            <w:tcW w:w="1240" w:type="dxa"/>
            <w:tcBorders>
              <w:top w:val="nil"/>
              <w:left w:val="single" w:sz="8" w:space="0" w:color="auto"/>
              <w:bottom w:val="nil"/>
              <w:right w:val="nil"/>
            </w:tcBorders>
            <w:shd w:val="clear" w:color="auto" w:fill="auto"/>
            <w:noWrap/>
            <w:vAlign w:val="center"/>
            <w:hideMark/>
          </w:tcPr>
          <w:p w14:paraId="1FC8B1A1"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0</w:t>
            </w:r>
          </w:p>
        </w:tc>
        <w:tc>
          <w:tcPr>
            <w:tcW w:w="1240" w:type="dxa"/>
            <w:tcBorders>
              <w:top w:val="nil"/>
              <w:left w:val="single" w:sz="8" w:space="0" w:color="auto"/>
              <w:bottom w:val="nil"/>
              <w:right w:val="nil"/>
            </w:tcBorders>
            <w:shd w:val="clear" w:color="auto" w:fill="auto"/>
            <w:noWrap/>
            <w:vAlign w:val="center"/>
            <w:hideMark/>
          </w:tcPr>
          <w:p w14:paraId="71533711"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20748642"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(84)</w:t>
            </w:r>
          </w:p>
        </w:tc>
      </w:tr>
      <w:tr w:rsidR="000765D5" w:rsidRPr="004234D8" w14:paraId="4CDB1584"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498440AC"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Free cash flow</w:t>
            </w:r>
          </w:p>
        </w:tc>
        <w:tc>
          <w:tcPr>
            <w:tcW w:w="1240" w:type="dxa"/>
            <w:tcBorders>
              <w:top w:val="single" w:sz="8" w:space="0" w:color="auto"/>
              <w:left w:val="single" w:sz="8" w:space="0" w:color="auto"/>
              <w:bottom w:val="nil"/>
              <w:right w:val="nil"/>
            </w:tcBorders>
            <w:shd w:val="clear" w:color="000000" w:fill="F2F2F2"/>
            <w:noWrap/>
            <w:vAlign w:val="center"/>
            <w:hideMark/>
          </w:tcPr>
          <w:p w14:paraId="71B1F573"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52</w:t>
            </w:r>
            <w:r>
              <w:rPr>
                <w:rFonts w:ascii="Calibri" w:hAnsi="Calibri" w:cs="Calibri"/>
                <w:b/>
                <w:bCs/>
                <w:sz w:val="20"/>
                <w:lang w:eastAsia="en-GB"/>
              </w:rPr>
              <w:t>4</w:t>
            </w:r>
          </w:p>
        </w:tc>
        <w:tc>
          <w:tcPr>
            <w:tcW w:w="1240" w:type="dxa"/>
            <w:tcBorders>
              <w:top w:val="single" w:sz="8" w:space="0" w:color="auto"/>
              <w:left w:val="single" w:sz="8" w:space="0" w:color="auto"/>
              <w:bottom w:val="nil"/>
              <w:right w:val="nil"/>
            </w:tcBorders>
            <w:shd w:val="clear" w:color="auto" w:fill="auto"/>
            <w:noWrap/>
            <w:vAlign w:val="center"/>
            <w:hideMark/>
          </w:tcPr>
          <w:p w14:paraId="53223D5A"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298</w:t>
            </w:r>
          </w:p>
        </w:tc>
        <w:tc>
          <w:tcPr>
            <w:tcW w:w="1240" w:type="dxa"/>
            <w:tcBorders>
              <w:top w:val="single" w:sz="8" w:space="0" w:color="auto"/>
              <w:left w:val="single" w:sz="8" w:space="0" w:color="auto"/>
              <w:bottom w:val="nil"/>
              <w:right w:val="nil"/>
            </w:tcBorders>
            <w:shd w:val="clear" w:color="auto" w:fill="auto"/>
            <w:noWrap/>
            <w:vAlign w:val="center"/>
            <w:hideMark/>
          </w:tcPr>
          <w:p w14:paraId="63989A35"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 </w:t>
            </w:r>
          </w:p>
        </w:tc>
        <w:tc>
          <w:tcPr>
            <w:tcW w:w="1240" w:type="dxa"/>
            <w:tcBorders>
              <w:top w:val="single" w:sz="8" w:space="0" w:color="auto"/>
              <w:left w:val="single" w:sz="8" w:space="0" w:color="auto"/>
              <w:bottom w:val="nil"/>
              <w:right w:val="single" w:sz="8" w:space="0" w:color="auto"/>
            </w:tcBorders>
            <w:shd w:val="clear" w:color="000000" w:fill="F2F2F2"/>
            <w:noWrap/>
            <w:vAlign w:val="center"/>
            <w:hideMark/>
          </w:tcPr>
          <w:p w14:paraId="7060CE66"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22</w:t>
            </w:r>
            <w:r>
              <w:rPr>
                <w:rFonts w:ascii="Calibri" w:hAnsi="Calibri" w:cs="Calibri"/>
                <w:b/>
                <w:bCs/>
                <w:sz w:val="20"/>
                <w:lang w:eastAsia="en-GB"/>
              </w:rPr>
              <w:t>7</w:t>
            </w:r>
          </w:p>
        </w:tc>
      </w:tr>
      <w:tr w:rsidR="000765D5" w:rsidRPr="004234D8" w14:paraId="53C56484"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0BD5498A"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 xml:space="preserve">Interest </w:t>
            </w:r>
            <w:r>
              <w:rPr>
                <w:rFonts w:ascii="Calibri" w:hAnsi="Calibri" w:cs="Calibri"/>
                <w:color w:val="000000"/>
                <w:sz w:val="20"/>
                <w:lang w:eastAsia="en-GB"/>
              </w:rPr>
              <w:t>cost</w:t>
            </w:r>
          </w:p>
        </w:tc>
        <w:tc>
          <w:tcPr>
            <w:tcW w:w="1240" w:type="dxa"/>
            <w:tcBorders>
              <w:top w:val="nil"/>
              <w:left w:val="single" w:sz="8" w:space="0" w:color="auto"/>
              <w:bottom w:val="nil"/>
              <w:right w:val="nil"/>
            </w:tcBorders>
            <w:shd w:val="clear" w:color="000000" w:fill="F2F2F2"/>
            <w:noWrap/>
            <w:vAlign w:val="center"/>
            <w:hideMark/>
          </w:tcPr>
          <w:p w14:paraId="1072EBC8"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w:t>
            </w:r>
            <w:r>
              <w:rPr>
                <w:rFonts w:ascii="Calibri" w:hAnsi="Calibri" w:cs="Calibri"/>
                <w:sz w:val="20"/>
                <w:lang w:eastAsia="en-GB"/>
              </w:rPr>
              <w:t>101</w:t>
            </w:r>
            <w:r w:rsidRPr="004234D8">
              <w:rPr>
                <w:rFonts w:ascii="Calibri" w:hAnsi="Calibri" w:cs="Calibri"/>
                <w:sz w:val="20"/>
                <w:lang w:eastAsia="en-GB"/>
              </w:rPr>
              <w:t>)</w:t>
            </w:r>
          </w:p>
        </w:tc>
        <w:tc>
          <w:tcPr>
            <w:tcW w:w="1240" w:type="dxa"/>
            <w:tcBorders>
              <w:top w:val="nil"/>
              <w:left w:val="single" w:sz="8" w:space="0" w:color="auto"/>
              <w:bottom w:val="nil"/>
              <w:right w:val="nil"/>
            </w:tcBorders>
            <w:shd w:val="clear" w:color="auto" w:fill="auto"/>
            <w:noWrap/>
            <w:vAlign w:val="center"/>
            <w:hideMark/>
          </w:tcPr>
          <w:p w14:paraId="23CC176C"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(64)</w:t>
            </w:r>
          </w:p>
        </w:tc>
        <w:tc>
          <w:tcPr>
            <w:tcW w:w="1240" w:type="dxa"/>
            <w:tcBorders>
              <w:top w:val="nil"/>
              <w:left w:val="single" w:sz="8" w:space="0" w:color="auto"/>
              <w:bottom w:val="nil"/>
              <w:right w:val="nil"/>
            </w:tcBorders>
            <w:shd w:val="clear" w:color="auto" w:fill="auto"/>
            <w:noWrap/>
            <w:vAlign w:val="center"/>
            <w:hideMark/>
          </w:tcPr>
          <w:p w14:paraId="67AB53D0"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32BB3AA4"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w:t>
            </w:r>
            <w:r w:rsidR="00655B2A">
              <w:rPr>
                <w:rFonts w:ascii="Calibri" w:hAnsi="Calibri" w:cs="Calibri"/>
                <w:sz w:val="20"/>
                <w:lang w:eastAsia="en-GB"/>
              </w:rPr>
              <w:t>37</w:t>
            </w:r>
            <w:r w:rsidRPr="004234D8">
              <w:rPr>
                <w:rFonts w:ascii="Calibri" w:hAnsi="Calibri" w:cs="Calibri"/>
                <w:sz w:val="20"/>
                <w:lang w:eastAsia="en-GB"/>
              </w:rPr>
              <w:t>)</w:t>
            </w:r>
          </w:p>
        </w:tc>
      </w:tr>
      <w:tr w:rsidR="000765D5" w:rsidRPr="004234D8" w14:paraId="1C675C23" w14:textId="77777777" w:rsidTr="00966718">
        <w:trPr>
          <w:trHeight w:val="255"/>
        </w:trPr>
        <w:tc>
          <w:tcPr>
            <w:tcW w:w="4240" w:type="dxa"/>
            <w:tcBorders>
              <w:top w:val="nil"/>
              <w:left w:val="single" w:sz="8" w:space="0" w:color="auto"/>
              <w:bottom w:val="nil"/>
              <w:right w:val="nil"/>
            </w:tcBorders>
            <w:shd w:val="clear" w:color="auto" w:fill="auto"/>
            <w:vAlign w:val="center"/>
          </w:tcPr>
          <w:p w14:paraId="56AE0BF8" w14:textId="77777777" w:rsidR="000765D5" w:rsidRPr="004234D8" w:rsidRDefault="000765D5" w:rsidP="00966718">
            <w:pPr>
              <w:rPr>
                <w:rFonts w:ascii="Calibri" w:hAnsi="Calibri" w:cs="Calibri"/>
                <w:color w:val="000000"/>
                <w:sz w:val="20"/>
                <w:lang w:eastAsia="en-GB"/>
              </w:rPr>
            </w:pPr>
            <w:r>
              <w:rPr>
                <w:rFonts w:ascii="Calibri" w:hAnsi="Calibri" w:cs="Calibri"/>
                <w:color w:val="000000"/>
                <w:sz w:val="20"/>
                <w:lang w:eastAsia="en-GB"/>
              </w:rPr>
              <w:t>Other</w:t>
            </w:r>
            <w:r w:rsidRPr="004234D8">
              <w:rPr>
                <w:rFonts w:ascii="Calibri" w:hAnsi="Calibri" w:cs="Calibri"/>
                <w:color w:val="000000"/>
                <w:sz w:val="20"/>
                <w:lang w:eastAsia="en-GB"/>
              </w:rPr>
              <w:t xml:space="preserve"> borrowing costs</w:t>
            </w:r>
          </w:p>
        </w:tc>
        <w:tc>
          <w:tcPr>
            <w:tcW w:w="1240" w:type="dxa"/>
            <w:tcBorders>
              <w:top w:val="nil"/>
              <w:left w:val="single" w:sz="8" w:space="0" w:color="auto"/>
              <w:bottom w:val="nil"/>
              <w:right w:val="nil"/>
            </w:tcBorders>
            <w:shd w:val="clear" w:color="000000" w:fill="F2F2F2"/>
            <w:noWrap/>
            <w:vAlign w:val="center"/>
          </w:tcPr>
          <w:p w14:paraId="6E0E1823" w14:textId="77777777" w:rsidR="000765D5" w:rsidRPr="004234D8" w:rsidRDefault="000765D5" w:rsidP="00966718">
            <w:pPr>
              <w:jc w:val="right"/>
              <w:rPr>
                <w:rFonts w:ascii="Calibri" w:hAnsi="Calibri" w:cs="Calibri"/>
                <w:sz w:val="20"/>
                <w:lang w:eastAsia="en-GB"/>
              </w:rPr>
            </w:pPr>
            <w:r>
              <w:rPr>
                <w:rFonts w:ascii="Calibri" w:hAnsi="Calibri" w:cs="Calibri"/>
                <w:sz w:val="20"/>
                <w:lang w:eastAsia="en-GB"/>
              </w:rPr>
              <w:t>(22)</w:t>
            </w:r>
          </w:p>
        </w:tc>
        <w:tc>
          <w:tcPr>
            <w:tcW w:w="1240" w:type="dxa"/>
            <w:tcBorders>
              <w:top w:val="nil"/>
              <w:left w:val="single" w:sz="8" w:space="0" w:color="auto"/>
              <w:bottom w:val="nil"/>
              <w:right w:val="nil"/>
            </w:tcBorders>
            <w:shd w:val="clear" w:color="auto" w:fill="auto"/>
            <w:noWrap/>
            <w:vAlign w:val="center"/>
          </w:tcPr>
          <w:p w14:paraId="2DC0D7E6" w14:textId="77777777" w:rsidR="000765D5" w:rsidRPr="004234D8" w:rsidRDefault="00640B6F" w:rsidP="00966718">
            <w:pPr>
              <w:jc w:val="right"/>
              <w:rPr>
                <w:rFonts w:ascii="Calibri" w:hAnsi="Calibri" w:cs="Calibri"/>
                <w:sz w:val="20"/>
                <w:lang w:eastAsia="en-GB"/>
              </w:rPr>
            </w:pPr>
            <w:r>
              <w:rPr>
                <w:rFonts w:ascii="Calibri" w:hAnsi="Calibri" w:cs="Calibri"/>
                <w:sz w:val="20"/>
                <w:lang w:eastAsia="en-GB"/>
              </w:rPr>
              <w:t>0</w:t>
            </w:r>
          </w:p>
        </w:tc>
        <w:tc>
          <w:tcPr>
            <w:tcW w:w="1240" w:type="dxa"/>
            <w:tcBorders>
              <w:top w:val="nil"/>
              <w:left w:val="single" w:sz="8" w:space="0" w:color="auto"/>
              <w:bottom w:val="nil"/>
              <w:right w:val="nil"/>
            </w:tcBorders>
            <w:shd w:val="clear" w:color="auto" w:fill="auto"/>
            <w:noWrap/>
            <w:vAlign w:val="center"/>
          </w:tcPr>
          <w:p w14:paraId="5A275CA8" w14:textId="77777777" w:rsidR="000765D5" w:rsidRPr="004234D8" w:rsidRDefault="000765D5" w:rsidP="00966718">
            <w:pPr>
              <w:jc w:val="right"/>
              <w:rPr>
                <w:rFonts w:ascii="Calibri" w:hAnsi="Calibri" w:cs="Calibri"/>
                <w:sz w:val="20"/>
                <w:lang w:eastAsia="en-GB"/>
              </w:rPr>
            </w:pPr>
          </w:p>
        </w:tc>
        <w:tc>
          <w:tcPr>
            <w:tcW w:w="1240" w:type="dxa"/>
            <w:tcBorders>
              <w:top w:val="nil"/>
              <w:left w:val="single" w:sz="8" w:space="0" w:color="auto"/>
              <w:bottom w:val="nil"/>
              <w:right w:val="single" w:sz="8" w:space="0" w:color="auto"/>
            </w:tcBorders>
            <w:shd w:val="clear" w:color="000000" w:fill="F2F2F2"/>
            <w:noWrap/>
            <w:vAlign w:val="center"/>
          </w:tcPr>
          <w:p w14:paraId="331A8B86" w14:textId="77777777" w:rsidR="000765D5" w:rsidRPr="004234D8" w:rsidRDefault="00640B6F" w:rsidP="00966718">
            <w:pPr>
              <w:jc w:val="right"/>
              <w:rPr>
                <w:rFonts w:ascii="Calibri" w:hAnsi="Calibri" w:cs="Calibri"/>
                <w:sz w:val="20"/>
                <w:lang w:eastAsia="en-GB"/>
              </w:rPr>
            </w:pPr>
            <w:r>
              <w:rPr>
                <w:rFonts w:ascii="Calibri" w:hAnsi="Calibri" w:cs="Calibri"/>
                <w:sz w:val="20"/>
                <w:lang w:eastAsia="en-GB"/>
              </w:rPr>
              <w:t>(22)</w:t>
            </w:r>
          </w:p>
        </w:tc>
      </w:tr>
      <w:tr w:rsidR="000765D5" w:rsidRPr="004234D8" w14:paraId="5233A666"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444676FE"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Settlement of swaps</w:t>
            </w:r>
          </w:p>
        </w:tc>
        <w:tc>
          <w:tcPr>
            <w:tcW w:w="1240" w:type="dxa"/>
            <w:tcBorders>
              <w:top w:val="nil"/>
              <w:left w:val="single" w:sz="8" w:space="0" w:color="auto"/>
              <w:bottom w:val="nil"/>
              <w:right w:val="nil"/>
            </w:tcBorders>
            <w:shd w:val="clear" w:color="000000" w:fill="F2F2F2"/>
            <w:noWrap/>
            <w:vAlign w:val="center"/>
            <w:hideMark/>
          </w:tcPr>
          <w:p w14:paraId="5E4FC4AA"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(28)</w:t>
            </w:r>
          </w:p>
        </w:tc>
        <w:tc>
          <w:tcPr>
            <w:tcW w:w="1240" w:type="dxa"/>
            <w:tcBorders>
              <w:top w:val="nil"/>
              <w:left w:val="single" w:sz="8" w:space="0" w:color="auto"/>
              <w:bottom w:val="nil"/>
              <w:right w:val="nil"/>
            </w:tcBorders>
            <w:shd w:val="clear" w:color="auto" w:fill="auto"/>
            <w:noWrap/>
            <w:vAlign w:val="center"/>
            <w:hideMark/>
          </w:tcPr>
          <w:p w14:paraId="35389828"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0</w:t>
            </w:r>
          </w:p>
        </w:tc>
        <w:tc>
          <w:tcPr>
            <w:tcW w:w="1240" w:type="dxa"/>
            <w:tcBorders>
              <w:top w:val="nil"/>
              <w:left w:val="single" w:sz="8" w:space="0" w:color="auto"/>
              <w:bottom w:val="nil"/>
              <w:right w:val="nil"/>
            </w:tcBorders>
            <w:shd w:val="clear" w:color="auto" w:fill="auto"/>
            <w:noWrap/>
            <w:vAlign w:val="center"/>
            <w:hideMark/>
          </w:tcPr>
          <w:p w14:paraId="57320DAC"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364362D7"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(28)</w:t>
            </w:r>
          </w:p>
        </w:tc>
      </w:tr>
      <w:tr w:rsidR="000765D5" w:rsidRPr="004234D8" w14:paraId="4750C752"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22837E28"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Lease liabilities paid and other</w:t>
            </w:r>
          </w:p>
        </w:tc>
        <w:tc>
          <w:tcPr>
            <w:tcW w:w="1240" w:type="dxa"/>
            <w:tcBorders>
              <w:top w:val="nil"/>
              <w:left w:val="single" w:sz="8" w:space="0" w:color="auto"/>
              <w:bottom w:val="nil"/>
              <w:right w:val="nil"/>
            </w:tcBorders>
            <w:shd w:val="clear" w:color="000000" w:fill="F2F2F2"/>
            <w:noWrap/>
            <w:vAlign w:val="center"/>
            <w:hideMark/>
          </w:tcPr>
          <w:p w14:paraId="298B9BF9"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(19)</w:t>
            </w:r>
          </w:p>
        </w:tc>
        <w:tc>
          <w:tcPr>
            <w:tcW w:w="1240" w:type="dxa"/>
            <w:tcBorders>
              <w:top w:val="nil"/>
              <w:left w:val="single" w:sz="8" w:space="0" w:color="auto"/>
              <w:bottom w:val="nil"/>
              <w:right w:val="nil"/>
            </w:tcBorders>
            <w:shd w:val="clear" w:color="auto" w:fill="auto"/>
            <w:noWrap/>
            <w:vAlign w:val="center"/>
            <w:hideMark/>
          </w:tcPr>
          <w:p w14:paraId="6BEB7852"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w:t>
            </w:r>
          </w:p>
        </w:tc>
        <w:tc>
          <w:tcPr>
            <w:tcW w:w="1240" w:type="dxa"/>
            <w:tcBorders>
              <w:top w:val="nil"/>
              <w:left w:val="single" w:sz="8" w:space="0" w:color="auto"/>
              <w:bottom w:val="nil"/>
              <w:right w:val="nil"/>
            </w:tcBorders>
            <w:shd w:val="clear" w:color="auto" w:fill="auto"/>
            <w:noWrap/>
            <w:vAlign w:val="center"/>
            <w:hideMark/>
          </w:tcPr>
          <w:p w14:paraId="4373CBF6" w14:textId="77777777" w:rsidR="000765D5" w:rsidRPr="004234D8" w:rsidRDefault="000765D5" w:rsidP="00966718">
            <w:pPr>
              <w:jc w:val="right"/>
              <w:rPr>
                <w:rFonts w:ascii="Calibri" w:hAnsi="Calibri" w:cs="Calibri"/>
                <w:sz w:val="20"/>
                <w:lang w:eastAsia="en-GB"/>
              </w:rPr>
            </w:pPr>
          </w:p>
        </w:tc>
        <w:tc>
          <w:tcPr>
            <w:tcW w:w="1240" w:type="dxa"/>
            <w:tcBorders>
              <w:top w:val="nil"/>
              <w:left w:val="single" w:sz="8" w:space="0" w:color="auto"/>
              <w:bottom w:val="nil"/>
              <w:right w:val="single" w:sz="8" w:space="0" w:color="auto"/>
            </w:tcBorders>
            <w:shd w:val="clear" w:color="000000" w:fill="F2F2F2"/>
            <w:noWrap/>
            <w:vAlign w:val="center"/>
            <w:hideMark/>
          </w:tcPr>
          <w:p w14:paraId="4C64850B"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(20)</w:t>
            </w:r>
          </w:p>
        </w:tc>
      </w:tr>
      <w:tr w:rsidR="000765D5" w:rsidRPr="004234D8" w14:paraId="2C5D42CD" w14:textId="77777777" w:rsidTr="00966718">
        <w:trPr>
          <w:trHeight w:val="288"/>
        </w:trPr>
        <w:tc>
          <w:tcPr>
            <w:tcW w:w="4240" w:type="dxa"/>
            <w:tcBorders>
              <w:top w:val="nil"/>
              <w:left w:val="single" w:sz="8" w:space="0" w:color="auto"/>
              <w:bottom w:val="nil"/>
              <w:right w:val="nil"/>
            </w:tcBorders>
            <w:shd w:val="clear" w:color="auto" w:fill="auto"/>
            <w:vAlign w:val="center"/>
            <w:hideMark/>
          </w:tcPr>
          <w:p w14:paraId="00FB63D8"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Net increase in cash before equity raise</w:t>
            </w:r>
          </w:p>
        </w:tc>
        <w:tc>
          <w:tcPr>
            <w:tcW w:w="1240" w:type="dxa"/>
            <w:tcBorders>
              <w:top w:val="single" w:sz="8" w:space="0" w:color="auto"/>
              <w:left w:val="single" w:sz="8" w:space="0" w:color="auto"/>
              <w:bottom w:val="nil"/>
              <w:right w:val="nil"/>
            </w:tcBorders>
            <w:shd w:val="clear" w:color="000000" w:fill="F2F2F2"/>
            <w:noWrap/>
            <w:vAlign w:val="center"/>
            <w:hideMark/>
          </w:tcPr>
          <w:p w14:paraId="4731FAC8"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35</w:t>
            </w:r>
            <w:r>
              <w:rPr>
                <w:rFonts w:ascii="Calibri" w:hAnsi="Calibri" w:cs="Calibri"/>
                <w:b/>
                <w:bCs/>
                <w:sz w:val="20"/>
                <w:lang w:eastAsia="en-GB"/>
              </w:rPr>
              <w:t>6</w:t>
            </w:r>
          </w:p>
        </w:tc>
        <w:tc>
          <w:tcPr>
            <w:tcW w:w="1240" w:type="dxa"/>
            <w:tcBorders>
              <w:top w:val="single" w:sz="8" w:space="0" w:color="auto"/>
              <w:left w:val="single" w:sz="8" w:space="0" w:color="auto"/>
              <w:bottom w:val="nil"/>
              <w:right w:val="nil"/>
            </w:tcBorders>
            <w:shd w:val="clear" w:color="auto" w:fill="auto"/>
            <w:noWrap/>
            <w:vAlign w:val="center"/>
            <w:hideMark/>
          </w:tcPr>
          <w:p w14:paraId="636EB607"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235</w:t>
            </w:r>
          </w:p>
        </w:tc>
        <w:tc>
          <w:tcPr>
            <w:tcW w:w="1240" w:type="dxa"/>
            <w:tcBorders>
              <w:top w:val="single" w:sz="8" w:space="0" w:color="auto"/>
              <w:left w:val="single" w:sz="8" w:space="0" w:color="auto"/>
              <w:bottom w:val="nil"/>
              <w:right w:val="nil"/>
            </w:tcBorders>
            <w:shd w:val="clear" w:color="auto" w:fill="auto"/>
            <w:noWrap/>
            <w:vAlign w:val="center"/>
            <w:hideMark/>
          </w:tcPr>
          <w:p w14:paraId="294A1B03" w14:textId="77777777" w:rsidR="000765D5" w:rsidRPr="004234D8" w:rsidRDefault="000765D5" w:rsidP="00966718">
            <w:pPr>
              <w:jc w:val="right"/>
              <w:rPr>
                <w:rFonts w:ascii="Calibri" w:hAnsi="Calibri" w:cs="Calibri"/>
                <w:b/>
                <w:bCs/>
                <w:sz w:val="20"/>
                <w:lang w:eastAsia="en-GB"/>
              </w:rPr>
            </w:pPr>
          </w:p>
        </w:tc>
        <w:tc>
          <w:tcPr>
            <w:tcW w:w="1240" w:type="dxa"/>
            <w:tcBorders>
              <w:top w:val="single" w:sz="8" w:space="0" w:color="auto"/>
              <w:left w:val="single" w:sz="8" w:space="0" w:color="auto"/>
              <w:bottom w:val="nil"/>
              <w:right w:val="single" w:sz="8" w:space="0" w:color="auto"/>
            </w:tcBorders>
            <w:shd w:val="clear" w:color="000000" w:fill="F2F2F2"/>
            <w:noWrap/>
            <w:vAlign w:val="center"/>
            <w:hideMark/>
          </w:tcPr>
          <w:p w14:paraId="1AFB0E38" w14:textId="77777777" w:rsidR="000765D5" w:rsidRPr="004234D8" w:rsidRDefault="000765D5" w:rsidP="00655B2A">
            <w:pPr>
              <w:jc w:val="right"/>
              <w:rPr>
                <w:rFonts w:ascii="Calibri" w:hAnsi="Calibri" w:cs="Calibri"/>
                <w:b/>
                <w:bCs/>
                <w:sz w:val="20"/>
                <w:lang w:eastAsia="en-GB"/>
              </w:rPr>
            </w:pPr>
            <w:r w:rsidRPr="004234D8">
              <w:rPr>
                <w:rFonts w:ascii="Calibri" w:hAnsi="Calibri" w:cs="Calibri"/>
                <w:b/>
                <w:bCs/>
                <w:sz w:val="20"/>
                <w:lang w:eastAsia="en-GB"/>
              </w:rPr>
              <w:t>1</w:t>
            </w:r>
            <w:r w:rsidR="00655B2A">
              <w:rPr>
                <w:rFonts w:ascii="Calibri" w:hAnsi="Calibri" w:cs="Calibri"/>
                <w:b/>
                <w:bCs/>
                <w:sz w:val="20"/>
                <w:lang w:eastAsia="en-GB"/>
              </w:rPr>
              <w:t>21</w:t>
            </w:r>
          </w:p>
        </w:tc>
      </w:tr>
      <w:tr w:rsidR="000765D5" w:rsidRPr="004234D8" w14:paraId="7AF34D00" w14:textId="77777777" w:rsidTr="00966718">
        <w:trPr>
          <w:trHeight w:val="288"/>
        </w:trPr>
        <w:tc>
          <w:tcPr>
            <w:tcW w:w="4240" w:type="dxa"/>
            <w:tcBorders>
              <w:top w:val="nil"/>
              <w:left w:val="single" w:sz="8" w:space="0" w:color="auto"/>
              <w:bottom w:val="nil"/>
              <w:right w:val="nil"/>
            </w:tcBorders>
            <w:shd w:val="clear" w:color="auto" w:fill="auto"/>
            <w:vAlign w:val="center"/>
            <w:hideMark/>
          </w:tcPr>
          <w:p w14:paraId="10D87EC1" w14:textId="77777777" w:rsidR="000765D5" w:rsidRPr="004234D8" w:rsidRDefault="00640B6F" w:rsidP="00966718">
            <w:pPr>
              <w:rPr>
                <w:rFonts w:ascii="Calibri" w:hAnsi="Calibri" w:cs="Calibri"/>
                <w:color w:val="000000"/>
                <w:sz w:val="20"/>
                <w:lang w:eastAsia="en-GB"/>
              </w:rPr>
            </w:pPr>
            <w:r>
              <w:rPr>
                <w:rFonts w:ascii="Calibri" w:hAnsi="Calibri" w:cs="Calibri"/>
                <w:color w:val="000000"/>
                <w:sz w:val="20"/>
                <w:lang w:eastAsia="en-GB"/>
              </w:rPr>
              <w:t>Proceeds from equity raise</w:t>
            </w:r>
          </w:p>
        </w:tc>
        <w:tc>
          <w:tcPr>
            <w:tcW w:w="1240" w:type="dxa"/>
            <w:tcBorders>
              <w:top w:val="nil"/>
              <w:left w:val="single" w:sz="8" w:space="0" w:color="auto"/>
              <w:bottom w:val="nil"/>
              <w:right w:val="nil"/>
            </w:tcBorders>
            <w:shd w:val="clear" w:color="000000" w:fill="F2F2F2"/>
            <w:noWrap/>
            <w:vAlign w:val="center"/>
            <w:hideMark/>
          </w:tcPr>
          <w:p w14:paraId="5C836224"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806</w:t>
            </w:r>
          </w:p>
        </w:tc>
        <w:tc>
          <w:tcPr>
            <w:tcW w:w="1240" w:type="dxa"/>
            <w:tcBorders>
              <w:top w:val="nil"/>
              <w:left w:val="single" w:sz="8" w:space="0" w:color="auto"/>
              <w:bottom w:val="nil"/>
              <w:right w:val="nil"/>
            </w:tcBorders>
            <w:shd w:val="clear" w:color="auto" w:fill="auto"/>
            <w:noWrap/>
            <w:vAlign w:val="center"/>
            <w:hideMark/>
          </w:tcPr>
          <w:p w14:paraId="3758E97A"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6901C476"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03DAC63A"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806</w:t>
            </w:r>
          </w:p>
        </w:tc>
      </w:tr>
      <w:tr w:rsidR="000765D5" w:rsidRPr="004234D8" w14:paraId="1BF40024" w14:textId="77777777" w:rsidTr="00966718">
        <w:trPr>
          <w:trHeight w:val="288"/>
        </w:trPr>
        <w:tc>
          <w:tcPr>
            <w:tcW w:w="4240" w:type="dxa"/>
            <w:tcBorders>
              <w:top w:val="nil"/>
              <w:left w:val="single" w:sz="8" w:space="0" w:color="auto"/>
              <w:bottom w:val="nil"/>
              <w:right w:val="nil"/>
            </w:tcBorders>
            <w:shd w:val="clear" w:color="auto" w:fill="auto"/>
            <w:vAlign w:val="center"/>
            <w:hideMark/>
          </w:tcPr>
          <w:p w14:paraId="62DDE019"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Net amounts repaid on borrowings</w:t>
            </w:r>
          </w:p>
        </w:tc>
        <w:tc>
          <w:tcPr>
            <w:tcW w:w="1240" w:type="dxa"/>
            <w:tcBorders>
              <w:top w:val="nil"/>
              <w:left w:val="single" w:sz="8" w:space="0" w:color="auto"/>
              <w:bottom w:val="nil"/>
              <w:right w:val="nil"/>
            </w:tcBorders>
            <w:shd w:val="clear" w:color="000000" w:fill="F2F2F2"/>
            <w:noWrap/>
            <w:vAlign w:val="center"/>
            <w:hideMark/>
          </w:tcPr>
          <w:p w14:paraId="74EB1CE2"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7AC00954"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3432C5D7" w14:textId="77777777" w:rsidR="000765D5" w:rsidRPr="004234D8" w:rsidRDefault="000765D5" w:rsidP="00640B6F">
            <w:pPr>
              <w:jc w:val="right"/>
              <w:rPr>
                <w:rFonts w:ascii="Calibri" w:hAnsi="Calibri" w:cs="Calibri"/>
                <w:sz w:val="20"/>
                <w:lang w:eastAsia="en-GB"/>
              </w:rPr>
            </w:pPr>
            <w:r w:rsidRPr="004234D8">
              <w:rPr>
                <w:rFonts w:ascii="Calibri" w:hAnsi="Calibri" w:cs="Calibri"/>
                <w:sz w:val="20"/>
                <w:lang w:eastAsia="en-GB"/>
              </w:rPr>
              <w:t>(68</w:t>
            </w:r>
            <w:r w:rsidR="00640B6F">
              <w:rPr>
                <w:rFonts w:ascii="Calibri" w:hAnsi="Calibri" w:cs="Calibri"/>
                <w:sz w:val="20"/>
                <w:lang w:eastAsia="en-GB"/>
              </w:rPr>
              <w:t>6</w:t>
            </w:r>
            <w:r w:rsidRPr="004234D8">
              <w:rPr>
                <w:rFonts w:ascii="Calibri" w:hAnsi="Calibri" w:cs="Calibri"/>
                <w:sz w:val="20"/>
                <w:lang w:eastAsia="en-GB"/>
              </w:rPr>
              <w:t>)</w:t>
            </w:r>
          </w:p>
        </w:tc>
        <w:tc>
          <w:tcPr>
            <w:tcW w:w="1240" w:type="dxa"/>
            <w:tcBorders>
              <w:top w:val="nil"/>
              <w:left w:val="single" w:sz="8" w:space="0" w:color="auto"/>
              <w:bottom w:val="nil"/>
              <w:right w:val="single" w:sz="8" w:space="0" w:color="auto"/>
            </w:tcBorders>
            <w:shd w:val="clear" w:color="000000" w:fill="F2F2F2"/>
            <w:noWrap/>
            <w:vAlign w:val="center"/>
            <w:hideMark/>
          </w:tcPr>
          <w:p w14:paraId="1ADC995B" w14:textId="77777777" w:rsidR="000765D5" w:rsidRPr="004234D8" w:rsidRDefault="000765D5" w:rsidP="00640B6F">
            <w:pPr>
              <w:jc w:val="right"/>
              <w:rPr>
                <w:rFonts w:ascii="Calibri" w:hAnsi="Calibri" w:cs="Calibri"/>
                <w:sz w:val="20"/>
                <w:lang w:eastAsia="en-GB"/>
              </w:rPr>
            </w:pPr>
            <w:r w:rsidRPr="004234D8">
              <w:rPr>
                <w:rFonts w:ascii="Calibri" w:hAnsi="Calibri" w:cs="Calibri"/>
                <w:sz w:val="20"/>
                <w:lang w:eastAsia="en-GB"/>
              </w:rPr>
              <w:t>(68</w:t>
            </w:r>
            <w:r w:rsidR="00640B6F">
              <w:rPr>
                <w:rFonts w:ascii="Calibri" w:hAnsi="Calibri" w:cs="Calibri"/>
                <w:sz w:val="20"/>
                <w:lang w:eastAsia="en-GB"/>
              </w:rPr>
              <w:t>6</w:t>
            </w:r>
            <w:r w:rsidRPr="004234D8">
              <w:rPr>
                <w:rFonts w:ascii="Calibri" w:hAnsi="Calibri" w:cs="Calibri"/>
                <w:sz w:val="20"/>
                <w:lang w:eastAsia="en-GB"/>
              </w:rPr>
              <w:t>)</w:t>
            </w:r>
          </w:p>
        </w:tc>
      </w:tr>
      <w:tr w:rsidR="000765D5" w:rsidRPr="004234D8" w14:paraId="577BC319" w14:textId="77777777" w:rsidTr="00966718">
        <w:trPr>
          <w:trHeight w:val="299"/>
        </w:trPr>
        <w:tc>
          <w:tcPr>
            <w:tcW w:w="4240" w:type="dxa"/>
            <w:tcBorders>
              <w:top w:val="nil"/>
              <w:left w:val="single" w:sz="8" w:space="0" w:color="auto"/>
              <w:bottom w:val="nil"/>
              <w:right w:val="nil"/>
            </w:tcBorders>
            <w:shd w:val="clear" w:color="auto" w:fill="auto"/>
            <w:vAlign w:val="center"/>
            <w:hideMark/>
          </w:tcPr>
          <w:p w14:paraId="7AB634E0"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Cash acquired in TSG</w:t>
            </w:r>
          </w:p>
        </w:tc>
        <w:tc>
          <w:tcPr>
            <w:tcW w:w="1240" w:type="dxa"/>
            <w:tcBorders>
              <w:top w:val="nil"/>
              <w:left w:val="single" w:sz="8" w:space="0" w:color="auto"/>
              <w:bottom w:val="nil"/>
              <w:right w:val="nil"/>
            </w:tcBorders>
            <w:shd w:val="clear" w:color="000000" w:fill="F2F2F2"/>
            <w:noWrap/>
            <w:vAlign w:val="center"/>
            <w:hideMark/>
          </w:tcPr>
          <w:p w14:paraId="3B176060"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0AD9050A"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42A31305"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445</w:t>
            </w:r>
          </w:p>
        </w:tc>
        <w:tc>
          <w:tcPr>
            <w:tcW w:w="1240" w:type="dxa"/>
            <w:tcBorders>
              <w:top w:val="nil"/>
              <w:left w:val="single" w:sz="8" w:space="0" w:color="auto"/>
              <w:bottom w:val="nil"/>
              <w:right w:val="single" w:sz="8" w:space="0" w:color="auto"/>
            </w:tcBorders>
            <w:shd w:val="clear" w:color="000000" w:fill="F2F2F2"/>
            <w:noWrap/>
            <w:vAlign w:val="center"/>
            <w:hideMark/>
          </w:tcPr>
          <w:p w14:paraId="051D7E1D"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445</w:t>
            </w:r>
          </w:p>
        </w:tc>
      </w:tr>
      <w:tr w:rsidR="000765D5" w:rsidRPr="004234D8" w14:paraId="1243E591"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41F8887F"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Net increase / (decrease) in cash</w:t>
            </w:r>
          </w:p>
        </w:tc>
        <w:tc>
          <w:tcPr>
            <w:tcW w:w="1240" w:type="dxa"/>
            <w:tcBorders>
              <w:top w:val="single" w:sz="8" w:space="0" w:color="auto"/>
              <w:left w:val="single" w:sz="8" w:space="0" w:color="auto"/>
              <w:bottom w:val="single" w:sz="8" w:space="0" w:color="auto"/>
              <w:right w:val="nil"/>
            </w:tcBorders>
            <w:shd w:val="clear" w:color="000000" w:fill="F2F2F2"/>
            <w:noWrap/>
            <w:vAlign w:val="center"/>
            <w:hideMark/>
          </w:tcPr>
          <w:p w14:paraId="769957FC"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1,16</w:t>
            </w:r>
            <w:r>
              <w:rPr>
                <w:rFonts w:ascii="Calibri" w:hAnsi="Calibri" w:cs="Calibri"/>
                <w:b/>
                <w:bCs/>
                <w:sz w:val="20"/>
                <w:lang w:eastAsia="en-GB"/>
              </w:rPr>
              <w:t>2</w:t>
            </w:r>
          </w:p>
        </w:tc>
        <w:tc>
          <w:tcPr>
            <w:tcW w:w="1240" w:type="dxa"/>
            <w:tcBorders>
              <w:top w:val="single" w:sz="8" w:space="0" w:color="auto"/>
              <w:left w:val="single" w:sz="8" w:space="0" w:color="auto"/>
              <w:bottom w:val="single" w:sz="8" w:space="0" w:color="auto"/>
              <w:right w:val="nil"/>
            </w:tcBorders>
            <w:shd w:val="clear" w:color="auto" w:fill="auto"/>
            <w:noWrap/>
            <w:vAlign w:val="center"/>
            <w:hideMark/>
          </w:tcPr>
          <w:p w14:paraId="73D1554E"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235</w:t>
            </w:r>
          </w:p>
        </w:tc>
        <w:tc>
          <w:tcPr>
            <w:tcW w:w="1240" w:type="dxa"/>
            <w:tcBorders>
              <w:top w:val="single" w:sz="8" w:space="0" w:color="auto"/>
              <w:left w:val="single" w:sz="8" w:space="0" w:color="auto"/>
              <w:bottom w:val="single" w:sz="8" w:space="0" w:color="auto"/>
              <w:right w:val="nil"/>
            </w:tcBorders>
            <w:shd w:val="clear" w:color="auto" w:fill="auto"/>
            <w:noWrap/>
            <w:vAlign w:val="center"/>
            <w:hideMark/>
          </w:tcPr>
          <w:p w14:paraId="40C28DCB"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(240)</w:t>
            </w:r>
          </w:p>
        </w:tc>
        <w:tc>
          <w:tcPr>
            <w:tcW w:w="12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2C6735A"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68</w:t>
            </w:r>
            <w:r>
              <w:rPr>
                <w:rFonts w:ascii="Calibri" w:hAnsi="Calibri" w:cs="Calibri"/>
                <w:b/>
                <w:bCs/>
                <w:sz w:val="20"/>
                <w:lang w:eastAsia="en-GB"/>
              </w:rPr>
              <w:t>6</w:t>
            </w:r>
          </w:p>
        </w:tc>
      </w:tr>
      <w:tr w:rsidR="000765D5" w:rsidRPr="004234D8" w14:paraId="1DFBCD87" w14:textId="77777777" w:rsidTr="00966718">
        <w:trPr>
          <w:trHeight w:val="34"/>
        </w:trPr>
        <w:tc>
          <w:tcPr>
            <w:tcW w:w="4240" w:type="dxa"/>
            <w:tcBorders>
              <w:top w:val="nil"/>
              <w:left w:val="single" w:sz="8" w:space="0" w:color="auto"/>
              <w:bottom w:val="nil"/>
              <w:right w:val="nil"/>
            </w:tcBorders>
            <w:shd w:val="clear" w:color="auto" w:fill="auto"/>
            <w:vAlign w:val="center"/>
            <w:hideMark/>
          </w:tcPr>
          <w:p w14:paraId="51CAA30D"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 </w:t>
            </w:r>
          </w:p>
        </w:tc>
        <w:tc>
          <w:tcPr>
            <w:tcW w:w="1240" w:type="dxa"/>
            <w:tcBorders>
              <w:top w:val="nil"/>
              <w:left w:val="single" w:sz="8" w:space="0" w:color="auto"/>
              <w:bottom w:val="nil"/>
              <w:right w:val="nil"/>
            </w:tcBorders>
            <w:shd w:val="clear" w:color="000000" w:fill="F2F2F2"/>
            <w:noWrap/>
            <w:vAlign w:val="center"/>
            <w:hideMark/>
          </w:tcPr>
          <w:p w14:paraId="65DDFD1E"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1044481C"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268F1657" w14:textId="77777777" w:rsidR="000765D5" w:rsidRPr="004234D8" w:rsidRDefault="000765D5" w:rsidP="00966718">
            <w:pPr>
              <w:jc w:val="right"/>
              <w:rPr>
                <w:rFonts w:ascii="Calibri" w:hAnsi="Calibri" w:cs="Calibri"/>
                <w:sz w:val="2"/>
                <w:szCs w:val="2"/>
                <w:lang w:eastAsia="en-GB"/>
              </w:rPr>
            </w:pPr>
            <w:r w:rsidRPr="004234D8">
              <w:rPr>
                <w:rFonts w:ascii="Calibri" w:hAnsi="Calibri" w:cs="Calibri"/>
                <w:sz w:val="2"/>
                <w:szCs w:val="2"/>
                <w:lang w:eastAsia="en-GB"/>
              </w:rPr>
              <w:t> </w:t>
            </w:r>
          </w:p>
        </w:tc>
        <w:tc>
          <w:tcPr>
            <w:tcW w:w="1240" w:type="dxa"/>
            <w:tcBorders>
              <w:top w:val="nil"/>
              <w:left w:val="single" w:sz="8" w:space="0" w:color="auto"/>
              <w:bottom w:val="nil"/>
              <w:right w:val="single" w:sz="8" w:space="0" w:color="auto"/>
            </w:tcBorders>
            <w:shd w:val="clear" w:color="000000" w:fill="F2F2F2"/>
            <w:noWrap/>
            <w:vAlign w:val="center"/>
            <w:hideMark/>
          </w:tcPr>
          <w:p w14:paraId="5A58DBF9"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r>
      <w:tr w:rsidR="000765D5" w:rsidRPr="004234D8" w14:paraId="44548A5F"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6008875D"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Net (debt)/cash at start of year</w:t>
            </w:r>
          </w:p>
        </w:tc>
        <w:tc>
          <w:tcPr>
            <w:tcW w:w="1240" w:type="dxa"/>
            <w:tcBorders>
              <w:top w:val="nil"/>
              <w:left w:val="single" w:sz="8" w:space="0" w:color="auto"/>
              <w:bottom w:val="nil"/>
              <w:right w:val="nil"/>
            </w:tcBorders>
            <w:shd w:val="clear" w:color="000000" w:fill="F2F2F2"/>
            <w:noWrap/>
            <w:vAlign w:val="center"/>
            <w:hideMark/>
          </w:tcPr>
          <w:p w14:paraId="423DD406"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(3,827)</w:t>
            </w:r>
          </w:p>
        </w:tc>
        <w:tc>
          <w:tcPr>
            <w:tcW w:w="1240" w:type="dxa"/>
            <w:tcBorders>
              <w:top w:val="nil"/>
              <w:left w:val="single" w:sz="8" w:space="0" w:color="auto"/>
              <w:bottom w:val="nil"/>
              <w:right w:val="nil"/>
            </w:tcBorders>
            <w:shd w:val="clear" w:color="auto" w:fill="auto"/>
            <w:noWrap/>
            <w:vAlign w:val="center"/>
            <w:hideMark/>
          </w:tcPr>
          <w:p w14:paraId="58FBD0D5"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(3,563)</w:t>
            </w:r>
          </w:p>
        </w:tc>
        <w:tc>
          <w:tcPr>
            <w:tcW w:w="1240" w:type="dxa"/>
            <w:tcBorders>
              <w:top w:val="nil"/>
              <w:left w:val="single" w:sz="8" w:space="0" w:color="auto"/>
              <w:bottom w:val="nil"/>
              <w:right w:val="nil"/>
            </w:tcBorders>
            <w:shd w:val="clear" w:color="auto" w:fill="auto"/>
            <w:noWrap/>
            <w:vAlign w:val="center"/>
            <w:hideMark/>
          </w:tcPr>
          <w:p w14:paraId="4F874F5F"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372</w:t>
            </w:r>
          </w:p>
        </w:tc>
        <w:tc>
          <w:tcPr>
            <w:tcW w:w="1240" w:type="dxa"/>
            <w:tcBorders>
              <w:top w:val="nil"/>
              <w:left w:val="single" w:sz="8" w:space="0" w:color="auto"/>
              <w:bottom w:val="nil"/>
              <w:right w:val="single" w:sz="8" w:space="0" w:color="auto"/>
            </w:tcBorders>
            <w:shd w:val="clear" w:color="000000" w:fill="F2F2F2"/>
            <w:noWrap/>
            <w:vAlign w:val="center"/>
            <w:hideMark/>
          </w:tcPr>
          <w:p w14:paraId="14FCE11B"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108</w:t>
            </w:r>
          </w:p>
        </w:tc>
      </w:tr>
      <w:tr w:rsidR="000765D5" w:rsidRPr="004234D8" w14:paraId="0FCE3261" w14:textId="77777777" w:rsidTr="00966718">
        <w:trPr>
          <w:trHeight w:val="288"/>
        </w:trPr>
        <w:tc>
          <w:tcPr>
            <w:tcW w:w="4240" w:type="dxa"/>
            <w:tcBorders>
              <w:top w:val="nil"/>
              <w:left w:val="single" w:sz="8" w:space="0" w:color="auto"/>
              <w:bottom w:val="nil"/>
              <w:right w:val="nil"/>
            </w:tcBorders>
            <w:shd w:val="clear" w:color="auto" w:fill="auto"/>
            <w:vAlign w:val="center"/>
            <w:hideMark/>
          </w:tcPr>
          <w:p w14:paraId="7A4D35E0"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Foreign currency exchange translation</w:t>
            </w:r>
          </w:p>
        </w:tc>
        <w:tc>
          <w:tcPr>
            <w:tcW w:w="1240" w:type="dxa"/>
            <w:tcBorders>
              <w:top w:val="nil"/>
              <w:left w:val="single" w:sz="8" w:space="0" w:color="auto"/>
              <w:bottom w:val="nil"/>
              <w:right w:val="nil"/>
            </w:tcBorders>
            <w:shd w:val="clear" w:color="000000" w:fill="F2F2F2"/>
            <w:noWrap/>
            <w:vAlign w:val="center"/>
            <w:hideMark/>
          </w:tcPr>
          <w:p w14:paraId="7F18CAA2"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(25</w:t>
            </w:r>
            <w:r>
              <w:rPr>
                <w:rFonts w:ascii="Calibri" w:hAnsi="Calibri" w:cs="Calibri"/>
                <w:sz w:val="20"/>
                <w:lang w:eastAsia="en-GB"/>
              </w:rPr>
              <w:t>3</w:t>
            </w:r>
            <w:r w:rsidRPr="004234D8">
              <w:rPr>
                <w:rFonts w:ascii="Calibri" w:hAnsi="Calibri" w:cs="Calibri"/>
                <w:sz w:val="20"/>
                <w:lang w:eastAsia="en-GB"/>
              </w:rPr>
              <w:t>)</w:t>
            </w:r>
          </w:p>
        </w:tc>
        <w:tc>
          <w:tcPr>
            <w:tcW w:w="1240" w:type="dxa"/>
            <w:tcBorders>
              <w:top w:val="nil"/>
              <w:left w:val="single" w:sz="8" w:space="0" w:color="auto"/>
              <w:bottom w:val="nil"/>
              <w:right w:val="nil"/>
            </w:tcBorders>
            <w:shd w:val="clear" w:color="auto" w:fill="auto"/>
            <w:noWrap/>
            <w:vAlign w:val="center"/>
            <w:hideMark/>
          </w:tcPr>
          <w:p w14:paraId="75229738"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4B102E9D"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245</w:t>
            </w:r>
          </w:p>
        </w:tc>
        <w:tc>
          <w:tcPr>
            <w:tcW w:w="1240" w:type="dxa"/>
            <w:tcBorders>
              <w:top w:val="nil"/>
              <w:left w:val="single" w:sz="8" w:space="0" w:color="auto"/>
              <w:bottom w:val="nil"/>
              <w:right w:val="single" w:sz="8" w:space="0" w:color="auto"/>
            </w:tcBorders>
            <w:shd w:val="clear" w:color="000000" w:fill="F2F2F2"/>
            <w:noWrap/>
            <w:vAlign w:val="center"/>
            <w:hideMark/>
          </w:tcPr>
          <w:p w14:paraId="46D90CD5"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w:t>
            </w:r>
            <w:r>
              <w:rPr>
                <w:rFonts w:ascii="Calibri" w:hAnsi="Calibri" w:cs="Calibri"/>
                <w:sz w:val="20"/>
                <w:lang w:eastAsia="en-GB"/>
              </w:rPr>
              <w:t>8</w:t>
            </w:r>
            <w:r w:rsidRPr="004234D8">
              <w:rPr>
                <w:rFonts w:ascii="Calibri" w:hAnsi="Calibri" w:cs="Calibri"/>
                <w:sz w:val="20"/>
                <w:lang w:eastAsia="en-GB"/>
              </w:rPr>
              <w:t>)</w:t>
            </w:r>
          </w:p>
        </w:tc>
      </w:tr>
      <w:tr w:rsidR="000765D5" w:rsidRPr="004234D8" w14:paraId="2278B462" w14:textId="77777777" w:rsidTr="00966718">
        <w:trPr>
          <w:trHeight w:val="288"/>
        </w:trPr>
        <w:tc>
          <w:tcPr>
            <w:tcW w:w="4240" w:type="dxa"/>
            <w:tcBorders>
              <w:top w:val="nil"/>
              <w:left w:val="single" w:sz="8" w:space="0" w:color="auto"/>
              <w:bottom w:val="nil"/>
              <w:right w:val="nil"/>
            </w:tcBorders>
            <w:shd w:val="clear" w:color="auto" w:fill="auto"/>
            <w:vAlign w:val="center"/>
            <w:hideMark/>
          </w:tcPr>
          <w:p w14:paraId="746F7566" w14:textId="77777777" w:rsidR="000765D5" w:rsidRPr="004234D8" w:rsidRDefault="000765D5" w:rsidP="00966718">
            <w:pPr>
              <w:rPr>
                <w:rFonts w:ascii="Calibri" w:hAnsi="Calibri" w:cs="Calibri"/>
                <w:color w:val="000000"/>
                <w:sz w:val="20"/>
                <w:lang w:eastAsia="en-GB"/>
              </w:rPr>
            </w:pPr>
            <w:r w:rsidRPr="004234D8">
              <w:rPr>
                <w:rFonts w:ascii="Calibri" w:hAnsi="Calibri" w:cs="Calibri"/>
                <w:color w:val="000000"/>
                <w:sz w:val="20"/>
                <w:lang w:eastAsia="en-GB"/>
              </w:rPr>
              <w:t>Change in fair value of hedging derivatives</w:t>
            </w:r>
          </w:p>
        </w:tc>
        <w:tc>
          <w:tcPr>
            <w:tcW w:w="1240" w:type="dxa"/>
            <w:tcBorders>
              <w:top w:val="nil"/>
              <w:left w:val="single" w:sz="8" w:space="0" w:color="auto"/>
              <w:bottom w:val="nil"/>
              <w:right w:val="nil"/>
            </w:tcBorders>
            <w:shd w:val="clear" w:color="000000" w:fill="F2F2F2"/>
            <w:noWrap/>
            <w:vAlign w:val="center"/>
            <w:hideMark/>
          </w:tcPr>
          <w:p w14:paraId="72F7B2CD"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19</w:t>
            </w:r>
          </w:p>
        </w:tc>
        <w:tc>
          <w:tcPr>
            <w:tcW w:w="1240" w:type="dxa"/>
            <w:tcBorders>
              <w:top w:val="nil"/>
              <w:left w:val="single" w:sz="8" w:space="0" w:color="auto"/>
              <w:bottom w:val="nil"/>
              <w:right w:val="nil"/>
            </w:tcBorders>
            <w:shd w:val="clear" w:color="auto" w:fill="auto"/>
            <w:noWrap/>
            <w:vAlign w:val="center"/>
            <w:hideMark/>
          </w:tcPr>
          <w:p w14:paraId="23936048"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c>
          <w:tcPr>
            <w:tcW w:w="1240" w:type="dxa"/>
            <w:tcBorders>
              <w:top w:val="nil"/>
              <w:left w:val="single" w:sz="8" w:space="0" w:color="auto"/>
              <w:bottom w:val="nil"/>
              <w:right w:val="nil"/>
            </w:tcBorders>
            <w:shd w:val="clear" w:color="auto" w:fill="auto"/>
            <w:noWrap/>
            <w:vAlign w:val="center"/>
            <w:hideMark/>
          </w:tcPr>
          <w:p w14:paraId="67E15CBB"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(19)</w:t>
            </w:r>
          </w:p>
        </w:tc>
        <w:tc>
          <w:tcPr>
            <w:tcW w:w="1240" w:type="dxa"/>
            <w:tcBorders>
              <w:top w:val="nil"/>
              <w:left w:val="single" w:sz="8" w:space="0" w:color="auto"/>
              <w:bottom w:val="nil"/>
              <w:right w:val="single" w:sz="8" w:space="0" w:color="auto"/>
            </w:tcBorders>
            <w:shd w:val="clear" w:color="000000" w:fill="F2F2F2"/>
            <w:noWrap/>
            <w:vAlign w:val="center"/>
            <w:hideMark/>
          </w:tcPr>
          <w:p w14:paraId="4BAF6313" w14:textId="77777777" w:rsidR="000765D5" w:rsidRPr="004234D8" w:rsidRDefault="000765D5" w:rsidP="00966718">
            <w:pPr>
              <w:jc w:val="right"/>
              <w:rPr>
                <w:rFonts w:ascii="Calibri" w:hAnsi="Calibri" w:cs="Calibri"/>
                <w:sz w:val="20"/>
                <w:lang w:eastAsia="en-GB"/>
              </w:rPr>
            </w:pPr>
            <w:r w:rsidRPr="004234D8">
              <w:rPr>
                <w:rFonts w:ascii="Calibri" w:hAnsi="Calibri" w:cs="Calibri"/>
                <w:sz w:val="20"/>
                <w:lang w:eastAsia="en-GB"/>
              </w:rPr>
              <w:t> </w:t>
            </w:r>
          </w:p>
        </w:tc>
      </w:tr>
      <w:tr w:rsidR="000765D5" w:rsidRPr="004234D8" w14:paraId="74310A07" w14:textId="77777777" w:rsidTr="00966718">
        <w:trPr>
          <w:trHeight w:val="255"/>
        </w:trPr>
        <w:tc>
          <w:tcPr>
            <w:tcW w:w="4240" w:type="dxa"/>
            <w:tcBorders>
              <w:top w:val="nil"/>
              <w:left w:val="single" w:sz="8" w:space="0" w:color="auto"/>
              <w:bottom w:val="nil"/>
              <w:right w:val="nil"/>
            </w:tcBorders>
            <w:shd w:val="clear" w:color="auto" w:fill="auto"/>
            <w:vAlign w:val="center"/>
            <w:hideMark/>
          </w:tcPr>
          <w:p w14:paraId="0BACDD56" w14:textId="77777777" w:rsidR="000765D5" w:rsidRPr="004234D8" w:rsidRDefault="000765D5" w:rsidP="00966718">
            <w:pPr>
              <w:rPr>
                <w:rFonts w:ascii="Calibri" w:hAnsi="Calibri" w:cs="Calibri"/>
                <w:b/>
                <w:bCs/>
                <w:color w:val="000000"/>
                <w:sz w:val="20"/>
                <w:lang w:eastAsia="en-GB"/>
              </w:rPr>
            </w:pPr>
            <w:r w:rsidRPr="004234D8">
              <w:rPr>
                <w:rFonts w:ascii="Calibri" w:hAnsi="Calibri" w:cs="Calibri"/>
                <w:b/>
                <w:bCs/>
                <w:color w:val="000000"/>
                <w:sz w:val="20"/>
                <w:lang w:eastAsia="en-GB"/>
              </w:rPr>
              <w:t>Net debt at 30 June 2020</w:t>
            </w:r>
          </w:p>
        </w:tc>
        <w:tc>
          <w:tcPr>
            <w:tcW w:w="1240" w:type="dxa"/>
            <w:tcBorders>
              <w:top w:val="nil"/>
              <w:left w:val="single" w:sz="8" w:space="0" w:color="auto"/>
              <w:bottom w:val="nil"/>
              <w:right w:val="nil"/>
            </w:tcBorders>
            <w:shd w:val="clear" w:color="000000" w:fill="F2F2F2"/>
            <w:noWrap/>
            <w:vAlign w:val="center"/>
            <w:hideMark/>
          </w:tcPr>
          <w:p w14:paraId="01B3D588"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(2,899)</w:t>
            </w:r>
          </w:p>
        </w:tc>
        <w:tc>
          <w:tcPr>
            <w:tcW w:w="1240" w:type="dxa"/>
            <w:tcBorders>
              <w:top w:val="nil"/>
              <w:left w:val="single" w:sz="8" w:space="0" w:color="auto"/>
              <w:bottom w:val="nil"/>
              <w:right w:val="nil"/>
            </w:tcBorders>
            <w:shd w:val="clear" w:color="auto" w:fill="auto"/>
            <w:noWrap/>
            <w:vAlign w:val="center"/>
            <w:hideMark/>
          </w:tcPr>
          <w:p w14:paraId="6B13791A"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(3,328)</w:t>
            </w:r>
          </w:p>
        </w:tc>
        <w:tc>
          <w:tcPr>
            <w:tcW w:w="1240" w:type="dxa"/>
            <w:tcBorders>
              <w:top w:val="nil"/>
              <w:left w:val="single" w:sz="8" w:space="0" w:color="auto"/>
              <w:bottom w:val="nil"/>
              <w:right w:val="nil"/>
            </w:tcBorders>
            <w:shd w:val="clear" w:color="auto" w:fill="auto"/>
            <w:noWrap/>
            <w:vAlign w:val="center"/>
            <w:hideMark/>
          </w:tcPr>
          <w:p w14:paraId="6519CB36" w14:textId="77777777" w:rsidR="000765D5" w:rsidRPr="004234D8" w:rsidRDefault="000765D5">
            <w:pPr>
              <w:jc w:val="right"/>
              <w:rPr>
                <w:rFonts w:ascii="Calibri" w:hAnsi="Calibri" w:cs="Calibri"/>
                <w:b/>
                <w:bCs/>
                <w:sz w:val="20"/>
                <w:lang w:eastAsia="en-GB"/>
              </w:rPr>
            </w:pPr>
            <w:r w:rsidRPr="004234D8">
              <w:rPr>
                <w:rFonts w:ascii="Calibri" w:hAnsi="Calibri" w:cs="Calibri"/>
                <w:b/>
                <w:bCs/>
                <w:sz w:val="20"/>
                <w:lang w:eastAsia="en-GB"/>
              </w:rPr>
              <w:t>3</w:t>
            </w:r>
            <w:r w:rsidR="00DC28A0">
              <w:rPr>
                <w:rFonts w:ascii="Calibri" w:hAnsi="Calibri" w:cs="Calibri"/>
                <w:b/>
                <w:bCs/>
                <w:sz w:val="20"/>
                <w:lang w:eastAsia="en-GB"/>
              </w:rPr>
              <w:t>57</w:t>
            </w:r>
          </w:p>
        </w:tc>
        <w:tc>
          <w:tcPr>
            <w:tcW w:w="1240" w:type="dxa"/>
            <w:tcBorders>
              <w:top w:val="nil"/>
              <w:left w:val="single" w:sz="8" w:space="0" w:color="auto"/>
              <w:bottom w:val="nil"/>
              <w:right w:val="single" w:sz="8" w:space="0" w:color="auto"/>
            </w:tcBorders>
            <w:shd w:val="clear" w:color="000000" w:fill="F2F2F2"/>
            <w:noWrap/>
            <w:vAlign w:val="center"/>
            <w:hideMark/>
          </w:tcPr>
          <w:p w14:paraId="2995D59F" w14:textId="77777777" w:rsidR="000765D5" w:rsidRPr="004234D8" w:rsidRDefault="000765D5" w:rsidP="00966718">
            <w:pPr>
              <w:jc w:val="right"/>
              <w:rPr>
                <w:rFonts w:ascii="Calibri" w:hAnsi="Calibri" w:cs="Calibri"/>
                <w:b/>
                <w:bCs/>
                <w:sz w:val="20"/>
                <w:lang w:eastAsia="en-GB"/>
              </w:rPr>
            </w:pPr>
            <w:r w:rsidRPr="004234D8">
              <w:rPr>
                <w:rFonts w:ascii="Calibri" w:hAnsi="Calibri" w:cs="Calibri"/>
                <w:b/>
                <w:bCs/>
                <w:sz w:val="20"/>
                <w:lang w:eastAsia="en-GB"/>
              </w:rPr>
              <w:t>787</w:t>
            </w:r>
          </w:p>
        </w:tc>
      </w:tr>
      <w:tr w:rsidR="000765D5" w:rsidRPr="004234D8" w14:paraId="612BA33B" w14:textId="77777777" w:rsidTr="00966718">
        <w:trPr>
          <w:trHeight w:val="34"/>
        </w:trPr>
        <w:tc>
          <w:tcPr>
            <w:tcW w:w="4240" w:type="dxa"/>
            <w:tcBorders>
              <w:top w:val="nil"/>
              <w:left w:val="single" w:sz="8" w:space="0" w:color="auto"/>
              <w:bottom w:val="single" w:sz="8" w:space="0" w:color="auto"/>
              <w:right w:val="nil"/>
            </w:tcBorders>
            <w:shd w:val="clear" w:color="auto" w:fill="auto"/>
            <w:noWrap/>
            <w:vAlign w:val="bottom"/>
            <w:hideMark/>
          </w:tcPr>
          <w:p w14:paraId="185AA382" w14:textId="77777777" w:rsidR="000765D5" w:rsidRPr="004234D8" w:rsidRDefault="000765D5" w:rsidP="00966718">
            <w:pPr>
              <w:rPr>
                <w:rFonts w:ascii="Calibri" w:hAnsi="Calibri" w:cs="Calibri"/>
                <w:color w:val="000000"/>
                <w:sz w:val="2"/>
                <w:szCs w:val="2"/>
                <w:lang w:eastAsia="en-GB"/>
              </w:rPr>
            </w:pPr>
            <w:r w:rsidRPr="004234D8">
              <w:rPr>
                <w:rFonts w:ascii="Calibri" w:hAnsi="Calibri" w:cs="Calibri"/>
                <w:color w:val="000000"/>
                <w:sz w:val="2"/>
                <w:szCs w:val="2"/>
                <w:lang w:eastAsia="en-GB"/>
              </w:rPr>
              <w:t> </w:t>
            </w:r>
          </w:p>
        </w:tc>
        <w:tc>
          <w:tcPr>
            <w:tcW w:w="1240" w:type="dxa"/>
            <w:tcBorders>
              <w:top w:val="nil"/>
              <w:left w:val="nil"/>
              <w:bottom w:val="single" w:sz="8" w:space="0" w:color="auto"/>
              <w:right w:val="nil"/>
            </w:tcBorders>
            <w:shd w:val="clear" w:color="000000" w:fill="F2F2F2"/>
            <w:noWrap/>
            <w:vAlign w:val="bottom"/>
            <w:hideMark/>
          </w:tcPr>
          <w:p w14:paraId="683F7A88" w14:textId="77777777" w:rsidR="000765D5" w:rsidRPr="004234D8" w:rsidRDefault="000765D5" w:rsidP="00966718">
            <w:pPr>
              <w:rPr>
                <w:rFonts w:ascii="Calibri" w:hAnsi="Calibri" w:cs="Calibri"/>
                <w:color w:val="000000"/>
                <w:sz w:val="2"/>
                <w:szCs w:val="2"/>
                <w:lang w:eastAsia="en-GB"/>
              </w:rPr>
            </w:pPr>
            <w:r w:rsidRPr="004234D8">
              <w:rPr>
                <w:rFonts w:ascii="Calibri" w:hAnsi="Calibri" w:cs="Calibri"/>
                <w:color w:val="000000"/>
                <w:sz w:val="2"/>
                <w:szCs w:val="2"/>
                <w:lang w:eastAsia="en-GB"/>
              </w:rPr>
              <w:t> </w:t>
            </w:r>
          </w:p>
        </w:tc>
        <w:tc>
          <w:tcPr>
            <w:tcW w:w="1240" w:type="dxa"/>
            <w:tcBorders>
              <w:top w:val="nil"/>
              <w:left w:val="nil"/>
              <w:bottom w:val="single" w:sz="8" w:space="0" w:color="auto"/>
              <w:right w:val="nil"/>
            </w:tcBorders>
            <w:shd w:val="clear" w:color="auto" w:fill="auto"/>
            <w:noWrap/>
            <w:vAlign w:val="bottom"/>
            <w:hideMark/>
          </w:tcPr>
          <w:p w14:paraId="664C981C" w14:textId="77777777" w:rsidR="000765D5" w:rsidRPr="004234D8" w:rsidRDefault="000765D5" w:rsidP="00966718">
            <w:pPr>
              <w:rPr>
                <w:rFonts w:ascii="Calibri" w:hAnsi="Calibri" w:cs="Calibri"/>
                <w:color w:val="000000"/>
                <w:sz w:val="2"/>
                <w:szCs w:val="2"/>
                <w:lang w:eastAsia="en-GB"/>
              </w:rPr>
            </w:pPr>
            <w:r w:rsidRPr="004234D8">
              <w:rPr>
                <w:rFonts w:ascii="Calibri" w:hAnsi="Calibri" w:cs="Calibri"/>
                <w:color w:val="000000"/>
                <w:sz w:val="2"/>
                <w:szCs w:val="2"/>
                <w:lang w:eastAsia="en-GB"/>
              </w:rPr>
              <w:t> </w:t>
            </w:r>
          </w:p>
        </w:tc>
        <w:tc>
          <w:tcPr>
            <w:tcW w:w="1240" w:type="dxa"/>
            <w:tcBorders>
              <w:top w:val="nil"/>
              <w:left w:val="nil"/>
              <w:bottom w:val="single" w:sz="8" w:space="0" w:color="auto"/>
              <w:right w:val="nil"/>
            </w:tcBorders>
            <w:shd w:val="clear" w:color="auto" w:fill="auto"/>
            <w:noWrap/>
            <w:vAlign w:val="bottom"/>
            <w:hideMark/>
          </w:tcPr>
          <w:p w14:paraId="237448CF" w14:textId="77777777" w:rsidR="000765D5" w:rsidRPr="004234D8" w:rsidRDefault="000765D5" w:rsidP="00966718">
            <w:pPr>
              <w:rPr>
                <w:rFonts w:ascii="Calibri" w:hAnsi="Calibri" w:cs="Calibri"/>
                <w:color w:val="000000"/>
                <w:sz w:val="2"/>
                <w:szCs w:val="2"/>
                <w:lang w:eastAsia="en-GB"/>
              </w:rPr>
            </w:pPr>
            <w:r w:rsidRPr="004234D8">
              <w:rPr>
                <w:rFonts w:ascii="Calibri" w:hAnsi="Calibri" w:cs="Calibri"/>
                <w:color w:val="000000"/>
                <w:sz w:val="2"/>
                <w:szCs w:val="2"/>
                <w:lang w:eastAsia="en-GB"/>
              </w:rPr>
              <w:t> </w:t>
            </w:r>
          </w:p>
        </w:tc>
        <w:tc>
          <w:tcPr>
            <w:tcW w:w="1240" w:type="dxa"/>
            <w:tcBorders>
              <w:top w:val="nil"/>
              <w:left w:val="nil"/>
              <w:bottom w:val="single" w:sz="8" w:space="0" w:color="auto"/>
              <w:right w:val="single" w:sz="8" w:space="0" w:color="auto"/>
            </w:tcBorders>
            <w:shd w:val="clear" w:color="000000" w:fill="F2F2F2"/>
            <w:noWrap/>
            <w:vAlign w:val="bottom"/>
            <w:hideMark/>
          </w:tcPr>
          <w:p w14:paraId="3F19F07C" w14:textId="77777777" w:rsidR="000765D5" w:rsidRPr="004234D8" w:rsidRDefault="000765D5" w:rsidP="00966718">
            <w:pPr>
              <w:rPr>
                <w:rFonts w:ascii="Calibri" w:hAnsi="Calibri" w:cs="Calibri"/>
                <w:color w:val="000000"/>
                <w:sz w:val="2"/>
                <w:szCs w:val="2"/>
                <w:lang w:eastAsia="en-GB"/>
              </w:rPr>
            </w:pPr>
            <w:r w:rsidRPr="004234D8">
              <w:rPr>
                <w:rFonts w:ascii="Calibri" w:hAnsi="Calibri" w:cs="Calibri"/>
                <w:color w:val="000000"/>
                <w:sz w:val="2"/>
                <w:szCs w:val="2"/>
                <w:lang w:eastAsia="en-GB"/>
              </w:rPr>
              <w:t> </w:t>
            </w:r>
          </w:p>
        </w:tc>
      </w:tr>
    </w:tbl>
    <w:p w14:paraId="6221F4A2" w14:textId="77777777" w:rsidR="000765D5" w:rsidRPr="001B3C9B" w:rsidRDefault="000765D5" w:rsidP="00C9669A">
      <w:pPr>
        <w:spacing w:before="240"/>
        <w:jc w:val="both"/>
        <w:rPr>
          <w:rFonts w:asciiTheme="minorHAnsi" w:hAnsiTheme="minorHAnsi"/>
          <w:sz w:val="16"/>
        </w:rPr>
      </w:pPr>
      <w:r w:rsidRPr="001B3C9B">
        <w:rPr>
          <w:rFonts w:asciiTheme="minorHAnsi" w:hAnsiTheme="minorHAnsi"/>
          <w:sz w:val="16"/>
          <w:vertAlign w:val="superscript"/>
        </w:rPr>
        <w:t>1</w:t>
      </w:r>
      <w:r w:rsidRPr="001B3C9B">
        <w:rPr>
          <w:rFonts w:asciiTheme="minorHAnsi" w:hAnsiTheme="minorHAnsi"/>
          <w:sz w:val="16"/>
        </w:rPr>
        <w:t>Adjusted EBITDA includes the following line items in the statutory cash flow: Profit for the period, separately disclosed items, tax expense before separately disclosed items, financial income before separately disclosed items, financial expense before separately disclosed items and depreciation and amortisation before separately disclosed items.</w:t>
      </w:r>
    </w:p>
    <w:p w14:paraId="4BB2E1C3" w14:textId="77777777" w:rsidR="000765D5" w:rsidRPr="001B3C9B" w:rsidRDefault="000765D5" w:rsidP="00C9669A">
      <w:pPr>
        <w:jc w:val="both"/>
        <w:rPr>
          <w:rFonts w:asciiTheme="minorHAnsi" w:hAnsiTheme="minorHAnsi"/>
          <w:sz w:val="16"/>
        </w:rPr>
      </w:pPr>
      <w:r w:rsidRPr="001B3C9B">
        <w:rPr>
          <w:rFonts w:asciiTheme="minorHAnsi" w:hAnsiTheme="minorHAnsi"/>
          <w:sz w:val="16"/>
          <w:vertAlign w:val="superscript"/>
        </w:rPr>
        <w:t>2</w:t>
      </w:r>
      <w:r w:rsidRPr="001B3C9B">
        <w:rPr>
          <w:rFonts w:asciiTheme="minorHAnsi" w:hAnsiTheme="minorHAnsi"/>
          <w:sz w:val="16"/>
        </w:rPr>
        <w:t xml:space="preserve"> Capex includes purchase of property, plant and equipment, purchase of intangible assets, capitalised internal development expenditure, payment of contingent deferred consideration and </w:t>
      </w:r>
      <w:r>
        <w:rPr>
          <w:rFonts w:asciiTheme="minorHAnsi" w:hAnsiTheme="minorHAnsi"/>
          <w:sz w:val="16"/>
        </w:rPr>
        <w:t>proceeds from the</w:t>
      </w:r>
      <w:r w:rsidRPr="001B3C9B">
        <w:rPr>
          <w:rFonts w:asciiTheme="minorHAnsi" w:hAnsiTheme="minorHAnsi"/>
          <w:sz w:val="16"/>
        </w:rPr>
        <w:t xml:space="preserve"> disposal of assets. </w:t>
      </w:r>
    </w:p>
    <w:p w14:paraId="288BD9CC" w14:textId="77777777" w:rsidR="000765D5" w:rsidRPr="001B3C9B" w:rsidRDefault="000765D5" w:rsidP="00C9669A">
      <w:pPr>
        <w:jc w:val="both"/>
        <w:rPr>
          <w:rFonts w:asciiTheme="minorHAnsi" w:hAnsiTheme="minorHAnsi"/>
          <w:sz w:val="16"/>
        </w:rPr>
      </w:pPr>
      <w:r w:rsidRPr="001B3C9B">
        <w:rPr>
          <w:rFonts w:asciiTheme="minorHAnsi" w:hAnsiTheme="minorHAnsi"/>
          <w:sz w:val="16"/>
          <w:vertAlign w:val="superscript"/>
        </w:rPr>
        <w:t>3</w:t>
      </w:r>
      <w:r w:rsidRPr="001B3C9B">
        <w:rPr>
          <w:rFonts w:asciiTheme="minorHAnsi" w:hAnsiTheme="minorHAnsi"/>
          <w:sz w:val="16"/>
        </w:rPr>
        <w:t xml:space="preserve"> Working capital includes increase in trade and other receivables, increase / (decrease) in trade, other payables and provisions, employee equity-settled share</w:t>
      </w:r>
      <w:r>
        <w:rPr>
          <w:rFonts w:asciiTheme="minorHAnsi" w:hAnsiTheme="minorHAnsi"/>
          <w:sz w:val="16"/>
        </w:rPr>
        <w:t>-</w:t>
      </w:r>
      <w:r w:rsidRPr="001B3C9B">
        <w:rPr>
          <w:rFonts w:asciiTheme="minorHAnsi" w:hAnsiTheme="minorHAnsi"/>
          <w:sz w:val="16"/>
        </w:rPr>
        <w:t>based payments expense before separately disclosed items, and foreign currency exchange loss</w:t>
      </w:r>
      <w:r w:rsidRPr="001B3C9B" w:rsidDel="00FE0279">
        <w:rPr>
          <w:rFonts w:asciiTheme="minorHAnsi" w:hAnsiTheme="minorHAnsi"/>
          <w:sz w:val="16"/>
        </w:rPr>
        <w:t xml:space="preserve"> </w:t>
      </w:r>
      <w:r w:rsidRPr="001B3C9B">
        <w:rPr>
          <w:rFonts w:asciiTheme="minorHAnsi" w:hAnsiTheme="minorHAnsi"/>
          <w:sz w:val="16"/>
        </w:rPr>
        <w:t xml:space="preserve">/ (gain).  </w:t>
      </w:r>
    </w:p>
    <w:p w14:paraId="182F266D" w14:textId="77777777" w:rsidR="000765D5" w:rsidRPr="001B3C9B" w:rsidRDefault="000765D5" w:rsidP="00C9669A">
      <w:pPr>
        <w:jc w:val="both"/>
        <w:rPr>
          <w:rFonts w:asciiTheme="minorHAnsi" w:hAnsiTheme="minorHAnsi"/>
          <w:sz w:val="16"/>
          <w:vertAlign w:val="superscript"/>
        </w:rPr>
      </w:pPr>
      <w:r w:rsidRPr="001B3C9B">
        <w:rPr>
          <w:rFonts w:asciiTheme="minorHAnsi" w:hAnsiTheme="minorHAnsi"/>
          <w:sz w:val="16"/>
          <w:vertAlign w:val="superscript"/>
        </w:rPr>
        <w:t>4</w:t>
      </w:r>
      <w:r w:rsidRPr="001B3C9B">
        <w:rPr>
          <w:rFonts w:asciiTheme="minorHAnsi" w:hAnsiTheme="minorHAnsi"/>
          <w:sz w:val="16"/>
        </w:rPr>
        <w:t xml:space="preserve"> Cash flow from separately disclosed items relates to </w:t>
      </w:r>
      <w:r>
        <w:rPr>
          <w:rFonts w:asciiTheme="minorHAnsi" w:hAnsiTheme="minorHAnsi"/>
          <w:sz w:val="16"/>
        </w:rPr>
        <w:t>costs incurred as a result of the</w:t>
      </w:r>
      <w:r w:rsidRPr="001B3C9B">
        <w:rPr>
          <w:rFonts w:asciiTheme="minorHAnsi" w:hAnsiTheme="minorHAnsi"/>
          <w:sz w:val="16"/>
        </w:rPr>
        <w:t xml:space="preserve"> </w:t>
      </w:r>
      <w:r>
        <w:rPr>
          <w:rFonts w:asciiTheme="minorHAnsi" w:hAnsiTheme="minorHAnsi"/>
          <w:sz w:val="16"/>
        </w:rPr>
        <w:t>Combination</w:t>
      </w:r>
      <w:r w:rsidRPr="001B3C9B">
        <w:rPr>
          <w:rFonts w:asciiTheme="minorHAnsi" w:hAnsiTheme="minorHAnsi"/>
          <w:sz w:val="16"/>
        </w:rPr>
        <w:t xml:space="preserve"> with TSG.</w:t>
      </w:r>
    </w:p>
    <w:p w14:paraId="63E1E9BB" w14:textId="77777777" w:rsidR="000765D5" w:rsidRDefault="000765D5" w:rsidP="00C9669A">
      <w:pPr>
        <w:rPr>
          <w:rFonts w:asciiTheme="minorHAnsi" w:hAnsiTheme="minorHAnsi"/>
          <w:sz w:val="16"/>
        </w:rPr>
      </w:pPr>
      <w:r w:rsidRPr="001B3C9B">
        <w:rPr>
          <w:rFonts w:asciiTheme="minorHAnsi" w:hAnsiTheme="minorHAnsi"/>
          <w:sz w:val="16"/>
          <w:vertAlign w:val="superscript"/>
        </w:rPr>
        <w:t>5</w:t>
      </w:r>
      <w:r w:rsidRPr="001B3C9B">
        <w:rPr>
          <w:rFonts w:asciiTheme="minorHAnsi" w:hAnsiTheme="minorHAnsi"/>
          <w:sz w:val="16"/>
        </w:rPr>
        <w:t xml:space="preserve"> Interest and other borrowing costs includes interest paid, interest received and fees in respect of borrowing facilities</w:t>
      </w:r>
      <w:r>
        <w:rPr>
          <w:rFonts w:asciiTheme="minorHAnsi" w:hAnsiTheme="minorHAnsi"/>
          <w:sz w:val="16"/>
        </w:rPr>
        <w:t>.</w:t>
      </w:r>
    </w:p>
    <w:p w14:paraId="6CD0855F" w14:textId="77777777" w:rsidR="000765D5" w:rsidRDefault="000765D5" w:rsidP="00C9669A">
      <w:pPr>
        <w:rPr>
          <w:rFonts w:asciiTheme="minorHAnsi" w:hAnsiTheme="minorHAnsi"/>
          <w:sz w:val="16"/>
        </w:rPr>
      </w:pPr>
      <w:r w:rsidRPr="00FB6BA1">
        <w:rPr>
          <w:rFonts w:asciiTheme="minorHAnsi" w:hAnsiTheme="minorHAnsi"/>
          <w:sz w:val="16"/>
          <w:vertAlign w:val="superscript"/>
        </w:rPr>
        <w:t xml:space="preserve">6 </w:t>
      </w:r>
      <w:r>
        <w:rPr>
          <w:rFonts w:asciiTheme="minorHAnsi" w:hAnsiTheme="minorHAnsi"/>
          <w:sz w:val="16"/>
        </w:rPr>
        <w:t xml:space="preserve">Lease liabilities paid and other includes payment of lease liabilities, proceeds from the issue of shares on exercise of employee options and dividends paid to non-controlling interest. </w:t>
      </w:r>
    </w:p>
    <w:p w14:paraId="16997092" w14:textId="77777777" w:rsidR="00640B6F" w:rsidRPr="007314E6" w:rsidRDefault="00640B6F" w:rsidP="009B6BB8">
      <w:pPr>
        <w:rPr>
          <w:rFonts w:asciiTheme="minorHAnsi" w:hAnsiTheme="minorHAnsi"/>
          <w:sz w:val="20"/>
          <w:lang w:eastAsia="en-IE"/>
        </w:rPr>
      </w:pPr>
      <w:r>
        <w:rPr>
          <w:rFonts w:asciiTheme="minorHAnsi" w:hAnsiTheme="minorHAnsi"/>
          <w:sz w:val="16"/>
          <w:vertAlign w:val="superscript"/>
          <w:lang w:eastAsia="en-IE"/>
        </w:rPr>
        <w:t>7</w:t>
      </w:r>
      <w:r w:rsidRPr="003E5927">
        <w:rPr>
          <w:rFonts w:asciiTheme="minorHAnsi" w:hAnsiTheme="minorHAnsi"/>
          <w:sz w:val="16"/>
          <w:lang w:eastAsia="en-IE"/>
        </w:rPr>
        <w:t xml:space="preserve"> Net amounts repaid on borrowings includes proceeds from GBP First Lien Term Loan A, net amounts drawn down previous GBP revolving credit facility, repayment of USD First Lien Term Loan B and old GBP Term Loan facility and amounts repaid on overdraft facility</w:t>
      </w:r>
    </w:p>
    <w:p w14:paraId="1780499D" w14:textId="77777777" w:rsidR="000765D5" w:rsidRDefault="00640B6F" w:rsidP="00640B6F">
      <w:pPr>
        <w:rPr>
          <w:rFonts w:asciiTheme="minorHAnsi" w:hAnsiTheme="minorHAnsi"/>
          <w:sz w:val="16"/>
        </w:rPr>
      </w:pPr>
      <w:r>
        <w:rPr>
          <w:rFonts w:asciiTheme="minorHAnsi" w:hAnsiTheme="minorHAnsi"/>
          <w:sz w:val="16"/>
          <w:vertAlign w:val="superscript"/>
        </w:rPr>
        <w:t>8</w:t>
      </w:r>
      <w:r w:rsidR="000765D5">
        <w:rPr>
          <w:rFonts w:asciiTheme="minorHAnsi" w:hAnsiTheme="minorHAnsi"/>
          <w:sz w:val="16"/>
          <w:vertAlign w:val="superscript"/>
        </w:rPr>
        <w:t xml:space="preserve"> </w:t>
      </w:r>
      <w:r w:rsidR="000765D5">
        <w:rPr>
          <w:rFonts w:asciiTheme="minorHAnsi" w:hAnsiTheme="minorHAnsi"/>
          <w:sz w:val="16"/>
        </w:rPr>
        <w:t>Net debt comprises principal outstanding balance of borrowings, accrued interest on those borrowings, cash and cash equivalents and derivatives held for hedging debt instruments.</w:t>
      </w:r>
    </w:p>
    <w:p w14:paraId="2F94C4D5" w14:textId="77777777" w:rsidR="00323BB2" w:rsidRDefault="00323BB2">
      <w:pPr>
        <w:rPr>
          <w:rFonts w:asciiTheme="minorHAnsi" w:hAnsiTheme="minorHAnsi"/>
          <w:sz w:val="20"/>
          <w:lang w:eastAsia="en-IE"/>
        </w:rPr>
      </w:pPr>
      <w:r>
        <w:rPr>
          <w:rFonts w:asciiTheme="minorHAnsi" w:hAnsiTheme="minorHAnsi"/>
          <w:sz w:val="20"/>
          <w:lang w:eastAsia="en-IE"/>
        </w:rPr>
        <w:br w:type="page"/>
      </w:r>
    </w:p>
    <w:p w14:paraId="794FED14" w14:textId="77777777" w:rsidR="00323BB2" w:rsidRPr="007129C8" w:rsidRDefault="00323BB2" w:rsidP="00323BB2">
      <w:pPr>
        <w:pStyle w:val="BodyText"/>
        <w:spacing w:after="0"/>
        <w:rPr>
          <w:rFonts w:asciiTheme="minorHAnsi" w:hAnsiTheme="minorHAnsi"/>
          <w:b/>
          <w:sz w:val="20"/>
          <w:szCs w:val="20"/>
          <w:lang w:val="en-IE"/>
        </w:rPr>
      </w:pPr>
      <w:r w:rsidRPr="007129C8">
        <w:rPr>
          <w:rFonts w:asciiTheme="minorHAnsi" w:hAnsiTheme="minorHAnsi"/>
          <w:b/>
          <w:sz w:val="20"/>
          <w:szCs w:val="20"/>
          <w:lang w:val="en-IE"/>
        </w:rPr>
        <w:lastRenderedPageBreak/>
        <w:t>STATEMENT OF DIRECTORS RESPONSIBILITES</w:t>
      </w:r>
    </w:p>
    <w:p w14:paraId="0A46FFF8" w14:textId="77777777" w:rsidR="00323BB2" w:rsidRPr="007129C8" w:rsidRDefault="00323BB2" w:rsidP="00323BB2">
      <w:pPr>
        <w:pStyle w:val="BodyText"/>
        <w:spacing w:after="0"/>
        <w:rPr>
          <w:rFonts w:asciiTheme="minorHAnsi" w:hAnsiTheme="minorHAnsi"/>
          <w:b/>
          <w:sz w:val="20"/>
          <w:szCs w:val="20"/>
          <w:lang w:val="en-IE"/>
        </w:rPr>
      </w:pPr>
      <w:r w:rsidRPr="007129C8">
        <w:rPr>
          <w:rFonts w:asciiTheme="minorHAnsi" w:hAnsiTheme="minorHAnsi"/>
          <w:b/>
          <w:sz w:val="20"/>
          <w:szCs w:val="20"/>
          <w:lang w:val="en-IE"/>
        </w:rPr>
        <w:t>For t</w:t>
      </w:r>
      <w:r>
        <w:rPr>
          <w:rFonts w:asciiTheme="minorHAnsi" w:hAnsiTheme="minorHAnsi"/>
          <w:b/>
          <w:sz w:val="20"/>
          <w:szCs w:val="20"/>
          <w:lang w:val="en-IE"/>
        </w:rPr>
        <w:t>he six months</w:t>
      </w:r>
      <w:r w:rsidRPr="007129C8">
        <w:rPr>
          <w:rFonts w:asciiTheme="minorHAnsi" w:hAnsiTheme="minorHAnsi"/>
          <w:b/>
          <w:sz w:val="20"/>
          <w:szCs w:val="20"/>
          <w:lang w:val="en-IE"/>
        </w:rPr>
        <w:t xml:space="preserve"> ended </w:t>
      </w:r>
      <w:r>
        <w:rPr>
          <w:rFonts w:asciiTheme="minorHAnsi" w:hAnsiTheme="minorHAnsi"/>
          <w:b/>
          <w:sz w:val="20"/>
          <w:szCs w:val="20"/>
          <w:lang w:val="en-IE"/>
        </w:rPr>
        <w:t>30 June 2020</w:t>
      </w:r>
    </w:p>
    <w:p w14:paraId="60D68F8E" w14:textId="77777777" w:rsidR="00323BB2" w:rsidRPr="007129C8" w:rsidRDefault="00323BB2" w:rsidP="00323BB2">
      <w:pPr>
        <w:pStyle w:val="BodyText"/>
        <w:spacing w:after="0"/>
        <w:rPr>
          <w:rFonts w:asciiTheme="minorHAnsi" w:hAnsiTheme="minorHAnsi"/>
          <w:b/>
          <w:sz w:val="20"/>
          <w:szCs w:val="20"/>
          <w:lang w:val="en-IE"/>
        </w:rPr>
      </w:pPr>
    </w:p>
    <w:p w14:paraId="224E18D9" w14:textId="77777777" w:rsidR="00323BB2" w:rsidRDefault="00323BB2" w:rsidP="00323BB2">
      <w:pPr>
        <w:pStyle w:val="BodyText"/>
        <w:tabs>
          <w:tab w:val="left" w:pos="1276"/>
        </w:tabs>
        <w:spacing w:after="0"/>
        <w:rPr>
          <w:rFonts w:asciiTheme="minorHAnsi" w:hAnsiTheme="minorHAnsi"/>
          <w:sz w:val="20"/>
          <w:szCs w:val="20"/>
          <w:lang w:val="en-IE"/>
        </w:rPr>
      </w:pPr>
      <w:r w:rsidRPr="007129C8">
        <w:rPr>
          <w:rFonts w:asciiTheme="minorHAnsi" w:hAnsiTheme="minorHAnsi"/>
          <w:sz w:val="20"/>
          <w:szCs w:val="20"/>
          <w:lang w:val="en-IE"/>
        </w:rPr>
        <w:t xml:space="preserve">The Directors are responsible for preparing this interim management report in all material respects, in accordance with IAS 34 </w:t>
      </w:r>
      <w:r w:rsidRPr="00D15847">
        <w:rPr>
          <w:rFonts w:asciiTheme="minorHAnsi" w:hAnsiTheme="minorHAnsi"/>
          <w:i/>
          <w:sz w:val="20"/>
          <w:szCs w:val="20"/>
          <w:lang w:val="en-IE"/>
        </w:rPr>
        <w:t>Interim Financial Reporting</w:t>
      </w:r>
      <w:r w:rsidRPr="007129C8">
        <w:rPr>
          <w:rFonts w:asciiTheme="minorHAnsi" w:hAnsiTheme="minorHAnsi"/>
          <w:sz w:val="20"/>
          <w:szCs w:val="20"/>
          <w:lang w:val="en-IE"/>
        </w:rPr>
        <w:t xml:space="preserve"> as adopted by the EU, the Transparency (Directive 2004/109/EC) Regulations 20</w:t>
      </w:r>
      <w:r>
        <w:rPr>
          <w:rFonts w:asciiTheme="minorHAnsi" w:hAnsiTheme="minorHAnsi"/>
          <w:sz w:val="20"/>
          <w:szCs w:val="20"/>
          <w:lang w:val="en-IE"/>
        </w:rPr>
        <w:t>0</w:t>
      </w:r>
      <w:r w:rsidRPr="007129C8">
        <w:rPr>
          <w:rFonts w:asciiTheme="minorHAnsi" w:hAnsiTheme="minorHAnsi"/>
          <w:sz w:val="20"/>
          <w:szCs w:val="20"/>
          <w:lang w:val="en-IE"/>
        </w:rPr>
        <w:t xml:space="preserve">7 (“Transparency Directive”), and the </w:t>
      </w:r>
      <w:r>
        <w:rPr>
          <w:rFonts w:asciiTheme="minorHAnsi" w:hAnsiTheme="minorHAnsi"/>
          <w:sz w:val="20"/>
          <w:szCs w:val="20"/>
          <w:lang w:val="en-IE"/>
        </w:rPr>
        <w:t xml:space="preserve">related </w:t>
      </w:r>
      <w:r w:rsidRPr="007129C8">
        <w:rPr>
          <w:rFonts w:asciiTheme="minorHAnsi" w:hAnsiTheme="minorHAnsi"/>
          <w:sz w:val="20"/>
          <w:szCs w:val="20"/>
          <w:lang w:val="en-IE"/>
        </w:rPr>
        <w:t>Transparency Rules of the Central Bank of Ireland.</w:t>
      </w:r>
    </w:p>
    <w:p w14:paraId="291C03A4" w14:textId="77777777" w:rsidR="00323BB2" w:rsidRDefault="00323BB2" w:rsidP="00323BB2">
      <w:pPr>
        <w:pStyle w:val="BodyText"/>
        <w:spacing w:after="0"/>
        <w:rPr>
          <w:rFonts w:asciiTheme="minorHAnsi" w:hAnsiTheme="minorHAnsi"/>
          <w:sz w:val="20"/>
          <w:szCs w:val="20"/>
          <w:lang w:val="en-IE"/>
        </w:rPr>
      </w:pPr>
    </w:p>
    <w:p w14:paraId="32C47702" w14:textId="77777777" w:rsidR="00323BB2" w:rsidRDefault="00323BB2" w:rsidP="00323BB2">
      <w:pPr>
        <w:autoSpaceDE w:val="0"/>
        <w:autoSpaceDN w:val="0"/>
        <w:adjustRightInd w:val="0"/>
        <w:rPr>
          <w:rFonts w:asciiTheme="minorHAnsi" w:hAnsiTheme="minorHAnsi"/>
          <w:sz w:val="20"/>
          <w:lang w:val="en-IE"/>
        </w:rPr>
      </w:pPr>
      <w:r w:rsidRPr="00C56785">
        <w:rPr>
          <w:rFonts w:asciiTheme="minorHAnsi" w:hAnsiTheme="minorHAnsi"/>
          <w:sz w:val="20"/>
          <w:lang w:val="en-IE"/>
        </w:rPr>
        <w:t xml:space="preserve">In preparing the interim financial information, the </w:t>
      </w:r>
      <w:r>
        <w:rPr>
          <w:rFonts w:asciiTheme="minorHAnsi" w:hAnsiTheme="minorHAnsi"/>
          <w:sz w:val="20"/>
          <w:lang w:val="en-IE"/>
        </w:rPr>
        <w:t>D</w:t>
      </w:r>
      <w:r w:rsidRPr="00C56785">
        <w:rPr>
          <w:rFonts w:asciiTheme="minorHAnsi" w:hAnsiTheme="minorHAnsi"/>
          <w:sz w:val="20"/>
          <w:lang w:val="en-IE"/>
        </w:rPr>
        <w:t>irectors are required to:</w:t>
      </w:r>
    </w:p>
    <w:p w14:paraId="361645B1" w14:textId="77777777" w:rsidR="00323BB2" w:rsidRPr="00C56785" w:rsidRDefault="00323BB2" w:rsidP="00323BB2">
      <w:pPr>
        <w:autoSpaceDE w:val="0"/>
        <w:autoSpaceDN w:val="0"/>
        <w:adjustRightInd w:val="0"/>
        <w:rPr>
          <w:rFonts w:asciiTheme="minorHAnsi" w:hAnsiTheme="minorHAnsi"/>
          <w:sz w:val="20"/>
          <w:lang w:val="en-IE"/>
        </w:rPr>
      </w:pPr>
    </w:p>
    <w:p w14:paraId="0F7C7976" w14:textId="77777777" w:rsidR="00323BB2" w:rsidRDefault="00323BB2" w:rsidP="009B6BB8">
      <w:pPr>
        <w:pStyle w:val="ListParagraph"/>
        <w:numPr>
          <w:ilvl w:val="0"/>
          <w:numId w:val="25"/>
        </w:numPr>
        <w:autoSpaceDE w:val="0"/>
        <w:autoSpaceDN w:val="0"/>
        <w:adjustRightInd w:val="0"/>
        <w:rPr>
          <w:rFonts w:asciiTheme="minorHAnsi" w:hAnsiTheme="minorHAnsi"/>
          <w:sz w:val="20"/>
          <w:lang w:val="en-IE"/>
        </w:rPr>
      </w:pPr>
      <w:r w:rsidRPr="00C56785">
        <w:rPr>
          <w:rFonts w:asciiTheme="minorHAnsi" w:hAnsiTheme="minorHAnsi"/>
          <w:sz w:val="20"/>
          <w:lang w:val="en-IE"/>
        </w:rPr>
        <w:t xml:space="preserve">prepare and present the interim financial information in accordance with IAS 34 </w:t>
      </w:r>
      <w:r w:rsidRPr="00D15847">
        <w:rPr>
          <w:rFonts w:asciiTheme="minorHAnsi" w:hAnsiTheme="minorHAnsi"/>
          <w:i/>
          <w:sz w:val="20"/>
          <w:lang w:val="en-IE"/>
        </w:rPr>
        <w:t>Interim Financial Reporting</w:t>
      </w:r>
      <w:r w:rsidRPr="00C56785">
        <w:rPr>
          <w:rFonts w:asciiTheme="minorHAnsi" w:hAnsiTheme="minorHAnsi"/>
          <w:sz w:val="20"/>
          <w:lang w:val="en-IE"/>
        </w:rPr>
        <w:t xml:space="preserve"> as adopted by the EU, the Transparency (Directive 2004/109/EC) Regulations 2007 (“Transparency Directive”), and the Transparency Rules of the Central Bank of Ireland;</w:t>
      </w:r>
    </w:p>
    <w:p w14:paraId="354C5565" w14:textId="77777777" w:rsidR="00323BB2" w:rsidRDefault="00323BB2" w:rsidP="009B6BB8">
      <w:pPr>
        <w:pStyle w:val="ListParagraph"/>
        <w:numPr>
          <w:ilvl w:val="0"/>
          <w:numId w:val="25"/>
        </w:numPr>
        <w:autoSpaceDE w:val="0"/>
        <w:autoSpaceDN w:val="0"/>
        <w:adjustRightInd w:val="0"/>
        <w:rPr>
          <w:rFonts w:asciiTheme="minorHAnsi" w:hAnsiTheme="minorHAnsi"/>
          <w:sz w:val="20"/>
          <w:lang w:val="en-IE"/>
        </w:rPr>
      </w:pPr>
      <w:r w:rsidRPr="00C56785">
        <w:rPr>
          <w:rFonts w:asciiTheme="minorHAnsi" w:hAnsiTheme="minorHAnsi"/>
          <w:sz w:val="20"/>
          <w:lang w:val="en-IE"/>
        </w:rPr>
        <w:t>ensure the interim financial information has adequate disclosures;</w:t>
      </w:r>
    </w:p>
    <w:p w14:paraId="4C74E001" w14:textId="77777777" w:rsidR="00323BB2" w:rsidRDefault="00323BB2" w:rsidP="009B6BB8">
      <w:pPr>
        <w:pStyle w:val="ListParagraph"/>
        <w:numPr>
          <w:ilvl w:val="0"/>
          <w:numId w:val="25"/>
        </w:numPr>
        <w:autoSpaceDE w:val="0"/>
        <w:autoSpaceDN w:val="0"/>
        <w:adjustRightInd w:val="0"/>
        <w:rPr>
          <w:rFonts w:asciiTheme="minorHAnsi" w:hAnsiTheme="minorHAnsi"/>
          <w:sz w:val="20"/>
          <w:lang w:val="en-IE"/>
        </w:rPr>
      </w:pPr>
      <w:r w:rsidRPr="00C56785">
        <w:rPr>
          <w:rFonts w:asciiTheme="minorHAnsi" w:hAnsiTheme="minorHAnsi"/>
          <w:sz w:val="20"/>
          <w:lang w:val="en-IE"/>
        </w:rPr>
        <w:t>select and apply appropriate accounting policies; and</w:t>
      </w:r>
    </w:p>
    <w:p w14:paraId="3AC257D0" w14:textId="77777777" w:rsidR="00323BB2" w:rsidRDefault="00323BB2" w:rsidP="009B6BB8">
      <w:pPr>
        <w:pStyle w:val="ListParagraph"/>
        <w:numPr>
          <w:ilvl w:val="0"/>
          <w:numId w:val="25"/>
        </w:numPr>
        <w:autoSpaceDE w:val="0"/>
        <w:autoSpaceDN w:val="0"/>
        <w:adjustRightInd w:val="0"/>
        <w:rPr>
          <w:rFonts w:asciiTheme="minorHAnsi" w:hAnsiTheme="minorHAnsi"/>
          <w:sz w:val="20"/>
          <w:lang w:val="en-IE"/>
        </w:rPr>
      </w:pPr>
      <w:r w:rsidRPr="00C56785">
        <w:rPr>
          <w:rFonts w:asciiTheme="minorHAnsi" w:hAnsiTheme="minorHAnsi"/>
          <w:sz w:val="20"/>
          <w:lang w:val="en-IE"/>
        </w:rPr>
        <w:t xml:space="preserve">make accounting estimates that are reasonable in the circumstances. </w:t>
      </w:r>
    </w:p>
    <w:p w14:paraId="4CAF8B0C" w14:textId="77777777" w:rsidR="00323BB2" w:rsidRPr="00C56785" w:rsidRDefault="00323BB2" w:rsidP="00323BB2">
      <w:pPr>
        <w:pStyle w:val="ListParagraph"/>
        <w:autoSpaceDE w:val="0"/>
        <w:autoSpaceDN w:val="0"/>
        <w:adjustRightInd w:val="0"/>
        <w:ind w:left="1060"/>
        <w:rPr>
          <w:rFonts w:asciiTheme="minorHAnsi" w:hAnsiTheme="minorHAnsi"/>
          <w:sz w:val="20"/>
          <w:lang w:val="en-IE"/>
        </w:rPr>
      </w:pPr>
    </w:p>
    <w:p w14:paraId="057625F4" w14:textId="77777777" w:rsidR="00323BB2" w:rsidRPr="009D30BC" w:rsidRDefault="00323BB2" w:rsidP="00323BB2">
      <w:pPr>
        <w:pStyle w:val="BodyText"/>
        <w:spacing w:after="0"/>
        <w:rPr>
          <w:rFonts w:asciiTheme="minorHAnsi" w:hAnsiTheme="minorHAnsi"/>
          <w:sz w:val="20"/>
          <w:szCs w:val="20"/>
          <w:lang w:val="en-IE"/>
        </w:rPr>
      </w:pPr>
      <w:r w:rsidRPr="009D30BC">
        <w:rPr>
          <w:rFonts w:asciiTheme="minorHAnsi" w:hAnsiTheme="minorHAnsi"/>
          <w:sz w:val="20"/>
          <w:szCs w:val="20"/>
          <w:lang w:val="en-IE"/>
        </w:rPr>
        <w:t>We confirm that to the best of our knowledge:</w:t>
      </w:r>
    </w:p>
    <w:p w14:paraId="209AA5E8" w14:textId="77777777" w:rsidR="00323BB2" w:rsidRPr="009D30BC" w:rsidRDefault="00323BB2" w:rsidP="00323BB2">
      <w:pPr>
        <w:pStyle w:val="BodyText"/>
        <w:spacing w:after="0"/>
        <w:rPr>
          <w:rFonts w:asciiTheme="minorHAnsi" w:hAnsiTheme="minorHAnsi"/>
          <w:sz w:val="20"/>
          <w:szCs w:val="20"/>
          <w:lang w:val="en-IE"/>
        </w:rPr>
      </w:pPr>
    </w:p>
    <w:tbl>
      <w:tblPr>
        <w:tblW w:w="0" w:type="auto"/>
        <w:tblInd w:w="108" w:type="dxa"/>
        <w:tblLook w:val="01E0" w:firstRow="1" w:lastRow="1" w:firstColumn="1" w:lastColumn="1" w:noHBand="0" w:noVBand="0"/>
      </w:tblPr>
      <w:tblGrid>
        <w:gridCol w:w="360"/>
        <w:gridCol w:w="360"/>
        <w:gridCol w:w="8686"/>
        <w:gridCol w:w="56"/>
      </w:tblGrid>
      <w:tr w:rsidR="00323BB2" w:rsidRPr="009D30BC" w14:paraId="3EB6765C" w14:textId="77777777" w:rsidTr="00453AFA">
        <w:tc>
          <w:tcPr>
            <w:tcW w:w="358" w:type="dxa"/>
            <w:shd w:val="clear" w:color="auto" w:fill="auto"/>
          </w:tcPr>
          <w:p w14:paraId="67DB8BD2" w14:textId="77777777" w:rsidR="00323BB2" w:rsidRPr="009D30BC" w:rsidRDefault="00323BB2" w:rsidP="00453AFA">
            <w:pPr>
              <w:pStyle w:val="BodyText"/>
              <w:spacing w:after="0"/>
              <w:ind w:hanging="108"/>
              <w:rPr>
                <w:rFonts w:asciiTheme="minorHAnsi" w:hAnsiTheme="minorHAnsi"/>
                <w:sz w:val="20"/>
                <w:szCs w:val="20"/>
                <w:lang w:val="en-IE"/>
              </w:rPr>
            </w:pPr>
            <w:r w:rsidRPr="009D30BC">
              <w:rPr>
                <w:rFonts w:asciiTheme="minorHAnsi" w:hAnsiTheme="minorHAnsi"/>
                <w:sz w:val="20"/>
                <w:szCs w:val="20"/>
                <w:lang w:val="en-IE"/>
              </w:rPr>
              <w:t>a)</w:t>
            </w:r>
          </w:p>
        </w:tc>
        <w:tc>
          <w:tcPr>
            <w:tcW w:w="9104" w:type="dxa"/>
            <w:gridSpan w:val="3"/>
            <w:shd w:val="clear" w:color="auto" w:fill="auto"/>
          </w:tcPr>
          <w:p w14:paraId="6C8FEF9F"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 xml:space="preserve">the condensed set of financial statements in the half-yearly financial report of </w:t>
            </w:r>
            <w:r>
              <w:rPr>
                <w:rFonts w:asciiTheme="minorHAnsi" w:hAnsiTheme="minorHAnsi"/>
                <w:sz w:val="20"/>
                <w:szCs w:val="20"/>
                <w:lang w:val="en-IE"/>
              </w:rPr>
              <w:t>Flutter Entertainment</w:t>
            </w:r>
            <w:r w:rsidRPr="009D30BC">
              <w:rPr>
                <w:rFonts w:asciiTheme="minorHAnsi" w:hAnsiTheme="minorHAnsi"/>
                <w:sz w:val="20"/>
                <w:szCs w:val="20"/>
                <w:lang w:val="en-IE"/>
              </w:rPr>
              <w:t xml:space="preserve"> plc (“the Company”) for the six months ended </w:t>
            </w:r>
            <w:r>
              <w:rPr>
                <w:rFonts w:asciiTheme="minorHAnsi" w:hAnsiTheme="minorHAnsi"/>
                <w:sz w:val="20"/>
                <w:szCs w:val="20"/>
                <w:lang w:val="en-IE"/>
              </w:rPr>
              <w:t>30 June 2020</w:t>
            </w:r>
            <w:r w:rsidRPr="009D30BC">
              <w:rPr>
                <w:rFonts w:asciiTheme="minorHAnsi" w:hAnsiTheme="minorHAnsi"/>
                <w:sz w:val="20"/>
                <w:szCs w:val="20"/>
                <w:lang w:val="en-IE"/>
              </w:rPr>
              <w:t xml:space="preserve"> (“the interim financial information”) which comprises the </w:t>
            </w:r>
            <w:r>
              <w:rPr>
                <w:rFonts w:asciiTheme="minorHAnsi" w:hAnsiTheme="minorHAnsi"/>
                <w:sz w:val="20"/>
                <w:szCs w:val="20"/>
                <w:lang w:val="en-IE"/>
              </w:rPr>
              <w:t>C</w:t>
            </w:r>
            <w:r w:rsidRPr="009D30BC">
              <w:rPr>
                <w:rFonts w:asciiTheme="minorHAnsi" w:hAnsiTheme="minorHAnsi"/>
                <w:sz w:val="20"/>
                <w:szCs w:val="20"/>
                <w:lang w:val="en-IE"/>
              </w:rPr>
              <w:t xml:space="preserve">ondensed </w:t>
            </w:r>
            <w:r>
              <w:rPr>
                <w:rFonts w:asciiTheme="minorHAnsi" w:hAnsiTheme="minorHAnsi"/>
                <w:sz w:val="20"/>
                <w:szCs w:val="20"/>
                <w:lang w:val="en-IE"/>
              </w:rPr>
              <w:t>C</w:t>
            </w:r>
            <w:r w:rsidRPr="009D30BC">
              <w:rPr>
                <w:rFonts w:asciiTheme="minorHAnsi" w:hAnsiTheme="minorHAnsi"/>
                <w:sz w:val="20"/>
                <w:szCs w:val="20"/>
                <w:lang w:val="en-IE"/>
              </w:rPr>
              <w:t xml:space="preserve">onsolidated </w:t>
            </w:r>
            <w:r>
              <w:rPr>
                <w:rFonts w:asciiTheme="minorHAnsi" w:hAnsiTheme="minorHAnsi"/>
                <w:sz w:val="20"/>
                <w:szCs w:val="20"/>
                <w:lang w:val="en-IE"/>
              </w:rPr>
              <w:t>I</w:t>
            </w:r>
            <w:r w:rsidRPr="009D30BC">
              <w:rPr>
                <w:rFonts w:asciiTheme="minorHAnsi" w:hAnsiTheme="minorHAnsi"/>
                <w:sz w:val="20"/>
                <w:szCs w:val="20"/>
                <w:lang w:val="en-IE"/>
              </w:rPr>
              <w:t xml:space="preserve">nterim </w:t>
            </w:r>
            <w:r>
              <w:rPr>
                <w:rFonts w:asciiTheme="minorHAnsi" w:hAnsiTheme="minorHAnsi"/>
                <w:sz w:val="20"/>
                <w:szCs w:val="20"/>
                <w:lang w:val="en-IE"/>
              </w:rPr>
              <w:t>I</w:t>
            </w:r>
            <w:r w:rsidRPr="009D30BC">
              <w:rPr>
                <w:rFonts w:asciiTheme="minorHAnsi" w:hAnsiTheme="minorHAnsi"/>
                <w:sz w:val="20"/>
                <w:szCs w:val="20"/>
                <w:lang w:val="en-IE"/>
              </w:rPr>
              <w:t xml:space="preserve">ncome </w:t>
            </w:r>
            <w:r>
              <w:rPr>
                <w:rFonts w:asciiTheme="minorHAnsi" w:hAnsiTheme="minorHAnsi"/>
                <w:sz w:val="20"/>
                <w:szCs w:val="20"/>
                <w:lang w:val="en-IE"/>
              </w:rPr>
              <w:t>S</w:t>
            </w:r>
            <w:r w:rsidRPr="009D30BC">
              <w:rPr>
                <w:rFonts w:asciiTheme="minorHAnsi" w:hAnsiTheme="minorHAnsi"/>
                <w:sz w:val="20"/>
                <w:szCs w:val="20"/>
                <w:lang w:val="en-IE"/>
              </w:rPr>
              <w:t xml:space="preserve">tatement, the </w:t>
            </w:r>
            <w:r>
              <w:rPr>
                <w:rFonts w:asciiTheme="minorHAnsi" w:hAnsiTheme="minorHAnsi"/>
                <w:sz w:val="20"/>
                <w:szCs w:val="20"/>
                <w:lang w:val="en-IE"/>
              </w:rPr>
              <w:t>C</w:t>
            </w:r>
            <w:r w:rsidRPr="009D30BC">
              <w:rPr>
                <w:rFonts w:asciiTheme="minorHAnsi" w:hAnsiTheme="minorHAnsi"/>
                <w:sz w:val="20"/>
                <w:szCs w:val="20"/>
                <w:lang w:val="en-IE"/>
              </w:rPr>
              <w:t xml:space="preserve">ondensed </w:t>
            </w:r>
            <w:r>
              <w:rPr>
                <w:rFonts w:asciiTheme="minorHAnsi" w:hAnsiTheme="minorHAnsi"/>
                <w:sz w:val="20"/>
                <w:szCs w:val="20"/>
                <w:lang w:val="en-IE"/>
              </w:rPr>
              <w:t>C</w:t>
            </w:r>
            <w:r w:rsidRPr="009D30BC">
              <w:rPr>
                <w:rFonts w:asciiTheme="minorHAnsi" w:hAnsiTheme="minorHAnsi"/>
                <w:sz w:val="20"/>
                <w:szCs w:val="20"/>
                <w:lang w:val="en-IE"/>
              </w:rPr>
              <w:t xml:space="preserve">onsolidated </w:t>
            </w:r>
            <w:r>
              <w:rPr>
                <w:rFonts w:asciiTheme="minorHAnsi" w:hAnsiTheme="minorHAnsi"/>
                <w:sz w:val="20"/>
                <w:szCs w:val="20"/>
                <w:lang w:val="en-IE"/>
              </w:rPr>
              <w:t>I</w:t>
            </w:r>
            <w:r w:rsidRPr="009D30BC">
              <w:rPr>
                <w:rFonts w:asciiTheme="minorHAnsi" w:hAnsiTheme="minorHAnsi"/>
                <w:sz w:val="20"/>
                <w:szCs w:val="20"/>
                <w:lang w:val="en-IE"/>
              </w:rPr>
              <w:t xml:space="preserve">nterim </w:t>
            </w:r>
            <w:r>
              <w:rPr>
                <w:rFonts w:asciiTheme="minorHAnsi" w:hAnsiTheme="minorHAnsi"/>
                <w:sz w:val="20"/>
                <w:szCs w:val="20"/>
                <w:lang w:val="en-IE"/>
              </w:rPr>
              <w:t>S</w:t>
            </w:r>
            <w:r w:rsidRPr="009D30BC">
              <w:rPr>
                <w:rFonts w:asciiTheme="minorHAnsi" w:hAnsiTheme="minorHAnsi"/>
                <w:sz w:val="20"/>
                <w:szCs w:val="20"/>
                <w:lang w:val="en-IE"/>
              </w:rPr>
              <w:t>tatement of</w:t>
            </w:r>
            <w:r>
              <w:rPr>
                <w:rFonts w:asciiTheme="minorHAnsi" w:hAnsiTheme="minorHAnsi"/>
                <w:sz w:val="20"/>
                <w:szCs w:val="20"/>
                <w:lang w:val="en-IE"/>
              </w:rPr>
              <w:t xml:space="preserve"> Other</w:t>
            </w:r>
            <w:r w:rsidRPr="009D30BC">
              <w:rPr>
                <w:rFonts w:asciiTheme="minorHAnsi" w:hAnsiTheme="minorHAnsi"/>
                <w:sz w:val="20"/>
                <w:szCs w:val="20"/>
                <w:lang w:val="en-IE"/>
              </w:rPr>
              <w:t xml:space="preserve"> </w:t>
            </w:r>
            <w:r>
              <w:rPr>
                <w:rFonts w:asciiTheme="minorHAnsi" w:hAnsiTheme="minorHAnsi"/>
                <w:sz w:val="20"/>
                <w:szCs w:val="20"/>
                <w:lang w:val="en-IE"/>
              </w:rPr>
              <w:t>C</w:t>
            </w:r>
            <w:r w:rsidRPr="009D30BC">
              <w:rPr>
                <w:rFonts w:asciiTheme="minorHAnsi" w:hAnsiTheme="minorHAnsi"/>
                <w:sz w:val="20"/>
                <w:szCs w:val="20"/>
                <w:lang w:val="en-IE"/>
              </w:rPr>
              <w:t xml:space="preserve">omprehensive </w:t>
            </w:r>
            <w:r>
              <w:rPr>
                <w:rFonts w:asciiTheme="minorHAnsi" w:hAnsiTheme="minorHAnsi"/>
                <w:sz w:val="20"/>
                <w:szCs w:val="20"/>
                <w:lang w:val="en-IE"/>
              </w:rPr>
              <w:t>I</w:t>
            </w:r>
            <w:r w:rsidRPr="009D30BC">
              <w:rPr>
                <w:rFonts w:asciiTheme="minorHAnsi" w:hAnsiTheme="minorHAnsi"/>
                <w:sz w:val="20"/>
                <w:szCs w:val="20"/>
                <w:lang w:val="en-IE"/>
              </w:rPr>
              <w:t xml:space="preserve">ncome, the </w:t>
            </w:r>
            <w:r>
              <w:rPr>
                <w:rFonts w:asciiTheme="minorHAnsi" w:hAnsiTheme="minorHAnsi"/>
                <w:sz w:val="20"/>
                <w:szCs w:val="20"/>
                <w:lang w:val="en-IE"/>
              </w:rPr>
              <w:t>C</w:t>
            </w:r>
            <w:r w:rsidRPr="009D30BC">
              <w:rPr>
                <w:rFonts w:asciiTheme="minorHAnsi" w:hAnsiTheme="minorHAnsi"/>
                <w:sz w:val="20"/>
                <w:szCs w:val="20"/>
                <w:lang w:val="en-IE"/>
              </w:rPr>
              <w:t xml:space="preserve">ondensed </w:t>
            </w:r>
            <w:r>
              <w:rPr>
                <w:rFonts w:asciiTheme="minorHAnsi" w:hAnsiTheme="minorHAnsi"/>
                <w:sz w:val="20"/>
                <w:szCs w:val="20"/>
                <w:lang w:val="en-IE"/>
              </w:rPr>
              <w:t>C</w:t>
            </w:r>
            <w:r w:rsidRPr="009D30BC">
              <w:rPr>
                <w:rFonts w:asciiTheme="minorHAnsi" w:hAnsiTheme="minorHAnsi"/>
                <w:sz w:val="20"/>
                <w:szCs w:val="20"/>
                <w:lang w:val="en-IE"/>
              </w:rPr>
              <w:t xml:space="preserve">onsolidated </w:t>
            </w:r>
            <w:r>
              <w:rPr>
                <w:rFonts w:asciiTheme="minorHAnsi" w:hAnsiTheme="minorHAnsi"/>
                <w:sz w:val="20"/>
                <w:szCs w:val="20"/>
                <w:lang w:val="en-IE"/>
              </w:rPr>
              <w:t>I</w:t>
            </w:r>
            <w:r w:rsidRPr="009D30BC">
              <w:rPr>
                <w:rFonts w:asciiTheme="minorHAnsi" w:hAnsiTheme="minorHAnsi"/>
                <w:sz w:val="20"/>
                <w:szCs w:val="20"/>
                <w:lang w:val="en-IE"/>
              </w:rPr>
              <w:t xml:space="preserve">nterim </w:t>
            </w:r>
            <w:r>
              <w:rPr>
                <w:rFonts w:asciiTheme="minorHAnsi" w:hAnsiTheme="minorHAnsi"/>
                <w:sz w:val="20"/>
                <w:szCs w:val="20"/>
                <w:lang w:val="en-IE"/>
              </w:rPr>
              <w:t>S</w:t>
            </w:r>
            <w:r w:rsidRPr="009D30BC">
              <w:rPr>
                <w:rFonts w:asciiTheme="minorHAnsi" w:hAnsiTheme="minorHAnsi"/>
                <w:sz w:val="20"/>
                <w:szCs w:val="20"/>
                <w:lang w:val="en-IE"/>
              </w:rPr>
              <w:t xml:space="preserve">tatement of </w:t>
            </w:r>
            <w:r>
              <w:rPr>
                <w:rFonts w:asciiTheme="minorHAnsi" w:hAnsiTheme="minorHAnsi"/>
                <w:sz w:val="20"/>
                <w:szCs w:val="20"/>
                <w:lang w:val="en-IE"/>
              </w:rPr>
              <w:t>F</w:t>
            </w:r>
            <w:r w:rsidRPr="009D30BC">
              <w:rPr>
                <w:rFonts w:asciiTheme="minorHAnsi" w:hAnsiTheme="minorHAnsi"/>
                <w:sz w:val="20"/>
                <w:szCs w:val="20"/>
                <w:lang w:val="en-IE"/>
              </w:rPr>
              <w:t xml:space="preserve">inancial </w:t>
            </w:r>
            <w:r>
              <w:rPr>
                <w:rFonts w:asciiTheme="minorHAnsi" w:hAnsiTheme="minorHAnsi"/>
                <w:sz w:val="20"/>
                <w:szCs w:val="20"/>
                <w:lang w:val="en-IE"/>
              </w:rPr>
              <w:t>P</w:t>
            </w:r>
            <w:r w:rsidRPr="009D30BC">
              <w:rPr>
                <w:rFonts w:asciiTheme="minorHAnsi" w:hAnsiTheme="minorHAnsi"/>
                <w:sz w:val="20"/>
                <w:szCs w:val="20"/>
                <w:lang w:val="en-IE"/>
              </w:rPr>
              <w:t xml:space="preserve">osition, the </w:t>
            </w:r>
            <w:r>
              <w:rPr>
                <w:rFonts w:asciiTheme="minorHAnsi" w:hAnsiTheme="minorHAnsi"/>
                <w:sz w:val="20"/>
                <w:szCs w:val="20"/>
                <w:lang w:val="en-IE"/>
              </w:rPr>
              <w:t>C</w:t>
            </w:r>
            <w:r w:rsidRPr="009D30BC">
              <w:rPr>
                <w:rFonts w:asciiTheme="minorHAnsi" w:hAnsiTheme="minorHAnsi"/>
                <w:sz w:val="20"/>
                <w:szCs w:val="20"/>
                <w:lang w:val="en-IE"/>
              </w:rPr>
              <w:t xml:space="preserve">ondensed </w:t>
            </w:r>
            <w:r>
              <w:rPr>
                <w:rFonts w:asciiTheme="minorHAnsi" w:hAnsiTheme="minorHAnsi"/>
                <w:sz w:val="20"/>
                <w:szCs w:val="20"/>
                <w:lang w:val="en-IE"/>
              </w:rPr>
              <w:t>C</w:t>
            </w:r>
            <w:r w:rsidRPr="009D30BC">
              <w:rPr>
                <w:rFonts w:asciiTheme="minorHAnsi" w:hAnsiTheme="minorHAnsi"/>
                <w:sz w:val="20"/>
                <w:szCs w:val="20"/>
                <w:lang w:val="en-IE"/>
              </w:rPr>
              <w:t xml:space="preserve">onsolidated </w:t>
            </w:r>
            <w:r>
              <w:rPr>
                <w:rFonts w:asciiTheme="minorHAnsi" w:hAnsiTheme="minorHAnsi"/>
                <w:sz w:val="20"/>
                <w:szCs w:val="20"/>
                <w:lang w:val="en-IE"/>
              </w:rPr>
              <w:t>I</w:t>
            </w:r>
            <w:r w:rsidRPr="009D30BC">
              <w:rPr>
                <w:rFonts w:asciiTheme="minorHAnsi" w:hAnsiTheme="minorHAnsi"/>
                <w:sz w:val="20"/>
                <w:szCs w:val="20"/>
                <w:lang w:val="en-IE"/>
              </w:rPr>
              <w:t xml:space="preserve">nterim </w:t>
            </w:r>
            <w:r>
              <w:rPr>
                <w:rFonts w:asciiTheme="minorHAnsi" w:hAnsiTheme="minorHAnsi"/>
                <w:sz w:val="20"/>
                <w:szCs w:val="20"/>
                <w:lang w:val="en-IE"/>
              </w:rPr>
              <w:t>S</w:t>
            </w:r>
            <w:r w:rsidRPr="009D30BC">
              <w:rPr>
                <w:rFonts w:asciiTheme="minorHAnsi" w:hAnsiTheme="minorHAnsi"/>
                <w:sz w:val="20"/>
                <w:szCs w:val="20"/>
                <w:lang w:val="en-IE"/>
              </w:rPr>
              <w:t xml:space="preserve">tatement of </w:t>
            </w:r>
            <w:r>
              <w:rPr>
                <w:rFonts w:asciiTheme="minorHAnsi" w:hAnsiTheme="minorHAnsi"/>
                <w:sz w:val="20"/>
                <w:szCs w:val="20"/>
                <w:lang w:val="en-IE"/>
              </w:rPr>
              <w:t>C</w:t>
            </w:r>
            <w:r w:rsidRPr="009D30BC">
              <w:rPr>
                <w:rFonts w:asciiTheme="minorHAnsi" w:hAnsiTheme="minorHAnsi"/>
                <w:sz w:val="20"/>
                <w:szCs w:val="20"/>
                <w:lang w:val="en-IE"/>
              </w:rPr>
              <w:t xml:space="preserve">ash </w:t>
            </w:r>
            <w:r>
              <w:rPr>
                <w:rFonts w:asciiTheme="minorHAnsi" w:hAnsiTheme="minorHAnsi"/>
                <w:sz w:val="20"/>
                <w:szCs w:val="20"/>
                <w:lang w:val="en-IE"/>
              </w:rPr>
              <w:t>F</w:t>
            </w:r>
            <w:r w:rsidRPr="009D30BC">
              <w:rPr>
                <w:rFonts w:asciiTheme="minorHAnsi" w:hAnsiTheme="minorHAnsi"/>
                <w:sz w:val="20"/>
                <w:szCs w:val="20"/>
                <w:lang w:val="en-IE"/>
              </w:rPr>
              <w:t xml:space="preserve">lows, the </w:t>
            </w:r>
            <w:r>
              <w:rPr>
                <w:rFonts w:asciiTheme="minorHAnsi" w:hAnsiTheme="minorHAnsi"/>
                <w:sz w:val="20"/>
                <w:szCs w:val="20"/>
                <w:lang w:val="en-IE"/>
              </w:rPr>
              <w:t>C</w:t>
            </w:r>
            <w:r w:rsidRPr="009D30BC">
              <w:rPr>
                <w:rFonts w:asciiTheme="minorHAnsi" w:hAnsiTheme="minorHAnsi"/>
                <w:sz w:val="20"/>
                <w:szCs w:val="20"/>
                <w:lang w:val="en-IE"/>
              </w:rPr>
              <w:t xml:space="preserve">ondensed </w:t>
            </w:r>
            <w:r>
              <w:rPr>
                <w:rFonts w:asciiTheme="minorHAnsi" w:hAnsiTheme="minorHAnsi"/>
                <w:sz w:val="20"/>
                <w:szCs w:val="20"/>
                <w:lang w:val="en-IE"/>
              </w:rPr>
              <w:t>C</w:t>
            </w:r>
            <w:r w:rsidRPr="009D30BC">
              <w:rPr>
                <w:rFonts w:asciiTheme="minorHAnsi" w:hAnsiTheme="minorHAnsi"/>
                <w:sz w:val="20"/>
                <w:szCs w:val="20"/>
                <w:lang w:val="en-IE"/>
              </w:rPr>
              <w:t xml:space="preserve">onsolidated </w:t>
            </w:r>
            <w:r>
              <w:rPr>
                <w:rFonts w:asciiTheme="minorHAnsi" w:hAnsiTheme="minorHAnsi"/>
                <w:sz w:val="20"/>
                <w:szCs w:val="20"/>
                <w:lang w:val="en-IE"/>
              </w:rPr>
              <w:t>I</w:t>
            </w:r>
            <w:r w:rsidRPr="009D30BC">
              <w:rPr>
                <w:rFonts w:asciiTheme="minorHAnsi" w:hAnsiTheme="minorHAnsi"/>
                <w:sz w:val="20"/>
                <w:szCs w:val="20"/>
                <w:lang w:val="en-IE"/>
              </w:rPr>
              <w:t xml:space="preserve">nterim </w:t>
            </w:r>
            <w:r>
              <w:rPr>
                <w:rFonts w:asciiTheme="minorHAnsi" w:hAnsiTheme="minorHAnsi"/>
                <w:sz w:val="20"/>
                <w:szCs w:val="20"/>
                <w:lang w:val="en-IE"/>
              </w:rPr>
              <w:t>S</w:t>
            </w:r>
            <w:r w:rsidRPr="009D30BC">
              <w:rPr>
                <w:rFonts w:asciiTheme="minorHAnsi" w:hAnsiTheme="minorHAnsi"/>
                <w:sz w:val="20"/>
                <w:szCs w:val="20"/>
                <w:lang w:val="en-IE"/>
              </w:rPr>
              <w:t xml:space="preserve">tatement of </w:t>
            </w:r>
            <w:r>
              <w:rPr>
                <w:rFonts w:asciiTheme="minorHAnsi" w:hAnsiTheme="minorHAnsi"/>
                <w:sz w:val="20"/>
                <w:szCs w:val="20"/>
                <w:lang w:val="en-IE"/>
              </w:rPr>
              <w:t>C</w:t>
            </w:r>
            <w:r w:rsidRPr="009D30BC">
              <w:rPr>
                <w:rFonts w:asciiTheme="minorHAnsi" w:hAnsiTheme="minorHAnsi"/>
                <w:sz w:val="20"/>
                <w:szCs w:val="20"/>
                <w:lang w:val="en-IE"/>
              </w:rPr>
              <w:t xml:space="preserve">hanges in </w:t>
            </w:r>
            <w:r>
              <w:rPr>
                <w:rFonts w:asciiTheme="minorHAnsi" w:hAnsiTheme="minorHAnsi"/>
                <w:sz w:val="20"/>
                <w:szCs w:val="20"/>
                <w:lang w:val="en-IE"/>
              </w:rPr>
              <w:t>E</w:t>
            </w:r>
            <w:r w:rsidRPr="009D30BC">
              <w:rPr>
                <w:rFonts w:asciiTheme="minorHAnsi" w:hAnsiTheme="minorHAnsi"/>
                <w:sz w:val="20"/>
                <w:szCs w:val="20"/>
                <w:lang w:val="en-IE"/>
              </w:rPr>
              <w:t xml:space="preserve">quity and related explanatory notes, have been presented and prepared in accordance with International Accounting Standard 34, </w:t>
            </w:r>
            <w:r w:rsidRPr="00D15847">
              <w:rPr>
                <w:rFonts w:asciiTheme="minorHAnsi" w:hAnsiTheme="minorHAnsi"/>
                <w:i/>
                <w:sz w:val="20"/>
                <w:szCs w:val="20"/>
                <w:lang w:val="en-IE"/>
              </w:rPr>
              <w:t>Interim Financial Reporting</w:t>
            </w:r>
            <w:r w:rsidRPr="009D30BC">
              <w:rPr>
                <w:rFonts w:asciiTheme="minorHAnsi" w:hAnsiTheme="minorHAnsi"/>
                <w:sz w:val="20"/>
                <w:szCs w:val="20"/>
                <w:lang w:val="en-IE"/>
              </w:rPr>
              <w:t>, as adopted by the European Union.</w:t>
            </w:r>
          </w:p>
          <w:p w14:paraId="68E89C06" w14:textId="77777777" w:rsidR="00323BB2" w:rsidRPr="009D30BC" w:rsidRDefault="00323BB2" w:rsidP="00453AFA">
            <w:pPr>
              <w:pStyle w:val="BodyText"/>
              <w:spacing w:after="0"/>
              <w:ind w:left="-108"/>
              <w:rPr>
                <w:rFonts w:asciiTheme="minorHAnsi" w:hAnsiTheme="minorHAnsi"/>
                <w:sz w:val="20"/>
                <w:szCs w:val="20"/>
                <w:lang w:val="en-IE"/>
              </w:rPr>
            </w:pPr>
          </w:p>
        </w:tc>
      </w:tr>
      <w:tr w:rsidR="00323BB2" w:rsidRPr="009D30BC" w14:paraId="468F7A92" w14:textId="77777777" w:rsidTr="00453AFA">
        <w:tc>
          <w:tcPr>
            <w:tcW w:w="358" w:type="dxa"/>
            <w:shd w:val="clear" w:color="auto" w:fill="auto"/>
          </w:tcPr>
          <w:p w14:paraId="78E77BA3" w14:textId="77777777" w:rsidR="00323BB2" w:rsidRPr="009D30BC" w:rsidRDefault="00323BB2" w:rsidP="00453AFA">
            <w:pPr>
              <w:pStyle w:val="BodyText"/>
              <w:spacing w:after="0"/>
              <w:ind w:hanging="108"/>
              <w:rPr>
                <w:rFonts w:asciiTheme="minorHAnsi" w:hAnsiTheme="minorHAnsi"/>
                <w:sz w:val="20"/>
                <w:szCs w:val="20"/>
                <w:lang w:val="en-IE"/>
              </w:rPr>
            </w:pPr>
            <w:r w:rsidRPr="009D30BC">
              <w:rPr>
                <w:rFonts w:asciiTheme="minorHAnsi" w:hAnsiTheme="minorHAnsi"/>
                <w:sz w:val="20"/>
                <w:szCs w:val="20"/>
                <w:lang w:val="en-IE"/>
              </w:rPr>
              <w:t>b)</w:t>
            </w:r>
          </w:p>
        </w:tc>
        <w:tc>
          <w:tcPr>
            <w:tcW w:w="9104" w:type="dxa"/>
            <w:gridSpan w:val="3"/>
            <w:shd w:val="clear" w:color="auto" w:fill="auto"/>
          </w:tcPr>
          <w:p w14:paraId="637F22B6"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the interim financial information presented, as required by the Transparency (Directive 2004/109/EC) Regulations 20</w:t>
            </w:r>
            <w:r>
              <w:rPr>
                <w:rFonts w:asciiTheme="minorHAnsi" w:hAnsiTheme="minorHAnsi"/>
                <w:sz w:val="20"/>
                <w:szCs w:val="20"/>
                <w:lang w:val="en-IE"/>
              </w:rPr>
              <w:t>0</w:t>
            </w:r>
            <w:r w:rsidRPr="009D30BC">
              <w:rPr>
                <w:rFonts w:asciiTheme="minorHAnsi" w:hAnsiTheme="minorHAnsi"/>
                <w:sz w:val="20"/>
                <w:szCs w:val="20"/>
                <w:lang w:val="en-IE"/>
              </w:rPr>
              <w:t>7, includes:</w:t>
            </w:r>
          </w:p>
          <w:p w14:paraId="1F637BC2" w14:textId="77777777" w:rsidR="00323BB2" w:rsidRPr="009D30BC" w:rsidRDefault="00323BB2" w:rsidP="00453AFA">
            <w:pPr>
              <w:pStyle w:val="BodyText"/>
              <w:spacing w:after="0"/>
              <w:ind w:left="-108"/>
              <w:rPr>
                <w:rFonts w:asciiTheme="minorHAnsi" w:hAnsiTheme="minorHAnsi"/>
                <w:sz w:val="20"/>
                <w:szCs w:val="20"/>
                <w:lang w:val="en-IE"/>
              </w:rPr>
            </w:pPr>
          </w:p>
        </w:tc>
      </w:tr>
      <w:tr w:rsidR="00323BB2" w:rsidRPr="009D30BC" w14:paraId="5D200EA6" w14:textId="77777777" w:rsidTr="00453AFA">
        <w:trPr>
          <w:gridBefore w:val="1"/>
          <w:gridAfter w:val="1"/>
          <w:wBefore w:w="360" w:type="dxa"/>
          <w:wAfter w:w="54" w:type="dxa"/>
        </w:trPr>
        <w:tc>
          <w:tcPr>
            <w:tcW w:w="360" w:type="dxa"/>
            <w:shd w:val="clear" w:color="auto" w:fill="auto"/>
          </w:tcPr>
          <w:p w14:paraId="095E1C9E" w14:textId="77777777" w:rsidR="00323BB2" w:rsidRPr="009D30BC" w:rsidRDefault="00323BB2" w:rsidP="00453AFA">
            <w:pPr>
              <w:pStyle w:val="BodyText"/>
              <w:spacing w:after="0"/>
              <w:ind w:left="-108"/>
              <w:rPr>
                <w:rFonts w:asciiTheme="minorHAnsi" w:hAnsiTheme="minorHAnsi"/>
                <w:sz w:val="20"/>
                <w:szCs w:val="20"/>
                <w:lang w:val="en-IE"/>
              </w:rPr>
            </w:pPr>
            <w:proofErr w:type="spellStart"/>
            <w:r w:rsidRPr="009D30BC">
              <w:rPr>
                <w:rFonts w:asciiTheme="minorHAnsi" w:hAnsiTheme="minorHAnsi"/>
                <w:sz w:val="20"/>
                <w:szCs w:val="20"/>
                <w:lang w:val="en-IE"/>
              </w:rPr>
              <w:t>i</w:t>
            </w:r>
            <w:proofErr w:type="spellEnd"/>
            <w:r w:rsidRPr="009D30BC">
              <w:rPr>
                <w:rFonts w:asciiTheme="minorHAnsi" w:hAnsiTheme="minorHAnsi"/>
                <w:sz w:val="20"/>
                <w:szCs w:val="20"/>
                <w:lang w:val="en-IE"/>
              </w:rPr>
              <w:t>)</w:t>
            </w:r>
          </w:p>
        </w:tc>
        <w:tc>
          <w:tcPr>
            <w:tcW w:w="8688" w:type="dxa"/>
            <w:shd w:val="clear" w:color="auto" w:fill="auto"/>
          </w:tcPr>
          <w:p w14:paraId="7A7C8A40"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an indication of important events that have occurred during the first six months of the financial year, and their impact on the condensed set of financial statements;</w:t>
            </w:r>
          </w:p>
          <w:p w14:paraId="16D0A393" w14:textId="77777777" w:rsidR="00323BB2" w:rsidRPr="009D30BC" w:rsidRDefault="00323BB2" w:rsidP="00453AFA">
            <w:pPr>
              <w:pStyle w:val="BodyText"/>
              <w:spacing w:after="0"/>
              <w:ind w:left="-108"/>
              <w:rPr>
                <w:rFonts w:asciiTheme="minorHAnsi" w:hAnsiTheme="minorHAnsi"/>
                <w:sz w:val="20"/>
                <w:szCs w:val="20"/>
                <w:lang w:val="en-IE"/>
              </w:rPr>
            </w:pPr>
          </w:p>
        </w:tc>
      </w:tr>
      <w:tr w:rsidR="00323BB2" w:rsidRPr="009D30BC" w14:paraId="77B00ADB" w14:textId="77777777" w:rsidTr="00453AFA">
        <w:trPr>
          <w:gridBefore w:val="1"/>
          <w:gridAfter w:val="1"/>
          <w:wBefore w:w="360" w:type="dxa"/>
          <w:wAfter w:w="54" w:type="dxa"/>
        </w:trPr>
        <w:tc>
          <w:tcPr>
            <w:tcW w:w="360" w:type="dxa"/>
            <w:shd w:val="clear" w:color="auto" w:fill="auto"/>
          </w:tcPr>
          <w:p w14:paraId="31DEE4C0"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ii)</w:t>
            </w:r>
          </w:p>
        </w:tc>
        <w:tc>
          <w:tcPr>
            <w:tcW w:w="8688" w:type="dxa"/>
            <w:shd w:val="clear" w:color="auto" w:fill="auto"/>
          </w:tcPr>
          <w:p w14:paraId="4EFA698C"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a description of the principal risks and uncertainties for the remaining six months of the financial year;</w:t>
            </w:r>
          </w:p>
        </w:tc>
      </w:tr>
      <w:tr w:rsidR="00323BB2" w:rsidRPr="009D30BC" w14:paraId="4D809266" w14:textId="77777777" w:rsidTr="00453AFA">
        <w:trPr>
          <w:gridBefore w:val="1"/>
          <w:gridAfter w:val="1"/>
          <w:wBefore w:w="360" w:type="dxa"/>
          <w:wAfter w:w="54" w:type="dxa"/>
        </w:trPr>
        <w:tc>
          <w:tcPr>
            <w:tcW w:w="360" w:type="dxa"/>
            <w:shd w:val="clear" w:color="auto" w:fill="auto"/>
          </w:tcPr>
          <w:p w14:paraId="379D5C16" w14:textId="77777777" w:rsidR="00323BB2" w:rsidRPr="009D30BC" w:rsidRDefault="00323BB2" w:rsidP="00453AFA">
            <w:pPr>
              <w:pStyle w:val="BodyText"/>
              <w:spacing w:after="0"/>
              <w:ind w:left="-108"/>
              <w:rPr>
                <w:rFonts w:asciiTheme="minorHAnsi" w:hAnsiTheme="minorHAnsi"/>
                <w:sz w:val="20"/>
                <w:szCs w:val="20"/>
                <w:lang w:val="en-IE"/>
              </w:rPr>
            </w:pPr>
          </w:p>
        </w:tc>
        <w:tc>
          <w:tcPr>
            <w:tcW w:w="8688" w:type="dxa"/>
            <w:shd w:val="clear" w:color="auto" w:fill="auto"/>
          </w:tcPr>
          <w:p w14:paraId="2AE27A75" w14:textId="77777777" w:rsidR="00323BB2" w:rsidRPr="009D30BC" w:rsidRDefault="00323BB2" w:rsidP="00453AFA">
            <w:pPr>
              <w:pStyle w:val="BodyText"/>
              <w:spacing w:after="0"/>
              <w:ind w:left="-108"/>
              <w:rPr>
                <w:rFonts w:asciiTheme="minorHAnsi" w:hAnsiTheme="minorHAnsi"/>
                <w:sz w:val="20"/>
                <w:szCs w:val="20"/>
                <w:lang w:val="en-IE"/>
              </w:rPr>
            </w:pPr>
          </w:p>
        </w:tc>
      </w:tr>
      <w:tr w:rsidR="00323BB2" w:rsidRPr="009D30BC" w14:paraId="6B59D862" w14:textId="77777777" w:rsidTr="00453AFA">
        <w:trPr>
          <w:gridBefore w:val="1"/>
          <w:gridAfter w:val="1"/>
          <w:wBefore w:w="360" w:type="dxa"/>
          <w:wAfter w:w="54" w:type="dxa"/>
        </w:trPr>
        <w:tc>
          <w:tcPr>
            <w:tcW w:w="360" w:type="dxa"/>
            <w:shd w:val="clear" w:color="auto" w:fill="auto"/>
          </w:tcPr>
          <w:p w14:paraId="587D4039"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ii)</w:t>
            </w:r>
          </w:p>
        </w:tc>
        <w:tc>
          <w:tcPr>
            <w:tcW w:w="8688" w:type="dxa"/>
            <w:shd w:val="clear" w:color="auto" w:fill="auto"/>
          </w:tcPr>
          <w:p w14:paraId="5815BD7F"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 xml:space="preserve">related parties’ transactions that have taken place in the first six months of the current financial year and that have materially affected the financial position or the performance of the enterprise during that period; and </w:t>
            </w:r>
          </w:p>
          <w:p w14:paraId="55139577" w14:textId="77777777" w:rsidR="00323BB2" w:rsidRPr="009D30BC" w:rsidRDefault="00323BB2" w:rsidP="00453AFA">
            <w:pPr>
              <w:pStyle w:val="BodyText"/>
              <w:spacing w:after="0"/>
              <w:ind w:left="-108"/>
              <w:rPr>
                <w:rFonts w:asciiTheme="minorHAnsi" w:hAnsiTheme="minorHAnsi"/>
                <w:sz w:val="20"/>
                <w:szCs w:val="20"/>
                <w:lang w:val="en-IE"/>
              </w:rPr>
            </w:pPr>
          </w:p>
        </w:tc>
      </w:tr>
      <w:tr w:rsidR="00323BB2" w:rsidRPr="009D30BC" w14:paraId="5E6C0267" w14:textId="77777777" w:rsidTr="00453AFA">
        <w:trPr>
          <w:gridBefore w:val="1"/>
          <w:gridAfter w:val="1"/>
          <w:wBefore w:w="360" w:type="dxa"/>
          <w:wAfter w:w="54" w:type="dxa"/>
        </w:trPr>
        <w:tc>
          <w:tcPr>
            <w:tcW w:w="360" w:type="dxa"/>
            <w:shd w:val="clear" w:color="auto" w:fill="auto"/>
          </w:tcPr>
          <w:p w14:paraId="70CF25DA"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iv)</w:t>
            </w:r>
          </w:p>
        </w:tc>
        <w:tc>
          <w:tcPr>
            <w:tcW w:w="8688" w:type="dxa"/>
            <w:shd w:val="clear" w:color="auto" w:fill="auto"/>
          </w:tcPr>
          <w:p w14:paraId="55EC1EF2" w14:textId="77777777" w:rsidR="00323BB2" w:rsidRPr="009D30BC" w:rsidRDefault="00323BB2" w:rsidP="00453AFA">
            <w:pPr>
              <w:pStyle w:val="BodyText"/>
              <w:spacing w:after="0"/>
              <w:ind w:left="-108"/>
              <w:rPr>
                <w:rFonts w:asciiTheme="minorHAnsi" w:hAnsiTheme="minorHAnsi"/>
                <w:sz w:val="20"/>
                <w:szCs w:val="20"/>
                <w:lang w:val="en-IE"/>
              </w:rPr>
            </w:pPr>
            <w:r w:rsidRPr="009D30BC">
              <w:rPr>
                <w:rFonts w:asciiTheme="minorHAnsi" w:hAnsiTheme="minorHAnsi"/>
                <w:sz w:val="20"/>
                <w:szCs w:val="20"/>
                <w:lang w:val="en-IE"/>
              </w:rPr>
              <w:t>any changes in the related parties’ transactions described in the last annual report that could have a material effect on the financial position or performance of the enterprise in the first six months of the current financial year.</w:t>
            </w:r>
          </w:p>
        </w:tc>
      </w:tr>
    </w:tbl>
    <w:p w14:paraId="70A5171C" w14:textId="77777777" w:rsidR="00323BB2" w:rsidRPr="009D30BC" w:rsidRDefault="00323BB2" w:rsidP="00323BB2">
      <w:pPr>
        <w:pStyle w:val="BodyText"/>
        <w:spacing w:after="0"/>
        <w:rPr>
          <w:rFonts w:asciiTheme="minorHAnsi" w:hAnsiTheme="minorHAnsi"/>
          <w:sz w:val="20"/>
          <w:szCs w:val="20"/>
          <w:lang w:val="en-IE"/>
        </w:rPr>
      </w:pPr>
    </w:p>
    <w:p w14:paraId="08748A61" w14:textId="77777777" w:rsidR="00323BB2" w:rsidRDefault="00323BB2" w:rsidP="00323BB2">
      <w:pPr>
        <w:pStyle w:val="BodyText"/>
        <w:spacing w:after="0"/>
        <w:rPr>
          <w:rFonts w:asciiTheme="minorHAnsi" w:hAnsiTheme="minorHAnsi"/>
          <w:sz w:val="20"/>
          <w:szCs w:val="20"/>
          <w:lang w:val="en-IE"/>
        </w:rPr>
      </w:pPr>
    </w:p>
    <w:p w14:paraId="79ED72CB" w14:textId="77777777" w:rsidR="00323BB2" w:rsidRDefault="00323BB2" w:rsidP="00323BB2">
      <w:pPr>
        <w:pStyle w:val="BodyText"/>
        <w:spacing w:after="0"/>
        <w:rPr>
          <w:rFonts w:asciiTheme="minorHAnsi" w:hAnsiTheme="minorHAnsi"/>
          <w:sz w:val="20"/>
          <w:szCs w:val="20"/>
          <w:lang w:val="en-IE"/>
        </w:rPr>
      </w:pPr>
    </w:p>
    <w:p w14:paraId="2559C17F" w14:textId="77777777" w:rsidR="00323BB2" w:rsidRPr="009D30BC" w:rsidRDefault="00323BB2" w:rsidP="00323BB2">
      <w:pPr>
        <w:pStyle w:val="BodyText"/>
        <w:spacing w:after="0"/>
        <w:rPr>
          <w:rFonts w:asciiTheme="minorHAnsi" w:hAnsiTheme="minorHAnsi"/>
          <w:sz w:val="20"/>
          <w:szCs w:val="20"/>
          <w:lang w:val="en-IE"/>
        </w:rPr>
      </w:pPr>
    </w:p>
    <w:p w14:paraId="7F60E067" w14:textId="77777777" w:rsidR="00323BB2" w:rsidRPr="009D30BC" w:rsidRDefault="00323BB2" w:rsidP="00323BB2">
      <w:pPr>
        <w:pStyle w:val="BodyText"/>
        <w:spacing w:after="0"/>
        <w:rPr>
          <w:rFonts w:asciiTheme="minorHAnsi" w:hAnsiTheme="minorHAnsi"/>
          <w:sz w:val="20"/>
          <w:szCs w:val="20"/>
          <w:lang w:val="en-IE"/>
        </w:rPr>
      </w:pPr>
      <w:r w:rsidRPr="009D30BC">
        <w:rPr>
          <w:rFonts w:asciiTheme="minorHAnsi" w:hAnsiTheme="minorHAnsi"/>
          <w:sz w:val="20"/>
          <w:szCs w:val="20"/>
          <w:lang w:val="en-IE"/>
        </w:rPr>
        <w:t>On behalf of the Board</w:t>
      </w:r>
      <w:r>
        <w:rPr>
          <w:rFonts w:asciiTheme="minorHAnsi" w:hAnsiTheme="minorHAnsi"/>
          <w:sz w:val="20"/>
          <w:szCs w:val="20"/>
          <w:lang w:val="en-IE"/>
        </w:rPr>
        <w:t xml:space="preserve"> of Directors</w:t>
      </w:r>
    </w:p>
    <w:p w14:paraId="428DC342" w14:textId="77777777" w:rsidR="00323BB2" w:rsidRPr="009D30BC" w:rsidRDefault="00323BB2" w:rsidP="00323BB2">
      <w:pPr>
        <w:pStyle w:val="BodyText"/>
        <w:spacing w:after="0"/>
        <w:rPr>
          <w:rFonts w:asciiTheme="minorHAnsi" w:hAnsiTheme="minorHAnsi"/>
          <w:sz w:val="20"/>
          <w:szCs w:val="20"/>
          <w:lang w:val="en-IE"/>
        </w:rPr>
      </w:pPr>
    </w:p>
    <w:p w14:paraId="53888DEC" w14:textId="77777777" w:rsidR="00323BB2" w:rsidRDefault="00323BB2" w:rsidP="00323BB2">
      <w:pPr>
        <w:pStyle w:val="BodyText"/>
        <w:spacing w:after="0"/>
        <w:rPr>
          <w:rFonts w:asciiTheme="minorHAnsi" w:hAnsiTheme="minorHAnsi"/>
          <w:sz w:val="20"/>
          <w:szCs w:val="20"/>
          <w:lang w:val="en-IE"/>
        </w:rPr>
      </w:pPr>
    </w:p>
    <w:tbl>
      <w:tblPr>
        <w:tblW w:w="0" w:type="auto"/>
        <w:tblLook w:val="01E0" w:firstRow="1" w:lastRow="1" w:firstColumn="1" w:lastColumn="1" w:noHBand="0" w:noVBand="0"/>
      </w:tblPr>
      <w:tblGrid>
        <w:gridCol w:w="4536"/>
        <w:gridCol w:w="4850"/>
      </w:tblGrid>
      <w:tr w:rsidR="00323BB2" w:rsidRPr="009D30BC" w14:paraId="70F19906" w14:textId="77777777" w:rsidTr="00453AFA">
        <w:tc>
          <w:tcPr>
            <w:tcW w:w="4536" w:type="dxa"/>
            <w:shd w:val="clear" w:color="auto" w:fill="auto"/>
          </w:tcPr>
          <w:p w14:paraId="38B9737F" w14:textId="77777777" w:rsidR="00323BB2" w:rsidRPr="009D30BC" w:rsidRDefault="00323BB2" w:rsidP="00453AFA">
            <w:pPr>
              <w:pStyle w:val="BodyText"/>
              <w:spacing w:after="0"/>
              <w:ind w:left="-108"/>
              <w:rPr>
                <w:rFonts w:asciiTheme="minorHAnsi" w:hAnsiTheme="minorHAnsi"/>
                <w:b/>
                <w:sz w:val="20"/>
                <w:szCs w:val="20"/>
                <w:lang w:val="en-IE"/>
              </w:rPr>
            </w:pPr>
            <w:r w:rsidRPr="009D30BC">
              <w:rPr>
                <w:rFonts w:asciiTheme="minorHAnsi" w:hAnsiTheme="minorHAnsi"/>
                <w:b/>
                <w:sz w:val="20"/>
                <w:szCs w:val="20"/>
                <w:lang w:val="en-IE"/>
              </w:rPr>
              <w:t>Peter Jackson</w:t>
            </w:r>
          </w:p>
        </w:tc>
        <w:tc>
          <w:tcPr>
            <w:tcW w:w="4850" w:type="dxa"/>
            <w:shd w:val="clear" w:color="auto" w:fill="auto"/>
          </w:tcPr>
          <w:p w14:paraId="3D90A408" w14:textId="77777777" w:rsidR="00323BB2" w:rsidRPr="009D30BC" w:rsidRDefault="00323BB2" w:rsidP="00453AFA">
            <w:pPr>
              <w:pStyle w:val="BodyText"/>
              <w:spacing w:after="0"/>
              <w:ind w:left="-108"/>
              <w:rPr>
                <w:rFonts w:asciiTheme="minorHAnsi" w:hAnsiTheme="minorHAnsi"/>
                <w:b/>
                <w:sz w:val="20"/>
                <w:szCs w:val="20"/>
                <w:lang w:val="en-IE"/>
              </w:rPr>
            </w:pPr>
            <w:r>
              <w:rPr>
                <w:rFonts w:asciiTheme="minorHAnsi" w:hAnsiTheme="minorHAnsi"/>
                <w:b/>
                <w:sz w:val="20"/>
                <w:szCs w:val="20"/>
                <w:lang w:val="en-IE"/>
              </w:rPr>
              <w:t xml:space="preserve"> Jonathan Hill</w:t>
            </w:r>
          </w:p>
        </w:tc>
      </w:tr>
      <w:tr w:rsidR="00323BB2" w:rsidRPr="009D30BC" w14:paraId="6E363264" w14:textId="77777777" w:rsidTr="00453AFA">
        <w:tc>
          <w:tcPr>
            <w:tcW w:w="4536" w:type="dxa"/>
            <w:shd w:val="clear" w:color="auto" w:fill="auto"/>
          </w:tcPr>
          <w:p w14:paraId="7F887E60" w14:textId="77777777" w:rsidR="00323BB2" w:rsidRPr="009D30BC" w:rsidRDefault="00323BB2" w:rsidP="00453AFA">
            <w:pPr>
              <w:pStyle w:val="BodyText"/>
              <w:spacing w:after="0"/>
              <w:ind w:left="-108"/>
              <w:rPr>
                <w:rFonts w:asciiTheme="minorHAnsi" w:hAnsiTheme="minorHAnsi"/>
                <w:b/>
                <w:sz w:val="20"/>
                <w:szCs w:val="20"/>
                <w:lang w:val="en-IE"/>
              </w:rPr>
            </w:pPr>
            <w:r w:rsidRPr="009D30BC">
              <w:rPr>
                <w:rFonts w:asciiTheme="minorHAnsi" w:hAnsiTheme="minorHAnsi"/>
                <w:i/>
                <w:sz w:val="20"/>
                <w:szCs w:val="20"/>
                <w:lang w:val="en-IE"/>
              </w:rPr>
              <w:t>Chief Executive Officer</w:t>
            </w:r>
          </w:p>
        </w:tc>
        <w:tc>
          <w:tcPr>
            <w:tcW w:w="4850" w:type="dxa"/>
            <w:shd w:val="clear" w:color="auto" w:fill="auto"/>
          </w:tcPr>
          <w:p w14:paraId="32652B2D" w14:textId="77777777" w:rsidR="00323BB2" w:rsidRPr="009D30BC" w:rsidRDefault="00323BB2" w:rsidP="00453AFA">
            <w:pPr>
              <w:pStyle w:val="BodyText"/>
              <w:spacing w:after="0"/>
              <w:ind w:left="-123"/>
              <w:rPr>
                <w:rFonts w:asciiTheme="minorHAnsi" w:hAnsiTheme="minorHAnsi"/>
                <w:b/>
                <w:sz w:val="20"/>
                <w:szCs w:val="20"/>
                <w:lang w:val="en-IE"/>
              </w:rPr>
            </w:pPr>
            <w:r>
              <w:rPr>
                <w:rFonts w:asciiTheme="minorHAnsi" w:hAnsiTheme="minorHAnsi"/>
                <w:i/>
                <w:sz w:val="20"/>
                <w:szCs w:val="20"/>
                <w:lang w:val="en-IE"/>
              </w:rPr>
              <w:t xml:space="preserve"> </w:t>
            </w:r>
            <w:r w:rsidRPr="009D30BC">
              <w:rPr>
                <w:rFonts w:asciiTheme="minorHAnsi" w:hAnsiTheme="minorHAnsi"/>
                <w:i/>
                <w:sz w:val="20"/>
                <w:szCs w:val="20"/>
                <w:lang w:val="en-IE"/>
              </w:rPr>
              <w:t>Chief Financial Officer</w:t>
            </w:r>
          </w:p>
        </w:tc>
      </w:tr>
    </w:tbl>
    <w:p w14:paraId="30380663" w14:textId="77777777" w:rsidR="00323BB2" w:rsidRPr="00EA47CE" w:rsidRDefault="00323BB2" w:rsidP="00323BB2">
      <w:pPr>
        <w:pStyle w:val="BodyText"/>
        <w:spacing w:after="0"/>
        <w:rPr>
          <w:rFonts w:asciiTheme="minorHAnsi" w:hAnsiTheme="minorHAnsi"/>
          <w:sz w:val="20"/>
          <w:lang w:val="en-IE"/>
        </w:rPr>
      </w:pPr>
      <w:r w:rsidRPr="00EA47CE">
        <w:rPr>
          <w:rFonts w:asciiTheme="minorHAnsi" w:hAnsiTheme="minorHAnsi"/>
          <w:sz w:val="20"/>
          <w:szCs w:val="20"/>
          <w:shd w:val="clear" w:color="auto" w:fill="FFFFFF" w:themeFill="background1"/>
          <w:lang w:val="en-IE"/>
        </w:rPr>
        <w:t xml:space="preserve">26 </w:t>
      </w:r>
      <w:r w:rsidRPr="00EA47CE">
        <w:rPr>
          <w:rFonts w:asciiTheme="minorHAnsi" w:hAnsiTheme="minorHAnsi"/>
          <w:sz w:val="20"/>
          <w:szCs w:val="20"/>
          <w:lang w:val="en-IE"/>
        </w:rPr>
        <w:t>August 2020</w:t>
      </w:r>
    </w:p>
    <w:p w14:paraId="7059D8B5" w14:textId="77777777" w:rsidR="00323BB2" w:rsidRDefault="00323BB2" w:rsidP="00323BB2">
      <w:pPr>
        <w:rPr>
          <w:rFonts w:ascii="Times New Roman" w:hAnsi="Times New Roman"/>
          <w:sz w:val="18"/>
          <w:szCs w:val="18"/>
          <w:lang w:val="en-IE"/>
        </w:rPr>
        <w:sectPr w:rsidR="00323BB2" w:rsidSect="004E123A">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7" w:h="16840" w:code="9"/>
          <w:pgMar w:top="851" w:right="1077" w:bottom="709" w:left="1260" w:header="720" w:footer="318" w:gutter="0"/>
          <w:cols w:space="720"/>
          <w:titlePg/>
        </w:sectPr>
      </w:pPr>
    </w:p>
    <w:p w14:paraId="41DB824D" w14:textId="77777777" w:rsidR="00323BB2" w:rsidRPr="009D30BC" w:rsidRDefault="00323BB2" w:rsidP="00323BB2">
      <w:pPr>
        <w:rPr>
          <w:rFonts w:asciiTheme="minorHAnsi" w:hAnsiTheme="minorHAnsi"/>
          <w:b/>
          <w:sz w:val="20"/>
          <w:lang w:val="en-IE"/>
        </w:rPr>
      </w:pPr>
      <w:r w:rsidRPr="009D30BC">
        <w:rPr>
          <w:rFonts w:asciiTheme="minorHAnsi" w:hAnsiTheme="minorHAnsi"/>
          <w:b/>
          <w:sz w:val="20"/>
          <w:lang w:val="en-IE"/>
        </w:rPr>
        <w:lastRenderedPageBreak/>
        <w:t>Understanding and managing our principal risks</w:t>
      </w:r>
    </w:p>
    <w:p w14:paraId="1D22A934" w14:textId="77777777" w:rsidR="00323BB2" w:rsidRPr="009D30BC" w:rsidRDefault="00323BB2" w:rsidP="00323BB2">
      <w:pPr>
        <w:rPr>
          <w:rFonts w:asciiTheme="minorHAnsi" w:hAnsiTheme="minorHAnsi"/>
          <w:sz w:val="20"/>
          <w:lang w:val="en-IE"/>
        </w:rPr>
      </w:pPr>
    </w:p>
    <w:p w14:paraId="55C1F293" w14:textId="77777777" w:rsidR="00323BB2" w:rsidRPr="009D4737" w:rsidRDefault="00323BB2" w:rsidP="00323BB2">
      <w:pPr>
        <w:jc w:val="both"/>
        <w:rPr>
          <w:rFonts w:asciiTheme="minorHAnsi" w:hAnsiTheme="minorHAnsi"/>
          <w:sz w:val="20"/>
          <w:lang w:val="en-IE"/>
        </w:rPr>
      </w:pPr>
      <w:r w:rsidRPr="009D4737">
        <w:rPr>
          <w:rFonts w:asciiTheme="minorHAnsi" w:hAnsiTheme="minorHAnsi"/>
          <w:sz w:val="20"/>
          <w:lang w:val="en-IE"/>
        </w:rPr>
        <w:t>A summary of the principal risks and uncertainties that are most relevant to the remainder of the current financial year is included below.  A number of the risks are trending upwards and the Group has identified a new risk related to the C</w:t>
      </w:r>
      <w:r>
        <w:rPr>
          <w:rFonts w:asciiTheme="minorHAnsi" w:hAnsiTheme="minorHAnsi"/>
          <w:sz w:val="20"/>
          <w:lang w:val="en-IE"/>
        </w:rPr>
        <w:t>OVID</w:t>
      </w:r>
      <w:r w:rsidRPr="009D4737">
        <w:rPr>
          <w:rFonts w:asciiTheme="minorHAnsi" w:hAnsiTheme="minorHAnsi"/>
          <w:sz w:val="20"/>
          <w:lang w:val="en-IE"/>
        </w:rPr>
        <w:t xml:space="preserve">-19 pandemic.   Across the world the pandemic has brought a significant increase in focus on risk management for all aspects of public, private and corporate life.  The Group implemented a structured business continuity program to manage the new risks recognised as the pandemic developed.  Operational redesigns were implemented with minimum disruption and the Group continued to serve customers within the guidelines set by local and regional policy makers.  The pandemic has identified increases in risks related to technology and third parties on which the Group relies.  Processes have been deployed to manage any new risks in these areas.  With the acquisition of the Stars Group, the Group has expanded its operational base significantly and recognises risks in relation to integrating businesses and standardising risk appetite over time across the newly enlarged Group. </w:t>
      </w:r>
    </w:p>
    <w:p w14:paraId="0C83E492" w14:textId="77777777" w:rsidR="00323BB2" w:rsidRDefault="00323BB2" w:rsidP="00323BB2">
      <w:pPr>
        <w:ind w:left="-907" w:firstLine="907"/>
        <w:jc w:val="both"/>
        <w:rPr>
          <w:rFonts w:asciiTheme="minorHAnsi" w:hAnsiTheme="minorHAnsi"/>
          <w:sz w:val="22"/>
          <w:szCs w:val="22"/>
          <w:lang w:val="en-IE"/>
        </w:rPr>
      </w:pPr>
    </w:p>
    <w:tbl>
      <w:tblPr>
        <w:tblStyle w:val="TableGrid"/>
        <w:tblW w:w="14742" w:type="dxa"/>
        <w:tblInd w:w="-572" w:type="dxa"/>
        <w:tblLook w:val="04A0" w:firstRow="1" w:lastRow="0" w:firstColumn="1" w:lastColumn="0" w:noHBand="0" w:noVBand="1"/>
      </w:tblPr>
      <w:tblGrid>
        <w:gridCol w:w="1293"/>
        <w:gridCol w:w="3810"/>
        <w:gridCol w:w="993"/>
        <w:gridCol w:w="8646"/>
      </w:tblGrid>
      <w:tr w:rsidR="00323BB2" w14:paraId="35C8FBC8" w14:textId="77777777" w:rsidTr="00453AFA">
        <w:trPr>
          <w:tblHeader/>
        </w:trPr>
        <w:tc>
          <w:tcPr>
            <w:tcW w:w="1293" w:type="dxa"/>
            <w:shd w:val="clear" w:color="auto" w:fill="1F497D" w:themeFill="text2"/>
          </w:tcPr>
          <w:p w14:paraId="3AE46F7C" w14:textId="77777777" w:rsidR="00323BB2" w:rsidRPr="00C352B2" w:rsidRDefault="00323BB2" w:rsidP="00453AFA">
            <w:pPr>
              <w:rPr>
                <w:rFonts w:asciiTheme="minorHAnsi" w:hAnsiTheme="minorHAnsi"/>
                <w:b/>
                <w:color w:val="FFFFFF" w:themeColor="background1"/>
                <w:sz w:val="20"/>
                <w:lang w:val="en-IE"/>
              </w:rPr>
            </w:pPr>
            <w:r w:rsidRPr="00C352B2">
              <w:rPr>
                <w:rFonts w:asciiTheme="minorHAnsi" w:hAnsiTheme="minorHAnsi"/>
                <w:b/>
                <w:color w:val="FFFFFF" w:themeColor="background1"/>
                <w:sz w:val="20"/>
                <w:lang w:val="en-IE"/>
              </w:rPr>
              <w:t xml:space="preserve">Risk </w:t>
            </w:r>
          </w:p>
        </w:tc>
        <w:tc>
          <w:tcPr>
            <w:tcW w:w="3810" w:type="dxa"/>
            <w:shd w:val="clear" w:color="auto" w:fill="1F497D" w:themeFill="text2"/>
          </w:tcPr>
          <w:p w14:paraId="6895B598" w14:textId="77777777" w:rsidR="00323BB2" w:rsidRPr="00C352B2" w:rsidRDefault="00323BB2" w:rsidP="00453AFA">
            <w:pPr>
              <w:rPr>
                <w:rFonts w:asciiTheme="minorHAnsi" w:hAnsiTheme="minorHAnsi"/>
                <w:b/>
                <w:color w:val="FFFFFF" w:themeColor="background1"/>
                <w:sz w:val="20"/>
                <w:lang w:val="en-IE"/>
              </w:rPr>
            </w:pPr>
            <w:r w:rsidRPr="00C352B2">
              <w:rPr>
                <w:rFonts w:asciiTheme="minorHAnsi" w:hAnsiTheme="minorHAnsi"/>
                <w:b/>
                <w:color w:val="FFFFFF" w:themeColor="background1"/>
                <w:sz w:val="20"/>
                <w:lang w:val="en-IE"/>
              </w:rPr>
              <w:t xml:space="preserve">Risk Definition </w:t>
            </w:r>
          </w:p>
        </w:tc>
        <w:tc>
          <w:tcPr>
            <w:tcW w:w="993" w:type="dxa"/>
            <w:shd w:val="clear" w:color="auto" w:fill="1F497D" w:themeFill="text2"/>
          </w:tcPr>
          <w:p w14:paraId="52648858" w14:textId="77777777" w:rsidR="00323BB2" w:rsidRPr="00C352B2" w:rsidRDefault="00323BB2" w:rsidP="00453AFA">
            <w:pPr>
              <w:jc w:val="center"/>
              <w:rPr>
                <w:rFonts w:asciiTheme="minorHAnsi" w:hAnsiTheme="minorHAnsi"/>
                <w:b/>
                <w:color w:val="FFFFFF" w:themeColor="background1"/>
                <w:sz w:val="20"/>
                <w:lang w:val="en-IE"/>
              </w:rPr>
            </w:pPr>
            <w:r w:rsidRPr="00C352B2">
              <w:rPr>
                <w:rFonts w:asciiTheme="minorHAnsi" w:hAnsiTheme="minorHAnsi"/>
                <w:b/>
                <w:color w:val="FFFFFF" w:themeColor="background1"/>
                <w:sz w:val="20"/>
                <w:lang w:val="en-IE"/>
              </w:rPr>
              <w:t>Risk Trend</w:t>
            </w:r>
          </w:p>
        </w:tc>
        <w:tc>
          <w:tcPr>
            <w:tcW w:w="8646" w:type="dxa"/>
            <w:shd w:val="clear" w:color="auto" w:fill="1F497D" w:themeFill="text2"/>
          </w:tcPr>
          <w:p w14:paraId="75CF8908" w14:textId="77777777" w:rsidR="00323BB2" w:rsidRPr="00C352B2" w:rsidRDefault="00323BB2" w:rsidP="00453AFA">
            <w:pPr>
              <w:jc w:val="both"/>
              <w:rPr>
                <w:rFonts w:asciiTheme="minorHAnsi" w:hAnsiTheme="minorHAnsi"/>
                <w:b/>
                <w:color w:val="FFFFFF" w:themeColor="background1"/>
                <w:sz w:val="20"/>
                <w:lang w:val="en-IE"/>
              </w:rPr>
            </w:pPr>
            <w:r w:rsidRPr="00C352B2">
              <w:rPr>
                <w:rFonts w:asciiTheme="minorHAnsi" w:hAnsiTheme="minorHAnsi"/>
                <w:b/>
                <w:color w:val="FFFFFF" w:themeColor="background1"/>
                <w:sz w:val="20"/>
                <w:lang w:val="en-IE"/>
              </w:rPr>
              <w:t xml:space="preserve">Mitigation </w:t>
            </w:r>
          </w:p>
        </w:tc>
      </w:tr>
      <w:tr w:rsidR="00323BB2" w14:paraId="1E997DC4" w14:textId="77777777" w:rsidTr="00453AFA">
        <w:tc>
          <w:tcPr>
            <w:tcW w:w="1293" w:type="dxa"/>
          </w:tcPr>
          <w:p w14:paraId="7A6FF581" w14:textId="77777777" w:rsidR="00323BB2" w:rsidRPr="00C352B2" w:rsidRDefault="00323BB2" w:rsidP="00453AFA">
            <w:pPr>
              <w:rPr>
                <w:rFonts w:asciiTheme="minorHAnsi" w:hAnsiTheme="minorHAnsi"/>
                <w:b/>
                <w:sz w:val="20"/>
                <w:lang w:val="en-IE"/>
              </w:rPr>
            </w:pPr>
            <w:r w:rsidRPr="00C352B2">
              <w:rPr>
                <w:rFonts w:asciiTheme="minorHAnsi" w:hAnsiTheme="minorHAnsi"/>
                <w:b/>
                <w:sz w:val="20"/>
                <w:lang w:val="en-IE"/>
              </w:rPr>
              <w:t>COVID</w:t>
            </w:r>
            <w:r>
              <w:rPr>
                <w:rFonts w:asciiTheme="minorHAnsi" w:hAnsiTheme="minorHAnsi"/>
                <w:b/>
                <w:sz w:val="20"/>
                <w:lang w:val="en-IE"/>
              </w:rPr>
              <w:t>-</w:t>
            </w:r>
            <w:r w:rsidRPr="00C352B2">
              <w:rPr>
                <w:rFonts w:asciiTheme="minorHAnsi" w:hAnsiTheme="minorHAnsi"/>
                <w:b/>
                <w:sz w:val="20"/>
                <w:lang w:val="en-IE"/>
              </w:rPr>
              <w:t>19 Pandemic</w:t>
            </w:r>
          </w:p>
        </w:tc>
        <w:tc>
          <w:tcPr>
            <w:tcW w:w="3810" w:type="dxa"/>
          </w:tcPr>
          <w:p w14:paraId="342A4B80" w14:textId="77777777" w:rsidR="00323BB2" w:rsidRPr="00C352B2" w:rsidRDefault="00323BB2" w:rsidP="00453AFA">
            <w:pPr>
              <w:rPr>
                <w:rFonts w:asciiTheme="minorHAnsi" w:hAnsiTheme="minorHAnsi"/>
                <w:sz w:val="20"/>
                <w:lang w:val="en-IE"/>
              </w:rPr>
            </w:pPr>
            <w:r w:rsidRPr="00C352B2">
              <w:rPr>
                <w:rFonts w:asciiTheme="minorHAnsi" w:hAnsiTheme="minorHAnsi"/>
                <w:sz w:val="20"/>
                <w:lang w:val="en-IE"/>
              </w:rPr>
              <w:t>The inability to adequately manage the impact of the COVID</w:t>
            </w:r>
            <w:r>
              <w:rPr>
                <w:rFonts w:asciiTheme="minorHAnsi" w:hAnsiTheme="minorHAnsi"/>
                <w:sz w:val="20"/>
                <w:lang w:val="en-IE"/>
              </w:rPr>
              <w:t>-</w:t>
            </w:r>
            <w:r w:rsidRPr="00C352B2">
              <w:rPr>
                <w:rFonts w:asciiTheme="minorHAnsi" w:hAnsiTheme="minorHAnsi"/>
                <w:sz w:val="20"/>
                <w:lang w:val="en-IE"/>
              </w:rPr>
              <w:t xml:space="preserve">19 pandemic, its implications on the Group’s financial and strategic plans, the cancellation of live sporting events and subsequent impacts on business operations, as well as its short-term and long-term macroeconomic impacts. </w:t>
            </w:r>
          </w:p>
        </w:tc>
        <w:tc>
          <w:tcPr>
            <w:tcW w:w="993" w:type="dxa"/>
          </w:tcPr>
          <w:p w14:paraId="559F4E3B" w14:textId="77777777" w:rsidR="00323BB2" w:rsidRPr="00C352B2" w:rsidRDefault="00323BB2" w:rsidP="00453AFA">
            <w:pPr>
              <w:jc w:val="center"/>
              <w:rPr>
                <w:rFonts w:asciiTheme="minorHAnsi" w:hAnsiTheme="minorHAnsi"/>
                <w:sz w:val="20"/>
                <w:lang w:val="en-IE"/>
              </w:rPr>
            </w:pPr>
            <w:r w:rsidRPr="00C352B2">
              <w:rPr>
                <w:rFonts w:asciiTheme="minorHAnsi" w:hAnsiTheme="minorHAnsi"/>
                <w:sz w:val="20"/>
                <w:lang w:val="en-IE"/>
              </w:rPr>
              <w:t>New</w:t>
            </w:r>
          </w:p>
          <w:p w14:paraId="5B891A61" w14:textId="77777777" w:rsidR="00323BB2" w:rsidRPr="00C352B2" w:rsidRDefault="00323BB2" w:rsidP="00453AFA">
            <w:pPr>
              <w:jc w:val="center"/>
              <w:rPr>
                <w:rFonts w:asciiTheme="minorHAnsi" w:hAnsiTheme="minorHAnsi"/>
                <w:sz w:val="20"/>
                <w:lang w:val="en-IE"/>
              </w:rPr>
            </w:pPr>
          </w:p>
        </w:tc>
        <w:tc>
          <w:tcPr>
            <w:tcW w:w="8646" w:type="dxa"/>
          </w:tcPr>
          <w:p w14:paraId="35C5D920" w14:textId="77777777" w:rsidR="00323BB2" w:rsidRPr="00C352B2" w:rsidRDefault="00323BB2" w:rsidP="009B6BB8">
            <w:pPr>
              <w:pStyle w:val="ListParagraph"/>
              <w:numPr>
                <w:ilvl w:val="0"/>
                <w:numId w:val="30"/>
              </w:numPr>
              <w:ind w:left="352" w:hanging="284"/>
              <w:rPr>
                <w:rFonts w:asciiTheme="minorHAnsi" w:hAnsiTheme="minorHAnsi"/>
                <w:sz w:val="20"/>
                <w:lang w:val="en-IE"/>
              </w:rPr>
            </w:pPr>
            <w:r w:rsidRPr="00C352B2">
              <w:rPr>
                <w:rFonts w:asciiTheme="minorHAnsi" w:hAnsiTheme="minorHAnsi"/>
                <w:sz w:val="20"/>
                <w:lang w:val="en-IE"/>
              </w:rPr>
              <w:t>Activated business continuity plans and governance with regular meetings to respond quickly to the emergence of the COVID</w:t>
            </w:r>
            <w:r>
              <w:rPr>
                <w:rFonts w:asciiTheme="minorHAnsi" w:hAnsiTheme="minorHAnsi"/>
                <w:sz w:val="20"/>
                <w:lang w:val="en-IE"/>
              </w:rPr>
              <w:t>-</w:t>
            </w:r>
            <w:r w:rsidRPr="00C352B2">
              <w:rPr>
                <w:rFonts w:asciiTheme="minorHAnsi" w:hAnsiTheme="minorHAnsi"/>
                <w:sz w:val="20"/>
                <w:lang w:val="en-IE"/>
              </w:rPr>
              <w:t>19 pandemic, protecting the health and wellbeing of employees in all locations in compliance with local government and health authorities’ guidelines</w:t>
            </w:r>
          </w:p>
          <w:p w14:paraId="02276AF5"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Assessing risks heightened by COVID</w:t>
            </w:r>
            <w:r>
              <w:rPr>
                <w:rFonts w:asciiTheme="minorHAnsi" w:hAnsiTheme="minorHAnsi"/>
                <w:sz w:val="20"/>
                <w:lang w:val="en-IE"/>
              </w:rPr>
              <w:t>-</w:t>
            </w:r>
            <w:r w:rsidRPr="001A09B9">
              <w:rPr>
                <w:rFonts w:asciiTheme="minorHAnsi" w:hAnsiTheme="minorHAnsi"/>
                <w:sz w:val="20"/>
                <w:lang w:val="en-IE"/>
              </w:rPr>
              <w:t xml:space="preserve">19 on a periodic basis to ensure key strategic, operational, technology and regulatory risks continue to be managed and mitigated appropriately throughout the pandemic, supplemented by Group Internal Audit assurance. </w:t>
            </w:r>
          </w:p>
          <w:p w14:paraId="3D3EF3AC" w14:textId="77777777" w:rsidR="00323BB2" w:rsidRPr="00875A41" w:rsidRDefault="00323BB2" w:rsidP="009B6BB8">
            <w:pPr>
              <w:pStyle w:val="ListParagraph"/>
              <w:numPr>
                <w:ilvl w:val="0"/>
                <w:numId w:val="30"/>
              </w:numPr>
              <w:ind w:left="352" w:hanging="284"/>
              <w:rPr>
                <w:rFonts w:asciiTheme="minorHAnsi" w:hAnsiTheme="minorHAnsi"/>
                <w:sz w:val="20"/>
                <w:lang w:val="en-IE"/>
              </w:rPr>
            </w:pPr>
            <w:r w:rsidRPr="00875A41">
              <w:rPr>
                <w:rFonts w:asciiTheme="minorHAnsi" w:hAnsiTheme="minorHAnsi"/>
                <w:sz w:val="20"/>
                <w:lang w:val="en-IE"/>
              </w:rPr>
              <w:t xml:space="preserve">Entered into new debt arrangements in 2020, contingent only on completion of the Combination, comprising a term loan and revolving credit facility totalling £1.4bn. These facilities were utilised for the refinancing of existing Flutter and TSG debt as well as providing the Group with ongoing financial flexibility. </w:t>
            </w:r>
          </w:p>
          <w:p w14:paraId="3316EFF2"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Increased frequency of commercial forecasting and scenario cashflow modelling continue to be conducted to manage the uncertainty of our commercial related risks. </w:t>
            </w:r>
          </w:p>
          <w:p w14:paraId="11FFD4F5"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Monitoring of Government guidelines and regular communications to employees to ensure the correct measures are implemented throughout the business to reduce the impact of COVID</w:t>
            </w:r>
            <w:r>
              <w:rPr>
                <w:rFonts w:asciiTheme="minorHAnsi" w:hAnsiTheme="minorHAnsi"/>
                <w:sz w:val="20"/>
                <w:lang w:val="en-IE"/>
              </w:rPr>
              <w:t>-</w:t>
            </w:r>
            <w:r w:rsidRPr="001A09B9">
              <w:rPr>
                <w:rFonts w:asciiTheme="minorHAnsi" w:hAnsiTheme="minorHAnsi"/>
                <w:sz w:val="20"/>
                <w:lang w:val="en-IE"/>
              </w:rPr>
              <w:t>19 on the health</w:t>
            </w:r>
            <w:r w:rsidRPr="00E96D39">
              <w:rPr>
                <w:rFonts w:asciiTheme="minorHAnsi" w:hAnsiTheme="minorHAnsi"/>
                <w:sz w:val="20"/>
                <w:lang w:val="en-IE"/>
              </w:rPr>
              <w:t xml:space="preserve"> and wellbeing of employees and customers. </w:t>
            </w:r>
          </w:p>
        </w:tc>
      </w:tr>
      <w:tr w:rsidR="00323BB2" w14:paraId="68676215" w14:textId="77777777" w:rsidTr="00453AFA">
        <w:tc>
          <w:tcPr>
            <w:tcW w:w="1293" w:type="dxa"/>
          </w:tcPr>
          <w:p w14:paraId="017A9BFA" w14:textId="77777777" w:rsidR="00323BB2" w:rsidRPr="00E96D39" w:rsidRDefault="00323BB2" w:rsidP="00453AFA">
            <w:pPr>
              <w:jc w:val="both"/>
              <w:rPr>
                <w:rFonts w:asciiTheme="minorHAnsi" w:hAnsiTheme="minorHAnsi"/>
                <w:b/>
                <w:sz w:val="20"/>
                <w:lang w:val="en-IE"/>
              </w:rPr>
            </w:pPr>
            <w:r w:rsidRPr="00E96D39">
              <w:rPr>
                <w:rFonts w:asciiTheme="minorHAnsi" w:hAnsiTheme="minorHAnsi"/>
                <w:b/>
                <w:sz w:val="20"/>
                <w:lang w:val="en-IE"/>
              </w:rPr>
              <w:t xml:space="preserve">Safer Gambling </w:t>
            </w:r>
          </w:p>
          <w:p w14:paraId="57BE7C24" w14:textId="77777777" w:rsidR="00323BB2" w:rsidRPr="00E96D39" w:rsidRDefault="00323BB2" w:rsidP="00453AFA">
            <w:pPr>
              <w:rPr>
                <w:rFonts w:asciiTheme="minorHAnsi" w:hAnsiTheme="minorHAnsi"/>
                <w:b/>
                <w:sz w:val="20"/>
                <w:lang w:val="en-IE"/>
              </w:rPr>
            </w:pPr>
          </w:p>
        </w:tc>
        <w:tc>
          <w:tcPr>
            <w:tcW w:w="3810" w:type="dxa"/>
          </w:tcPr>
          <w:p w14:paraId="41AD655E"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Failure to operate in a responsible manner or to embed good practice and appropriate controls to meet safer gambling requirements and public expectations into processes and systems resulting in reputational damage, regulatory enforcement or poor customer outcomes. ​</w:t>
            </w:r>
          </w:p>
        </w:tc>
        <w:tc>
          <w:tcPr>
            <w:tcW w:w="993" w:type="dxa"/>
          </w:tcPr>
          <w:p w14:paraId="3416A8DB" w14:textId="77777777" w:rsidR="00323BB2" w:rsidRPr="00045852" w:rsidRDefault="00323BB2" w:rsidP="00453AFA">
            <w:pPr>
              <w:jc w:val="center"/>
              <w:rPr>
                <w:rFonts w:asciiTheme="minorHAnsi" w:hAnsiTheme="minorHAnsi"/>
                <w:color w:val="FFC000"/>
                <w:lang w:val="en-IE"/>
              </w:rPr>
            </w:pPr>
            <w:r w:rsidRPr="00045852">
              <w:rPr>
                <w:rFonts w:asciiTheme="minorHAnsi" w:hAnsiTheme="minorHAnsi"/>
                <w:color w:val="FFC000"/>
                <w:lang w:val="en-IE"/>
              </w:rPr>
              <w:sym w:font="Wingdings" w:char="F0DC"/>
            </w:r>
          </w:p>
          <w:p w14:paraId="6458AE00" w14:textId="77777777" w:rsidR="00323BB2" w:rsidRPr="00045852" w:rsidRDefault="00323BB2" w:rsidP="00453AFA">
            <w:pPr>
              <w:jc w:val="center"/>
              <w:rPr>
                <w:rFonts w:asciiTheme="minorHAnsi" w:hAnsiTheme="minorHAnsi"/>
                <w:lang w:val="en-IE"/>
              </w:rPr>
            </w:pPr>
          </w:p>
        </w:tc>
        <w:tc>
          <w:tcPr>
            <w:tcW w:w="8646" w:type="dxa"/>
          </w:tcPr>
          <w:p w14:paraId="39182B0A"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Group Safer Gambling strategy is embedded into our businesses from how we identify </w:t>
            </w:r>
            <w:r>
              <w:rPr>
                <w:rFonts w:asciiTheme="minorHAnsi" w:hAnsiTheme="minorHAnsi"/>
                <w:sz w:val="20"/>
                <w:lang w:val="en-IE"/>
              </w:rPr>
              <w:t xml:space="preserve">and interact with </w:t>
            </w:r>
            <w:r w:rsidRPr="001A09B9">
              <w:rPr>
                <w:rFonts w:asciiTheme="minorHAnsi" w:hAnsiTheme="minorHAnsi"/>
                <w:sz w:val="20"/>
                <w:lang w:val="en-IE"/>
              </w:rPr>
              <w:t xml:space="preserve">at-risk customers through to how we communicate </w:t>
            </w:r>
            <w:r>
              <w:rPr>
                <w:rFonts w:asciiTheme="minorHAnsi" w:hAnsiTheme="minorHAnsi"/>
                <w:sz w:val="20"/>
                <w:lang w:val="en-IE"/>
              </w:rPr>
              <w:t xml:space="preserve">to a broad group of stakeholders </w:t>
            </w:r>
            <w:r w:rsidRPr="001A09B9">
              <w:rPr>
                <w:rFonts w:asciiTheme="minorHAnsi" w:hAnsiTheme="minorHAnsi"/>
                <w:sz w:val="20"/>
                <w:lang w:val="en-IE"/>
              </w:rPr>
              <w:t xml:space="preserve">and </w:t>
            </w:r>
            <w:r>
              <w:rPr>
                <w:rFonts w:asciiTheme="minorHAnsi" w:hAnsiTheme="minorHAnsi"/>
                <w:sz w:val="20"/>
                <w:lang w:val="en-IE"/>
              </w:rPr>
              <w:t xml:space="preserve">how we </w:t>
            </w:r>
            <w:r w:rsidRPr="001A09B9">
              <w:rPr>
                <w:rFonts w:asciiTheme="minorHAnsi" w:hAnsiTheme="minorHAnsi"/>
                <w:sz w:val="20"/>
                <w:lang w:val="en-IE"/>
              </w:rPr>
              <w:t xml:space="preserve">encourage safer gambling tool usage. </w:t>
            </w:r>
          </w:p>
          <w:p w14:paraId="6F37EDD4"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Providing</w:t>
            </w:r>
            <w:r>
              <w:rPr>
                <w:rFonts w:asciiTheme="minorHAnsi" w:hAnsiTheme="minorHAnsi"/>
                <w:sz w:val="20"/>
                <w:lang w:val="en-IE"/>
              </w:rPr>
              <w:t xml:space="preserve"> a </w:t>
            </w:r>
            <w:r w:rsidRPr="001A09B9">
              <w:rPr>
                <w:rFonts w:asciiTheme="minorHAnsi" w:hAnsiTheme="minorHAnsi"/>
                <w:sz w:val="20"/>
                <w:lang w:val="en-IE"/>
              </w:rPr>
              <w:t xml:space="preserve">leading range of tools on our websites to support customers in managing </w:t>
            </w:r>
            <w:proofErr w:type="gramStart"/>
            <w:r w:rsidRPr="001A09B9">
              <w:rPr>
                <w:rFonts w:asciiTheme="minorHAnsi" w:hAnsiTheme="minorHAnsi"/>
                <w:sz w:val="20"/>
                <w:lang w:val="en-IE"/>
              </w:rPr>
              <w:t>their</w:t>
            </w:r>
            <w:proofErr w:type="gramEnd"/>
            <w:r w:rsidRPr="001A09B9">
              <w:rPr>
                <w:rFonts w:asciiTheme="minorHAnsi" w:hAnsiTheme="minorHAnsi"/>
                <w:sz w:val="20"/>
                <w:lang w:val="en-IE"/>
              </w:rPr>
              <w:t xml:space="preserve"> spend and play, and we are continually working to improve and enhance our tools and site content. </w:t>
            </w:r>
          </w:p>
          <w:p w14:paraId="4FABDDFE"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Refining of our safer gambling capabilities and our in house developed machine learning tool</w:t>
            </w:r>
            <w:r>
              <w:rPr>
                <w:rFonts w:asciiTheme="minorHAnsi" w:hAnsiTheme="minorHAnsi"/>
                <w:sz w:val="20"/>
                <w:lang w:val="en-IE"/>
              </w:rPr>
              <w:t>s and models, such as the</w:t>
            </w:r>
            <w:r w:rsidRPr="001A09B9">
              <w:rPr>
                <w:rFonts w:asciiTheme="minorHAnsi" w:hAnsiTheme="minorHAnsi"/>
                <w:sz w:val="20"/>
                <w:lang w:val="en-IE"/>
              </w:rPr>
              <w:t xml:space="preserve"> Customer Activity Awareness Program (CAAP)</w:t>
            </w:r>
            <w:r>
              <w:rPr>
                <w:rFonts w:asciiTheme="minorHAnsi" w:hAnsiTheme="minorHAnsi"/>
                <w:sz w:val="20"/>
                <w:lang w:val="en-IE"/>
              </w:rPr>
              <w:t>,</w:t>
            </w:r>
            <w:r w:rsidRPr="001A09B9">
              <w:rPr>
                <w:rFonts w:asciiTheme="minorHAnsi" w:hAnsiTheme="minorHAnsi"/>
                <w:sz w:val="20"/>
                <w:lang w:val="en-IE"/>
              </w:rPr>
              <w:t xml:space="preserve"> continuously to enable us to identify and interact with at-risk customers. The </w:t>
            </w:r>
            <w:r>
              <w:rPr>
                <w:rFonts w:asciiTheme="minorHAnsi" w:hAnsiTheme="minorHAnsi"/>
                <w:sz w:val="20"/>
                <w:lang w:val="en-IE"/>
              </w:rPr>
              <w:t xml:space="preserve">CAAP </w:t>
            </w:r>
            <w:r w:rsidRPr="001A09B9">
              <w:rPr>
                <w:rFonts w:asciiTheme="minorHAnsi" w:hAnsiTheme="minorHAnsi"/>
                <w:sz w:val="20"/>
                <w:lang w:val="en-IE"/>
              </w:rPr>
              <w:t xml:space="preserve">model monitors customer behaviours daily and assigns risk scores to each active customer. </w:t>
            </w:r>
          </w:p>
          <w:p w14:paraId="0F703C68" w14:textId="77777777" w:rsidR="00323BB2"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Continuously investing in </w:t>
            </w:r>
            <w:r>
              <w:rPr>
                <w:rFonts w:asciiTheme="minorHAnsi" w:hAnsiTheme="minorHAnsi"/>
                <w:sz w:val="20"/>
                <w:lang w:val="en-IE"/>
              </w:rPr>
              <w:t>improvements</w:t>
            </w:r>
            <w:r w:rsidRPr="001A09B9">
              <w:rPr>
                <w:rFonts w:asciiTheme="minorHAnsi" w:hAnsiTheme="minorHAnsi"/>
                <w:sz w:val="20"/>
                <w:lang w:val="en-IE"/>
              </w:rPr>
              <w:t xml:space="preserve"> at tackling the problem through donation</w:t>
            </w:r>
            <w:r>
              <w:rPr>
                <w:rFonts w:asciiTheme="minorHAnsi" w:hAnsiTheme="minorHAnsi"/>
                <w:sz w:val="20"/>
                <w:lang w:val="en-IE"/>
              </w:rPr>
              <w:t>s</w:t>
            </w:r>
            <w:r w:rsidRPr="001A09B9">
              <w:rPr>
                <w:rFonts w:asciiTheme="minorHAnsi" w:hAnsiTheme="minorHAnsi"/>
                <w:sz w:val="20"/>
                <w:lang w:val="en-IE"/>
              </w:rPr>
              <w:t xml:space="preserve"> to the research, treatment, education </w:t>
            </w:r>
            <w:r>
              <w:rPr>
                <w:rFonts w:asciiTheme="minorHAnsi" w:hAnsiTheme="minorHAnsi"/>
                <w:sz w:val="20"/>
                <w:lang w:val="en-IE"/>
              </w:rPr>
              <w:t xml:space="preserve">initiatives, </w:t>
            </w:r>
            <w:r w:rsidRPr="001A09B9">
              <w:rPr>
                <w:rFonts w:asciiTheme="minorHAnsi" w:hAnsiTheme="minorHAnsi"/>
                <w:sz w:val="20"/>
                <w:lang w:val="en-IE"/>
              </w:rPr>
              <w:t xml:space="preserve">and driving collaboration across the industry with other operators, charities and regulatory bodies.  </w:t>
            </w:r>
          </w:p>
          <w:p w14:paraId="5FCA212B"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Pr>
                <w:rFonts w:asciiTheme="minorHAnsi" w:hAnsiTheme="minorHAnsi"/>
                <w:sz w:val="20"/>
                <w:lang w:val="en-IE"/>
              </w:rPr>
              <w:lastRenderedPageBreak/>
              <w:t>Since the recent business combination, implementing a Group strategic review to ensure we take the best policies and processes available across the newly enlarged Group and updated the strategic approach to Safer Gambling accordingly.</w:t>
            </w:r>
          </w:p>
        </w:tc>
      </w:tr>
      <w:tr w:rsidR="00323BB2" w14:paraId="1EC7F0E3" w14:textId="77777777" w:rsidTr="00453AFA">
        <w:tc>
          <w:tcPr>
            <w:tcW w:w="1293" w:type="dxa"/>
          </w:tcPr>
          <w:p w14:paraId="612ABC4F" w14:textId="77777777" w:rsidR="00323BB2" w:rsidRPr="00E96D39" w:rsidRDefault="00323BB2" w:rsidP="00453AFA">
            <w:pPr>
              <w:rPr>
                <w:rFonts w:asciiTheme="minorHAnsi" w:hAnsiTheme="minorHAnsi"/>
                <w:b/>
                <w:sz w:val="20"/>
                <w:lang w:val="en-IE"/>
              </w:rPr>
            </w:pPr>
            <w:r w:rsidRPr="00E96D39">
              <w:rPr>
                <w:rFonts w:asciiTheme="minorHAnsi" w:hAnsiTheme="minorHAnsi"/>
                <w:b/>
                <w:sz w:val="20"/>
                <w:lang w:val="en-IE"/>
              </w:rPr>
              <w:lastRenderedPageBreak/>
              <w:t xml:space="preserve">Business continuity planning </w:t>
            </w:r>
          </w:p>
          <w:p w14:paraId="3F870621" w14:textId="77777777" w:rsidR="00323BB2" w:rsidRPr="00E96D39" w:rsidRDefault="00323BB2" w:rsidP="00453AFA">
            <w:pPr>
              <w:rPr>
                <w:rFonts w:asciiTheme="minorHAnsi" w:hAnsiTheme="minorHAnsi"/>
                <w:b/>
                <w:sz w:val="20"/>
                <w:lang w:val="en-IE"/>
              </w:rPr>
            </w:pPr>
          </w:p>
        </w:tc>
        <w:tc>
          <w:tcPr>
            <w:tcW w:w="3810" w:type="dxa"/>
          </w:tcPr>
          <w:p w14:paraId="3A02FB40"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The risk of interruption to the Group's businesses due to disruptive incidents such as natural disaster or cyber-attack impacting the systems, processes, people or physical locations providing business-critical services; resulting in financial loss through an inability to provide reliable services. ​</w:t>
            </w:r>
          </w:p>
        </w:tc>
        <w:tc>
          <w:tcPr>
            <w:tcW w:w="993" w:type="dxa"/>
          </w:tcPr>
          <w:p w14:paraId="1F6DA93C" w14:textId="77777777" w:rsidR="00323BB2" w:rsidRPr="00045852" w:rsidRDefault="00323BB2" w:rsidP="00453AFA">
            <w:pPr>
              <w:jc w:val="center"/>
              <w:rPr>
                <w:rFonts w:asciiTheme="minorHAnsi" w:hAnsiTheme="minorHAnsi"/>
                <w:lang w:val="en-IE"/>
              </w:rPr>
            </w:pPr>
            <w:r w:rsidRPr="00045852">
              <w:rPr>
                <w:rFonts w:asciiTheme="minorHAnsi" w:hAnsiTheme="minorHAnsi"/>
                <w:color w:val="C00000"/>
                <w:lang w:val="en-IE"/>
              </w:rPr>
              <w:sym w:font="Wingdings" w:char="F0DD"/>
            </w:r>
          </w:p>
        </w:tc>
        <w:tc>
          <w:tcPr>
            <w:tcW w:w="8646" w:type="dxa"/>
          </w:tcPr>
          <w:p w14:paraId="4D021440" w14:textId="77777777" w:rsidR="00323BB2" w:rsidRPr="00823B11"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Developed business continuity plans for all critical areas of the business. These are regularly reviewed together with IT Disaster Recovery capability and service level agreements with third parties.  Where possible, we have fail safe solutions and seek to limit single points of failure. </w:t>
            </w:r>
          </w:p>
          <w:p w14:paraId="63CFB097"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Established a Business Continuity Steering Committee to maintain an oversight of the management and improvement of the Business Continuity Plans. </w:t>
            </w:r>
          </w:p>
          <w:p w14:paraId="31B68CCA"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Maintaining a BCP risk register for the tracking of progress on business continuity planning across the Group. </w:t>
            </w:r>
          </w:p>
          <w:p w14:paraId="4343E57E"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Collaborating business continuity plans across the group for risk mitigation as COVID</w:t>
            </w:r>
            <w:r>
              <w:rPr>
                <w:rFonts w:asciiTheme="minorHAnsi" w:hAnsiTheme="minorHAnsi"/>
                <w:sz w:val="20"/>
                <w:lang w:val="en-IE"/>
              </w:rPr>
              <w:t>-</w:t>
            </w:r>
            <w:r w:rsidRPr="001A09B9">
              <w:rPr>
                <w:rFonts w:asciiTheme="minorHAnsi" w:hAnsiTheme="minorHAnsi"/>
                <w:sz w:val="20"/>
                <w:lang w:val="en-IE"/>
              </w:rPr>
              <w:t xml:space="preserve">19 highlighted the need </w:t>
            </w:r>
            <w:r w:rsidRPr="00E96D39">
              <w:rPr>
                <w:rFonts w:asciiTheme="minorHAnsi" w:hAnsiTheme="minorHAnsi"/>
                <w:sz w:val="20"/>
                <w:lang w:val="en-IE"/>
              </w:rPr>
              <w:t xml:space="preserve">to better align this risk across all our locations. </w:t>
            </w:r>
          </w:p>
        </w:tc>
      </w:tr>
      <w:tr w:rsidR="00323BB2" w14:paraId="3C7BBB74" w14:textId="77777777" w:rsidTr="009B6BB8">
        <w:trPr>
          <w:trHeight w:val="2363"/>
        </w:trPr>
        <w:tc>
          <w:tcPr>
            <w:tcW w:w="1293" w:type="dxa"/>
            <w:tcBorders>
              <w:bottom w:val="single" w:sz="4" w:space="0" w:color="auto"/>
            </w:tcBorders>
          </w:tcPr>
          <w:p w14:paraId="7770ED55" w14:textId="77777777" w:rsidR="00323BB2" w:rsidRPr="00E96D39" w:rsidRDefault="00323BB2" w:rsidP="00453AFA">
            <w:pPr>
              <w:rPr>
                <w:rFonts w:asciiTheme="minorHAnsi" w:hAnsiTheme="minorHAnsi"/>
                <w:b/>
                <w:sz w:val="20"/>
                <w:lang w:val="en-IE"/>
              </w:rPr>
            </w:pPr>
            <w:r w:rsidRPr="00E96D39">
              <w:rPr>
                <w:rFonts w:asciiTheme="minorHAnsi" w:hAnsiTheme="minorHAnsi"/>
                <w:b/>
                <w:sz w:val="20"/>
                <w:lang w:val="en-IE"/>
              </w:rPr>
              <w:t xml:space="preserve">Data Protection and Cyber Security </w:t>
            </w:r>
          </w:p>
        </w:tc>
        <w:tc>
          <w:tcPr>
            <w:tcW w:w="3810" w:type="dxa"/>
            <w:tcBorders>
              <w:bottom w:val="single" w:sz="4" w:space="0" w:color="auto"/>
            </w:tcBorders>
          </w:tcPr>
          <w:p w14:paraId="424DD0E9"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The risk that information belonging to the Group business or its customers is accessed or modified by unauthorised parties (internal or external), or system processing is disrupted or exploited by an attacker (internal or external) owing to a failure in service provision from a Group provider or external supplier resulting in reputational damage, regulatory enforcement or financial loss through manipulation of business process or temporary inability to provide services.</w:t>
            </w:r>
          </w:p>
        </w:tc>
        <w:tc>
          <w:tcPr>
            <w:tcW w:w="993" w:type="dxa"/>
            <w:tcBorders>
              <w:bottom w:val="single" w:sz="4" w:space="0" w:color="auto"/>
            </w:tcBorders>
          </w:tcPr>
          <w:p w14:paraId="3E545E60" w14:textId="77777777" w:rsidR="00323BB2" w:rsidRPr="00045852" w:rsidRDefault="00323BB2" w:rsidP="00453AFA">
            <w:pPr>
              <w:jc w:val="center"/>
              <w:rPr>
                <w:rFonts w:asciiTheme="minorHAnsi" w:hAnsiTheme="minorHAnsi"/>
                <w:lang w:val="en-IE"/>
              </w:rPr>
            </w:pPr>
            <w:r w:rsidRPr="00045852">
              <w:rPr>
                <w:rFonts w:asciiTheme="minorHAnsi" w:hAnsiTheme="minorHAnsi"/>
                <w:color w:val="C00000"/>
                <w:lang w:val="en-IE"/>
              </w:rPr>
              <w:sym w:font="Wingdings" w:char="F0DD"/>
            </w:r>
          </w:p>
        </w:tc>
        <w:tc>
          <w:tcPr>
            <w:tcW w:w="8646" w:type="dxa"/>
            <w:tcBorders>
              <w:bottom w:val="single" w:sz="4" w:space="0" w:color="auto"/>
            </w:tcBorders>
          </w:tcPr>
          <w:p w14:paraId="45B559A6" w14:textId="77777777" w:rsidR="00323BB2" w:rsidRPr="00823B11" w:rsidRDefault="00323BB2" w:rsidP="009B6BB8">
            <w:pPr>
              <w:pStyle w:val="ListParagraph"/>
              <w:numPr>
                <w:ilvl w:val="0"/>
                <w:numId w:val="30"/>
              </w:numPr>
              <w:ind w:left="352" w:hanging="284"/>
              <w:rPr>
                <w:rFonts w:asciiTheme="minorHAnsi" w:hAnsiTheme="minorHAnsi"/>
                <w:sz w:val="20"/>
                <w:lang w:val="en-IE"/>
              </w:rPr>
            </w:pPr>
            <w:r w:rsidRPr="006E3C0F">
              <w:rPr>
                <w:rFonts w:asciiTheme="minorHAnsi" w:hAnsiTheme="minorHAnsi"/>
                <w:sz w:val="20"/>
                <w:lang w:val="en-IE"/>
              </w:rPr>
              <w:t xml:space="preserve">Aligning </w:t>
            </w:r>
            <w:r>
              <w:rPr>
                <w:rFonts w:asciiTheme="minorHAnsi" w:hAnsiTheme="minorHAnsi"/>
                <w:sz w:val="20"/>
                <w:lang w:val="en-IE"/>
              </w:rPr>
              <w:t xml:space="preserve">the </w:t>
            </w:r>
            <w:r w:rsidRPr="006E3C0F">
              <w:rPr>
                <w:rFonts w:asciiTheme="minorHAnsi" w:hAnsiTheme="minorHAnsi"/>
                <w:sz w:val="20"/>
                <w:lang w:val="en-IE"/>
              </w:rPr>
              <w:t xml:space="preserve">framework for </w:t>
            </w:r>
            <w:r>
              <w:rPr>
                <w:rFonts w:asciiTheme="minorHAnsi" w:hAnsiTheme="minorHAnsi"/>
                <w:sz w:val="20"/>
                <w:lang w:val="en-IE"/>
              </w:rPr>
              <w:t xml:space="preserve">data protection and cyber security with the aim to protect the privacy rights of </w:t>
            </w:r>
            <w:r w:rsidRPr="006E3C0F">
              <w:rPr>
                <w:rFonts w:asciiTheme="minorHAnsi" w:hAnsiTheme="minorHAnsi"/>
                <w:sz w:val="20"/>
                <w:lang w:val="en-IE"/>
              </w:rPr>
              <w:t>individuals in accordance with the relevant legislations and GDPR and align</w:t>
            </w:r>
            <w:r>
              <w:rPr>
                <w:rFonts w:asciiTheme="minorHAnsi" w:hAnsiTheme="minorHAnsi"/>
                <w:sz w:val="20"/>
                <w:lang w:val="en-IE"/>
              </w:rPr>
              <w:t xml:space="preserve"> cyber</w:t>
            </w:r>
            <w:r w:rsidRPr="006E3C0F">
              <w:rPr>
                <w:rFonts w:asciiTheme="minorHAnsi" w:hAnsiTheme="minorHAnsi"/>
                <w:sz w:val="20"/>
                <w:lang w:val="en-IE"/>
              </w:rPr>
              <w:t xml:space="preserve"> control standards across the Group in managing </w:t>
            </w:r>
            <w:r>
              <w:rPr>
                <w:rFonts w:asciiTheme="minorHAnsi" w:hAnsiTheme="minorHAnsi"/>
                <w:sz w:val="20"/>
                <w:lang w:val="en-IE"/>
              </w:rPr>
              <w:t>the risks</w:t>
            </w:r>
            <w:r w:rsidRPr="006E3C0F">
              <w:rPr>
                <w:rFonts w:asciiTheme="minorHAnsi" w:hAnsiTheme="minorHAnsi"/>
                <w:sz w:val="20"/>
                <w:lang w:val="en-IE"/>
              </w:rPr>
              <w:t>.</w:t>
            </w:r>
          </w:p>
          <w:p w14:paraId="593D07CD"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Implemented Technology and IT Security controls to restrict access to sensitive data and ensure individuals only have access to the data they require to do their job. </w:t>
            </w:r>
          </w:p>
          <w:p w14:paraId="15611CCA" w14:textId="77777777" w:rsidR="00323BB2"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Completing annual mandatory employee training on data protection and information security and cyber awareness for all employees and additional regular training for key parts of the business where customer and staff personal information are handled. </w:t>
            </w:r>
          </w:p>
          <w:p w14:paraId="499A38A4" w14:textId="77777777" w:rsidR="00323BB2" w:rsidRPr="00823B11" w:rsidRDefault="00323BB2" w:rsidP="009B6BB8">
            <w:pPr>
              <w:pStyle w:val="ListParagraph"/>
              <w:numPr>
                <w:ilvl w:val="0"/>
                <w:numId w:val="30"/>
              </w:numPr>
              <w:ind w:left="352" w:hanging="284"/>
              <w:rPr>
                <w:rFonts w:asciiTheme="minorHAnsi" w:hAnsiTheme="minorHAnsi"/>
                <w:sz w:val="20"/>
                <w:lang w:val="en-IE"/>
              </w:rPr>
            </w:pPr>
            <w:r w:rsidRPr="00823B11">
              <w:rPr>
                <w:rFonts w:asciiTheme="minorHAnsi" w:hAnsiTheme="minorHAnsi"/>
                <w:sz w:val="20"/>
                <w:lang w:val="en-IE"/>
              </w:rPr>
              <w:t>Continuously investing in IT security resources and working with a variety of external security specialists to ensure security arrangements and systems are up-to-date with emerging threats.</w:t>
            </w:r>
          </w:p>
        </w:tc>
      </w:tr>
      <w:tr w:rsidR="00323BB2" w14:paraId="716D06B1" w14:textId="77777777" w:rsidTr="009B6BB8">
        <w:tc>
          <w:tcPr>
            <w:tcW w:w="1293" w:type="dxa"/>
            <w:tcBorders>
              <w:bottom w:val="single" w:sz="4" w:space="0" w:color="auto"/>
            </w:tcBorders>
          </w:tcPr>
          <w:p w14:paraId="71D31CBE" w14:textId="77777777" w:rsidR="00323BB2" w:rsidRPr="00E96D39" w:rsidRDefault="00323BB2" w:rsidP="00453AFA">
            <w:pPr>
              <w:jc w:val="both"/>
              <w:rPr>
                <w:rFonts w:asciiTheme="minorHAnsi" w:hAnsiTheme="minorHAnsi"/>
                <w:b/>
                <w:sz w:val="20"/>
                <w:lang w:val="en-IE"/>
              </w:rPr>
            </w:pPr>
            <w:r w:rsidRPr="00E96D39">
              <w:rPr>
                <w:rFonts w:asciiTheme="minorHAnsi" w:hAnsiTheme="minorHAnsi"/>
                <w:b/>
                <w:sz w:val="20"/>
                <w:lang w:val="en-IE"/>
              </w:rPr>
              <w:t>Technology systems stability and availability, and disaster recovery</w:t>
            </w:r>
          </w:p>
          <w:p w14:paraId="4B02896D" w14:textId="77777777" w:rsidR="00323BB2" w:rsidRPr="00E96D39" w:rsidRDefault="00323BB2" w:rsidP="00453AFA">
            <w:pPr>
              <w:rPr>
                <w:rFonts w:asciiTheme="minorHAnsi" w:hAnsiTheme="minorHAnsi"/>
                <w:sz w:val="20"/>
                <w:lang w:val="en-IE"/>
              </w:rPr>
            </w:pPr>
          </w:p>
        </w:tc>
        <w:tc>
          <w:tcPr>
            <w:tcW w:w="3810" w:type="dxa"/>
            <w:tcBorders>
              <w:bottom w:val="single" w:sz="4" w:space="0" w:color="auto"/>
            </w:tcBorders>
          </w:tcPr>
          <w:p w14:paraId="3B5F03B9"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Reduced availability of our products arising from software, infrastructure and system issues resulting in a poor customer experience and may have an impact on customer loyalty affecting our ability to grow the business. Delays in restoring services following a major disruption could result in loss of customers and reputational damage.</w:t>
            </w:r>
          </w:p>
        </w:tc>
        <w:tc>
          <w:tcPr>
            <w:tcW w:w="993" w:type="dxa"/>
            <w:tcBorders>
              <w:bottom w:val="single" w:sz="4" w:space="0" w:color="auto"/>
            </w:tcBorders>
          </w:tcPr>
          <w:p w14:paraId="471EA3FA" w14:textId="77777777" w:rsidR="00323BB2" w:rsidRPr="00045852" w:rsidRDefault="00323BB2" w:rsidP="00453AFA">
            <w:pPr>
              <w:jc w:val="center"/>
              <w:rPr>
                <w:rFonts w:asciiTheme="minorHAnsi" w:hAnsiTheme="minorHAnsi"/>
                <w:lang w:val="en-IE"/>
              </w:rPr>
            </w:pPr>
            <w:r w:rsidRPr="00045852">
              <w:rPr>
                <w:rFonts w:asciiTheme="minorHAnsi" w:hAnsiTheme="minorHAnsi"/>
                <w:color w:val="C00000"/>
                <w:lang w:val="en-IE"/>
              </w:rPr>
              <w:sym w:font="Wingdings" w:char="F0DD"/>
            </w:r>
          </w:p>
        </w:tc>
        <w:tc>
          <w:tcPr>
            <w:tcW w:w="8646" w:type="dxa"/>
            <w:tcBorders>
              <w:bottom w:val="single" w:sz="4" w:space="0" w:color="auto"/>
            </w:tcBorders>
          </w:tcPr>
          <w:p w14:paraId="7D858A81"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Investing continuously in a cost-effective technology platform to ensure stability and availability, to eliminate single points of failure and improve performance. </w:t>
            </w:r>
          </w:p>
          <w:p w14:paraId="071F6B28"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Monitoring of key metrics to monitor key systems and platforms globally and identify potential emerging issues for all divisions. </w:t>
            </w:r>
          </w:p>
          <w:p w14:paraId="5B5E8D69" w14:textId="77777777" w:rsidR="00323BB2" w:rsidRPr="001A09B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Defined formal incident management process in place for identifying, escalating and resolving issues and a post-incident process to ensure that similar issues cannot happen again. </w:t>
            </w:r>
          </w:p>
          <w:p w14:paraId="5563D19B"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1A09B9">
              <w:rPr>
                <w:rFonts w:asciiTheme="minorHAnsi" w:hAnsiTheme="minorHAnsi"/>
                <w:sz w:val="20"/>
                <w:lang w:val="en-IE"/>
              </w:rPr>
              <w:t xml:space="preserve">Investing continuously in developing and testing our disaster recovery capability for our key products across the </w:t>
            </w:r>
            <w:r w:rsidRPr="00E96D39">
              <w:rPr>
                <w:rFonts w:asciiTheme="minorHAnsi" w:hAnsiTheme="minorHAnsi"/>
                <w:sz w:val="20"/>
                <w:lang w:val="en-IE"/>
              </w:rPr>
              <w:t>Group. Where possible, we have failover solutions available and seek to limit single points of failure.</w:t>
            </w:r>
          </w:p>
        </w:tc>
      </w:tr>
      <w:tr w:rsidR="00F93417" w14:paraId="35C7AE27" w14:textId="77777777" w:rsidTr="009B6BB8">
        <w:tc>
          <w:tcPr>
            <w:tcW w:w="1293" w:type="dxa"/>
            <w:tcBorders>
              <w:top w:val="single" w:sz="4" w:space="0" w:color="auto"/>
              <w:left w:val="nil"/>
              <w:bottom w:val="nil"/>
              <w:right w:val="nil"/>
            </w:tcBorders>
          </w:tcPr>
          <w:p w14:paraId="7EA696E7" w14:textId="77777777" w:rsidR="00F93417" w:rsidRPr="00E96D39" w:rsidRDefault="00F93417" w:rsidP="00453AFA">
            <w:pPr>
              <w:rPr>
                <w:rFonts w:asciiTheme="minorHAnsi" w:hAnsiTheme="minorHAnsi"/>
                <w:b/>
                <w:sz w:val="20"/>
                <w:lang w:val="en-IE"/>
              </w:rPr>
            </w:pPr>
          </w:p>
        </w:tc>
        <w:tc>
          <w:tcPr>
            <w:tcW w:w="3810" w:type="dxa"/>
            <w:tcBorders>
              <w:top w:val="single" w:sz="4" w:space="0" w:color="auto"/>
              <w:left w:val="nil"/>
              <w:bottom w:val="nil"/>
              <w:right w:val="nil"/>
            </w:tcBorders>
          </w:tcPr>
          <w:p w14:paraId="57F81D9E" w14:textId="77777777" w:rsidR="00F93417" w:rsidRPr="00E96D39" w:rsidRDefault="00F93417" w:rsidP="00453AFA">
            <w:pPr>
              <w:ind w:right="-108"/>
              <w:rPr>
                <w:rFonts w:asciiTheme="minorHAnsi" w:hAnsiTheme="minorHAnsi"/>
                <w:sz w:val="20"/>
                <w:lang w:val="en-IE"/>
              </w:rPr>
            </w:pPr>
          </w:p>
        </w:tc>
        <w:tc>
          <w:tcPr>
            <w:tcW w:w="993" w:type="dxa"/>
            <w:tcBorders>
              <w:top w:val="single" w:sz="4" w:space="0" w:color="auto"/>
              <w:left w:val="nil"/>
              <w:bottom w:val="nil"/>
              <w:right w:val="nil"/>
            </w:tcBorders>
          </w:tcPr>
          <w:p w14:paraId="6495206C" w14:textId="77777777" w:rsidR="00F93417" w:rsidRPr="00045852" w:rsidRDefault="00F93417" w:rsidP="00453AFA">
            <w:pPr>
              <w:jc w:val="center"/>
              <w:rPr>
                <w:rFonts w:asciiTheme="minorHAnsi" w:hAnsiTheme="minorHAnsi"/>
                <w:color w:val="FFC000"/>
                <w:lang w:val="en-IE"/>
              </w:rPr>
            </w:pPr>
          </w:p>
        </w:tc>
        <w:tc>
          <w:tcPr>
            <w:tcW w:w="8646" w:type="dxa"/>
            <w:tcBorders>
              <w:top w:val="single" w:sz="4" w:space="0" w:color="auto"/>
              <w:left w:val="nil"/>
              <w:bottom w:val="nil"/>
              <w:right w:val="nil"/>
            </w:tcBorders>
          </w:tcPr>
          <w:p w14:paraId="4809A9E6" w14:textId="77777777" w:rsidR="00F93417" w:rsidRPr="00E96D39" w:rsidRDefault="00F93417" w:rsidP="009B6BB8">
            <w:pPr>
              <w:pStyle w:val="ListParagraph"/>
              <w:ind w:left="352"/>
              <w:rPr>
                <w:rFonts w:asciiTheme="minorHAnsi" w:hAnsiTheme="minorHAnsi"/>
                <w:sz w:val="20"/>
                <w:lang w:val="en-IE"/>
              </w:rPr>
            </w:pPr>
          </w:p>
        </w:tc>
      </w:tr>
      <w:tr w:rsidR="00323BB2" w14:paraId="3BA48560" w14:textId="77777777" w:rsidTr="009B6BB8">
        <w:tc>
          <w:tcPr>
            <w:tcW w:w="1293" w:type="dxa"/>
            <w:tcBorders>
              <w:top w:val="nil"/>
            </w:tcBorders>
          </w:tcPr>
          <w:p w14:paraId="4870E097" w14:textId="77777777" w:rsidR="00323BB2" w:rsidRPr="00E96D39" w:rsidRDefault="00323BB2" w:rsidP="00453AFA">
            <w:pPr>
              <w:rPr>
                <w:rFonts w:asciiTheme="minorHAnsi" w:hAnsiTheme="minorHAnsi"/>
                <w:b/>
                <w:sz w:val="20"/>
                <w:lang w:val="en-IE"/>
              </w:rPr>
            </w:pPr>
            <w:r w:rsidRPr="00E96D39">
              <w:rPr>
                <w:rFonts w:asciiTheme="minorHAnsi" w:hAnsiTheme="minorHAnsi"/>
                <w:b/>
                <w:sz w:val="20"/>
                <w:lang w:val="en-IE"/>
              </w:rPr>
              <w:lastRenderedPageBreak/>
              <w:t>Regulation, licencing and regulatory compliance</w:t>
            </w:r>
          </w:p>
          <w:p w14:paraId="2D64D334" w14:textId="77777777" w:rsidR="00323BB2" w:rsidRPr="00E96D39" w:rsidRDefault="00323BB2" w:rsidP="00453AFA">
            <w:pPr>
              <w:rPr>
                <w:rFonts w:asciiTheme="minorHAnsi" w:hAnsiTheme="minorHAnsi"/>
                <w:b/>
                <w:sz w:val="20"/>
                <w:lang w:val="en-IE"/>
              </w:rPr>
            </w:pPr>
          </w:p>
        </w:tc>
        <w:tc>
          <w:tcPr>
            <w:tcW w:w="3810" w:type="dxa"/>
            <w:tcBorders>
              <w:top w:val="nil"/>
            </w:tcBorders>
          </w:tcPr>
          <w:p w14:paraId="10073D46" w14:textId="77777777" w:rsidR="00323BB2" w:rsidRPr="00E96D39" w:rsidRDefault="00323BB2" w:rsidP="00453AFA">
            <w:pPr>
              <w:ind w:right="-108"/>
              <w:rPr>
                <w:rFonts w:asciiTheme="minorHAnsi" w:hAnsiTheme="minorHAnsi"/>
                <w:sz w:val="20"/>
                <w:lang w:val="en-IE"/>
              </w:rPr>
            </w:pPr>
            <w:r w:rsidRPr="00E96D39">
              <w:rPr>
                <w:rFonts w:asciiTheme="minorHAnsi" w:hAnsiTheme="minorHAnsi"/>
                <w:sz w:val="20"/>
                <w:lang w:val="en-IE"/>
              </w:rPr>
              <w:t>Failure to meet new or existing licensing or legislative requirements due to poor management of the license application process,</w:t>
            </w:r>
            <w:r>
              <w:rPr>
                <w:rFonts w:asciiTheme="minorHAnsi" w:hAnsiTheme="minorHAnsi"/>
                <w:sz w:val="20"/>
                <w:lang w:val="en-IE"/>
              </w:rPr>
              <w:t xml:space="preserve"> </w:t>
            </w:r>
            <w:r w:rsidRPr="00E96D39">
              <w:rPr>
                <w:rFonts w:asciiTheme="minorHAnsi" w:hAnsiTheme="minorHAnsi"/>
                <w:sz w:val="20"/>
                <w:lang w:val="en-IE"/>
              </w:rPr>
              <w:t>inadequate governance</w:t>
            </w:r>
            <w:r>
              <w:rPr>
                <w:rFonts w:asciiTheme="minorHAnsi" w:hAnsiTheme="minorHAnsi"/>
                <w:sz w:val="20"/>
                <w:lang w:val="en-IE"/>
              </w:rPr>
              <w:t xml:space="preserve"> </w:t>
            </w:r>
            <w:r w:rsidRPr="00E96D39">
              <w:rPr>
                <w:rFonts w:asciiTheme="minorHAnsi" w:hAnsiTheme="minorHAnsi"/>
                <w:sz w:val="20"/>
                <w:lang w:val="en-IE"/>
              </w:rPr>
              <w:t>and ongoing monitoring, resulting in enforcement action, increased regulatory scrutiny and loss of license. ​</w:t>
            </w:r>
          </w:p>
        </w:tc>
        <w:tc>
          <w:tcPr>
            <w:tcW w:w="993" w:type="dxa"/>
            <w:tcBorders>
              <w:top w:val="nil"/>
            </w:tcBorders>
          </w:tcPr>
          <w:p w14:paraId="00C64F92" w14:textId="77777777" w:rsidR="00323BB2" w:rsidRPr="00045852" w:rsidRDefault="00323BB2" w:rsidP="00453AFA">
            <w:pPr>
              <w:jc w:val="center"/>
              <w:rPr>
                <w:rFonts w:asciiTheme="minorHAnsi" w:hAnsiTheme="minorHAnsi"/>
                <w:color w:val="FFC000"/>
                <w:lang w:val="en-IE"/>
              </w:rPr>
            </w:pPr>
            <w:r w:rsidRPr="00045852">
              <w:rPr>
                <w:rFonts w:asciiTheme="minorHAnsi" w:hAnsiTheme="minorHAnsi"/>
                <w:color w:val="FFC000"/>
                <w:lang w:val="en-IE"/>
              </w:rPr>
              <w:sym w:font="Wingdings" w:char="F0DC"/>
            </w:r>
          </w:p>
          <w:p w14:paraId="52E73CCD" w14:textId="77777777" w:rsidR="00323BB2" w:rsidRPr="00045852" w:rsidRDefault="00323BB2" w:rsidP="00453AFA">
            <w:pPr>
              <w:jc w:val="center"/>
              <w:rPr>
                <w:rFonts w:asciiTheme="minorHAnsi" w:hAnsiTheme="minorHAnsi"/>
                <w:color w:val="C00000"/>
                <w:lang w:val="en-IE"/>
              </w:rPr>
            </w:pPr>
          </w:p>
        </w:tc>
        <w:tc>
          <w:tcPr>
            <w:tcW w:w="8646" w:type="dxa"/>
            <w:tcBorders>
              <w:top w:val="nil"/>
            </w:tcBorders>
          </w:tcPr>
          <w:p w14:paraId="0C145720"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Dedicated internal and external Legal, Compliance and Tax teams for all regions with responsibility for advising business units on these matters and working with the business to set appropriate policies, processes and controls. </w:t>
            </w:r>
          </w:p>
          <w:p w14:paraId="035F0C9E"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For the jurisdictions in which we hold a licence, the relevant Compliance teams perform ongoing monitoring of compliance with the regulatory framework and licence requirements. </w:t>
            </w:r>
          </w:p>
          <w:p w14:paraId="7073C065"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Dedicated Regulatory Affairs and Compliance teams work with regulators and governments in relation to proportionate and reasonable regulation. </w:t>
            </w:r>
          </w:p>
          <w:p w14:paraId="23A8C8F8"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Reporting by Management periodically to the Board Risk Committees on the application of various laws and regulations by the relevant jurisdiction to ensure that they are appropriately understood and managed</w:t>
            </w:r>
            <w:r w:rsidRPr="00823B11">
              <w:rPr>
                <w:rFonts w:asciiTheme="minorHAnsi" w:hAnsiTheme="minorHAnsi"/>
                <w:sz w:val="20"/>
                <w:lang w:val="en-IE"/>
              </w:rPr>
              <w:t>.</w:t>
            </w:r>
          </w:p>
          <w:p w14:paraId="1D32A9B0"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Report of the findings of their audit procedures by the Group’s internal</w:t>
            </w:r>
            <w:r>
              <w:rPr>
                <w:rFonts w:asciiTheme="minorHAnsi" w:hAnsiTheme="minorHAnsi"/>
                <w:sz w:val="20"/>
                <w:lang w:val="en-IE"/>
              </w:rPr>
              <w:t xml:space="preserve"> </w:t>
            </w:r>
            <w:r w:rsidRPr="00E96D39">
              <w:rPr>
                <w:rFonts w:asciiTheme="minorHAnsi" w:hAnsiTheme="minorHAnsi"/>
                <w:sz w:val="20"/>
                <w:lang w:val="en-IE"/>
              </w:rPr>
              <w:t>auditors to the Audit Committee on relevant compliance matters to ensure full oversight.</w:t>
            </w:r>
          </w:p>
        </w:tc>
      </w:tr>
      <w:tr w:rsidR="00323BB2" w14:paraId="4318AC8F" w14:textId="77777777" w:rsidTr="00453AFA">
        <w:tc>
          <w:tcPr>
            <w:tcW w:w="1293" w:type="dxa"/>
          </w:tcPr>
          <w:p w14:paraId="319D95CF" w14:textId="77777777" w:rsidR="00323BB2" w:rsidRPr="00E96D39" w:rsidRDefault="00323BB2" w:rsidP="00453AFA">
            <w:pPr>
              <w:jc w:val="both"/>
              <w:rPr>
                <w:rFonts w:asciiTheme="minorHAnsi" w:hAnsiTheme="minorHAnsi"/>
                <w:b/>
                <w:sz w:val="20"/>
                <w:lang w:val="en-IE"/>
              </w:rPr>
            </w:pPr>
            <w:r w:rsidRPr="00E96D39">
              <w:rPr>
                <w:rFonts w:asciiTheme="minorHAnsi" w:hAnsiTheme="minorHAnsi"/>
                <w:b/>
                <w:sz w:val="20"/>
                <w:lang w:val="en-IE"/>
              </w:rPr>
              <w:t xml:space="preserve">Key employees’ recruitment and retention </w:t>
            </w:r>
          </w:p>
          <w:p w14:paraId="0588E930" w14:textId="77777777" w:rsidR="00323BB2" w:rsidRPr="00E96D39" w:rsidRDefault="00323BB2" w:rsidP="00453AFA">
            <w:pPr>
              <w:rPr>
                <w:rFonts w:asciiTheme="minorHAnsi" w:hAnsiTheme="minorHAnsi"/>
                <w:sz w:val="20"/>
                <w:lang w:val="en-IE"/>
              </w:rPr>
            </w:pPr>
          </w:p>
        </w:tc>
        <w:tc>
          <w:tcPr>
            <w:tcW w:w="3810" w:type="dxa"/>
          </w:tcPr>
          <w:p w14:paraId="706698BF"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Inability to recruit, retain and motivate existing talented and highly skilled employees due to inadequate recruitment process, remuneration and rewards packages, and lack of mentoring, training and advancement opportunities, leading to a lack of suitable people in key positions needed to keep growing and developing the business. ​</w:t>
            </w:r>
          </w:p>
        </w:tc>
        <w:tc>
          <w:tcPr>
            <w:tcW w:w="993" w:type="dxa"/>
          </w:tcPr>
          <w:p w14:paraId="2AFECE13" w14:textId="77777777" w:rsidR="00323BB2" w:rsidRPr="00045852" w:rsidRDefault="00323BB2" w:rsidP="00453AFA">
            <w:pPr>
              <w:jc w:val="center"/>
              <w:rPr>
                <w:rFonts w:asciiTheme="minorHAnsi" w:hAnsiTheme="minorHAnsi"/>
                <w:color w:val="FFC000"/>
                <w:lang w:val="en-IE"/>
              </w:rPr>
            </w:pPr>
            <w:r w:rsidRPr="00045852">
              <w:rPr>
                <w:rFonts w:asciiTheme="minorHAnsi" w:hAnsiTheme="minorHAnsi"/>
                <w:color w:val="FFC000"/>
                <w:lang w:val="en-IE"/>
              </w:rPr>
              <w:sym w:font="Wingdings" w:char="F0DC"/>
            </w:r>
          </w:p>
          <w:p w14:paraId="0C347DF5" w14:textId="77777777" w:rsidR="00323BB2" w:rsidRPr="00045852" w:rsidRDefault="00323BB2" w:rsidP="00453AFA">
            <w:pPr>
              <w:jc w:val="center"/>
              <w:rPr>
                <w:rFonts w:asciiTheme="minorHAnsi" w:hAnsiTheme="minorHAnsi"/>
                <w:lang w:val="en-IE"/>
              </w:rPr>
            </w:pPr>
          </w:p>
        </w:tc>
        <w:tc>
          <w:tcPr>
            <w:tcW w:w="8646" w:type="dxa"/>
          </w:tcPr>
          <w:p w14:paraId="54D0C551"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Reviewing of key positions and reward by the Board through the Nomination and Remuneration Committees. The Executive Directors, senior management and other key employees are part of medium- or long-term incentive plans, which reward performance and loyalty.</w:t>
            </w:r>
          </w:p>
          <w:p w14:paraId="682E9FCC"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Active man</w:t>
            </w:r>
            <w:r>
              <w:rPr>
                <w:rFonts w:asciiTheme="minorHAnsi" w:hAnsiTheme="minorHAnsi"/>
                <w:sz w:val="20"/>
                <w:lang w:val="en-IE"/>
              </w:rPr>
              <w:t>a</w:t>
            </w:r>
            <w:r w:rsidRPr="00E96D39">
              <w:rPr>
                <w:rFonts w:asciiTheme="minorHAnsi" w:hAnsiTheme="minorHAnsi"/>
                <w:sz w:val="20"/>
                <w:lang w:val="en-IE"/>
              </w:rPr>
              <w:t xml:space="preserve">ging of succession planning by the HR function and the processes that are in place throughout the business to identify key roles and conduct regular appraisals, succession and talent reviews, engagement surveys as well as career development opportunities. </w:t>
            </w:r>
          </w:p>
          <w:p w14:paraId="5FB53A1C"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Reviewing of employee salaries, providing a comprehensive benefit package and eligibility to join (subject to local jurisdictional requirements) our all-employee save as you earn share scheme as an opportunity for them to participate in the Group’s performance. </w:t>
            </w:r>
          </w:p>
          <w:p w14:paraId="46833EAE"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In respect of the impact of COVID</w:t>
            </w:r>
            <w:r>
              <w:rPr>
                <w:rFonts w:asciiTheme="minorHAnsi" w:hAnsiTheme="minorHAnsi"/>
                <w:sz w:val="20"/>
                <w:lang w:val="en-IE"/>
              </w:rPr>
              <w:t>-</w:t>
            </w:r>
            <w:r w:rsidRPr="00E96D39">
              <w:rPr>
                <w:rFonts w:asciiTheme="minorHAnsi" w:hAnsiTheme="minorHAnsi"/>
                <w:sz w:val="20"/>
                <w:lang w:val="en-IE"/>
              </w:rPr>
              <w:t xml:space="preserve">19 on employees, the Group has implemented an extensive range of measures to provide the safest working environment possible for our people and health and wellbeing initiatives. Where our UK and Ireland Retail business was closed during lockdown, employees </w:t>
            </w:r>
            <w:r>
              <w:rPr>
                <w:rFonts w:asciiTheme="minorHAnsi" w:hAnsiTheme="minorHAnsi"/>
                <w:sz w:val="20"/>
                <w:lang w:val="en-IE"/>
              </w:rPr>
              <w:t>were</w:t>
            </w:r>
            <w:r w:rsidRPr="00E96D39">
              <w:rPr>
                <w:rFonts w:asciiTheme="minorHAnsi" w:hAnsiTheme="minorHAnsi"/>
                <w:sz w:val="20"/>
                <w:lang w:val="en-IE"/>
              </w:rPr>
              <w:t xml:space="preserve"> paid full salary </w:t>
            </w:r>
            <w:r w:rsidRPr="00823B11">
              <w:rPr>
                <w:rFonts w:asciiTheme="minorHAnsi" w:hAnsiTheme="minorHAnsi"/>
                <w:sz w:val="20"/>
                <w:lang w:val="en-IE"/>
              </w:rPr>
              <w:t xml:space="preserve">without availing of any government financial supports. </w:t>
            </w:r>
          </w:p>
          <w:p w14:paraId="34087260" w14:textId="77777777" w:rsidR="00323BB2" w:rsidRPr="00E96D39" w:rsidRDefault="00323BB2" w:rsidP="00453AFA">
            <w:pPr>
              <w:ind w:left="353" w:hanging="283"/>
              <w:jc w:val="both"/>
              <w:rPr>
                <w:rFonts w:asciiTheme="minorHAnsi" w:hAnsiTheme="minorHAnsi"/>
                <w:sz w:val="20"/>
                <w:lang w:val="en-IE"/>
              </w:rPr>
            </w:pPr>
          </w:p>
        </w:tc>
      </w:tr>
      <w:tr w:rsidR="00323BB2" w14:paraId="0A9E8F66" w14:textId="77777777" w:rsidTr="00453AFA">
        <w:tc>
          <w:tcPr>
            <w:tcW w:w="1293" w:type="dxa"/>
          </w:tcPr>
          <w:p w14:paraId="24A0C211" w14:textId="77777777" w:rsidR="00323BB2" w:rsidRPr="00E96D39" w:rsidRDefault="00323BB2" w:rsidP="00453AFA">
            <w:pPr>
              <w:rPr>
                <w:rFonts w:asciiTheme="minorHAnsi" w:hAnsiTheme="minorHAnsi"/>
                <w:b/>
                <w:sz w:val="20"/>
                <w:lang w:val="en-IE"/>
              </w:rPr>
            </w:pPr>
            <w:r w:rsidRPr="00E96D39">
              <w:rPr>
                <w:rFonts w:asciiTheme="minorHAnsi" w:hAnsiTheme="minorHAnsi"/>
                <w:b/>
                <w:sz w:val="20"/>
                <w:lang w:val="en-IE"/>
              </w:rPr>
              <w:t xml:space="preserve">Reliance on third parties and key supplier relationships </w:t>
            </w:r>
          </w:p>
          <w:p w14:paraId="4641D107" w14:textId="77777777" w:rsidR="00323BB2" w:rsidRPr="00E96D39" w:rsidRDefault="00323BB2" w:rsidP="00453AFA">
            <w:pPr>
              <w:rPr>
                <w:rFonts w:asciiTheme="minorHAnsi" w:hAnsiTheme="minorHAnsi"/>
                <w:sz w:val="20"/>
                <w:lang w:val="en-IE"/>
              </w:rPr>
            </w:pPr>
          </w:p>
        </w:tc>
        <w:tc>
          <w:tcPr>
            <w:tcW w:w="3810" w:type="dxa"/>
          </w:tcPr>
          <w:p w14:paraId="65FCE4FD"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Failure in service provision by a third-party due to ineffective processes to select, contract and manage suppliers resulting in reputational damage, regulatory actions and financial loss. ​</w:t>
            </w:r>
          </w:p>
        </w:tc>
        <w:tc>
          <w:tcPr>
            <w:tcW w:w="993" w:type="dxa"/>
          </w:tcPr>
          <w:p w14:paraId="31E9A9E2" w14:textId="77777777" w:rsidR="00323BB2" w:rsidRPr="00045852" w:rsidRDefault="00323BB2" w:rsidP="00453AFA">
            <w:pPr>
              <w:jc w:val="center"/>
              <w:rPr>
                <w:rFonts w:asciiTheme="minorHAnsi" w:hAnsiTheme="minorHAnsi"/>
                <w:lang w:val="en-IE"/>
              </w:rPr>
            </w:pPr>
            <w:r w:rsidRPr="00045852">
              <w:rPr>
                <w:rFonts w:asciiTheme="minorHAnsi" w:hAnsiTheme="minorHAnsi"/>
                <w:color w:val="C00000"/>
                <w:lang w:val="en-IE"/>
              </w:rPr>
              <w:sym w:font="Wingdings" w:char="F0DD"/>
            </w:r>
          </w:p>
        </w:tc>
        <w:tc>
          <w:tcPr>
            <w:tcW w:w="8646" w:type="dxa"/>
            <w:tcBorders>
              <w:bottom w:val="single" w:sz="4" w:space="0" w:color="auto"/>
            </w:tcBorders>
            <w:shd w:val="clear" w:color="auto" w:fill="FFFFFF" w:themeFill="background1"/>
          </w:tcPr>
          <w:p w14:paraId="6C27131F"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Established a Supplier Relationship Management framework for the managing and performance of the efficiency and quality of third-party suppliers’ performance. </w:t>
            </w:r>
          </w:p>
          <w:p w14:paraId="32158C2A"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Aligning a technology third party assurance framework for managing security risks introduced by third party to provide assurance. </w:t>
            </w:r>
          </w:p>
          <w:p w14:paraId="7FAF037E"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Limiting reliance on a single supplier where possible to reduce potential single points of failure.</w:t>
            </w:r>
          </w:p>
          <w:p w14:paraId="7825E99D" w14:textId="77777777" w:rsidR="00323BB2"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Reviewing of contracts and service level agreements with third parties on a regular basis to ensure adequate protection for the Group. </w:t>
            </w:r>
          </w:p>
          <w:p w14:paraId="61801B27"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Pr>
                <w:rFonts w:asciiTheme="minorHAnsi" w:hAnsiTheme="minorHAnsi"/>
                <w:sz w:val="20"/>
                <w:lang w:val="en-IE"/>
              </w:rPr>
              <w:t>Carrying out follow up reviews of suppliers’ ability to provide required services in light of COVID-19 and taking appropriate follow up action where required.</w:t>
            </w:r>
          </w:p>
        </w:tc>
      </w:tr>
      <w:tr w:rsidR="00323BB2" w14:paraId="18A37DF6" w14:textId="77777777" w:rsidTr="00453AFA">
        <w:trPr>
          <w:trHeight w:val="2290"/>
        </w:trPr>
        <w:tc>
          <w:tcPr>
            <w:tcW w:w="1293" w:type="dxa"/>
          </w:tcPr>
          <w:p w14:paraId="7FEFE290" w14:textId="77777777" w:rsidR="00323BB2" w:rsidRPr="00E96D39" w:rsidRDefault="00323BB2" w:rsidP="00453AFA">
            <w:pPr>
              <w:rPr>
                <w:rFonts w:asciiTheme="minorHAnsi" w:hAnsiTheme="minorHAnsi"/>
                <w:b/>
                <w:sz w:val="20"/>
                <w:lang w:val="en-IE"/>
              </w:rPr>
            </w:pPr>
            <w:r w:rsidRPr="00E96D39">
              <w:rPr>
                <w:rFonts w:asciiTheme="minorHAnsi" w:hAnsiTheme="minorHAnsi"/>
                <w:b/>
                <w:sz w:val="20"/>
                <w:lang w:val="en-IE"/>
              </w:rPr>
              <w:lastRenderedPageBreak/>
              <w:t xml:space="preserve">Integration and project change risk </w:t>
            </w:r>
          </w:p>
          <w:p w14:paraId="30D3BC74" w14:textId="77777777" w:rsidR="00323BB2" w:rsidRPr="00E96D39" w:rsidRDefault="00323BB2" w:rsidP="00453AFA">
            <w:pPr>
              <w:rPr>
                <w:rFonts w:asciiTheme="minorHAnsi" w:hAnsiTheme="minorHAnsi"/>
                <w:sz w:val="20"/>
                <w:lang w:val="en-IE"/>
              </w:rPr>
            </w:pPr>
          </w:p>
        </w:tc>
        <w:tc>
          <w:tcPr>
            <w:tcW w:w="3810" w:type="dxa"/>
          </w:tcPr>
          <w:p w14:paraId="45F177A5"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Missed or inappropriate targets and/or poor integration post acquisition due to lack of defined end to end process and governance around M&amp;A resulting in failed acquisitions causing financial loss and reputational damage. ​</w:t>
            </w:r>
          </w:p>
        </w:tc>
        <w:tc>
          <w:tcPr>
            <w:tcW w:w="993" w:type="dxa"/>
          </w:tcPr>
          <w:p w14:paraId="5B87D60C" w14:textId="77777777" w:rsidR="00323BB2" w:rsidRPr="00045852" w:rsidRDefault="00323BB2" w:rsidP="00453AFA">
            <w:pPr>
              <w:jc w:val="center"/>
              <w:rPr>
                <w:rFonts w:asciiTheme="minorHAnsi" w:hAnsiTheme="minorHAnsi"/>
                <w:lang w:val="en-IE"/>
              </w:rPr>
            </w:pPr>
            <w:r w:rsidRPr="00045852">
              <w:rPr>
                <w:rFonts w:asciiTheme="minorHAnsi" w:hAnsiTheme="minorHAnsi"/>
                <w:color w:val="C00000"/>
                <w:lang w:val="en-IE"/>
              </w:rPr>
              <w:sym w:font="Wingdings" w:char="F0DD"/>
            </w:r>
          </w:p>
        </w:tc>
        <w:tc>
          <w:tcPr>
            <w:tcW w:w="8646" w:type="dxa"/>
            <w:shd w:val="clear" w:color="auto" w:fill="FFFFFF" w:themeFill="background1"/>
          </w:tcPr>
          <w:p w14:paraId="052B73CA"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Established the Flutter Transformation Management Office (TMO) with a robust framework to manage organisational changes from merger related objectives</w:t>
            </w:r>
          </w:p>
          <w:p w14:paraId="6F05AF4C"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Dedicated and experienced internal resources, complemented with external expertise, are put in place to manage projects and programmes associated with integrations, with direct reporting lines to the Group’s Executive Committee and Board.</w:t>
            </w:r>
          </w:p>
          <w:p w14:paraId="4822E92D"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Dedicated business development, corporate finance and divisional management teams are in place to continually and proactively review potential acquisitions. </w:t>
            </w:r>
          </w:p>
          <w:p w14:paraId="7E5832D8" w14:textId="77777777" w:rsidR="00323BB2" w:rsidRPr="00823B11"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lang w:val="en-IE"/>
              </w:rPr>
              <w:t xml:space="preserve">Assessing all potential acquisition targets to ensure their strategic fit with the business and their long-term viability to generate positive returns. </w:t>
            </w:r>
          </w:p>
        </w:tc>
      </w:tr>
      <w:tr w:rsidR="00323BB2" w14:paraId="73BAF8AC" w14:textId="77777777" w:rsidTr="00453AFA">
        <w:tc>
          <w:tcPr>
            <w:tcW w:w="1293" w:type="dxa"/>
          </w:tcPr>
          <w:p w14:paraId="5323F2A6" w14:textId="77777777" w:rsidR="00323BB2" w:rsidRPr="00E96D39" w:rsidRDefault="00323BB2" w:rsidP="00453AFA">
            <w:pPr>
              <w:rPr>
                <w:rFonts w:asciiTheme="minorHAnsi" w:hAnsiTheme="minorHAnsi"/>
                <w:b/>
                <w:sz w:val="20"/>
                <w:lang w:val="en-IE"/>
              </w:rPr>
            </w:pPr>
            <w:r w:rsidRPr="00E96D39">
              <w:rPr>
                <w:rFonts w:asciiTheme="minorHAnsi" w:hAnsiTheme="minorHAnsi"/>
                <w:b/>
                <w:sz w:val="20"/>
                <w:lang w:val="en-IE"/>
              </w:rPr>
              <w:t>Market Restrictions</w:t>
            </w:r>
          </w:p>
        </w:tc>
        <w:tc>
          <w:tcPr>
            <w:tcW w:w="3810" w:type="dxa"/>
          </w:tcPr>
          <w:p w14:paraId="2520B18F" w14:textId="77777777" w:rsidR="00323BB2" w:rsidRPr="00E96D39" w:rsidRDefault="00323BB2" w:rsidP="00453AFA">
            <w:pPr>
              <w:rPr>
                <w:rFonts w:asciiTheme="minorHAnsi" w:hAnsiTheme="minorHAnsi"/>
                <w:sz w:val="20"/>
                <w:lang w:val="en-IE"/>
              </w:rPr>
            </w:pPr>
            <w:r w:rsidRPr="00E96D39">
              <w:rPr>
                <w:rFonts w:asciiTheme="minorHAnsi" w:hAnsiTheme="minorHAnsi"/>
                <w:sz w:val="20"/>
                <w:lang w:val="en-IE"/>
              </w:rPr>
              <w:t>Restrictions on new or existing markets such as advertising bans or material taxation changes can impact growth plans.</w:t>
            </w:r>
          </w:p>
        </w:tc>
        <w:tc>
          <w:tcPr>
            <w:tcW w:w="993" w:type="dxa"/>
          </w:tcPr>
          <w:p w14:paraId="724879F6" w14:textId="77777777" w:rsidR="00323BB2" w:rsidRPr="00045852" w:rsidRDefault="00323BB2" w:rsidP="00453AFA">
            <w:pPr>
              <w:jc w:val="center"/>
              <w:rPr>
                <w:rFonts w:asciiTheme="minorHAnsi" w:hAnsiTheme="minorHAnsi"/>
                <w:color w:val="FFC000"/>
                <w:lang w:val="en-IE"/>
              </w:rPr>
            </w:pPr>
            <w:r w:rsidRPr="00045852">
              <w:rPr>
                <w:rFonts w:asciiTheme="minorHAnsi" w:hAnsiTheme="minorHAnsi"/>
                <w:color w:val="FFC000"/>
                <w:lang w:val="en-IE"/>
              </w:rPr>
              <w:sym w:font="Wingdings" w:char="F0DC"/>
            </w:r>
          </w:p>
          <w:p w14:paraId="617BC95A" w14:textId="77777777" w:rsidR="00323BB2" w:rsidRPr="00045852" w:rsidRDefault="00323BB2" w:rsidP="00453AFA">
            <w:pPr>
              <w:jc w:val="center"/>
              <w:rPr>
                <w:rFonts w:asciiTheme="minorHAnsi" w:hAnsiTheme="minorHAnsi"/>
                <w:color w:val="C00000"/>
                <w:lang w:val="en-IE"/>
              </w:rPr>
            </w:pPr>
          </w:p>
        </w:tc>
        <w:tc>
          <w:tcPr>
            <w:tcW w:w="8646" w:type="dxa"/>
            <w:shd w:val="clear" w:color="auto" w:fill="FFFFFF" w:themeFill="background1"/>
          </w:tcPr>
          <w:p w14:paraId="64E86C9E"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E96D39">
              <w:rPr>
                <w:rFonts w:asciiTheme="minorHAnsi" w:hAnsiTheme="minorHAnsi"/>
                <w:sz w:val="20"/>
              </w:rPr>
              <w:t xml:space="preserve">Monitoring of potential changes in regulatory environments on an ongoing basis with a view to managing </w:t>
            </w:r>
            <w:r w:rsidRPr="00823B11">
              <w:rPr>
                <w:rFonts w:asciiTheme="minorHAnsi" w:hAnsiTheme="minorHAnsi"/>
                <w:sz w:val="20"/>
                <w:lang w:val="en-IE"/>
              </w:rPr>
              <w:t xml:space="preserve">any changes appropriately and cost efficiently. </w:t>
            </w:r>
          </w:p>
          <w:p w14:paraId="439BCAF5"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823B11">
              <w:rPr>
                <w:rFonts w:asciiTheme="minorHAnsi" w:hAnsiTheme="minorHAnsi"/>
                <w:sz w:val="20"/>
                <w:lang w:val="en-IE"/>
              </w:rPr>
              <w:t xml:space="preserve">Continuously promoting transparent and effective regulations in all markets that create a level playing field. </w:t>
            </w:r>
          </w:p>
          <w:p w14:paraId="4AC5DF83" w14:textId="77777777" w:rsidR="00323BB2" w:rsidRPr="00E96D39" w:rsidRDefault="00323BB2" w:rsidP="009B6BB8">
            <w:pPr>
              <w:pStyle w:val="ListParagraph"/>
              <w:numPr>
                <w:ilvl w:val="0"/>
                <w:numId w:val="30"/>
              </w:numPr>
              <w:ind w:left="352" w:hanging="284"/>
              <w:rPr>
                <w:rFonts w:asciiTheme="minorHAnsi" w:hAnsiTheme="minorHAnsi"/>
                <w:sz w:val="20"/>
                <w:lang w:val="en-IE"/>
              </w:rPr>
            </w:pPr>
            <w:r w:rsidRPr="00823B11">
              <w:rPr>
                <w:rFonts w:asciiTheme="minorHAnsi" w:hAnsiTheme="minorHAnsi"/>
                <w:sz w:val="20"/>
                <w:lang w:val="en-IE"/>
              </w:rPr>
              <w:t>Established a product prioritisation process to ensure any new regulations are complied with in a timely manner.</w:t>
            </w:r>
          </w:p>
          <w:p w14:paraId="241C7B82" w14:textId="77777777" w:rsidR="00323BB2" w:rsidRPr="00E96D39" w:rsidRDefault="00323BB2" w:rsidP="009B6BB8">
            <w:pPr>
              <w:pStyle w:val="ListParagraph"/>
              <w:numPr>
                <w:ilvl w:val="0"/>
                <w:numId w:val="30"/>
              </w:numPr>
              <w:ind w:left="352" w:hanging="284"/>
              <w:rPr>
                <w:rFonts w:asciiTheme="minorHAnsi" w:hAnsiTheme="minorHAnsi"/>
                <w:sz w:val="20"/>
              </w:rPr>
            </w:pPr>
            <w:r w:rsidRPr="00823B11">
              <w:rPr>
                <w:rFonts w:asciiTheme="minorHAnsi" w:hAnsiTheme="minorHAnsi"/>
                <w:sz w:val="20"/>
                <w:lang w:val="en-IE"/>
              </w:rPr>
              <w:t>Investing continuously in the flexibility of our technology, which is key for entering or remaining in markets and allowing for adaptability as market conditions change.</w:t>
            </w:r>
            <w:r w:rsidRPr="00E96D39">
              <w:rPr>
                <w:rFonts w:asciiTheme="minorHAnsi" w:hAnsiTheme="minorHAnsi"/>
                <w:sz w:val="20"/>
              </w:rPr>
              <w:t xml:space="preserve"> </w:t>
            </w:r>
          </w:p>
        </w:tc>
      </w:tr>
    </w:tbl>
    <w:p w14:paraId="66E2E581" w14:textId="77777777" w:rsidR="00323BB2" w:rsidRPr="00E3354E" w:rsidRDefault="00323BB2" w:rsidP="00323BB2">
      <w:pPr>
        <w:jc w:val="both"/>
        <w:rPr>
          <w:rFonts w:asciiTheme="minorHAnsi" w:hAnsiTheme="minorHAnsi"/>
          <w:sz w:val="22"/>
          <w:szCs w:val="22"/>
          <w:lang w:val="en-IE"/>
        </w:rPr>
      </w:pPr>
    </w:p>
    <w:p w14:paraId="298B6BFE" w14:textId="77777777" w:rsidR="00323BB2" w:rsidRPr="00F214CD" w:rsidRDefault="00323BB2" w:rsidP="00323BB2">
      <w:pPr>
        <w:pStyle w:val="ListParagraph"/>
        <w:ind w:left="1080"/>
        <w:jc w:val="both"/>
        <w:rPr>
          <w:rFonts w:asciiTheme="minorHAnsi" w:hAnsiTheme="minorHAnsi"/>
          <w:sz w:val="22"/>
          <w:szCs w:val="22"/>
          <w:lang w:val="en-IE"/>
        </w:rPr>
      </w:pPr>
      <w:bookmarkStart w:id="8" w:name="_Hlk46142818"/>
    </w:p>
    <w:bookmarkEnd w:id="8"/>
    <w:p w14:paraId="64BAB8DA" w14:textId="77777777" w:rsidR="00323BB2" w:rsidRPr="00F978A3" w:rsidRDefault="00323BB2" w:rsidP="00323BB2">
      <w:pPr>
        <w:jc w:val="both"/>
        <w:rPr>
          <w:rFonts w:asciiTheme="minorHAnsi" w:hAnsiTheme="minorHAnsi"/>
          <w:sz w:val="20"/>
          <w:highlight w:val="yellow"/>
          <w:lang w:val="en-IE"/>
        </w:rPr>
      </w:pPr>
    </w:p>
    <w:p w14:paraId="6A526B45" w14:textId="77777777" w:rsidR="00323BB2" w:rsidRPr="00F978A3" w:rsidRDefault="00323BB2" w:rsidP="00323BB2">
      <w:pPr>
        <w:jc w:val="both"/>
        <w:rPr>
          <w:rFonts w:asciiTheme="minorHAnsi" w:hAnsiTheme="minorHAnsi"/>
          <w:sz w:val="20"/>
          <w:lang w:val="en-IE"/>
        </w:rPr>
      </w:pPr>
    </w:p>
    <w:p w14:paraId="76EA1B5E" w14:textId="77777777" w:rsidR="00323BB2" w:rsidRDefault="00323BB2" w:rsidP="00323BB2">
      <w:pPr>
        <w:rPr>
          <w:rFonts w:asciiTheme="minorHAnsi" w:hAnsiTheme="minorHAnsi"/>
          <w:b/>
          <w:iCs/>
          <w:sz w:val="20"/>
        </w:rPr>
      </w:pPr>
      <w:r>
        <w:rPr>
          <w:rFonts w:asciiTheme="minorHAnsi" w:hAnsiTheme="minorHAnsi"/>
          <w:b/>
          <w:iCs/>
          <w:sz w:val="20"/>
        </w:rPr>
        <w:br w:type="page"/>
      </w:r>
    </w:p>
    <w:p w14:paraId="0E28D52B" w14:textId="77777777" w:rsidR="00323BB2" w:rsidRDefault="00323BB2" w:rsidP="00323BB2">
      <w:pPr>
        <w:pStyle w:val="BodyText"/>
        <w:spacing w:after="0"/>
        <w:rPr>
          <w:rFonts w:asciiTheme="minorHAnsi" w:hAnsiTheme="minorHAnsi"/>
          <w:b/>
          <w:iCs/>
          <w:sz w:val="20"/>
          <w:szCs w:val="20"/>
        </w:rPr>
        <w:sectPr w:rsidR="00323BB2" w:rsidSect="00453AFA">
          <w:footnotePr>
            <w:numRestart w:val="eachPage"/>
          </w:footnotePr>
          <w:pgSz w:w="16840" w:h="11907" w:orient="landscape" w:code="9"/>
          <w:pgMar w:top="1260" w:right="851" w:bottom="1077" w:left="709" w:header="720" w:footer="318" w:gutter="0"/>
          <w:cols w:space="720"/>
          <w:titlePg/>
          <w:docGrid w:linePitch="326"/>
        </w:sectPr>
      </w:pPr>
    </w:p>
    <w:p w14:paraId="4F869B60" w14:textId="77777777" w:rsidR="00323BB2" w:rsidRPr="009D30BC" w:rsidRDefault="00323BB2" w:rsidP="00323BB2">
      <w:pPr>
        <w:pStyle w:val="BodyText"/>
        <w:spacing w:after="0"/>
        <w:rPr>
          <w:rFonts w:asciiTheme="minorHAnsi" w:hAnsiTheme="minorHAnsi"/>
          <w:b/>
          <w:sz w:val="20"/>
          <w:szCs w:val="20"/>
          <w:lang w:val="en-IE"/>
        </w:rPr>
      </w:pPr>
      <w:r w:rsidRPr="009D30BC">
        <w:rPr>
          <w:rFonts w:asciiTheme="minorHAnsi" w:hAnsiTheme="minorHAnsi"/>
          <w:b/>
          <w:iCs/>
          <w:sz w:val="20"/>
          <w:szCs w:val="20"/>
        </w:rPr>
        <w:lastRenderedPageBreak/>
        <w:t xml:space="preserve">CONDENSED </w:t>
      </w:r>
      <w:r w:rsidRPr="009D30BC">
        <w:rPr>
          <w:rFonts w:asciiTheme="minorHAnsi" w:hAnsiTheme="minorHAnsi"/>
          <w:b/>
          <w:sz w:val="20"/>
          <w:szCs w:val="20"/>
        </w:rPr>
        <w:t>CONSOLIDATED INTERIM INCOME STATEMENT</w:t>
      </w:r>
    </w:p>
    <w:p w14:paraId="7A039A06" w14:textId="77777777" w:rsidR="00323BB2" w:rsidRPr="009D30BC" w:rsidRDefault="00323BB2" w:rsidP="00323BB2">
      <w:pPr>
        <w:pStyle w:val="BodyText"/>
        <w:spacing w:after="0"/>
        <w:rPr>
          <w:rFonts w:asciiTheme="minorHAnsi" w:hAnsiTheme="minorHAnsi"/>
          <w:b/>
          <w:sz w:val="20"/>
          <w:szCs w:val="20"/>
          <w:lang w:val="en-IE"/>
        </w:rPr>
      </w:pPr>
      <w:r w:rsidRPr="009D30BC">
        <w:rPr>
          <w:rFonts w:asciiTheme="minorHAnsi" w:hAnsiTheme="minorHAnsi"/>
          <w:b/>
          <w:sz w:val="20"/>
          <w:szCs w:val="20"/>
          <w:lang w:val="en-IE"/>
        </w:rPr>
        <w:t xml:space="preserve">For the six months ended </w:t>
      </w:r>
      <w:r>
        <w:rPr>
          <w:rFonts w:asciiTheme="minorHAnsi" w:hAnsiTheme="minorHAnsi"/>
          <w:b/>
          <w:sz w:val="20"/>
          <w:szCs w:val="20"/>
          <w:lang w:val="en-IE"/>
        </w:rPr>
        <w:t>30 June 2020</w:t>
      </w:r>
    </w:p>
    <w:p w14:paraId="7738C473" w14:textId="77777777" w:rsidR="00323BB2" w:rsidRPr="009D30BC" w:rsidRDefault="00323BB2" w:rsidP="00323BB2">
      <w:pPr>
        <w:pStyle w:val="BodyText"/>
        <w:spacing w:after="0"/>
        <w:rPr>
          <w:rFonts w:asciiTheme="minorHAnsi" w:hAnsiTheme="minorHAnsi"/>
          <w:b/>
          <w:sz w:val="20"/>
          <w:szCs w:val="20"/>
          <w:lang w:val="en-IE"/>
        </w:rPr>
      </w:pPr>
    </w:p>
    <w:p w14:paraId="57D55BBF" w14:textId="77777777" w:rsidR="00323BB2" w:rsidRPr="009D30BC" w:rsidRDefault="00323BB2" w:rsidP="00323BB2">
      <w:pPr>
        <w:pStyle w:val="BodyText"/>
        <w:spacing w:after="0"/>
        <w:rPr>
          <w:rFonts w:asciiTheme="minorHAnsi" w:hAnsiTheme="minorHAnsi"/>
          <w:b/>
          <w:sz w:val="20"/>
          <w:szCs w:val="20"/>
          <w:lang w:val="en-IE"/>
        </w:rPr>
      </w:pPr>
    </w:p>
    <w:tbl>
      <w:tblPr>
        <w:tblW w:w="5276" w:type="pct"/>
        <w:tblInd w:w="108" w:type="dxa"/>
        <w:tblLayout w:type="fixed"/>
        <w:tblLook w:val="0000" w:firstRow="0" w:lastRow="0" w:firstColumn="0" w:lastColumn="0" w:noHBand="0" w:noVBand="0"/>
      </w:tblPr>
      <w:tblGrid>
        <w:gridCol w:w="2726"/>
        <w:gridCol w:w="610"/>
        <w:gridCol w:w="1133"/>
        <w:gridCol w:w="1137"/>
        <w:gridCol w:w="1133"/>
        <w:gridCol w:w="1135"/>
        <w:gridCol w:w="1135"/>
        <w:gridCol w:w="1089"/>
      </w:tblGrid>
      <w:tr w:rsidR="00323BB2" w:rsidRPr="009D30BC" w14:paraId="009EDBAD" w14:textId="77777777" w:rsidTr="00453AFA">
        <w:trPr>
          <w:trHeight w:val="442"/>
        </w:trPr>
        <w:tc>
          <w:tcPr>
            <w:tcW w:w="1350" w:type="pct"/>
            <w:tcBorders>
              <w:top w:val="single" w:sz="4" w:space="0" w:color="auto"/>
              <w:bottom w:val="single" w:sz="4" w:space="0" w:color="auto"/>
              <w:right w:val="nil"/>
            </w:tcBorders>
          </w:tcPr>
          <w:p w14:paraId="2F2DA4DA" w14:textId="77777777" w:rsidR="00323BB2" w:rsidRPr="009D30BC" w:rsidRDefault="00323BB2" w:rsidP="00453AFA">
            <w:pPr>
              <w:ind w:left="-90"/>
              <w:jc w:val="both"/>
              <w:rPr>
                <w:rFonts w:asciiTheme="minorHAnsi" w:hAnsiTheme="minorHAnsi"/>
                <w:sz w:val="18"/>
              </w:rPr>
            </w:pPr>
          </w:p>
        </w:tc>
        <w:tc>
          <w:tcPr>
            <w:tcW w:w="302" w:type="pct"/>
            <w:tcBorders>
              <w:top w:val="single" w:sz="4" w:space="0" w:color="auto"/>
              <w:left w:val="nil"/>
              <w:bottom w:val="single" w:sz="4" w:space="0" w:color="auto"/>
            </w:tcBorders>
          </w:tcPr>
          <w:p w14:paraId="0519F958" w14:textId="77777777" w:rsidR="00323BB2" w:rsidRPr="009D30BC" w:rsidRDefault="00323BB2" w:rsidP="00453AFA">
            <w:pPr>
              <w:jc w:val="center"/>
              <w:rPr>
                <w:rFonts w:asciiTheme="minorHAnsi" w:hAnsiTheme="minorHAnsi"/>
                <w:iCs/>
                <w:sz w:val="18"/>
              </w:rPr>
            </w:pPr>
          </w:p>
          <w:p w14:paraId="507F56A5" w14:textId="77777777" w:rsidR="00323BB2" w:rsidRPr="009D30BC" w:rsidRDefault="00323BB2" w:rsidP="00453AFA">
            <w:pPr>
              <w:jc w:val="center"/>
              <w:rPr>
                <w:rFonts w:asciiTheme="minorHAnsi" w:hAnsiTheme="minorHAnsi"/>
                <w:iCs/>
                <w:sz w:val="18"/>
              </w:rPr>
            </w:pPr>
          </w:p>
          <w:p w14:paraId="402BE231" w14:textId="77777777" w:rsidR="00323BB2" w:rsidRPr="009D30BC" w:rsidRDefault="00323BB2" w:rsidP="00453AFA">
            <w:pPr>
              <w:jc w:val="center"/>
              <w:rPr>
                <w:rFonts w:asciiTheme="minorHAnsi" w:hAnsiTheme="minorHAnsi"/>
                <w:iCs/>
                <w:sz w:val="18"/>
              </w:rPr>
            </w:pPr>
          </w:p>
          <w:p w14:paraId="6E913B01" w14:textId="77777777" w:rsidR="00323BB2" w:rsidRPr="009D30BC" w:rsidRDefault="00323BB2" w:rsidP="00453AFA">
            <w:pPr>
              <w:jc w:val="center"/>
              <w:rPr>
                <w:rFonts w:asciiTheme="minorHAnsi" w:hAnsiTheme="minorHAnsi"/>
                <w:iCs/>
                <w:sz w:val="18"/>
              </w:rPr>
            </w:pPr>
          </w:p>
          <w:p w14:paraId="549180F6" w14:textId="77777777" w:rsidR="00323BB2" w:rsidRPr="009D30BC" w:rsidRDefault="00323BB2" w:rsidP="00453AFA">
            <w:pPr>
              <w:jc w:val="center"/>
              <w:rPr>
                <w:rFonts w:asciiTheme="minorHAnsi" w:hAnsiTheme="minorHAnsi"/>
                <w:iCs/>
                <w:sz w:val="18"/>
              </w:rPr>
            </w:pPr>
          </w:p>
          <w:p w14:paraId="6D0D30E9" w14:textId="77777777" w:rsidR="00323BB2" w:rsidRPr="009D30BC" w:rsidRDefault="00323BB2" w:rsidP="00453AFA">
            <w:pPr>
              <w:jc w:val="center"/>
              <w:rPr>
                <w:rFonts w:asciiTheme="minorHAnsi" w:hAnsiTheme="minorHAnsi"/>
                <w:iCs/>
                <w:sz w:val="18"/>
              </w:rPr>
            </w:pPr>
          </w:p>
          <w:p w14:paraId="2E1A48CA" w14:textId="77777777" w:rsidR="00323BB2" w:rsidRPr="009D30BC" w:rsidRDefault="00323BB2" w:rsidP="00453AFA">
            <w:pPr>
              <w:jc w:val="center"/>
              <w:rPr>
                <w:rFonts w:asciiTheme="minorHAnsi" w:hAnsiTheme="minorHAnsi"/>
                <w:iCs/>
                <w:sz w:val="18"/>
              </w:rPr>
            </w:pPr>
          </w:p>
          <w:p w14:paraId="416747D2" w14:textId="77777777" w:rsidR="00323BB2" w:rsidRPr="009D30BC" w:rsidRDefault="00323BB2" w:rsidP="00453AFA">
            <w:pPr>
              <w:rPr>
                <w:rFonts w:asciiTheme="minorHAnsi" w:hAnsiTheme="minorHAnsi"/>
                <w:iCs/>
                <w:sz w:val="18"/>
              </w:rPr>
            </w:pPr>
          </w:p>
          <w:p w14:paraId="323B2658" w14:textId="77777777" w:rsidR="00323BB2" w:rsidRPr="009D30BC" w:rsidRDefault="00323BB2" w:rsidP="00453AFA">
            <w:pPr>
              <w:jc w:val="right"/>
              <w:rPr>
                <w:rFonts w:asciiTheme="minorHAnsi" w:hAnsiTheme="minorHAnsi"/>
                <w:iCs/>
                <w:sz w:val="18"/>
              </w:rPr>
            </w:pPr>
            <w:r w:rsidRPr="009D30BC">
              <w:rPr>
                <w:rFonts w:asciiTheme="minorHAnsi" w:hAnsiTheme="minorHAnsi"/>
                <w:iCs/>
                <w:sz w:val="18"/>
              </w:rPr>
              <w:t>Note</w:t>
            </w:r>
          </w:p>
        </w:tc>
        <w:tc>
          <w:tcPr>
            <w:tcW w:w="561" w:type="pct"/>
            <w:tcBorders>
              <w:top w:val="single" w:sz="4" w:space="0" w:color="auto"/>
              <w:left w:val="nil"/>
              <w:bottom w:val="single" w:sz="4" w:space="0" w:color="auto"/>
              <w:right w:val="nil"/>
            </w:tcBorders>
            <w:shd w:val="clear" w:color="auto" w:fill="auto"/>
          </w:tcPr>
          <w:p w14:paraId="223ADCC1"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Before</w:t>
            </w:r>
          </w:p>
          <w:p w14:paraId="4733A956"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separately disclosed</w:t>
            </w:r>
          </w:p>
          <w:p w14:paraId="23F41E30"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items</w:t>
            </w:r>
          </w:p>
          <w:p w14:paraId="6736D806"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Six months</w:t>
            </w:r>
          </w:p>
          <w:p w14:paraId="3E0A4E0C"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ended</w:t>
            </w:r>
          </w:p>
          <w:p w14:paraId="2C610378" w14:textId="77777777" w:rsidR="00323BB2" w:rsidRPr="009D30BC" w:rsidRDefault="00323BB2" w:rsidP="00453AFA">
            <w:pPr>
              <w:jc w:val="right"/>
              <w:rPr>
                <w:rFonts w:asciiTheme="minorHAnsi" w:hAnsiTheme="minorHAnsi"/>
                <w:b/>
                <w:bCs/>
                <w:sz w:val="18"/>
              </w:rPr>
            </w:pPr>
            <w:r>
              <w:rPr>
                <w:rFonts w:asciiTheme="minorHAnsi" w:hAnsiTheme="minorHAnsi"/>
                <w:b/>
                <w:bCs/>
                <w:sz w:val="18"/>
              </w:rPr>
              <w:t>30 June 2020</w:t>
            </w:r>
          </w:p>
          <w:p w14:paraId="20CED5A8"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(unaudited)</w:t>
            </w:r>
          </w:p>
          <w:p w14:paraId="39E75750"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£m</w:t>
            </w:r>
          </w:p>
        </w:tc>
        <w:tc>
          <w:tcPr>
            <w:tcW w:w="563" w:type="pct"/>
            <w:tcBorders>
              <w:top w:val="single" w:sz="4" w:space="0" w:color="auto"/>
              <w:left w:val="nil"/>
              <w:bottom w:val="single" w:sz="4" w:space="0" w:color="auto"/>
              <w:right w:val="nil"/>
            </w:tcBorders>
            <w:shd w:val="clear" w:color="auto" w:fill="auto"/>
          </w:tcPr>
          <w:p w14:paraId="7B0D6443"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Separately disclosed</w:t>
            </w:r>
          </w:p>
          <w:p w14:paraId="4BCC5420"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items</w:t>
            </w:r>
          </w:p>
          <w:p w14:paraId="78C43E24" w14:textId="77777777" w:rsidR="00323BB2" w:rsidRPr="009D30BC" w:rsidRDefault="00323BB2" w:rsidP="00453AFA">
            <w:pPr>
              <w:jc w:val="right"/>
              <w:rPr>
                <w:rFonts w:asciiTheme="minorHAnsi" w:hAnsiTheme="minorHAnsi"/>
                <w:bCs/>
                <w:sz w:val="18"/>
              </w:rPr>
            </w:pPr>
            <w:r w:rsidRPr="009D30BC">
              <w:rPr>
                <w:rFonts w:asciiTheme="minorHAnsi" w:hAnsiTheme="minorHAnsi"/>
                <w:b/>
                <w:bCs/>
                <w:sz w:val="18"/>
              </w:rPr>
              <w:t>(Note 5</w:t>
            </w:r>
            <w:r w:rsidRPr="009D30BC">
              <w:rPr>
                <w:rFonts w:asciiTheme="minorHAnsi" w:hAnsiTheme="minorHAnsi"/>
                <w:bCs/>
                <w:sz w:val="18"/>
              </w:rPr>
              <w:t>)</w:t>
            </w:r>
          </w:p>
          <w:p w14:paraId="1B90E836"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Six months</w:t>
            </w:r>
          </w:p>
          <w:p w14:paraId="21292048"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ended</w:t>
            </w:r>
          </w:p>
          <w:p w14:paraId="41C83AA1" w14:textId="77777777" w:rsidR="00323BB2" w:rsidRPr="009D30BC" w:rsidRDefault="00323BB2" w:rsidP="00453AFA">
            <w:pPr>
              <w:jc w:val="right"/>
              <w:rPr>
                <w:rFonts w:asciiTheme="minorHAnsi" w:hAnsiTheme="minorHAnsi"/>
                <w:b/>
                <w:bCs/>
                <w:sz w:val="18"/>
              </w:rPr>
            </w:pPr>
            <w:r>
              <w:rPr>
                <w:rFonts w:asciiTheme="minorHAnsi" w:hAnsiTheme="minorHAnsi"/>
                <w:b/>
                <w:bCs/>
                <w:sz w:val="18"/>
              </w:rPr>
              <w:t>30 June 2020</w:t>
            </w:r>
          </w:p>
          <w:p w14:paraId="397E0F7A"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(unaudited)</w:t>
            </w:r>
          </w:p>
          <w:p w14:paraId="34247EC2" w14:textId="77777777" w:rsidR="00323BB2" w:rsidRPr="009D30BC" w:rsidRDefault="00323BB2" w:rsidP="00453AFA">
            <w:pPr>
              <w:jc w:val="right"/>
              <w:rPr>
                <w:rFonts w:asciiTheme="minorHAnsi" w:hAnsiTheme="minorHAnsi"/>
                <w:bCs/>
                <w:sz w:val="18"/>
              </w:rPr>
            </w:pPr>
            <w:r w:rsidRPr="009D30BC">
              <w:rPr>
                <w:rFonts w:asciiTheme="minorHAnsi" w:hAnsiTheme="minorHAnsi"/>
                <w:b/>
                <w:bCs/>
                <w:sz w:val="18"/>
              </w:rPr>
              <w:t>£m</w:t>
            </w:r>
          </w:p>
        </w:tc>
        <w:tc>
          <w:tcPr>
            <w:tcW w:w="561" w:type="pct"/>
            <w:tcBorders>
              <w:top w:val="single" w:sz="4" w:space="0" w:color="auto"/>
              <w:left w:val="nil"/>
              <w:bottom w:val="single" w:sz="4" w:space="0" w:color="auto"/>
              <w:right w:val="nil"/>
            </w:tcBorders>
            <w:shd w:val="clear" w:color="auto" w:fill="auto"/>
          </w:tcPr>
          <w:p w14:paraId="771F9E3B" w14:textId="77777777" w:rsidR="00323BB2" w:rsidRPr="009D30BC" w:rsidRDefault="00323BB2" w:rsidP="00453AFA">
            <w:pPr>
              <w:jc w:val="right"/>
              <w:rPr>
                <w:rFonts w:asciiTheme="minorHAnsi" w:hAnsiTheme="minorHAnsi"/>
                <w:bCs/>
                <w:sz w:val="18"/>
              </w:rPr>
            </w:pPr>
          </w:p>
          <w:p w14:paraId="130641C3" w14:textId="77777777" w:rsidR="00323BB2" w:rsidRPr="009D30BC" w:rsidRDefault="00323BB2" w:rsidP="00453AFA">
            <w:pPr>
              <w:jc w:val="right"/>
              <w:rPr>
                <w:rFonts w:asciiTheme="minorHAnsi" w:hAnsiTheme="minorHAnsi"/>
                <w:bCs/>
                <w:sz w:val="18"/>
              </w:rPr>
            </w:pPr>
          </w:p>
          <w:p w14:paraId="721580EC" w14:textId="77777777" w:rsidR="00323BB2" w:rsidRPr="009D30BC" w:rsidRDefault="00323BB2" w:rsidP="00453AFA">
            <w:pPr>
              <w:jc w:val="right"/>
              <w:rPr>
                <w:rFonts w:asciiTheme="minorHAnsi" w:hAnsiTheme="minorHAnsi"/>
                <w:b/>
                <w:bCs/>
                <w:sz w:val="18"/>
              </w:rPr>
            </w:pPr>
          </w:p>
          <w:p w14:paraId="3DFFC895"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Total</w:t>
            </w:r>
          </w:p>
          <w:p w14:paraId="18BED6DF"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Six months</w:t>
            </w:r>
          </w:p>
          <w:p w14:paraId="6C45DB36"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ended</w:t>
            </w:r>
          </w:p>
          <w:p w14:paraId="4EF79B48" w14:textId="77777777" w:rsidR="00323BB2" w:rsidRPr="009D30BC" w:rsidRDefault="00323BB2" w:rsidP="00453AFA">
            <w:pPr>
              <w:jc w:val="right"/>
              <w:rPr>
                <w:rFonts w:asciiTheme="minorHAnsi" w:hAnsiTheme="minorHAnsi"/>
                <w:b/>
                <w:bCs/>
                <w:sz w:val="18"/>
              </w:rPr>
            </w:pPr>
            <w:r>
              <w:rPr>
                <w:rFonts w:asciiTheme="minorHAnsi" w:hAnsiTheme="minorHAnsi"/>
                <w:b/>
                <w:bCs/>
                <w:sz w:val="18"/>
              </w:rPr>
              <w:t>30 June 2020</w:t>
            </w:r>
          </w:p>
          <w:p w14:paraId="0C0CEBF5" w14:textId="77777777" w:rsidR="00323BB2" w:rsidRPr="009D30BC" w:rsidRDefault="00323BB2" w:rsidP="00453AFA">
            <w:pPr>
              <w:jc w:val="right"/>
              <w:rPr>
                <w:rFonts w:asciiTheme="minorHAnsi" w:hAnsiTheme="minorHAnsi"/>
                <w:b/>
                <w:bCs/>
                <w:sz w:val="18"/>
              </w:rPr>
            </w:pPr>
            <w:r w:rsidRPr="009D30BC">
              <w:rPr>
                <w:rFonts w:asciiTheme="minorHAnsi" w:hAnsiTheme="minorHAnsi"/>
                <w:b/>
                <w:bCs/>
                <w:sz w:val="18"/>
              </w:rPr>
              <w:t>(unaudited)</w:t>
            </w:r>
          </w:p>
          <w:p w14:paraId="66C4BE77" w14:textId="77777777" w:rsidR="00323BB2" w:rsidRPr="009D30BC" w:rsidRDefault="00323BB2" w:rsidP="00453AFA">
            <w:pPr>
              <w:jc w:val="right"/>
              <w:rPr>
                <w:rFonts w:asciiTheme="minorHAnsi" w:hAnsiTheme="minorHAnsi"/>
                <w:bCs/>
                <w:sz w:val="18"/>
              </w:rPr>
            </w:pPr>
            <w:r w:rsidRPr="009D30BC">
              <w:rPr>
                <w:rFonts w:asciiTheme="minorHAnsi" w:hAnsiTheme="minorHAnsi"/>
                <w:b/>
                <w:bCs/>
                <w:sz w:val="18"/>
              </w:rPr>
              <w:t>£m</w:t>
            </w:r>
          </w:p>
        </w:tc>
        <w:tc>
          <w:tcPr>
            <w:tcW w:w="562" w:type="pct"/>
            <w:tcBorders>
              <w:top w:val="single" w:sz="4" w:space="0" w:color="auto"/>
              <w:left w:val="nil"/>
              <w:bottom w:val="single" w:sz="4" w:space="0" w:color="auto"/>
              <w:right w:val="nil"/>
            </w:tcBorders>
          </w:tcPr>
          <w:p w14:paraId="24CBB85E"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Before</w:t>
            </w:r>
          </w:p>
          <w:p w14:paraId="366CBF85"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separately disclosed</w:t>
            </w:r>
          </w:p>
          <w:p w14:paraId="04FC3533"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items</w:t>
            </w:r>
          </w:p>
          <w:p w14:paraId="5A919DDF"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Six months</w:t>
            </w:r>
          </w:p>
          <w:p w14:paraId="1F6264A2"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ended</w:t>
            </w:r>
          </w:p>
          <w:p w14:paraId="1CBB4E8E" w14:textId="77777777" w:rsidR="00323BB2" w:rsidRPr="009D30BC" w:rsidRDefault="00323BB2" w:rsidP="00453AFA">
            <w:pPr>
              <w:jc w:val="right"/>
              <w:rPr>
                <w:rFonts w:asciiTheme="minorHAnsi" w:hAnsiTheme="minorHAnsi"/>
                <w:bCs/>
                <w:sz w:val="18"/>
              </w:rPr>
            </w:pPr>
            <w:r>
              <w:rPr>
                <w:rFonts w:asciiTheme="minorHAnsi" w:hAnsiTheme="minorHAnsi"/>
                <w:bCs/>
                <w:sz w:val="18"/>
              </w:rPr>
              <w:t>30 June 2019</w:t>
            </w:r>
          </w:p>
          <w:p w14:paraId="58C15DCC"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(unaudited)</w:t>
            </w:r>
          </w:p>
          <w:p w14:paraId="0D384E81" w14:textId="77777777" w:rsidR="00323BB2" w:rsidRPr="009D30BC" w:rsidRDefault="00323BB2" w:rsidP="00453AFA">
            <w:pPr>
              <w:jc w:val="right"/>
              <w:rPr>
                <w:rFonts w:asciiTheme="minorHAnsi" w:hAnsiTheme="minorHAnsi"/>
                <w:bCs/>
                <w:sz w:val="20"/>
              </w:rPr>
            </w:pPr>
            <w:r w:rsidRPr="009D30BC">
              <w:rPr>
                <w:rFonts w:asciiTheme="minorHAnsi" w:hAnsiTheme="minorHAnsi"/>
                <w:bCs/>
                <w:sz w:val="18"/>
              </w:rPr>
              <w:t>£m</w:t>
            </w:r>
          </w:p>
        </w:tc>
        <w:tc>
          <w:tcPr>
            <w:tcW w:w="562" w:type="pct"/>
            <w:tcBorders>
              <w:top w:val="single" w:sz="4" w:space="0" w:color="auto"/>
              <w:bottom w:val="single" w:sz="4" w:space="0" w:color="auto"/>
            </w:tcBorders>
          </w:tcPr>
          <w:p w14:paraId="442853D9"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Separately disclosed</w:t>
            </w:r>
          </w:p>
          <w:p w14:paraId="5A259362"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items</w:t>
            </w:r>
          </w:p>
          <w:p w14:paraId="6E93F17D"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(Note 5)</w:t>
            </w:r>
          </w:p>
          <w:p w14:paraId="3CA42EEA"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Six months</w:t>
            </w:r>
          </w:p>
          <w:p w14:paraId="01A88D12"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ended</w:t>
            </w:r>
          </w:p>
          <w:p w14:paraId="3A3898A6" w14:textId="77777777" w:rsidR="00323BB2" w:rsidRPr="009D30BC" w:rsidRDefault="00323BB2" w:rsidP="00453AFA">
            <w:pPr>
              <w:jc w:val="right"/>
              <w:rPr>
                <w:rFonts w:asciiTheme="minorHAnsi" w:hAnsiTheme="minorHAnsi"/>
                <w:bCs/>
                <w:sz w:val="18"/>
              </w:rPr>
            </w:pPr>
            <w:r>
              <w:rPr>
                <w:rFonts w:asciiTheme="minorHAnsi" w:hAnsiTheme="minorHAnsi"/>
                <w:bCs/>
                <w:sz w:val="18"/>
              </w:rPr>
              <w:t>30 June 2019</w:t>
            </w:r>
          </w:p>
          <w:p w14:paraId="2844D91F"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(unaudited)</w:t>
            </w:r>
          </w:p>
          <w:p w14:paraId="744A3DC5" w14:textId="77777777" w:rsidR="00323BB2" w:rsidRPr="009D30BC" w:rsidRDefault="00323BB2" w:rsidP="00453AFA">
            <w:pPr>
              <w:jc w:val="right"/>
              <w:rPr>
                <w:rFonts w:asciiTheme="minorHAnsi" w:hAnsiTheme="minorHAnsi"/>
                <w:bCs/>
                <w:sz w:val="20"/>
              </w:rPr>
            </w:pPr>
            <w:r w:rsidRPr="009D30BC">
              <w:rPr>
                <w:rFonts w:asciiTheme="minorHAnsi" w:hAnsiTheme="minorHAnsi"/>
                <w:bCs/>
                <w:sz w:val="18"/>
              </w:rPr>
              <w:t>£m</w:t>
            </w:r>
          </w:p>
        </w:tc>
        <w:tc>
          <w:tcPr>
            <w:tcW w:w="539" w:type="pct"/>
            <w:tcBorders>
              <w:top w:val="single" w:sz="4" w:space="0" w:color="auto"/>
              <w:bottom w:val="single" w:sz="4" w:space="0" w:color="auto"/>
            </w:tcBorders>
          </w:tcPr>
          <w:p w14:paraId="5F30A1A8" w14:textId="77777777" w:rsidR="00323BB2" w:rsidRDefault="00323BB2" w:rsidP="00453AFA">
            <w:pPr>
              <w:jc w:val="right"/>
              <w:rPr>
                <w:rFonts w:asciiTheme="minorHAnsi" w:hAnsiTheme="minorHAnsi"/>
                <w:bCs/>
                <w:sz w:val="18"/>
              </w:rPr>
            </w:pPr>
          </w:p>
          <w:p w14:paraId="67B683DE" w14:textId="77777777" w:rsidR="00323BB2" w:rsidRDefault="00323BB2" w:rsidP="00453AFA">
            <w:pPr>
              <w:jc w:val="right"/>
              <w:rPr>
                <w:rFonts w:asciiTheme="minorHAnsi" w:hAnsiTheme="minorHAnsi"/>
                <w:bCs/>
                <w:sz w:val="18"/>
              </w:rPr>
            </w:pPr>
          </w:p>
          <w:p w14:paraId="5FEDD3AF" w14:textId="77777777" w:rsidR="00323BB2" w:rsidRDefault="00323BB2" w:rsidP="00453AFA">
            <w:pPr>
              <w:jc w:val="right"/>
              <w:rPr>
                <w:rFonts w:asciiTheme="minorHAnsi" w:hAnsiTheme="minorHAnsi"/>
                <w:bCs/>
                <w:sz w:val="18"/>
              </w:rPr>
            </w:pPr>
          </w:p>
          <w:p w14:paraId="41DEB9F7"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Total</w:t>
            </w:r>
          </w:p>
          <w:p w14:paraId="189106F5"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Six months</w:t>
            </w:r>
          </w:p>
          <w:p w14:paraId="0EC4B0C2"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ended</w:t>
            </w:r>
          </w:p>
          <w:p w14:paraId="2ABDCE75" w14:textId="77777777" w:rsidR="00323BB2" w:rsidRPr="009D30BC" w:rsidRDefault="00323BB2" w:rsidP="00453AFA">
            <w:pPr>
              <w:jc w:val="right"/>
              <w:rPr>
                <w:rFonts w:asciiTheme="minorHAnsi" w:hAnsiTheme="minorHAnsi"/>
                <w:bCs/>
                <w:sz w:val="18"/>
              </w:rPr>
            </w:pPr>
            <w:r>
              <w:rPr>
                <w:rFonts w:asciiTheme="minorHAnsi" w:hAnsiTheme="minorHAnsi"/>
                <w:bCs/>
                <w:sz w:val="18"/>
              </w:rPr>
              <w:t>30 June 2019</w:t>
            </w:r>
          </w:p>
          <w:p w14:paraId="4EA61906"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(unaudited)</w:t>
            </w:r>
          </w:p>
          <w:p w14:paraId="551ACFB3" w14:textId="77777777" w:rsidR="00323BB2" w:rsidRPr="009D30BC" w:rsidRDefault="00323BB2" w:rsidP="00453AFA">
            <w:pPr>
              <w:jc w:val="right"/>
              <w:rPr>
                <w:rFonts w:asciiTheme="minorHAnsi" w:hAnsiTheme="minorHAnsi"/>
                <w:bCs/>
                <w:sz w:val="18"/>
              </w:rPr>
            </w:pPr>
            <w:r w:rsidRPr="009D30BC">
              <w:rPr>
                <w:rFonts w:asciiTheme="minorHAnsi" w:hAnsiTheme="minorHAnsi"/>
                <w:bCs/>
                <w:sz w:val="18"/>
              </w:rPr>
              <w:t>£m</w:t>
            </w:r>
          </w:p>
        </w:tc>
      </w:tr>
      <w:tr w:rsidR="00323BB2" w:rsidRPr="009D30BC" w14:paraId="7AF99114" w14:textId="77777777" w:rsidTr="00453AFA">
        <w:trPr>
          <w:trHeight w:val="196"/>
        </w:trPr>
        <w:tc>
          <w:tcPr>
            <w:tcW w:w="1350" w:type="pct"/>
            <w:tcBorders>
              <w:top w:val="single" w:sz="4" w:space="0" w:color="auto"/>
              <w:right w:val="nil"/>
            </w:tcBorders>
          </w:tcPr>
          <w:p w14:paraId="695E208F" w14:textId="77777777" w:rsidR="00323BB2" w:rsidRPr="009D30BC" w:rsidRDefault="00323BB2" w:rsidP="00453AFA">
            <w:pPr>
              <w:ind w:left="-90"/>
              <w:rPr>
                <w:rFonts w:asciiTheme="minorHAnsi" w:hAnsiTheme="minorHAnsi"/>
                <w:b/>
                <w:i/>
                <w:sz w:val="18"/>
              </w:rPr>
            </w:pPr>
            <w:r w:rsidRPr="009D30BC">
              <w:rPr>
                <w:rFonts w:asciiTheme="minorHAnsi" w:hAnsiTheme="minorHAnsi"/>
                <w:b/>
                <w:i/>
                <w:sz w:val="18"/>
              </w:rPr>
              <w:t>Continuing operations</w:t>
            </w:r>
          </w:p>
        </w:tc>
        <w:tc>
          <w:tcPr>
            <w:tcW w:w="302" w:type="pct"/>
            <w:tcBorders>
              <w:top w:val="single" w:sz="4" w:space="0" w:color="auto"/>
              <w:left w:val="nil"/>
            </w:tcBorders>
          </w:tcPr>
          <w:p w14:paraId="5B140E4D" w14:textId="77777777" w:rsidR="00323BB2" w:rsidRPr="009D30BC" w:rsidRDefault="00323BB2" w:rsidP="00453AFA">
            <w:pPr>
              <w:jc w:val="center"/>
              <w:rPr>
                <w:rFonts w:asciiTheme="minorHAnsi" w:hAnsiTheme="minorHAnsi"/>
                <w:iCs/>
                <w:sz w:val="18"/>
              </w:rPr>
            </w:pPr>
          </w:p>
        </w:tc>
        <w:tc>
          <w:tcPr>
            <w:tcW w:w="561" w:type="pct"/>
            <w:tcBorders>
              <w:top w:val="single" w:sz="4" w:space="0" w:color="auto"/>
              <w:left w:val="nil"/>
              <w:right w:val="nil"/>
            </w:tcBorders>
          </w:tcPr>
          <w:p w14:paraId="2B758B0C" w14:textId="77777777" w:rsidR="00323BB2" w:rsidRPr="009D30BC" w:rsidRDefault="00323BB2" w:rsidP="00453AFA">
            <w:pPr>
              <w:jc w:val="right"/>
              <w:rPr>
                <w:rFonts w:asciiTheme="minorHAnsi" w:hAnsiTheme="minorHAnsi"/>
                <w:b/>
                <w:bCs/>
                <w:sz w:val="18"/>
              </w:rPr>
            </w:pPr>
          </w:p>
        </w:tc>
        <w:tc>
          <w:tcPr>
            <w:tcW w:w="563" w:type="pct"/>
            <w:tcBorders>
              <w:top w:val="single" w:sz="4" w:space="0" w:color="auto"/>
              <w:left w:val="nil"/>
              <w:right w:val="nil"/>
            </w:tcBorders>
          </w:tcPr>
          <w:p w14:paraId="5764147D" w14:textId="77777777" w:rsidR="00323BB2" w:rsidRPr="009D30BC" w:rsidRDefault="00323BB2" w:rsidP="00453AFA">
            <w:pPr>
              <w:jc w:val="right"/>
              <w:rPr>
                <w:rFonts w:asciiTheme="minorHAnsi" w:hAnsiTheme="minorHAnsi"/>
                <w:b/>
                <w:bCs/>
                <w:sz w:val="18"/>
              </w:rPr>
            </w:pPr>
          </w:p>
        </w:tc>
        <w:tc>
          <w:tcPr>
            <w:tcW w:w="561" w:type="pct"/>
            <w:tcBorders>
              <w:top w:val="single" w:sz="4" w:space="0" w:color="auto"/>
              <w:left w:val="nil"/>
              <w:right w:val="nil"/>
            </w:tcBorders>
          </w:tcPr>
          <w:p w14:paraId="3572E40A" w14:textId="77777777" w:rsidR="00323BB2" w:rsidRPr="009D30BC" w:rsidRDefault="00323BB2" w:rsidP="00453AFA">
            <w:pPr>
              <w:jc w:val="right"/>
              <w:rPr>
                <w:rFonts w:asciiTheme="minorHAnsi" w:hAnsiTheme="minorHAnsi"/>
                <w:b/>
                <w:bCs/>
                <w:sz w:val="18"/>
              </w:rPr>
            </w:pPr>
          </w:p>
        </w:tc>
        <w:tc>
          <w:tcPr>
            <w:tcW w:w="562" w:type="pct"/>
            <w:tcBorders>
              <w:top w:val="single" w:sz="4" w:space="0" w:color="auto"/>
              <w:left w:val="nil"/>
              <w:right w:val="nil"/>
            </w:tcBorders>
          </w:tcPr>
          <w:p w14:paraId="13A32B4D" w14:textId="77777777" w:rsidR="00323BB2" w:rsidRPr="009D30BC" w:rsidRDefault="00323BB2" w:rsidP="00453AFA">
            <w:pPr>
              <w:jc w:val="right"/>
              <w:rPr>
                <w:rFonts w:asciiTheme="minorHAnsi" w:hAnsiTheme="minorHAnsi"/>
                <w:bCs/>
                <w:sz w:val="20"/>
              </w:rPr>
            </w:pPr>
          </w:p>
        </w:tc>
        <w:tc>
          <w:tcPr>
            <w:tcW w:w="562" w:type="pct"/>
            <w:tcBorders>
              <w:top w:val="single" w:sz="4" w:space="0" w:color="auto"/>
              <w:left w:val="nil"/>
              <w:right w:val="nil"/>
            </w:tcBorders>
          </w:tcPr>
          <w:p w14:paraId="75C0F060" w14:textId="77777777" w:rsidR="00323BB2" w:rsidRPr="009D30BC" w:rsidRDefault="00323BB2" w:rsidP="00453AFA">
            <w:pPr>
              <w:jc w:val="right"/>
              <w:rPr>
                <w:rFonts w:asciiTheme="minorHAnsi" w:hAnsiTheme="minorHAnsi"/>
                <w:bCs/>
                <w:sz w:val="20"/>
              </w:rPr>
            </w:pPr>
          </w:p>
        </w:tc>
        <w:tc>
          <w:tcPr>
            <w:tcW w:w="539" w:type="pct"/>
            <w:tcBorders>
              <w:top w:val="single" w:sz="4" w:space="0" w:color="auto"/>
              <w:left w:val="nil"/>
              <w:right w:val="nil"/>
            </w:tcBorders>
          </w:tcPr>
          <w:p w14:paraId="05D2970D" w14:textId="77777777" w:rsidR="00323BB2" w:rsidRPr="009D30BC" w:rsidRDefault="00323BB2" w:rsidP="00453AFA">
            <w:pPr>
              <w:jc w:val="right"/>
              <w:rPr>
                <w:rFonts w:asciiTheme="minorHAnsi" w:hAnsiTheme="minorHAnsi"/>
                <w:bCs/>
                <w:sz w:val="20"/>
              </w:rPr>
            </w:pPr>
          </w:p>
        </w:tc>
      </w:tr>
      <w:tr w:rsidR="00323BB2" w:rsidRPr="009D30BC" w14:paraId="753E6149" w14:textId="77777777" w:rsidTr="00453AFA">
        <w:trPr>
          <w:trHeight w:val="146"/>
        </w:trPr>
        <w:tc>
          <w:tcPr>
            <w:tcW w:w="1350" w:type="pct"/>
            <w:tcBorders>
              <w:top w:val="nil"/>
              <w:right w:val="nil"/>
            </w:tcBorders>
          </w:tcPr>
          <w:p w14:paraId="533FB7C8" w14:textId="77777777" w:rsidR="00323BB2" w:rsidRPr="009D30BC" w:rsidRDefault="00323BB2" w:rsidP="00453AFA">
            <w:pPr>
              <w:ind w:left="-90"/>
              <w:rPr>
                <w:rFonts w:asciiTheme="minorHAnsi" w:hAnsiTheme="minorHAnsi"/>
                <w:b/>
                <w:sz w:val="18"/>
              </w:rPr>
            </w:pPr>
          </w:p>
        </w:tc>
        <w:tc>
          <w:tcPr>
            <w:tcW w:w="302" w:type="pct"/>
            <w:tcBorders>
              <w:top w:val="nil"/>
              <w:left w:val="nil"/>
            </w:tcBorders>
          </w:tcPr>
          <w:p w14:paraId="4E7A55E3" w14:textId="77777777" w:rsidR="00323BB2" w:rsidRPr="009D30BC" w:rsidRDefault="00323BB2" w:rsidP="00453AFA">
            <w:pPr>
              <w:jc w:val="center"/>
              <w:rPr>
                <w:rFonts w:asciiTheme="minorHAnsi" w:hAnsiTheme="minorHAnsi"/>
                <w:iCs/>
                <w:sz w:val="18"/>
              </w:rPr>
            </w:pPr>
          </w:p>
        </w:tc>
        <w:tc>
          <w:tcPr>
            <w:tcW w:w="561" w:type="pct"/>
            <w:tcBorders>
              <w:top w:val="nil"/>
              <w:left w:val="nil"/>
              <w:right w:val="nil"/>
            </w:tcBorders>
          </w:tcPr>
          <w:p w14:paraId="463DC453" w14:textId="77777777" w:rsidR="00323BB2" w:rsidRPr="009D30BC" w:rsidRDefault="00323BB2" w:rsidP="00453AFA">
            <w:pPr>
              <w:jc w:val="right"/>
              <w:rPr>
                <w:rFonts w:asciiTheme="minorHAnsi" w:hAnsiTheme="minorHAnsi"/>
                <w:b/>
                <w:bCs/>
                <w:sz w:val="18"/>
              </w:rPr>
            </w:pPr>
          </w:p>
        </w:tc>
        <w:tc>
          <w:tcPr>
            <w:tcW w:w="563" w:type="pct"/>
            <w:tcBorders>
              <w:top w:val="nil"/>
              <w:left w:val="nil"/>
              <w:right w:val="nil"/>
            </w:tcBorders>
          </w:tcPr>
          <w:p w14:paraId="4AA17C58" w14:textId="77777777" w:rsidR="00323BB2" w:rsidRPr="009D30BC" w:rsidRDefault="00323BB2" w:rsidP="00453AFA">
            <w:pPr>
              <w:jc w:val="right"/>
              <w:rPr>
                <w:rFonts w:asciiTheme="minorHAnsi" w:hAnsiTheme="minorHAnsi"/>
                <w:b/>
                <w:bCs/>
                <w:sz w:val="18"/>
              </w:rPr>
            </w:pPr>
          </w:p>
        </w:tc>
        <w:tc>
          <w:tcPr>
            <w:tcW w:w="561" w:type="pct"/>
            <w:tcBorders>
              <w:top w:val="nil"/>
              <w:left w:val="nil"/>
              <w:right w:val="nil"/>
            </w:tcBorders>
          </w:tcPr>
          <w:p w14:paraId="302C0DCB" w14:textId="77777777" w:rsidR="00323BB2" w:rsidRPr="009D30BC" w:rsidRDefault="00323BB2" w:rsidP="00453AFA">
            <w:pPr>
              <w:jc w:val="right"/>
              <w:rPr>
                <w:rFonts w:asciiTheme="minorHAnsi" w:hAnsiTheme="minorHAnsi"/>
                <w:b/>
                <w:bCs/>
                <w:sz w:val="18"/>
              </w:rPr>
            </w:pPr>
          </w:p>
        </w:tc>
        <w:tc>
          <w:tcPr>
            <w:tcW w:w="562" w:type="pct"/>
            <w:tcBorders>
              <w:top w:val="nil"/>
              <w:left w:val="nil"/>
              <w:right w:val="nil"/>
            </w:tcBorders>
          </w:tcPr>
          <w:p w14:paraId="2519E5B6" w14:textId="77777777" w:rsidR="00323BB2" w:rsidRPr="009D30BC" w:rsidRDefault="00323BB2" w:rsidP="00453AFA">
            <w:pPr>
              <w:jc w:val="right"/>
              <w:rPr>
                <w:rFonts w:asciiTheme="minorHAnsi" w:hAnsiTheme="minorHAnsi"/>
                <w:bCs/>
                <w:sz w:val="20"/>
              </w:rPr>
            </w:pPr>
          </w:p>
        </w:tc>
        <w:tc>
          <w:tcPr>
            <w:tcW w:w="562" w:type="pct"/>
            <w:tcBorders>
              <w:top w:val="nil"/>
              <w:left w:val="nil"/>
              <w:right w:val="nil"/>
            </w:tcBorders>
          </w:tcPr>
          <w:p w14:paraId="6D8E3D19" w14:textId="77777777" w:rsidR="00323BB2" w:rsidRPr="009D30BC" w:rsidRDefault="00323BB2" w:rsidP="00453AFA">
            <w:pPr>
              <w:jc w:val="right"/>
              <w:rPr>
                <w:rFonts w:asciiTheme="minorHAnsi" w:hAnsiTheme="minorHAnsi"/>
                <w:bCs/>
                <w:sz w:val="20"/>
              </w:rPr>
            </w:pPr>
          </w:p>
        </w:tc>
        <w:tc>
          <w:tcPr>
            <w:tcW w:w="539" w:type="pct"/>
            <w:tcBorders>
              <w:top w:val="nil"/>
              <w:left w:val="nil"/>
              <w:right w:val="nil"/>
            </w:tcBorders>
          </w:tcPr>
          <w:p w14:paraId="04CADAF3" w14:textId="77777777" w:rsidR="00323BB2" w:rsidRPr="009D30BC" w:rsidRDefault="00323BB2" w:rsidP="00453AFA">
            <w:pPr>
              <w:jc w:val="right"/>
              <w:rPr>
                <w:rFonts w:asciiTheme="minorHAnsi" w:hAnsiTheme="minorHAnsi"/>
                <w:bCs/>
                <w:sz w:val="20"/>
              </w:rPr>
            </w:pPr>
          </w:p>
        </w:tc>
      </w:tr>
      <w:tr w:rsidR="00323BB2" w:rsidRPr="0061063C" w14:paraId="1C9E11FC" w14:textId="77777777" w:rsidTr="00453AFA">
        <w:trPr>
          <w:trHeight w:val="146"/>
        </w:trPr>
        <w:tc>
          <w:tcPr>
            <w:tcW w:w="1350" w:type="pct"/>
            <w:tcBorders>
              <w:top w:val="nil"/>
              <w:right w:val="nil"/>
            </w:tcBorders>
          </w:tcPr>
          <w:p w14:paraId="75271285" w14:textId="77777777" w:rsidR="00323BB2" w:rsidRPr="0061063C" w:rsidRDefault="00323BB2" w:rsidP="00453AFA">
            <w:pPr>
              <w:ind w:left="-90"/>
              <w:rPr>
                <w:rFonts w:asciiTheme="minorHAnsi" w:hAnsiTheme="minorHAnsi"/>
                <w:b/>
                <w:sz w:val="18"/>
              </w:rPr>
            </w:pPr>
            <w:r w:rsidRPr="0061063C">
              <w:rPr>
                <w:rFonts w:asciiTheme="minorHAnsi" w:hAnsiTheme="minorHAnsi"/>
                <w:b/>
                <w:sz w:val="18"/>
              </w:rPr>
              <w:t>Revenue</w:t>
            </w:r>
          </w:p>
        </w:tc>
        <w:tc>
          <w:tcPr>
            <w:tcW w:w="302" w:type="pct"/>
            <w:tcBorders>
              <w:top w:val="nil"/>
              <w:left w:val="nil"/>
            </w:tcBorders>
          </w:tcPr>
          <w:p w14:paraId="76FE72D2" w14:textId="77777777" w:rsidR="00323BB2" w:rsidRPr="0061063C" w:rsidRDefault="00323BB2" w:rsidP="00453AFA">
            <w:pPr>
              <w:jc w:val="center"/>
              <w:rPr>
                <w:rFonts w:asciiTheme="minorHAnsi" w:hAnsiTheme="minorHAnsi"/>
                <w:iCs/>
                <w:sz w:val="18"/>
              </w:rPr>
            </w:pPr>
            <w:r w:rsidRPr="0061063C">
              <w:rPr>
                <w:rFonts w:asciiTheme="minorHAnsi" w:hAnsiTheme="minorHAnsi"/>
                <w:iCs/>
                <w:sz w:val="18"/>
              </w:rPr>
              <w:t>4</w:t>
            </w:r>
          </w:p>
        </w:tc>
        <w:tc>
          <w:tcPr>
            <w:tcW w:w="561" w:type="pct"/>
            <w:tcBorders>
              <w:top w:val="nil"/>
              <w:left w:val="nil"/>
              <w:right w:val="nil"/>
            </w:tcBorders>
          </w:tcPr>
          <w:p w14:paraId="1A87E1E5"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1,522.4</w:t>
            </w:r>
          </w:p>
        </w:tc>
        <w:tc>
          <w:tcPr>
            <w:tcW w:w="563" w:type="pct"/>
            <w:tcBorders>
              <w:top w:val="nil"/>
              <w:left w:val="nil"/>
              <w:right w:val="nil"/>
            </w:tcBorders>
          </w:tcPr>
          <w:p w14:paraId="69F1CE8D"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13.7</w:t>
            </w:r>
          </w:p>
        </w:tc>
        <w:tc>
          <w:tcPr>
            <w:tcW w:w="561" w:type="pct"/>
            <w:tcBorders>
              <w:top w:val="nil"/>
              <w:left w:val="nil"/>
              <w:right w:val="nil"/>
            </w:tcBorders>
          </w:tcPr>
          <w:p w14:paraId="7C8DF88C"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1,536.1</w:t>
            </w:r>
          </w:p>
        </w:tc>
        <w:tc>
          <w:tcPr>
            <w:tcW w:w="562" w:type="pct"/>
            <w:tcBorders>
              <w:top w:val="nil"/>
              <w:left w:val="nil"/>
              <w:right w:val="nil"/>
            </w:tcBorders>
          </w:tcPr>
          <w:p w14:paraId="6D850054"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1,019.9</w:t>
            </w:r>
          </w:p>
        </w:tc>
        <w:tc>
          <w:tcPr>
            <w:tcW w:w="562" w:type="pct"/>
            <w:tcBorders>
              <w:top w:val="nil"/>
              <w:left w:val="nil"/>
              <w:right w:val="nil"/>
            </w:tcBorders>
          </w:tcPr>
          <w:p w14:paraId="226A7EE5"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top w:val="nil"/>
              <w:left w:val="nil"/>
              <w:right w:val="nil"/>
            </w:tcBorders>
          </w:tcPr>
          <w:p w14:paraId="6A92CBB7"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1,019.9</w:t>
            </w:r>
          </w:p>
        </w:tc>
      </w:tr>
      <w:tr w:rsidR="00323BB2" w:rsidRPr="0061063C" w14:paraId="084BD477" w14:textId="77777777" w:rsidTr="00453AFA">
        <w:trPr>
          <w:trHeight w:val="196"/>
        </w:trPr>
        <w:tc>
          <w:tcPr>
            <w:tcW w:w="1350" w:type="pct"/>
            <w:tcBorders>
              <w:bottom w:val="single" w:sz="4" w:space="0" w:color="auto"/>
              <w:right w:val="nil"/>
            </w:tcBorders>
          </w:tcPr>
          <w:p w14:paraId="7724B69A" w14:textId="77777777" w:rsidR="00323BB2" w:rsidRPr="0061063C" w:rsidRDefault="00323BB2" w:rsidP="00453AFA">
            <w:pPr>
              <w:ind w:left="-90"/>
              <w:rPr>
                <w:rFonts w:asciiTheme="minorHAnsi" w:hAnsiTheme="minorHAnsi"/>
                <w:sz w:val="18"/>
              </w:rPr>
            </w:pPr>
            <w:r w:rsidRPr="0061063C">
              <w:rPr>
                <w:rFonts w:asciiTheme="minorHAnsi" w:hAnsiTheme="minorHAnsi"/>
                <w:sz w:val="18"/>
              </w:rPr>
              <w:t>Cost of sales</w:t>
            </w:r>
          </w:p>
        </w:tc>
        <w:tc>
          <w:tcPr>
            <w:tcW w:w="302" w:type="pct"/>
            <w:tcBorders>
              <w:left w:val="nil"/>
              <w:bottom w:val="single" w:sz="4" w:space="0" w:color="auto"/>
            </w:tcBorders>
          </w:tcPr>
          <w:p w14:paraId="567E2BC7" w14:textId="77777777" w:rsidR="00323BB2" w:rsidRPr="0061063C" w:rsidRDefault="00323BB2" w:rsidP="00453AFA">
            <w:pPr>
              <w:jc w:val="center"/>
              <w:rPr>
                <w:rFonts w:asciiTheme="minorHAnsi" w:hAnsiTheme="minorHAnsi"/>
                <w:sz w:val="18"/>
              </w:rPr>
            </w:pPr>
          </w:p>
        </w:tc>
        <w:tc>
          <w:tcPr>
            <w:tcW w:w="561" w:type="pct"/>
            <w:tcBorders>
              <w:left w:val="nil"/>
              <w:bottom w:val="single" w:sz="4" w:space="0" w:color="auto"/>
              <w:right w:val="nil"/>
            </w:tcBorders>
          </w:tcPr>
          <w:p w14:paraId="4162589F" w14:textId="77777777" w:rsidR="00323BB2" w:rsidRPr="0061063C" w:rsidDel="00266FC7" w:rsidRDefault="00323BB2" w:rsidP="00453AFA">
            <w:pPr>
              <w:jc w:val="right"/>
              <w:rPr>
                <w:rFonts w:asciiTheme="minorHAnsi" w:hAnsiTheme="minorHAnsi"/>
                <w:b/>
                <w:bCs/>
                <w:sz w:val="18"/>
              </w:rPr>
            </w:pPr>
            <w:r w:rsidRPr="0061063C">
              <w:rPr>
                <w:rFonts w:asciiTheme="minorHAnsi" w:hAnsiTheme="minorHAnsi"/>
                <w:b/>
                <w:bCs/>
                <w:sz w:val="18"/>
              </w:rPr>
              <w:t>(495.9)</w:t>
            </w:r>
          </w:p>
        </w:tc>
        <w:tc>
          <w:tcPr>
            <w:tcW w:w="563" w:type="pct"/>
            <w:tcBorders>
              <w:left w:val="nil"/>
              <w:bottom w:val="single" w:sz="4" w:space="0" w:color="auto"/>
              <w:right w:val="nil"/>
            </w:tcBorders>
          </w:tcPr>
          <w:p w14:paraId="74EE91BE"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(2.0)</w:t>
            </w:r>
          </w:p>
        </w:tc>
        <w:tc>
          <w:tcPr>
            <w:tcW w:w="561" w:type="pct"/>
            <w:tcBorders>
              <w:left w:val="nil"/>
              <w:bottom w:val="single" w:sz="4" w:space="0" w:color="auto"/>
              <w:right w:val="nil"/>
            </w:tcBorders>
          </w:tcPr>
          <w:p w14:paraId="7F5A18E3" w14:textId="77777777" w:rsidR="00323BB2" w:rsidRPr="0061063C" w:rsidDel="00266FC7" w:rsidRDefault="00323BB2" w:rsidP="00453AFA">
            <w:pPr>
              <w:jc w:val="right"/>
              <w:rPr>
                <w:rFonts w:asciiTheme="minorHAnsi" w:hAnsiTheme="minorHAnsi"/>
                <w:b/>
                <w:bCs/>
                <w:sz w:val="18"/>
              </w:rPr>
            </w:pPr>
            <w:r w:rsidRPr="0061063C">
              <w:rPr>
                <w:rFonts w:asciiTheme="minorHAnsi" w:hAnsiTheme="minorHAnsi"/>
                <w:b/>
                <w:bCs/>
                <w:sz w:val="18"/>
              </w:rPr>
              <w:t>(497.9)</w:t>
            </w:r>
          </w:p>
        </w:tc>
        <w:tc>
          <w:tcPr>
            <w:tcW w:w="562" w:type="pct"/>
            <w:tcBorders>
              <w:left w:val="nil"/>
              <w:bottom w:val="single" w:sz="4" w:space="0" w:color="auto"/>
              <w:right w:val="nil"/>
            </w:tcBorders>
          </w:tcPr>
          <w:p w14:paraId="3E79A7D6" w14:textId="77777777" w:rsidR="00323BB2" w:rsidRPr="0061063C" w:rsidDel="00266FC7" w:rsidRDefault="00323BB2" w:rsidP="00453AFA">
            <w:pPr>
              <w:jc w:val="right"/>
              <w:rPr>
                <w:rFonts w:asciiTheme="minorHAnsi" w:hAnsiTheme="minorHAnsi"/>
                <w:bCs/>
                <w:sz w:val="18"/>
              </w:rPr>
            </w:pPr>
            <w:r w:rsidRPr="0061063C">
              <w:rPr>
                <w:rFonts w:asciiTheme="minorHAnsi" w:hAnsiTheme="minorHAnsi"/>
                <w:bCs/>
                <w:sz w:val="18"/>
              </w:rPr>
              <w:t>(301.0)</w:t>
            </w:r>
          </w:p>
        </w:tc>
        <w:tc>
          <w:tcPr>
            <w:tcW w:w="562" w:type="pct"/>
            <w:tcBorders>
              <w:left w:val="nil"/>
              <w:bottom w:val="single" w:sz="4" w:space="0" w:color="auto"/>
              <w:right w:val="nil"/>
            </w:tcBorders>
          </w:tcPr>
          <w:p w14:paraId="5C28A1D2"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left w:val="nil"/>
              <w:bottom w:val="single" w:sz="4" w:space="0" w:color="auto"/>
              <w:right w:val="nil"/>
            </w:tcBorders>
          </w:tcPr>
          <w:p w14:paraId="1DD4D067" w14:textId="77777777" w:rsidR="00323BB2" w:rsidRPr="0061063C" w:rsidDel="00266FC7" w:rsidRDefault="00323BB2" w:rsidP="00453AFA">
            <w:pPr>
              <w:jc w:val="right"/>
              <w:rPr>
                <w:rFonts w:asciiTheme="minorHAnsi" w:hAnsiTheme="minorHAnsi"/>
                <w:bCs/>
                <w:sz w:val="18"/>
              </w:rPr>
            </w:pPr>
            <w:r w:rsidRPr="0061063C">
              <w:rPr>
                <w:rFonts w:asciiTheme="minorHAnsi" w:hAnsiTheme="minorHAnsi"/>
                <w:bCs/>
                <w:sz w:val="18"/>
              </w:rPr>
              <w:t>(301.0)</w:t>
            </w:r>
          </w:p>
        </w:tc>
      </w:tr>
      <w:tr w:rsidR="00323BB2" w:rsidRPr="0061063C" w14:paraId="46897B7A" w14:textId="77777777" w:rsidTr="00453AFA">
        <w:trPr>
          <w:trHeight w:val="196"/>
        </w:trPr>
        <w:tc>
          <w:tcPr>
            <w:tcW w:w="1350" w:type="pct"/>
            <w:tcBorders>
              <w:top w:val="single" w:sz="4" w:space="0" w:color="auto"/>
              <w:right w:val="nil"/>
            </w:tcBorders>
          </w:tcPr>
          <w:p w14:paraId="602292EC" w14:textId="77777777" w:rsidR="00323BB2" w:rsidRPr="0061063C" w:rsidRDefault="00323BB2" w:rsidP="00453AFA">
            <w:pPr>
              <w:ind w:left="-90"/>
              <w:rPr>
                <w:rFonts w:asciiTheme="minorHAnsi" w:hAnsiTheme="minorHAnsi"/>
                <w:sz w:val="18"/>
              </w:rPr>
            </w:pPr>
            <w:r w:rsidRPr="0061063C">
              <w:rPr>
                <w:rFonts w:asciiTheme="minorHAnsi" w:hAnsiTheme="minorHAnsi"/>
                <w:b/>
                <w:sz w:val="18"/>
              </w:rPr>
              <w:t>Gross profit</w:t>
            </w:r>
          </w:p>
        </w:tc>
        <w:tc>
          <w:tcPr>
            <w:tcW w:w="302" w:type="pct"/>
            <w:tcBorders>
              <w:top w:val="single" w:sz="4" w:space="0" w:color="auto"/>
              <w:left w:val="nil"/>
            </w:tcBorders>
          </w:tcPr>
          <w:p w14:paraId="296B62B2"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right w:val="nil"/>
            </w:tcBorders>
          </w:tcPr>
          <w:p w14:paraId="17B5FCEA"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1,026.5</w:t>
            </w:r>
          </w:p>
        </w:tc>
        <w:tc>
          <w:tcPr>
            <w:tcW w:w="563" w:type="pct"/>
            <w:tcBorders>
              <w:top w:val="single" w:sz="4" w:space="0" w:color="auto"/>
              <w:left w:val="nil"/>
              <w:right w:val="nil"/>
            </w:tcBorders>
          </w:tcPr>
          <w:p w14:paraId="3BB463F7"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11.7</w:t>
            </w:r>
          </w:p>
        </w:tc>
        <w:tc>
          <w:tcPr>
            <w:tcW w:w="561" w:type="pct"/>
            <w:tcBorders>
              <w:top w:val="single" w:sz="4" w:space="0" w:color="auto"/>
              <w:left w:val="nil"/>
              <w:right w:val="nil"/>
            </w:tcBorders>
          </w:tcPr>
          <w:p w14:paraId="126BD519"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1,038.2</w:t>
            </w:r>
          </w:p>
        </w:tc>
        <w:tc>
          <w:tcPr>
            <w:tcW w:w="562" w:type="pct"/>
            <w:tcBorders>
              <w:top w:val="single" w:sz="4" w:space="0" w:color="auto"/>
              <w:left w:val="nil"/>
              <w:right w:val="nil"/>
            </w:tcBorders>
          </w:tcPr>
          <w:p w14:paraId="4DDAD5CE"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718.9</w:t>
            </w:r>
          </w:p>
        </w:tc>
        <w:tc>
          <w:tcPr>
            <w:tcW w:w="562" w:type="pct"/>
            <w:tcBorders>
              <w:top w:val="single" w:sz="4" w:space="0" w:color="auto"/>
              <w:left w:val="nil"/>
              <w:right w:val="nil"/>
            </w:tcBorders>
          </w:tcPr>
          <w:p w14:paraId="5F4922BD"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top w:val="single" w:sz="4" w:space="0" w:color="auto"/>
              <w:left w:val="nil"/>
              <w:right w:val="nil"/>
            </w:tcBorders>
          </w:tcPr>
          <w:p w14:paraId="13C6A3E0"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718.9</w:t>
            </w:r>
          </w:p>
        </w:tc>
      </w:tr>
      <w:tr w:rsidR="00323BB2" w:rsidRPr="0061063C" w14:paraId="4D5F1FB0" w14:textId="77777777" w:rsidTr="00453AFA">
        <w:trPr>
          <w:trHeight w:val="211"/>
        </w:trPr>
        <w:tc>
          <w:tcPr>
            <w:tcW w:w="1350" w:type="pct"/>
            <w:tcBorders>
              <w:right w:val="nil"/>
            </w:tcBorders>
          </w:tcPr>
          <w:p w14:paraId="2352CC84" w14:textId="77777777" w:rsidR="00323BB2" w:rsidRPr="0061063C" w:rsidRDefault="00323BB2" w:rsidP="00453AFA">
            <w:pPr>
              <w:ind w:left="-90"/>
              <w:rPr>
                <w:rFonts w:asciiTheme="minorHAnsi" w:hAnsiTheme="minorHAnsi"/>
                <w:sz w:val="18"/>
              </w:rPr>
            </w:pPr>
          </w:p>
        </w:tc>
        <w:tc>
          <w:tcPr>
            <w:tcW w:w="302" w:type="pct"/>
            <w:tcBorders>
              <w:left w:val="nil"/>
            </w:tcBorders>
          </w:tcPr>
          <w:p w14:paraId="3A7CAB96" w14:textId="77777777" w:rsidR="00323BB2" w:rsidRPr="0061063C" w:rsidRDefault="00323BB2" w:rsidP="00453AFA">
            <w:pPr>
              <w:jc w:val="center"/>
              <w:rPr>
                <w:rFonts w:asciiTheme="minorHAnsi" w:hAnsiTheme="minorHAnsi"/>
                <w:sz w:val="18"/>
              </w:rPr>
            </w:pPr>
          </w:p>
        </w:tc>
        <w:tc>
          <w:tcPr>
            <w:tcW w:w="561" w:type="pct"/>
            <w:tcBorders>
              <w:left w:val="nil"/>
              <w:right w:val="nil"/>
            </w:tcBorders>
          </w:tcPr>
          <w:p w14:paraId="5BCF65D8" w14:textId="77777777" w:rsidR="00323BB2" w:rsidRPr="0061063C" w:rsidRDefault="00323BB2" w:rsidP="00453AFA">
            <w:pPr>
              <w:jc w:val="right"/>
              <w:rPr>
                <w:rFonts w:asciiTheme="minorHAnsi" w:hAnsiTheme="minorHAnsi"/>
                <w:b/>
                <w:bCs/>
                <w:sz w:val="18"/>
              </w:rPr>
            </w:pPr>
          </w:p>
        </w:tc>
        <w:tc>
          <w:tcPr>
            <w:tcW w:w="563" w:type="pct"/>
            <w:tcBorders>
              <w:left w:val="nil"/>
              <w:right w:val="nil"/>
            </w:tcBorders>
          </w:tcPr>
          <w:p w14:paraId="3E82ECD4" w14:textId="77777777" w:rsidR="00323BB2" w:rsidRPr="0061063C" w:rsidRDefault="00323BB2" w:rsidP="00453AFA">
            <w:pPr>
              <w:jc w:val="right"/>
              <w:rPr>
                <w:rFonts w:asciiTheme="minorHAnsi" w:hAnsiTheme="minorHAnsi"/>
                <w:b/>
                <w:bCs/>
                <w:sz w:val="18"/>
              </w:rPr>
            </w:pPr>
          </w:p>
        </w:tc>
        <w:tc>
          <w:tcPr>
            <w:tcW w:w="561" w:type="pct"/>
            <w:tcBorders>
              <w:left w:val="nil"/>
              <w:right w:val="nil"/>
            </w:tcBorders>
          </w:tcPr>
          <w:p w14:paraId="3FC4674B" w14:textId="77777777" w:rsidR="00323BB2" w:rsidRPr="0061063C" w:rsidRDefault="00323BB2" w:rsidP="00453AFA">
            <w:pPr>
              <w:jc w:val="right"/>
              <w:rPr>
                <w:rFonts w:asciiTheme="minorHAnsi" w:hAnsiTheme="minorHAnsi"/>
                <w:b/>
                <w:bCs/>
                <w:sz w:val="18"/>
              </w:rPr>
            </w:pPr>
          </w:p>
        </w:tc>
        <w:tc>
          <w:tcPr>
            <w:tcW w:w="562" w:type="pct"/>
            <w:tcBorders>
              <w:left w:val="nil"/>
              <w:right w:val="nil"/>
            </w:tcBorders>
          </w:tcPr>
          <w:p w14:paraId="6CBB7FC3" w14:textId="77777777" w:rsidR="00323BB2" w:rsidRPr="0061063C" w:rsidRDefault="00323BB2" w:rsidP="00453AFA">
            <w:pPr>
              <w:jc w:val="right"/>
              <w:rPr>
                <w:rFonts w:asciiTheme="minorHAnsi" w:hAnsiTheme="minorHAnsi"/>
                <w:bCs/>
                <w:sz w:val="18"/>
              </w:rPr>
            </w:pPr>
          </w:p>
        </w:tc>
        <w:tc>
          <w:tcPr>
            <w:tcW w:w="562" w:type="pct"/>
            <w:tcBorders>
              <w:left w:val="nil"/>
              <w:right w:val="nil"/>
            </w:tcBorders>
          </w:tcPr>
          <w:p w14:paraId="70213BAC" w14:textId="77777777" w:rsidR="00323BB2" w:rsidRPr="0061063C" w:rsidRDefault="00323BB2" w:rsidP="00453AFA">
            <w:pPr>
              <w:jc w:val="right"/>
              <w:rPr>
                <w:rFonts w:asciiTheme="minorHAnsi" w:hAnsiTheme="minorHAnsi"/>
                <w:bCs/>
                <w:sz w:val="18"/>
              </w:rPr>
            </w:pPr>
          </w:p>
        </w:tc>
        <w:tc>
          <w:tcPr>
            <w:tcW w:w="539" w:type="pct"/>
            <w:tcBorders>
              <w:left w:val="nil"/>
              <w:right w:val="nil"/>
            </w:tcBorders>
          </w:tcPr>
          <w:p w14:paraId="45FB1B9D" w14:textId="77777777" w:rsidR="00323BB2" w:rsidRPr="0061063C" w:rsidRDefault="00323BB2" w:rsidP="00453AFA">
            <w:pPr>
              <w:jc w:val="right"/>
              <w:rPr>
                <w:rFonts w:asciiTheme="minorHAnsi" w:hAnsiTheme="minorHAnsi"/>
                <w:bCs/>
                <w:sz w:val="18"/>
              </w:rPr>
            </w:pPr>
          </w:p>
        </w:tc>
      </w:tr>
      <w:tr w:rsidR="00323BB2" w:rsidRPr="0061063C" w14:paraId="05926144" w14:textId="77777777" w:rsidTr="00453AFA">
        <w:trPr>
          <w:trHeight w:val="105"/>
        </w:trPr>
        <w:tc>
          <w:tcPr>
            <w:tcW w:w="1350" w:type="pct"/>
            <w:tcBorders>
              <w:bottom w:val="single" w:sz="4" w:space="0" w:color="auto"/>
              <w:right w:val="nil"/>
            </w:tcBorders>
          </w:tcPr>
          <w:p w14:paraId="554F91FB" w14:textId="77777777" w:rsidR="00323BB2" w:rsidRPr="0061063C" w:rsidRDefault="00323BB2" w:rsidP="00453AFA">
            <w:pPr>
              <w:ind w:left="-90"/>
              <w:rPr>
                <w:rFonts w:asciiTheme="minorHAnsi" w:hAnsiTheme="minorHAnsi"/>
                <w:sz w:val="18"/>
              </w:rPr>
            </w:pPr>
            <w:r w:rsidRPr="0061063C">
              <w:rPr>
                <w:rFonts w:asciiTheme="minorHAnsi" w:hAnsiTheme="minorHAnsi"/>
                <w:sz w:val="18"/>
              </w:rPr>
              <w:t>Operating costs excluding depreciation and amortisation</w:t>
            </w:r>
          </w:p>
        </w:tc>
        <w:tc>
          <w:tcPr>
            <w:tcW w:w="302" w:type="pct"/>
            <w:tcBorders>
              <w:left w:val="nil"/>
              <w:bottom w:val="single" w:sz="4" w:space="0" w:color="auto"/>
            </w:tcBorders>
          </w:tcPr>
          <w:p w14:paraId="68A02B5D" w14:textId="77777777" w:rsidR="00323BB2" w:rsidRPr="0061063C" w:rsidRDefault="00323BB2" w:rsidP="00453AFA">
            <w:pPr>
              <w:jc w:val="center"/>
              <w:rPr>
                <w:rFonts w:asciiTheme="minorHAnsi" w:hAnsiTheme="minorHAnsi"/>
                <w:sz w:val="18"/>
              </w:rPr>
            </w:pPr>
          </w:p>
        </w:tc>
        <w:tc>
          <w:tcPr>
            <w:tcW w:w="561" w:type="pct"/>
            <w:tcBorders>
              <w:left w:val="nil"/>
              <w:bottom w:val="single" w:sz="4" w:space="0" w:color="auto"/>
              <w:right w:val="nil"/>
            </w:tcBorders>
          </w:tcPr>
          <w:p w14:paraId="63AC7F2D" w14:textId="77777777" w:rsidR="00323BB2" w:rsidRPr="0061063C" w:rsidRDefault="00323BB2" w:rsidP="00453AFA">
            <w:pPr>
              <w:jc w:val="right"/>
              <w:rPr>
                <w:rFonts w:asciiTheme="minorHAnsi" w:hAnsiTheme="minorHAnsi"/>
                <w:b/>
                <w:bCs/>
                <w:sz w:val="18"/>
              </w:rPr>
            </w:pPr>
          </w:p>
          <w:p w14:paraId="6B97CCDE"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(684.8)</w:t>
            </w:r>
          </w:p>
        </w:tc>
        <w:tc>
          <w:tcPr>
            <w:tcW w:w="563" w:type="pct"/>
            <w:tcBorders>
              <w:left w:val="nil"/>
              <w:bottom w:val="single" w:sz="4" w:space="0" w:color="auto"/>
              <w:right w:val="nil"/>
            </w:tcBorders>
          </w:tcPr>
          <w:p w14:paraId="399B5397" w14:textId="77777777" w:rsidR="00323BB2" w:rsidRPr="0061063C" w:rsidRDefault="00323BB2" w:rsidP="00453AFA">
            <w:pPr>
              <w:jc w:val="right"/>
              <w:rPr>
                <w:rFonts w:asciiTheme="minorHAnsi" w:hAnsiTheme="minorHAnsi"/>
                <w:b/>
                <w:bCs/>
                <w:sz w:val="18"/>
              </w:rPr>
            </w:pPr>
          </w:p>
          <w:p w14:paraId="16E293E9"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(68.9)</w:t>
            </w:r>
          </w:p>
        </w:tc>
        <w:tc>
          <w:tcPr>
            <w:tcW w:w="561" w:type="pct"/>
            <w:tcBorders>
              <w:left w:val="nil"/>
              <w:bottom w:val="single" w:sz="4" w:space="0" w:color="auto"/>
              <w:right w:val="nil"/>
            </w:tcBorders>
          </w:tcPr>
          <w:p w14:paraId="0D511323" w14:textId="77777777" w:rsidR="00323BB2" w:rsidRPr="0061063C" w:rsidRDefault="00323BB2" w:rsidP="00453AFA">
            <w:pPr>
              <w:jc w:val="right"/>
              <w:rPr>
                <w:rFonts w:asciiTheme="minorHAnsi" w:hAnsiTheme="minorHAnsi"/>
                <w:b/>
                <w:bCs/>
                <w:sz w:val="18"/>
              </w:rPr>
            </w:pPr>
          </w:p>
          <w:p w14:paraId="7A57CFBF"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(753.7)</w:t>
            </w:r>
          </w:p>
        </w:tc>
        <w:tc>
          <w:tcPr>
            <w:tcW w:w="562" w:type="pct"/>
            <w:tcBorders>
              <w:left w:val="nil"/>
              <w:bottom w:val="single" w:sz="4" w:space="0" w:color="auto"/>
              <w:right w:val="nil"/>
            </w:tcBorders>
          </w:tcPr>
          <w:p w14:paraId="15C9CEC5" w14:textId="77777777" w:rsidR="00323BB2" w:rsidRPr="0061063C" w:rsidRDefault="00323BB2" w:rsidP="00453AFA">
            <w:pPr>
              <w:jc w:val="right"/>
              <w:rPr>
                <w:rFonts w:asciiTheme="minorHAnsi" w:hAnsiTheme="minorHAnsi"/>
                <w:bCs/>
                <w:sz w:val="18"/>
              </w:rPr>
            </w:pPr>
          </w:p>
          <w:p w14:paraId="7A0E231F"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(503.1)</w:t>
            </w:r>
          </w:p>
        </w:tc>
        <w:tc>
          <w:tcPr>
            <w:tcW w:w="562" w:type="pct"/>
            <w:tcBorders>
              <w:left w:val="nil"/>
              <w:bottom w:val="single" w:sz="4" w:space="0" w:color="auto"/>
              <w:right w:val="nil"/>
            </w:tcBorders>
          </w:tcPr>
          <w:p w14:paraId="0B664803" w14:textId="77777777" w:rsidR="00323BB2" w:rsidRPr="0061063C" w:rsidRDefault="00323BB2" w:rsidP="00453AFA">
            <w:pPr>
              <w:jc w:val="right"/>
              <w:rPr>
                <w:rFonts w:asciiTheme="minorHAnsi" w:hAnsiTheme="minorHAnsi"/>
                <w:bCs/>
                <w:sz w:val="18"/>
              </w:rPr>
            </w:pPr>
          </w:p>
          <w:p w14:paraId="6DE5565B"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left w:val="nil"/>
              <w:bottom w:val="single" w:sz="4" w:space="0" w:color="auto"/>
              <w:right w:val="nil"/>
            </w:tcBorders>
          </w:tcPr>
          <w:p w14:paraId="122ED4E7" w14:textId="77777777" w:rsidR="00323BB2" w:rsidRPr="0061063C" w:rsidRDefault="00323BB2" w:rsidP="00453AFA">
            <w:pPr>
              <w:jc w:val="right"/>
              <w:rPr>
                <w:rFonts w:asciiTheme="minorHAnsi" w:hAnsiTheme="minorHAnsi"/>
                <w:bCs/>
                <w:sz w:val="18"/>
              </w:rPr>
            </w:pPr>
          </w:p>
          <w:p w14:paraId="29AA4E81"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(503.1)</w:t>
            </w:r>
          </w:p>
        </w:tc>
      </w:tr>
      <w:tr w:rsidR="00323BB2" w:rsidRPr="0061063C" w14:paraId="731333B2" w14:textId="77777777" w:rsidTr="00453AFA">
        <w:trPr>
          <w:trHeight w:val="105"/>
        </w:trPr>
        <w:tc>
          <w:tcPr>
            <w:tcW w:w="1350" w:type="pct"/>
            <w:tcBorders>
              <w:right w:val="nil"/>
            </w:tcBorders>
          </w:tcPr>
          <w:p w14:paraId="5BAA1C3B" w14:textId="77777777" w:rsidR="00323BB2" w:rsidRPr="0061063C" w:rsidRDefault="00323BB2" w:rsidP="00453AFA">
            <w:pPr>
              <w:ind w:left="-90"/>
              <w:rPr>
                <w:rFonts w:asciiTheme="minorHAnsi" w:hAnsiTheme="minorHAnsi"/>
                <w:b/>
                <w:sz w:val="18"/>
              </w:rPr>
            </w:pPr>
            <w:r w:rsidRPr="0061063C">
              <w:rPr>
                <w:rFonts w:asciiTheme="minorHAnsi" w:hAnsiTheme="minorHAnsi"/>
                <w:b/>
                <w:sz w:val="18"/>
              </w:rPr>
              <w:t xml:space="preserve">EBITDA </w:t>
            </w:r>
            <w:r w:rsidRPr="0061063C">
              <w:rPr>
                <w:rFonts w:asciiTheme="minorHAnsi" w:hAnsiTheme="minorHAnsi"/>
                <w:b/>
                <w:sz w:val="18"/>
                <w:vertAlign w:val="superscript"/>
              </w:rPr>
              <w:t>1</w:t>
            </w:r>
          </w:p>
        </w:tc>
        <w:tc>
          <w:tcPr>
            <w:tcW w:w="302" w:type="pct"/>
            <w:tcBorders>
              <w:left w:val="nil"/>
            </w:tcBorders>
          </w:tcPr>
          <w:p w14:paraId="2809FBEC" w14:textId="77777777" w:rsidR="00323BB2" w:rsidRPr="0061063C" w:rsidRDefault="00323BB2" w:rsidP="00453AFA">
            <w:pPr>
              <w:jc w:val="center"/>
              <w:rPr>
                <w:rFonts w:asciiTheme="minorHAnsi" w:hAnsiTheme="minorHAnsi"/>
                <w:sz w:val="18"/>
              </w:rPr>
            </w:pPr>
          </w:p>
        </w:tc>
        <w:tc>
          <w:tcPr>
            <w:tcW w:w="561" w:type="pct"/>
            <w:tcBorders>
              <w:left w:val="nil"/>
              <w:right w:val="nil"/>
            </w:tcBorders>
          </w:tcPr>
          <w:p w14:paraId="22124336"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341.7</w:t>
            </w:r>
          </w:p>
        </w:tc>
        <w:tc>
          <w:tcPr>
            <w:tcW w:w="563" w:type="pct"/>
            <w:tcBorders>
              <w:left w:val="nil"/>
              <w:right w:val="nil"/>
            </w:tcBorders>
          </w:tcPr>
          <w:p w14:paraId="31A9241E"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(57.2)</w:t>
            </w:r>
          </w:p>
        </w:tc>
        <w:tc>
          <w:tcPr>
            <w:tcW w:w="561" w:type="pct"/>
            <w:tcBorders>
              <w:left w:val="nil"/>
              <w:right w:val="nil"/>
            </w:tcBorders>
          </w:tcPr>
          <w:p w14:paraId="40DB60E6"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284.5</w:t>
            </w:r>
          </w:p>
        </w:tc>
        <w:tc>
          <w:tcPr>
            <w:tcW w:w="562" w:type="pct"/>
            <w:tcBorders>
              <w:left w:val="nil"/>
              <w:right w:val="nil"/>
            </w:tcBorders>
          </w:tcPr>
          <w:p w14:paraId="3B2134C4"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215.8</w:t>
            </w:r>
          </w:p>
        </w:tc>
        <w:tc>
          <w:tcPr>
            <w:tcW w:w="562" w:type="pct"/>
            <w:tcBorders>
              <w:left w:val="nil"/>
              <w:right w:val="nil"/>
            </w:tcBorders>
          </w:tcPr>
          <w:p w14:paraId="03F21B8C"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left w:val="nil"/>
              <w:right w:val="nil"/>
            </w:tcBorders>
          </w:tcPr>
          <w:p w14:paraId="7A178340"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215.8</w:t>
            </w:r>
          </w:p>
        </w:tc>
      </w:tr>
      <w:tr w:rsidR="00323BB2" w:rsidRPr="0061063C" w14:paraId="242BFFB9" w14:textId="77777777" w:rsidTr="00453AFA">
        <w:trPr>
          <w:trHeight w:val="105"/>
        </w:trPr>
        <w:tc>
          <w:tcPr>
            <w:tcW w:w="1350" w:type="pct"/>
            <w:tcBorders>
              <w:right w:val="nil"/>
            </w:tcBorders>
          </w:tcPr>
          <w:p w14:paraId="42B320D6" w14:textId="77777777" w:rsidR="00323BB2" w:rsidRPr="0061063C" w:rsidRDefault="00323BB2" w:rsidP="00453AFA">
            <w:pPr>
              <w:ind w:left="-90"/>
              <w:jc w:val="center"/>
              <w:rPr>
                <w:rFonts w:asciiTheme="minorHAnsi" w:hAnsiTheme="minorHAnsi"/>
                <w:sz w:val="18"/>
              </w:rPr>
            </w:pPr>
          </w:p>
        </w:tc>
        <w:tc>
          <w:tcPr>
            <w:tcW w:w="302" w:type="pct"/>
            <w:tcBorders>
              <w:left w:val="nil"/>
            </w:tcBorders>
          </w:tcPr>
          <w:p w14:paraId="6CFF7E3E" w14:textId="77777777" w:rsidR="00323BB2" w:rsidRPr="0061063C" w:rsidRDefault="00323BB2" w:rsidP="00453AFA">
            <w:pPr>
              <w:jc w:val="center"/>
              <w:rPr>
                <w:rFonts w:asciiTheme="minorHAnsi" w:hAnsiTheme="minorHAnsi"/>
                <w:sz w:val="18"/>
              </w:rPr>
            </w:pPr>
          </w:p>
        </w:tc>
        <w:tc>
          <w:tcPr>
            <w:tcW w:w="561" w:type="pct"/>
            <w:tcBorders>
              <w:left w:val="nil"/>
              <w:right w:val="nil"/>
            </w:tcBorders>
          </w:tcPr>
          <w:p w14:paraId="209AFBD3" w14:textId="77777777" w:rsidR="00323BB2" w:rsidRPr="0061063C" w:rsidRDefault="00323BB2" w:rsidP="00453AFA">
            <w:pPr>
              <w:jc w:val="right"/>
              <w:rPr>
                <w:rFonts w:asciiTheme="minorHAnsi" w:hAnsiTheme="minorHAnsi"/>
                <w:b/>
                <w:bCs/>
                <w:sz w:val="18"/>
              </w:rPr>
            </w:pPr>
          </w:p>
        </w:tc>
        <w:tc>
          <w:tcPr>
            <w:tcW w:w="563" w:type="pct"/>
            <w:tcBorders>
              <w:left w:val="nil"/>
              <w:right w:val="nil"/>
            </w:tcBorders>
          </w:tcPr>
          <w:p w14:paraId="74BB8552" w14:textId="77777777" w:rsidR="00323BB2" w:rsidRPr="0061063C" w:rsidRDefault="00323BB2" w:rsidP="00453AFA">
            <w:pPr>
              <w:jc w:val="right"/>
              <w:rPr>
                <w:rFonts w:asciiTheme="minorHAnsi" w:hAnsiTheme="minorHAnsi"/>
                <w:b/>
                <w:bCs/>
                <w:sz w:val="18"/>
              </w:rPr>
            </w:pPr>
          </w:p>
        </w:tc>
        <w:tc>
          <w:tcPr>
            <w:tcW w:w="561" w:type="pct"/>
            <w:tcBorders>
              <w:left w:val="nil"/>
              <w:right w:val="nil"/>
            </w:tcBorders>
          </w:tcPr>
          <w:p w14:paraId="58F6996B" w14:textId="77777777" w:rsidR="00323BB2" w:rsidRPr="0061063C" w:rsidRDefault="00323BB2" w:rsidP="00453AFA">
            <w:pPr>
              <w:jc w:val="right"/>
              <w:rPr>
                <w:rFonts w:asciiTheme="minorHAnsi" w:hAnsiTheme="minorHAnsi"/>
                <w:b/>
                <w:bCs/>
                <w:sz w:val="18"/>
              </w:rPr>
            </w:pPr>
          </w:p>
        </w:tc>
        <w:tc>
          <w:tcPr>
            <w:tcW w:w="562" w:type="pct"/>
            <w:tcBorders>
              <w:left w:val="nil"/>
              <w:right w:val="nil"/>
            </w:tcBorders>
          </w:tcPr>
          <w:p w14:paraId="076876D1" w14:textId="77777777" w:rsidR="00323BB2" w:rsidRPr="0061063C" w:rsidRDefault="00323BB2" w:rsidP="00453AFA">
            <w:pPr>
              <w:jc w:val="right"/>
              <w:rPr>
                <w:rFonts w:asciiTheme="minorHAnsi" w:hAnsiTheme="minorHAnsi"/>
                <w:bCs/>
                <w:sz w:val="18"/>
              </w:rPr>
            </w:pPr>
          </w:p>
        </w:tc>
        <w:tc>
          <w:tcPr>
            <w:tcW w:w="562" w:type="pct"/>
            <w:tcBorders>
              <w:left w:val="nil"/>
              <w:right w:val="nil"/>
            </w:tcBorders>
          </w:tcPr>
          <w:p w14:paraId="4DA2D457" w14:textId="77777777" w:rsidR="00323BB2" w:rsidRPr="0061063C" w:rsidRDefault="00323BB2" w:rsidP="00453AFA">
            <w:pPr>
              <w:jc w:val="right"/>
              <w:rPr>
                <w:rFonts w:asciiTheme="minorHAnsi" w:hAnsiTheme="minorHAnsi"/>
                <w:bCs/>
                <w:sz w:val="18"/>
              </w:rPr>
            </w:pPr>
          </w:p>
        </w:tc>
        <w:tc>
          <w:tcPr>
            <w:tcW w:w="539" w:type="pct"/>
            <w:tcBorders>
              <w:left w:val="nil"/>
              <w:right w:val="nil"/>
            </w:tcBorders>
          </w:tcPr>
          <w:p w14:paraId="7AB8F215" w14:textId="77777777" w:rsidR="00323BB2" w:rsidRPr="0061063C" w:rsidRDefault="00323BB2" w:rsidP="00453AFA">
            <w:pPr>
              <w:jc w:val="right"/>
              <w:rPr>
                <w:rFonts w:asciiTheme="minorHAnsi" w:hAnsiTheme="minorHAnsi"/>
                <w:bCs/>
                <w:sz w:val="18"/>
              </w:rPr>
            </w:pPr>
          </w:p>
        </w:tc>
      </w:tr>
      <w:tr w:rsidR="00323BB2" w:rsidRPr="0061063C" w14:paraId="5E56CD77" w14:textId="77777777" w:rsidTr="00453AFA">
        <w:trPr>
          <w:trHeight w:val="105"/>
        </w:trPr>
        <w:tc>
          <w:tcPr>
            <w:tcW w:w="1350" w:type="pct"/>
            <w:tcBorders>
              <w:right w:val="nil"/>
            </w:tcBorders>
          </w:tcPr>
          <w:p w14:paraId="46FE2BDB" w14:textId="77777777" w:rsidR="00323BB2" w:rsidRPr="0061063C" w:rsidRDefault="00323BB2" w:rsidP="00453AFA">
            <w:pPr>
              <w:ind w:left="-90"/>
              <w:rPr>
                <w:rFonts w:asciiTheme="minorHAnsi" w:hAnsiTheme="minorHAnsi"/>
                <w:sz w:val="18"/>
              </w:rPr>
            </w:pPr>
            <w:r w:rsidRPr="0061063C">
              <w:rPr>
                <w:rFonts w:asciiTheme="minorHAnsi" w:hAnsiTheme="minorHAnsi"/>
                <w:sz w:val="18"/>
              </w:rPr>
              <w:t>Depreciation and amortisation</w:t>
            </w:r>
          </w:p>
        </w:tc>
        <w:tc>
          <w:tcPr>
            <w:tcW w:w="302" w:type="pct"/>
            <w:tcBorders>
              <w:left w:val="nil"/>
            </w:tcBorders>
          </w:tcPr>
          <w:p w14:paraId="1FE54D9F" w14:textId="77777777" w:rsidR="00323BB2" w:rsidRPr="0061063C" w:rsidRDefault="00323BB2" w:rsidP="00453AFA">
            <w:pPr>
              <w:jc w:val="center"/>
              <w:rPr>
                <w:rFonts w:asciiTheme="minorHAnsi" w:hAnsiTheme="minorHAnsi"/>
                <w:sz w:val="18"/>
              </w:rPr>
            </w:pPr>
          </w:p>
        </w:tc>
        <w:tc>
          <w:tcPr>
            <w:tcW w:w="561" w:type="pct"/>
            <w:tcBorders>
              <w:left w:val="nil"/>
              <w:right w:val="nil"/>
            </w:tcBorders>
          </w:tcPr>
          <w:p w14:paraId="3ADF972B"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(88.9)</w:t>
            </w:r>
          </w:p>
        </w:tc>
        <w:tc>
          <w:tcPr>
            <w:tcW w:w="563" w:type="pct"/>
            <w:tcBorders>
              <w:left w:val="nil"/>
              <w:right w:val="nil"/>
            </w:tcBorders>
          </w:tcPr>
          <w:p w14:paraId="2EB70E42"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(127.8)</w:t>
            </w:r>
          </w:p>
        </w:tc>
        <w:tc>
          <w:tcPr>
            <w:tcW w:w="561" w:type="pct"/>
            <w:tcBorders>
              <w:left w:val="nil"/>
              <w:right w:val="nil"/>
            </w:tcBorders>
          </w:tcPr>
          <w:p w14:paraId="3FAAD850"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(216.7)</w:t>
            </w:r>
          </w:p>
        </w:tc>
        <w:tc>
          <w:tcPr>
            <w:tcW w:w="562" w:type="pct"/>
            <w:tcBorders>
              <w:left w:val="nil"/>
              <w:right w:val="nil"/>
            </w:tcBorders>
          </w:tcPr>
          <w:p w14:paraId="183942D7"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(69.3)</w:t>
            </w:r>
          </w:p>
        </w:tc>
        <w:tc>
          <w:tcPr>
            <w:tcW w:w="562" w:type="pct"/>
            <w:tcBorders>
              <w:left w:val="nil"/>
              <w:right w:val="nil"/>
            </w:tcBorders>
          </w:tcPr>
          <w:p w14:paraId="67C5FA6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(58.8)</w:t>
            </w:r>
          </w:p>
        </w:tc>
        <w:tc>
          <w:tcPr>
            <w:tcW w:w="539" w:type="pct"/>
            <w:tcBorders>
              <w:left w:val="nil"/>
              <w:right w:val="nil"/>
            </w:tcBorders>
          </w:tcPr>
          <w:p w14:paraId="312472D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(128.1)</w:t>
            </w:r>
          </w:p>
        </w:tc>
      </w:tr>
      <w:tr w:rsidR="00323BB2" w:rsidRPr="0061063C" w14:paraId="28FB8F17" w14:textId="77777777" w:rsidTr="00453AFA">
        <w:trPr>
          <w:trHeight w:val="105"/>
        </w:trPr>
        <w:tc>
          <w:tcPr>
            <w:tcW w:w="1350" w:type="pct"/>
            <w:tcBorders>
              <w:top w:val="single" w:sz="4" w:space="0" w:color="auto"/>
              <w:bottom w:val="single" w:sz="4" w:space="0" w:color="auto"/>
              <w:right w:val="nil"/>
            </w:tcBorders>
          </w:tcPr>
          <w:p w14:paraId="431537E1" w14:textId="77777777" w:rsidR="00323BB2" w:rsidRPr="0061063C" w:rsidRDefault="00323BB2" w:rsidP="00453AFA">
            <w:pPr>
              <w:ind w:left="-90"/>
              <w:rPr>
                <w:rFonts w:asciiTheme="minorHAnsi" w:hAnsiTheme="minorHAnsi"/>
                <w:b/>
                <w:sz w:val="18"/>
              </w:rPr>
            </w:pPr>
            <w:r w:rsidRPr="0061063C">
              <w:rPr>
                <w:rFonts w:asciiTheme="minorHAnsi" w:hAnsiTheme="minorHAnsi"/>
                <w:b/>
                <w:sz w:val="18"/>
              </w:rPr>
              <w:t>Operating profit</w:t>
            </w:r>
          </w:p>
        </w:tc>
        <w:tc>
          <w:tcPr>
            <w:tcW w:w="302" w:type="pct"/>
            <w:tcBorders>
              <w:top w:val="single" w:sz="4" w:space="0" w:color="auto"/>
              <w:left w:val="nil"/>
              <w:bottom w:val="single" w:sz="4" w:space="0" w:color="auto"/>
            </w:tcBorders>
          </w:tcPr>
          <w:p w14:paraId="200D90ED"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bottom w:val="single" w:sz="4" w:space="0" w:color="auto"/>
              <w:right w:val="nil"/>
            </w:tcBorders>
          </w:tcPr>
          <w:p w14:paraId="437D93F0"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252.8</w:t>
            </w:r>
          </w:p>
        </w:tc>
        <w:tc>
          <w:tcPr>
            <w:tcW w:w="563" w:type="pct"/>
            <w:tcBorders>
              <w:top w:val="single" w:sz="4" w:space="0" w:color="auto"/>
              <w:left w:val="nil"/>
              <w:bottom w:val="single" w:sz="4" w:space="0" w:color="auto"/>
              <w:right w:val="nil"/>
            </w:tcBorders>
          </w:tcPr>
          <w:p w14:paraId="43A12EBC"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(185.0)</w:t>
            </w:r>
          </w:p>
        </w:tc>
        <w:tc>
          <w:tcPr>
            <w:tcW w:w="561" w:type="pct"/>
            <w:tcBorders>
              <w:top w:val="single" w:sz="4" w:space="0" w:color="auto"/>
              <w:left w:val="nil"/>
              <w:bottom w:val="single" w:sz="4" w:space="0" w:color="auto"/>
              <w:right w:val="nil"/>
            </w:tcBorders>
          </w:tcPr>
          <w:p w14:paraId="198AC641"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67.8</w:t>
            </w:r>
          </w:p>
        </w:tc>
        <w:tc>
          <w:tcPr>
            <w:tcW w:w="562" w:type="pct"/>
            <w:tcBorders>
              <w:top w:val="single" w:sz="4" w:space="0" w:color="auto"/>
              <w:left w:val="nil"/>
              <w:bottom w:val="single" w:sz="4" w:space="0" w:color="auto"/>
              <w:right w:val="nil"/>
            </w:tcBorders>
          </w:tcPr>
          <w:p w14:paraId="7BE46AED"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146.5</w:t>
            </w:r>
          </w:p>
        </w:tc>
        <w:tc>
          <w:tcPr>
            <w:tcW w:w="562" w:type="pct"/>
            <w:tcBorders>
              <w:top w:val="single" w:sz="4" w:space="0" w:color="auto"/>
              <w:left w:val="nil"/>
              <w:bottom w:val="single" w:sz="4" w:space="0" w:color="auto"/>
              <w:right w:val="nil"/>
            </w:tcBorders>
          </w:tcPr>
          <w:p w14:paraId="04E6F29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(58.8)</w:t>
            </w:r>
          </w:p>
        </w:tc>
        <w:tc>
          <w:tcPr>
            <w:tcW w:w="539" w:type="pct"/>
            <w:tcBorders>
              <w:top w:val="single" w:sz="4" w:space="0" w:color="auto"/>
              <w:left w:val="nil"/>
              <w:bottom w:val="single" w:sz="4" w:space="0" w:color="auto"/>
              <w:right w:val="nil"/>
            </w:tcBorders>
          </w:tcPr>
          <w:p w14:paraId="2AF58BA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87.7</w:t>
            </w:r>
          </w:p>
        </w:tc>
      </w:tr>
      <w:tr w:rsidR="00323BB2" w:rsidRPr="0061063C" w14:paraId="5A419BF1" w14:textId="77777777" w:rsidTr="00453AFA">
        <w:trPr>
          <w:trHeight w:val="105"/>
        </w:trPr>
        <w:tc>
          <w:tcPr>
            <w:tcW w:w="1350" w:type="pct"/>
            <w:tcBorders>
              <w:top w:val="single" w:sz="4" w:space="0" w:color="auto"/>
              <w:right w:val="nil"/>
            </w:tcBorders>
          </w:tcPr>
          <w:p w14:paraId="55AD1DC7" w14:textId="77777777" w:rsidR="00323BB2" w:rsidRPr="0061063C" w:rsidRDefault="00323BB2" w:rsidP="00453AFA">
            <w:pPr>
              <w:ind w:left="-90"/>
              <w:rPr>
                <w:rFonts w:asciiTheme="minorHAnsi" w:hAnsiTheme="minorHAnsi"/>
                <w:b/>
                <w:sz w:val="18"/>
              </w:rPr>
            </w:pPr>
          </w:p>
        </w:tc>
        <w:tc>
          <w:tcPr>
            <w:tcW w:w="302" w:type="pct"/>
            <w:tcBorders>
              <w:top w:val="single" w:sz="4" w:space="0" w:color="auto"/>
              <w:left w:val="nil"/>
            </w:tcBorders>
          </w:tcPr>
          <w:p w14:paraId="6D5C2C83"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right w:val="nil"/>
            </w:tcBorders>
          </w:tcPr>
          <w:p w14:paraId="042499E6" w14:textId="77777777" w:rsidR="00323BB2" w:rsidRPr="0061063C" w:rsidRDefault="00323BB2" w:rsidP="00453AFA">
            <w:pPr>
              <w:jc w:val="right"/>
              <w:rPr>
                <w:rFonts w:asciiTheme="minorHAnsi" w:hAnsiTheme="minorHAnsi"/>
                <w:b/>
                <w:bCs/>
                <w:sz w:val="18"/>
              </w:rPr>
            </w:pPr>
          </w:p>
        </w:tc>
        <w:tc>
          <w:tcPr>
            <w:tcW w:w="563" w:type="pct"/>
            <w:tcBorders>
              <w:top w:val="single" w:sz="4" w:space="0" w:color="auto"/>
              <w:left w:val="nil"/>
              <w:right w:val="nil"/>
            </w:tcBorders>
          </w:tcPr>
          <w:p w14:paraId="0B30CD39" w14:textId="77777777" w:rsidR="00323BB2" w:rsidRPr="0061063C" w:rsidRDefault="00323BB2" w:rsidP="00453AFA">
            <w:pPr>
              <w:jc w:val="right"/>
              <w:rPr>
                <w:rFonts w:asciiTheme="minorHAnsi" w:hAnsiTheme="minorHAnsi"/>
                <w:b/>
                <w:bCs/>
                <w:sz w:val="18"/>
              </w:rPr>
            </w:pPr>
          </w:p>
        </w:tc>
        <w:tc>
          <w:tcPr>
            <w:tcW w:w="561" w:type="pct"/>
            <w:tcBorders>
              <w:top w:val="single" w:sz="4" w:space="0" w:color="auto"/>
              <w:left w:val="nil"/>
              <w:right w:val="nil"/>
            </w:tcBorders>
          </w:tcPr>
          <w:p w14:paraId="6A3DADD1" w14:textId="77777777" w:rsidR="00323BB2" w:rsidRPr="0061063C" w:rsidRDefault="00323BB2" w:rsidP="00453AFA">
            <w:pPr>
              <w:jc w:val="right"/>
              <w:rPr>
                <w:rFonts w:asciiTheme="minorHAnsi" w:hAnsiTheme="minorHAnsi"/>
                <w:b/>
                <w:bCs/>
                <w:sz w:val="18"/>
              </w:rPr>
            </w:pPr>
          </w:p>
        </w:tc>
        <w:tc>
          <w:tcPr>
            <w:tcW w:w="562" w:type="pct"/>
            <w:tcBorders>
              <w:top w:val="single" w:sz="4" w:space="0" w:color="auto"/>
              <w:left w:val="nil"/>
              <w:right w:val="nil"/>
            </w:tcBorders>
          </w:tcPr>
          <w:p w14:paraId="5B4207E9" w14:textId="77777777" w:rsidR="00323BB2" w:rsidRPr="0061063C" w:rsidRDefault="00323BB2" w:rsidP="00453AFA">
            <w:pPr>
              <w:jc w:val="right"/>
              <w:rPr>
                <w:rFonts w:asciiTheme="minorHAnsi" w:hAnsiTheme="minorHAnsi"/>
                <w:bCs/>
                <w:sz w:val="18"/>
              </w:rPr>
            </w:pPr>
          </w:p>
        </w:tc>
        <w:tc>
          <w:tcPr>
            <w:tcW w:w="562" w:type="pct"/>
            <w:tcBorders>
              <w:top w:val="single" w:sz="4" w:space="0" w:color="auto"/>
              <w:left w:val="nil"/>
              <w:right w:val="nil"/>
            </w:tcBorders>
          </w:tcPr>
          <w:p w14:paraId="0F365F72" w14:textId="77777777" w:rsidR="00323BB2" w:rsidRPr="0061063C" w:rsidRDefault="00323BB2" w:rsidP="00453AFA">
            <w:pPr>
              <w:jc w:val="right"/>
              <w:rPr>
                <w:rFonts w:asciiTheme="minorHAnsi" w:hAnsiTheme="minorHAnsi"/>
                <w:bCs/>
                <w:sz w:val="18"/>
              </w:rPr>
            </w:pPr>
          </w:p>
        </w:tc>
        <w:tc>
          <w:tcPr>
            <w:tcW w:w="539" w:type="pct"/>
            <w:tcBorders>
              <w:top w:val="single" w:sz="4" w:space="0" w:color="auto"/>
              <w:left w:val="nil"/>
              <w:right w:val="nil"/>
            </w:tcBorders>
          </w:tcPr>
          <w:p w14:paraId="33F85E2C" w14:textId="77777777" w:rsidR="00323BB2" w:rsidRPr="0061063C" w:rsidRDefault="00323BB2" w:rsidP="00453AFA">
            <w:pPr>
              <w:jc w:val="right"/>
              <w:rPr>
                <w:rFonts w:asciiTheme="minorHAnsi" w:hAnsiTheme="minorHAnsi"/>
                <w:bCs/>
                <w:sz w:val="18"/>
              </w:rPr>
            </w:pPr>
          </w:p>
        </w:tc>
      </w:tr>
      <w:tr w:rsidR="00323BB2" w:rsidRPr="0061063C" w14:paraId="45D4ACDA" w14:textId="77777777" w:rsidTr="00453AFA">
        <w:trPr>
          <w:trHeight w:val="211"/>
        </w:trPr>
        <w:tc>
          <w:tcPr>
            <w:tcW w:w="1350" w:type="pct"/>
            <w:tcBorders>
              <w:right w:val="nil"/>
            </w:tcBorders>
          </w:tcPr>
          <w:p w14:paraId="22086437" w14:textId="77777777" w:rsidR="00323BB2" w:rsidRPr="0061063C" w:rsidRDefault="00323BB2" w:rsidP="00453AFA">
            <w:pPr>
              <w:ind w:left="-90"/>
              <w:rPr>
                <w:rFonts w:asciiTheme="minorHAnsi" w:hAnsiTheme="minorHAnsi"/>
                <w:sz w:val="18"/>
              </w:rPr>
            </w:pPr>
            <w:r w:rsidRPr="0061063C">
              <w:rPr>
                <w:rFonts w:asciiTheme="minorHAnsi" w:hAnsiTheme="minorHAnsi"/>
                <w:sz w:val="18"/>
              </w:rPr>
              <w:t>Financial income</w:t>
            </w:r>
          </w:p>
        </w:tc>
        <w:tc>
          <w:tcPr>
            <w:tcW w:w="302" w:type="pct"/>
            <w:tcBorders>
              <w:left w:val="nil"/>
            </w:tcBorders>
          </w:tcPr>
          <w:p w14:paraId="36F94887" w14:textId="77777777" w:rsidR="00323BB2" w:rsidRPr="0061063C" w:rsidRDefault="00323BB2" w:rsidP="00453AFA">
            <w:pPr>
              <w:jc w:val="center"/>
              <w:rPr>
                <w:rFonts w:asciiTheme="minorHAnsi" w:hAnsiTheme="minorHAnsi"/>
                <w:sz w:val="18"/>
              </w:rPr>
            </w:pPr>
            <w:r>
              <w:rPr>
                <w:rFonts w:asciiTheme="minorHAnsi" w:hAnsiTheme="minorHAnsi"/>
                <w:sz w:val="18"/>
              </w:rPr>
              <w:t>6</w:t>
            </w:r>
          </w:p>
        </w:tc>
        <w:tc>
          <w:tcPr>
            <w:tcW w:w="561" w:type="pct"/>
            <w:tcBorders>
              <w:left w:val="nil"/>
              <w:right w:val="nil"/>
            </w:tcBorders>
          </w:tcPr>
          <w:p w14:paraId="146045E0"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0.4</w:t>
            </w:r>
          </w:p>
        </w:tc>
        <w:tc>
          <w:tcPr>
            <w:tcW w:w="563" w:type="pct"/>
            <w:tcBorders>
              <w:left w:val="nil"/>
              <w:right w:val="nil"/>
            </w:tcBorders>
          </w:tcPr>
          <w:p w14:paraId="4C656C41"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49.2</w:t>
            </w:r>
          </w:p>
        </w:tc>
        <w:tc>
          <w:tcPr>
            <w:tcW w:w="561" w:type="pct"/>
            <w:tcBorders>
              <w:left w:val="nil"/>
              <w:right w:val="nil"/>
            </w:tcBorders>
          </w:tcPr>
          <w:p w14:paraId="69F6D732"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49.6</w:t>
            </w:r>
          </w:p>
        </w:tc>
        <w:tc>
          <w:tcPr>
            <w:tcW w:w="562" w:type="pct"/>
            <w:tcBorders>
              <w:left w:val="nil"/>
              <w:right w:val="nil"/>
            </w:tcBorders>
          </w:tcPr>
          <w:p w14:paraId="3DAA945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0.4</w:t>
            </w:r>
          </w:p>
        </w:tc>
        <w:tc>
          <w:tcPr>
            <w:tcW w:w="562" w:type="pct"/>
            <w:tcBorders>
              <w:left w:val="nil"/>
              <w:right w:val="nil"/>
            </w:tcBorders>
          </w:tcPr>
          <w:p w14:paraId="5409E57C"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left w:val="nil"/>
              <w:right w:val="nil"/>
            </w:tcBorders>
          </w:tcPr>
          <w:p w14:paraId="1AB5A702"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0.4</w:t>
            </w:r>
          </w:p>
        </w:tc>
      </w:tr>
      <w:tr w:rsidR="00323BB2" w:rsidRPr="0061063C" w14:paraId="6602C96A" w14:textId="77777777" w:rsidTr="00453AFA">
        <w:trPr>
          <w:trHeight w:val="211"/>
        </w:trPr>
        <w:tc>
          <w:tcPr>
            <w:tcW w:w="1350" w:type="pct"/>
            <w:tcBorders>
              <w:bottom w:val="single" w:sz="4" w:space="0" w:color="auto"/>
              <w:right w:val="nil"/>
            </w:tcBorders>
          </w:tcPr>
          <w:p w14:paraId="0AF7F8B9" w14:textId="77777777" w:rsidR="00323BB2" w:rsidRPr="0061063C" w:rsidRDefault="00323BB2" w:rsidP="00453AFA">
            <w:pPr>
              <w:ind w:left="-90"/>
              <w:rPr>
                <w:rFonts w:asciiTheme="minorHAnsi" w:hAnsiTheme="minorHAnsi"/>
                <w:sz w:val="18"/>
              </w:rPr>
            </w:pPr>
            <w:r w:rsidRPr="0061063C">
              <w:rPr>
                <w:rFonts w:asciiTheme="minorHAnsi" w:hAnsiTheme="minorHAnsi"/>
                <w:sz w:val="18"/>
              </w:rPr>
              <w:t>Financial expense</w:t>
            </w:r>
          </w:p>
        </w:tc>
        <w:tc>
          <w:tcPr>
            <w:tcW w:w="302" w:type="pct"/>
            <w:tcBorders>
              <w:left w:val="nil"/>
              <w:bottom w:val="single" w:sz="4" w:space="0" w:color="auto"/>
            </w:tcBorders>
          </w:tcPr>
          <w:p w14:paraId="660D764B" w14:textId="77777777" w:rsidR="00323BB2" w:rsidRPr="0061063C" w:rsidRDefault="00323BB2" w:rsidP="00453AFA">
            <w:pPr>
              <w:jc w:val="center"/>
              <w:rPr>
                <w:rFonts w:asciiTheme="minorHAnsi" w:hAnsiTheme="minorHAnsi"/>
                <w:iCs/>
                <w:sz w:val="18"/>
              </w:rPr>
            </w:pPr>
            <w:r>
              <w:rPr>
                <w:rFonts w:asciiTheme="minorHAnsi" w:hAnsiTheme="minorHAnsi"/>
                <w:iCs/>
                <w:sz w:val="18"/>
              </w:rPr>
              <w:t>6</w:t>
            </w:r>
          </w:p>
        </w:tc>
        <w:tc>
          <w:tcPr>
            <w:tcW w:w="561" w:type="pct"/>
            <w:tcBorders>
              <w:left w:val="nil"/>
              <w:bottom w:val="single" w:sz="4" w:space="0" w:color="auto"/>
              <w:right w:val="nil"/>
            </w:tcBorders>
          </w:tcPr>
          <w:p w14:paraId="2D801814"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(34.9)</w:t>
            </w:r>
          </w:p>
        </w:tc>
        <w:tc>
          <w:tcPr>
            <w:tcW w:w="563" w:type="pct"/>
            <w:tcBorders>
              <w:left w:val="nil"/>
              <w:bottom w:val="single" w:sz="4" w:space="0" w:color="auto"/>
              <w:right w:val="nil"/>
            </w:tcBorders>
          </w:tcPr>
          <w:p w14:paraId="26288245"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(58.5)</w:t>
            </w:r>
          </w:p>
        </w:tc>
        <w:tc>
          <w:tcPr>
            <w:tcW w:w="561" w:type="pct"/>
            <w:tcBorders>
              <w:left w:val="nil"/>
              <w:bottom w:val="single" w:sz="4" w:space="0" w:color="auto"/>
              <w:right w:val="nil"/>
            </w:tcBorders>
          </w:tcPr>
          <w:p w14:paraId="7B1A6415"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(93.4)</w:t>
            </w:r>
          </w:p>
        </w:tc>
        <w:tc>
          <w:tcPr>
            <w:tcW w:w="562" w:type="pct"/>
            <w:tcBorders>
              <w:left w:val="nil"/>
              <w:bottom w:val="single" w:sz="4" w:space="0" w:color="auto"/>
              <w:right w:val="nil"/>
            </w:tcBorders>
          </w:tcPr>
          <w:p w14:paraId="3E7E83B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(7.1)</w:t>
            </w:r>
          </w:p>
        </w:tc>
        <w:tc>
          <w:tcPr>
            <w:tcW w:w="562" w:type="pct"/>
            <w:tcBorders>
              <w:left w:val="nil"/>
              <w:bottom w:val="single" w:sz="4" w:space="0" w:color="auto"/>
              <w:right w:val="nil"/>
            </w:tcBorders>
          </w:tcPr>
          <w:p w14:paraId="1690210F"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w:t>
            </w:r>
          </w:p>
        </w:tc>
        <w:tc>
          <w:tcPr>
            <w:tcW w:w="539" w:type="pct"/>
            <w:tcBorders>
              <w:left w:val="nil"/>
              <w:bottom w:val="single" w:sz="4" w:space="0" w:color="auto"/>
              <w:right w:val="nil"/>
            </w:tcBorders>
          </w:tcPr>
          <w:p w14:paraId="3250EF8D"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(7.1)</w:t>
            </w:r>
          </w:p>
        </w:tc>
      </w:tr>
      <w:tr w:rsidR="00323BB2" w:rsidRPr="0061063C" w14:paraId="5D91570D" w14:textId="77777777" w:rsidTr="00453AFA">
        <w:trPr>
          <w:trHeight w:val="211"/>
        </w:trPr>
        <w:tc>
          <w:tcPr>
            <w:tcW w:w="1350" w:type="pct"/>
            <w:tcBorders>
              <w:top w:val="single" w:sz="4" w:space="0" w:color="auto"/>
              <w:bottom w:val="single" w:sz="4" w:space="0" w:color="auto"/>
              <w:right w:val="nil"/>
            </w:tcBorders>
          </w:tcPr>
          <w:p w14:paraId="13F5D581" w14:textId="77777777" w:rsidR="00323BB2" w:rsidRPr="0061063C" w:rsidRDefault="00323BB2" w:rsidP="00453AFA">
            <w:pPr>
              <w:ind w:left="-90"/>
              <w:rPr>
                <w:rFonts w:asciiTheme="minorHAnsi" w:hAnsiTheme="minorHAnsi"/>
                <w:b/>
                <w:bCs/>
                <w:sz w:val="18"/>
              </w:rPr>
            </w:pPr>
            <w:r w:rsidRPr="0061063C">
              <w:rPr>
                <w:rFonts w:asciiTheme="minorHAnsi" w:hAnsiTheme="minorHAnsi"/>
                <w:b/>
                <w:bCs/>
                <w:sz w:val="18"/>
              </w:rPr>
              <w:t>Profit before tax</w:t>
            </w:r>
          </w:p>
        </w:tc>
        <w:tc>
          <w:tcPr>
            <w:tcW w:w="302" w:type="pct"/>
            <w:tcBorders>
              <w:top w:val="single" w:sz="4" w:space="0" w:color="auto"/>
              <w:left w:val="nil"/>
              <w:bottom w:val="single" w:sz="4" w:space="0" w:color="auto"/>
            </w:tcBorders>
          </w:tcPr>
          <w:p w14:paraId="590C8237"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bottom w:val="single" w:sz="4" w:space="0" w:color="auto"/>
              <w:right w:val="nil"/>
            </w:tcBorders>
          </w:tcPr>
          <w:p w14:paraId="4FEC5557"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218.3</w:t>
            </w:r>
          </w:p>
        </w:tc>
        <w:tc>
          <w:tcPr>
            <w:tcW w:w="563" w:type="pct"/>
            <w:tcBorders>
              <w:top w:val="single" w:sz="4" w:space="0" w:color="auto"/>
              <w:left w:val="nil"/>
              <w:bottom w:val="single" w:sz="4" w:space="0" w:color="auto"/>
              <w:right w:val="nil"/>
            </w:tcBorders>
          </w:tcPr>
          <w:p w14:paraId="3892D0E2"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(194.3)</w:t>
            </w:r>
          </w:p>
        </w:tc>
        <w:tc>
          <w:tcPr>
            <w:tcW w:w="561" w:type="pct"/>
            <w:tcBorders>
              <w:top w:val="single" w:sz="4" w:space="0" w:color="auto"/>
              <w:left w:val="nil"/>
              <w:bottom w:val="single" w:sz="4" w:space="0" w:color="auto"/>
              <w:right w:val="nil"/>
            </w:tcBorders>
          </w:tcPr>
          <w:p w14:paraId="7364459D"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24.0</w:t>
            </w:r>
          </w:p>
        </w:tc>
        <w:tc>
          <w:tcPr>
            <w:tcW w:w="562" w:type="pct"/>
            <w:tcBorders>
              <w:top w:val="single" w:sz="4" w:space="0" w:color="auto"/>
              <w:left w:val="nil"/>
              <w:bottom w:val="single" w:sz="4" w:space="0" w:color="auto"/>
              <w:right w:val="nil"/>
            </w:tcBorders>
          </w:tcPr>
          <w:p w14:paraId="68CF9E3B"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139.8</w:t>
            </w:r>
          </w:p>
        </w:tc>
        <w:tc>
          <w:tcPr>
            <w:tcW w:w="562" w:type="pct"/>
            <w:tcBorders>
              <w:top w:val="single" w:sz="4" w:space="0" w:color="auto"/>
              <w:left w:val="nil"/>
              <w:bottom w:val="single" w:sz="4" w:space="0" w:color="auto"/>
              <w:right w:val="nil"/>
            </w:tcBorders>
          </w:tcPr>
          <w:p w14:paraId="7FF6238F"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(58.8)</w:t>
            </w:r>
          </w:p>
        </w:tc>
        <w:tc>
          <w:tcPr>
            <w:tcW w:w="539" w:type="pct"/>
            <w:tcBorders>
              <w:top w:val="single" w:sz="4" w:space="0" w:color="auto"/>
              <w:left w:val="nil"/>
              <w:bottom w:val="single" w:sz="4" w:space="0" w:color="auto"/>
              <w:right w:val="nil"/>
            </w:tcBorders>
          </w:tcPr>
          <w:p w14:paraId="20BF14E5"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81.0</w:t>
            </w:r>
          </w:p>
        </w:tc>
      </w:tr>
      <w:tr w:rsidR="00323BB2" w:rsidRPr="0061063C" w14:paraId="38A6B374" w14:textId="77777777" w:rsidTr="00453AFA">
        <w:trPr>
          <w:trHeight w:val="211"/>
        </w:trPr>
        <w:tc>
          <w:tcPr>
            <w:tcW w:w="1350" w:type="pct"/>
            <w:tcBorders>
              <w:top w:val="single" w:sz="4" w:space="0" w:color="auto"/>
              <w:right w:val="nil"/>
            </w:tcBorders>
          </w:tcPr>
          <w:p w14:paraId="2BC580F7" w14:textId="77777777" w:rsidR="00323BB2" w:rsidRPr="0061063C" w:rsidRDefault="00323BB2" w:rsidP="00453AFA">
            <w:pPr>
              <w:ind w:left="-90"/>
              <w:rPr>
                <w:rFonts w:asciiTheme="minorHAnsi" w:hAnsiTheme="minorHAnsi"/>
                <w:sz w:val="18"/>
              </w:rPr>
            </w:pPr>
          </w:p>
        </w:tc>
        <w:tc>
          <w:tcPr>
            <w:tcW w:w="302" w:type="pct"/>
            <w:tcBorders>
              <w:top w:val="single" w:sz="4" w:space="0" w:color="auto"/>
              <w:left w:val="nil"/>
            </w:tcBorders>
          </w:tcPr>
          <w:p w14:paraId="52F14524"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right w:val="nil"/>
            </w:tcBorders>
          </w:tcPr>
          <w:p w14:paraId="0CF665E0" w14:textId="77777777" w:rsidR="00323BB2" w:rsidRPr="0061063C" w:rsidRDefault="00323BB2" w:rsidP="00453AFA">
            <w:pPr>
              <w:jc w:val="right"/>
              <w:rPr>
                <w:rFonts w:asciiTheme="minorHAnsi" w:hAnsiTheme="minorHAnsi"/>
                <w:b/>
                <w:bCs/>
                <w:sz w:val="18"/>
              </w:rPr>
            </w:pPr>
          </w:p>
        </w:tc>
        <w:tc>
          <w:tcPr>
            <w:tcW w:w="563" w:type="pct"/>
            <w:tcBorders>
              <w:top w:val="single" w:sz="4" w:space="0" w:color="auto"/>
              <w:left w:val="nil"/>
              <w:right w:val="nil"/>
            </w:tcBorders>
          </w:tcPr>
          <w:p w14:paraId="63AEF626" w14:textId="77777777" w:rsidR="00323BB2" w:rsidRPr="0061063C" w:rsidRDefault="00323BB2" w:rsidP="00453AFA">
            <w:pPr>
              <w:jc w:val="right"/>
              <w:rPr>
                <w:rFonts w:asciiTheme="minorHAnsi" w:hAnsiTheme="minorHAnsi"/>
                <w:b/>
                <w:bCs/>
                <w:sz w:val="18"/>
              </w:rPr>
            </w:pPr>
          </w:p>
        </w:tc>
        <w:tc>
          <w:tcPr>
            <w:tcW w:w="561" w:type="pct"/>
            <w:tcBorders>
              <w:top w:val="single" w:sz="4" w:space="0" w:color="auto"/>
              <w:left w:val="nil"/>
              <w:right w:val="nil"/>
            </w:tcBorders>
          </w:tcPr>
          <w:p w14:paraId="4A25FD59" w14:textId="77777777" w:rsidR="00323BB2" w:rsidRPr="0061063C" w:rsidRDefault="00323BB2" w:rsidP="00453AFA">
            <w:pPr>
              <w:jc w:val="right"/>
              <w:rPr>
                <w:rFonts w:asciiTheme="minorHAnsi" w:hAnsiTheme="minorHAnsi"/>
                <w:b/>
                <w:bCs/>
                <w:sz w:val="18"/>
              </w:rPr>
            </w:pPr>
          </w:p>
        </w:tc>
        <w:tc>
          <w:tcPr>
            <w:tcW w:w="562" w:type="pct"/>
            <w:tcBorders>
              <w:top w:val="single" w:sz="4" w:space="0" w:color="auto"/>
              <w:left w:val="nil"/>
              <w:right w:val="nil"/>
            </w:tcBorders>
          </w:tcPr>
          <w:p w14:paraId="2E752E9A" w14:textId="77777777" w:rsidR="00323BB2" w:rsidRPr="0061063C" w:rsidRDefault="00323BB2" w:rsidP="00453AFA">
            <w:pPr>
              <w:jc w:val="right"/>
              <w:rPr>
                <w:rFonts w:asciiTheme="minorHAnsi" w:hAnsiTheme="minorHAnsi"/>
                <w:bCs/>
                <w:sz w:val="18"/>
              </w:rPr>
            </w:pPr>
          </w:p>
        </w:tc>
        <w:tc>
          <w:tcPr>
            <w:tcW w:w="562" w:type="pct"/>
            <w:tcBorders>
              <w:top w:val="single" w:sz="4" w:space="0" w:color="auto"/>
              <w:left w:val="nil"/>
              <w:right w:val="nil"/>
            </w:tcBorders>
          </w:tcPr>
          <w:p w14:paraId="608999AB" w14:textId="77777777" w:rsidR="00323BB2" w:rsidRPr="0061063C" w:rsidRDefault="00323BB2" w:rsidP="00453AFA">
            <w:pPr>
              <w:jc w:val="right"/>
              <w:rPr>
                <w:rFonts w:asciiTheme="minorHAnsi" w:hAnsiTheme="minorHAnsi"/>
                <w:bCs/>
                <w:sz w:val="18"/>
              </w:rPr>
            </w:pPr>
          </w:p>
        </w:tc>
        <w:tc>
          <w:tcPr>
            <w:tcW w:w="539" w:type="pct"/>
            <w:tcBorders>
              <w:top w:val="single" w:sz="4" w:space="0" w:color="auto"/>
              <w:left w:val="nil"/>
              <w:right w:val="nil"/>
            </w:tcBorders>
          </w:tcPr>
          <w:p w14:paraId="19D91927" w14:textId="77777777" w:rsidR="00323BB2" w:rsidRPr="0061063C" w:rsidRDefault="00323BB2" w:rsidP="00453AFA">
            <w:pPr>
              <w:jc w:val="right"/>
              <w:rPr>
                <w:rFonts w:asciiTheme="minorHAnsi" w:hAnsiTheme="minorHAnsi"/>
                <w:bCs/>
                <w:sz w:val="18"/>
              </w:rPr>
            </w:pPr>
          </w:p>
        </w:tc>
      </w:tr>
      <w:tr w:rsidR="00323BB2" w:rsidRPr="0061063C" w14:paraId="1C76E750" w14:textId="77777777" w:rsidTr="00453AFA">
        <w:trPr>
          <w:trHeight w:val="162"/>
        </w:trPr>
        <w:tc>
          <w:tcPr>
            <w:tcW w:w="1350" w:type="pct"/>
            <w:tcBorders>
              <w:top w:val="nil"/>
              <w:bottom w:val="single" w:sz="4" w:space="0" w:color="auto"/>
            </w:tcBorders>
          </w:tcPr>
          <w:p w14:paraId="6E3F2B26" w14:textId="77777777" w:rsidR="00323BB2" w:rsidRPr="0061063C" w:rsidRDefault="00323BB2" w:rsidP="00453AFA">
            <w:pPr>
              <w:ind w:left="-90"/>
              <w:rPr>
                <w:rFonts w:asciiTheme="minorHAnsi" w:hAnsiTheme="minorHAnsi"/>
                <w:sz w:val="18"/>
              </w:rPr>
            </w:pPr>
            <w:r w:rsidRPr="0061063C">
              <w:rPr>
                <w:rFonts w:asciiTheme="minorHAnsi" w:hAnsiTheme="minorHAnsi"/>
                <w:sz w:val="18"/>
              </w:rPr>
              <w:t>Tax (expense) / credit</w:t>
            </w:r>
          </w:p>
        </w:tc>
        <w:tc>
          <w:tcPr>
            <w:tcW w:w="302" w:type="pct"/>
            <w:tcBorders>
              <w:top w:val="nil"/>
              <w:bottom w:val="single" w:sz="4" w:space="0" w:color="auto"/>
            </w:tcBorders>
          </w:tcPr>
          <w:p w14:paraId="086751FC" w14:textId="77777777" w:rsidR="00323BB2" w:rsidRPr="0061063C" w:rsidRDefault="00323BB2" w:rsidP="00453AFA">
            <w:pPr>
              <w:jc w:val="center"/>
              <w:rPr>
                <w:rFonts w:asciiTheme="minorHAnsi" w:hAnsiTheme="minorHAnsi"/>
                <w:sz w:val="18"/>
              </w:rPr>
            </w:pPr>
            <w:r w:rsidRPr="0061063C">
              <w:rPr>
                <w:rFonts w:asciiTheme="minorHAnsi" w:hAnsiTheme="minorHAnsi"/>
                <w:sz w:val="18"/>
              </w:rPr>
              <w:t>7</w:t>
            </w:r>
          </w:p>
        </w:tc>
        <w:tc>
          <w:tcPr>
            <w:tcW w:w="561" w:type="pct"/>
            <w:tcBorders>
              <w:top w:val="nil"/>
              <w:bottom w:val="single" w:sz="4" w:space="0" w:color="auto"/>
              <w:right w:val="nil"/>
            </w:tcBorders>
          </w:tcPr>
          <w:p w14:paraId="7EC0E9B7"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(29.1)</w:t>
            </w:r>
          </w:p>
        </w:tc>
        <w:tc>
          <w:tcPr>
            <w:tcW w:w="563" w:type="pct"/>
            <w:tcBorders>
              <w:top w:val="nil"/>
              <w:bottom w:val="single" w:sz="4" w:space="0" w:color="auto"/>
            </w:tcBorders>
          </w:tcPr>
          <w:p w14:paraId="49D30206"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14.1</w:t>
            </w:r>
          </w:p>
        </w:tc>
        <w:tc>
          <w:tcPr>
            <w:tcW w:w="561" w:type="pct"/>
            <w:tcBorders>
              <w:top w:val="nil"/>
              <w:bottom w:val="single" w:sz="4" w:space="0" w:color="auto"/>
            </w:tcBorders>
          </w:tcPr>
          <w:p w14:paraId="3F01736D"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(15.0)</w:t>
            </w:r>
          </w:p>
        </w:tc>
        <w:tc>
          <w:tcPr>
            <w:tcW w:w="562" w:type="pct"/>
            <w:tcBorders>
              <w:top w:val="nil"/>
              <w:bottom w:val="single" w:sz="4" w:space="0" w:color="auto"/>
              <w:right w:val="nil"/>
            </w:tcBorders>
          </w:tcPr>
          <w:p w14:paraId="35B5EEDF"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(22.8)</w:t>
            </w:r>
          </w:p>
        </w:tc>
        <w:tc>
          <w:tcPr>
            <w:tcW w:w="562" w:type="pct"/>
            <w:tcBorders>
              <w:top w:val="nil"/>
              <w:bottom w:val="single" w:sz="4" w:space="0" w:color="auto"/>
            </w:tcBorders>
          </w:tcPr>
          <w:p w14:paraId="1F99A56C"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9.4</w:t>
            </w:r>
          </w:p>
        </w:tc>
        <w:tc>
          <w:tcPr>
            <w:tcW w:w="539" w:type="pct"/>
            <w:tcBorders>
              <w:top w:val="nil"/>
              <w:bottom w:val="single" w:sz="4" w:space="0" w:color="auto"/>
            </w:tcBorders>
          </w:tcPr>
          <w:p w14:paraId="646BF3DA"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(13.4)</w:t>
            </w:r>
          </w:p>
        </w:tc>
      </w:tr>
      <w:tr w:rsidR="00323BB2" w:rsidRPr="0061063C" w14:paraId="6FDC31C4" w14:textId="77777777" w:rsidTr="00453AFA">
        <w:trPr>
          <w:trHeight w:val="323"/>
        </w:trPr>
        <w:tc>
          <w:tcPr>
            <w:tcW w:w="1350" w:type="pct"/>
            <w:tcBorders>
              <w:top w:val="single" w:sz="4" w:space="0" w:color="auto"/>
              <w:bottom w:val="single" w:sz="4" w:space="0" w:color="auto"/>
            </w:tcBorders>
          </w:tcPr>
          <w:p w14:paraId="189497DF" w14:textId="77777777" w:rsidR="00323BB2" w:rsidRPr="0061063C" w:rsidRDefault="00323BB2" w:rsidP="00453AFA">
            <w:pPr>
              <w:ind w:left="-90"/>
              <w:rPr>
                <w:rFonts w:asciiTheme="minorHAnsi" w:hAnsiTheme="minorHAnsi"/>
                <w:b/>
                <w:bCs/>
                <w:sz w:val="18"/>
              </w:rPr>
            </w:pPr>
            <w:r w:rsidRPr="0061063C">
              <w:rPr>
                <w:rFonts w:asciiTheme="minorHAnsi" w:hAnsiTheme="minorHAnsi"/>
                <w:b/>
                <w:bCs/>
                <w:sz w:val="18"/>
              </w:rPr>
              <w:t xml:space="preserve">Profit for the period </w:t>
            </w:r>
          </w:p>
        </w:tc>
        <w:tc>
          <w:tcPr>
            <w:tcW w:w="302" w:type="pct"/>
            <w:tcBorders>
              <w:top w:val="single" w:sz="4" w:space="0" w:color="auto"/>
              <w:bottom w:val="single" w:sz="4" w:space="0" w:color="auto"/>
            </w:tcBorders>
          </w:tcPr>
          <w:p w14:paraId="1792F525" w14:textId="77777777" w:rsidR="00323BB2" w:rsidRPr="0061063C" w:rsidRDefault="00323BB2" w:rsidP="00453AFA">
            <w:pPr>
              <w:jc w:val="center"/>
              <w:rPr>
                <w:rFonts w:asciiTheme="minorHAnsi" w:hAnsiTheme="minorHAnsi"/>
                <w:sz w:val="18"/>
              </w:rPr>
            </w:pPr>
          </w:p>
        </w:tc>
        <w:tc>
          <w:tcPr>
            <w:tcW w:w="561" w:type="pct"/>
            <w:tcBorders>
              <w:top w:val="single" w:sz="4" w:space="0" w:color="auto"/>
              <w:bottom w:val="single" w:sz="4" w:space="0" w:color="auto"/>
              <w:right w:val="nil"/>
            </w:tcBorders>
          </w:tcPr>
          <w:p w14:paraId="7BD34994"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189.2</w:t>
            </w:r>
          </w:p>
        </w:tc>
        <w:tc>
          <w:tcPr>
            <w:tcW w:w="563" w:type="pct"/>
            <w:tcBorders>
              <w:top w:val="single" w:sz="4" w:space="0" w:color="auto"/>
              <w:bottom w:val="single" w:sz="4" w:space="0" w:color="auto"/>
            </w:tcBorders>
          </w:tcPr>
          <w:p w14:paraId="73BABB5B"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(180.2)</w:t>
            </w:r>
          </w:p>
        </w:tc>
        <w:tc>
          <w:tcPr>
            <w:tcW w:w="561" w:type="pct"/>
            <w:tcBorders>
              <w:top w:val="single" w:sz="4" w:space="0" w:color="auto"/>
              <w:bottom w:val="single" w:sz="4" w:space="0" w:color="auto"/>
            </w:tcBorders>
          </w:tcPr>
          <w:p w14:paraId="5DB2975B"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9.0</w:t>
            </w:r>
          </w:p>
        </w:tc>
        <w:tc>
          <w:tcPr>
            <w:tcW w:w="562" w:type="pct"/>
            <w:tcBorders>
              <w:top w:val="single" w:sz="4" w:space="0" w:color="auto"/>
              <w:bottom w:val="single" w:sz="4" w:space="0" w:color="auto"/>
              <w:right w:val="nil"/>
            </w:tcBorders>
          </w:tcPr>
          <w:p w14:paraId="27655D4B"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117.0</w:t>
            </w:r>
          </w:p>
        </w:tc>
        <w:tc>
          <w:tcPr>
            <w:tcW w:w="562" w:type="pct"/>
            <w:tcBorders>
              <w:top w:val="single" w:sz="4" w:space="0" w:color="auto"/>
              <w:bottom w:val="single" w:sz="4" w:space="0" w:color="auto"/>
            </w:tcBorders>
          </w:tcPr>
          <w:p w14:paraId="76B8DAE9"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(49.4)</w:t>
            </w:r>
          </w:p>
        </w:tc>
        <w:tc>
          <w:tcPr>
            <w:tcW w:w="539" w:type="pct"/>
            <w:tcBorders>
              <w:top w:val="single" w:sz="4" w:space="0" w:color="auto"/>
              <w:bottom w:val="single" w:sz="4" w:space="0" w:color="auto"/>
            </w:tcBorders>
          </w:tcPr>
          <w:p w14:paraId="2CB32697"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67.6</w:t>
            </w:r>
          </w:p>
        </w:tc>
      </w:tr>
      <w:tr w:rsidR="00323BB2" w:rsidRPr="0061063C" w14:paraId="0A998903" w14:textId="77777777" w:rsidTr="00453AFA">
        <w:trPr>
          <w:trHeight w:val="196"/>
        </w:trPr>
        <w:tc>
          <w:tcPr>
            <w:tcW w:w="1350" w:type="pct"/>
            <w:tcBorders>
              <w:top w:val="single" w:sz="4" w:space="0" w:color="auto"/>
            </w:tcBorders>
          </w:tcPr>
          <w:p w14:paraId="6D6E0DE8" w14:textId="77777777" w:rsidR="00323BB2" w:rsidRPr="0061063C" w:rsidRDefault="00323BB2" w:rsidP="00453AFA">
            <w:pPr>
              <w:ind w:left="-90"/>
              <w:rPr>
                <w:rFonts w:asciiTheme="minorHAnsi" w:hAnsiTheme="minorHAnsi"/>
                <w:b/>
                <w:bCs/>
                <w:sz w:val="18"/>
              </w:rPr>
            </w:pPr>
          </w:p>
        </w:tc>
        <w:tc>
          <w:tcPr>
            <w:tcW w:w="302" w:type="pct"/>
            <w:tcBorders>
              <w:top w:val="single" w:sz="4" w:space="0" w:color="auto"/>
            </w:tcBorders>
          </w:tcPr>
          <w:p w14:paraId="32187817" w14:textId="77777777" w:rsidR="00323BB2" w:rsidRPr="0061063C" w:rsidRDefault="00323BB2" w:rsidP="00453AFA">
            <w:pPr>
              <w:jc w:val="center"/>
              <w:rPr>
                <w:rFonts w:asciiTheme="minorHAnsi" w:hAnsiTheme="minorHAnsi"/>
                <w:sz w:val="18"/>
              </w:rPr>
            </w:pPr>
          </w:p>
        </w:tc>
        <w:tc>
          <w:tcPr>
            <w:tcW w:w="561" w:type="pct"/>
            <w:tcBorders>
              <w:top w:val="single" w:sz="4" w:space="0" w:color="auto"/>
              <w:right w:val="nil"/>
            </w:tcBorders>
          </w:tcPr>
          <w:p w14:paraId="6FC3D91A" w14:textId="77777777" w:rsidR="00323BB2" w:rsidRPr="0061063C" w:rsidRDefault="00323BB2" w:rsidP="00453AFA">
            <w:pPr>
              <w:jc w:val="right"/>
              <w:rPr>
                <w:rFonts w:asciiTheme="minorHAnsi" w:hAnsiTheme="minorHAnsi"/>
                <w:b/>
                <w:bCs/>
                <w:sz w:val="18"/>
              </w:rPr>
            </w:pPr>
          </w:p>
        </w:tc>
        <w:tc>
          <w:tcPr>
            <w:tcW w:w="563" w:type="pct"/>
            <w:tcBorders>
              <w:top w:val="single" w:sz="4" w:space="0" w:color="auto"/>
            </w:tcBorders>
          </w:tcPr>
          <w:p w14:paraId="476CB6FA" w14:textId="77777777" w:rsidR="00323BB2" w:rsidRPr="0061063C" w:rsidRDefault="00323BB2" w:rsidP="00453AFA">
            <w:pPr>
              <w:jc w:val="right"/>
              <w:rPr>
                <w:rFonts w:asciiTheme="minorHAnsi" w:hAnsiTheme="minorHAnsi"/>
                <w:b/>
                <w:bCs/>
                <w:sz w:val="18"/>
              </w:rPr>
            </w:pPr>
          </w:p>
        </w:tc>
        <w:tc>
          <w:tcPr>
            <w:tcW w:w="561" w:type="pct"/>
            <w:tcBorders>
              <w:top w:val="single" w:sz="4" w:space="0" w:color="auto"/>
            </w:tcBorders>
          </w:tcPr>
          <w:p w14:paraId="30B46A77" w14:textId="77777777" w:rsidR="00323BB2" w:rsidRPr="0061063C" w:rsidRDefault="00323BB2" w:rsidP="00453AFA">
            <w:pPr>
              <w:jc w:val="right"/>
              <w:rPr>
                <w:rFonts w:asciiTheme="minorHAnsi" w:hAnsiTheme="minorHAnsi"/>
                <w:b/>
                <w:bCs/>
                <w:sz w:val="18"/>
              </w:rPr>
            </w:pPr>
          </w:p>
        </w:tc>
        <w:tc>
          <w:tcPr>
            <w:tcW w:w="562" w:type="pct"/>
            <w:tcBorders>
              <w:top w:val="single" w:sz="4" w:space="0" w:color="auto"/>
              <w:right w:val="nil"/>
            </w:tcBorders>
          </w:tcPr>
          <w:p w14:paraId="14652250" w14:textId="77777777" w:rsidR="00323BB2" w:rsidRPr="0061063C" w:rsidRDefault="00323BB2" w:rsidP="00453AFA">
            <w:pPr>
              <w:jc w:val="right"/>
              <w:rPr>
                <w:rFonts w:asciiTheme="minorHAnsi" w:hAnsiTheme="minorHAnsi"/>
                <w:bCs/>
                <w:sz w:val="18"/>
              </w:rPr>
            </w:pPr>
          </w:p>
        </w:tc>
        <w:tc>
          <w:tcPr>
            <w:tcW w:w="562" w:type="pct"/>
            <w:tcBorders>
              <w:top w:val="single" w:sz="4" w:space="0" w:color="auto"/>
            </w:tcBorders>
          </w:tcPr>
          <w:p w14:paraId="06E20AB1" w14:textId="77777777" w:rsidR="00323BB2" w:rsidRPr="0061063C" w:rsidRDefault="00323BB2" w:rsidP="00453AFA">
            <w:pPr>
              <w:jc w:val="right"/>
              <w:rPr>
                <w:rFonts w:asciiTheme="minorHAnsi" w:hAnsiTheme="minorHAnsi"/>
                <w:bCs/>
                <w:sz w:val="18"/>
              </w:rPr>
            </w:pPr>
          </w:p>
        </w:tc>
        <w:tc>
          <w:tcPr>
            <w:tcW w:w="539" w:type="pct"/>
            <w:tcBorders>
              <w:top w:val="single" w:sz="4" w:space="0" w:color="auto"/>
            </w:tcBorders>
          </w:tcPr>
          <w:p w14:paraId="28C0E18C" w14:textId="77777777" w:rsidR="00323BB2" w:rsidRPr="0061063C" w:rsidRDefault="00323BB2" w:rsidP="00453AFA">
            <w:pPr>
              <w:jc w:val="right"/>
              <w:rPr>
                <w:rFonts w:asciiTheme="minorHAnsi" w:hAnsiTheme="minorHAnsi"/>
                <w:bCs/>
                <w:sz w:val="18"/>
              </w:rPr>
            </w:pPr>
          </w:p>
        </w:tc>
      </w:tr>
      <w:tr w:rsidR="00323BB2" w:rsidRPr="0061063C" w14:paraId="269108F5" w14:textId="77777777" w:rsidTr="00453AFA">
        <w:trPr>
          <w:trHeight w:val="223"/>
        </w:trPr>
        <w:tc>
          <w:tcPr>
            <w:tcW w:w="1350" w:type="pct"/>
            <w:tcBorders>
              <w:top w:val="nil"/>
              <w:right w:val="nil"/>
            </w:tcBorders>
          </w:tcPr>
          <w:p w14:paraId="3F29E0B4" w14:textId="77777777" w:rsidR="00323BB2" w:rsidRPr="0061063C" w:rsidRDefault="00323BB2" w:rsidP="00453AFA">
            <w:pPr>
              <w:ind w:left="-90"/>
              <w:rPr>
                <w:rFonts w:asciiTheme="minorHAnsi" w:hAnsiTheme="minorHAnsi"/>
                <w:b/>
                <w:bCs/>
                <w:sz w:val="18"/>
                <w:szCs w:val="18"/>
              </w:rPr>
            </w:pPr>
            <w:r w:rsidRPr="0061063C">
              <w:rPr>
                <w:rFonts w:asciiTheme="minorHAnsi" w:hAnsiTheme="minorHAnsi"/>
                <w:b/>
                <w:bCs/>
                <w:sz w:val="18"/>
                <w:szCs w:val="18"/>
              </w:rPr>
              <w:t>Attributable to:</w:t>
            </w:r>
          </w:p>
        </w:tc>
        <w:tc>
          <w:tcPr>
            <w:tcW w:w="302" w:type="pct"/>
            <w:tcBorders>
              <w:top w:val="nil"/>
              <w:left w:val="nil"/>
            </w:tcBorders>
          </w:tcPr>
          <w:p w14:paraId="449E1E1A" w14:textId="77777777" w:rsidR="00323BB2" w:rsidRPr="0061063C" w:rsidRDefault="00323BB2" w:rsidP="00453AFA">
            <w:pPr>
              <w:jc w:val="center"/>
              <w:rPr>
                <w:rFonts w:asciiTheme="minorHAnsi" w:hAnsiTheme="minorHAnsi"/>
                <w:sz w:val="18"/>
              </w:rPr>
            </w:pPr>
          </w:p>
        </w:tc>
        <w:tc>
          <w:tcPr>
            <w:tcW w:w="561" w:type="pct"/>
            <w:tcBorders>
              <w:top w:val="nil"/>
              <w:left w:val="nil"/>
              <w:right w:val="nil"/>
            </w:tcBorders>
          </w:tcPr>
          <w:p w14:paraId="00F59494" w14:textId="77777777" w:rsidR="00323BB2" w:rsidRPr="0061063C" w:rsidRDefault="00323BB2" w:rsidP="00453AFA">
            <w:pPr>
              <w:jc w:val="right"/>
              <w:rPr>
                <w:rFonts w:asciiTheme="minorHAnsi" w:hAnsiTheme="minorHAnsi"/>
                <w:b/>
                <w:bCs/>
                <w:sz w:val="18"/>
              </w:rPr>
            </w:pPr>
          </w:p>
        </w:tc>
        <w:tc>
          <w:tcPr>
            <w:tcW w:w="563" w:type="pct"/>
            <w:tcBorders>
              <w:top w:val="nil"/>
              <w:left w:val="nil"/>
              <w:right w:val="nil"/>
            </w:tcBorders>
          </w:tcPr>
          <w:p w14:paraId="6851B007" w14:textId="77777777" w:rsidR="00323BB2" w:rsidRPr="0061063C" w:rsidRDefault="00323BB2" w:rsidP="00453AFA">
            <w:pPr>
              <w:jc w:val="right"/>
              <w:rPr>
                <w:rFonts w:asciiTheme="minorHAnsi" w:hAnsiTheme="minorHAnsi"/>
                <w:b/>
                <w:bCs/>
                <w:sz w:val="18"/>
              </w:rPr>
            </w:pPr>
          </w:p>
        </w:tc>
        <w:tc>
          <w:tcPr>
            <w:tcW w:w="561" w:type="pct"/>
            <w:tcBorders>
              <w:top w:val="nil"/>
              <w:left w:val="nil"/>
              <w:right w:val="nil"/>
            </w:tcBorders>
          </w:tcPr>
          <w:p w14:paraId="20DAFA93" w14:textId="77777777" w:rsidR="00323BB2" w:rsidRPr="0061063C" w:rsidRDefault="00323BB2" w:rsidP="00453AFA">
            <w:pPr>
              <w:jc w:val="right"/>
              <w:rPr>
                <w:rFonts w:asciiTheme="minorHAnsi" w:hAnsiTheme="minorHAnsi"/>
                <w:b/>
                <w:bCs/>
                <w:sz w:val="18"/>
              </w:rPr>
            </w:pPr>
          </w:p>
        </w:tc>
        <w:tc>
          <w:tcPr>
            <w:tcW w:w="562" w:type="pct"/>
            <w:tcBorders>
              <w:top w:val="nil"/>
              <w:left w:val="nil"/>
              <w:right w:val="nil"/>
            </w:tcBorders>
          </w:tcPr>
          <w:p w14:paraId="0BCBAC47" w14:textId="77777777" w:rsidR="00323BB2" w:rsidRPr="0061063C" w:rsidRDefault="00323BB2" w:rsidP="00453AFA">
            <w:pPr>
              <w:jc w:val="right"/>
              <w:rPr>
                <w:rFonts w:asciiTheme="minorHAnsi" w:hAnsiTheme="minorHAnsi"/>
                <w:bCs/>
                <w:sz w:val="18"/>
              </w:rPr>
            </w:pPr>
          </w:p>
        </w:tc>
        <w:tc>
          <w:tcPr>
            <w:tcW w:w="562" w:type="pct"/>
            <w:tcBorders>
              <w:top w:val="nil"/>
              <w:left w:val="nil"/>
              <w:right w:val="nil"/>
            </w:tcBorders>
          </w:tcPr>
          <w:p w14:paraId="1F9CCF3A" w14:textId="77777777" w:rsidR="00323BB2" w:rsidRPr="0061063C" w:rsidRDefault="00323BB2" w:rsidP="00453AFA">
            <w:pPr>
              <w:jc w:val="right"/>
              <w:rPr>
                <w:rFonts w:asciiTheme="minorHAnsi" w:hAnsiTheme="minorHAnsi"/>
                <w:bCs/>
                <w:sz w:val="18"/>
              </w:rPr>
            </w:pPr>
          </w:p>
        </w:tc>
        <w:tc>
          <w:tcPr>
            <w:tcW w:w="539" w:type="pct"/>
            <w:tcBorders>
              <w:top w:val="nil"/>
              <w:left w:val="nil"/>
              <w:right w:val="nil"/>
            </w:tcBorders>
          </w:tcPr>
          <w:p w14:paraId="5DC696B8" w14:textId="77777777" w:rsidR="00323BB2" w:rsidRPr="0061063C" w:rsidRDefault="00323BB2" w:rsidP="00453AFA">
            <w:pPr>
              <w:jc w:val="right"/>
              <w:rPr>
                <w:rFonts w:asciiTheme="minorHAnsi" w:hAnsiTheme="minorHAnsi"/>
                <w:bCs/>
                <w:sz w:val="18"/>
              </w:rPr>
            </w:pPr>
          </w:p>
        </w:tc>
      </w:tr>
      <w:tr w:rsidR="00323BB2" w:rsidRPr="0061063C" w14:paraId="3B752499" w14:textId="77777777" w:rsidTr="00453AFA">
        <w:trPr>
          <w:trHeight w:val="223"/>
        </w:trPr>
        <w:tc>
          <w:tcPr>
            <w:tcW w:w="1350" w:type="pct"/>
            <w:tcBorders>
              <w:top w:val="nil"/>
              <w:right w:val="nil"/>
            </w:tcBorders>
          </w:tcPr>
          <w:p w14:paraId="25115900" w14:textId="77777777" w:rsidR="00323BB2" w:rsidRPr="0061063C" w:rsidRDefault="00323BB2" w:rsidP="00453AFA">
            <w:pPr>
              <w:ind w:left="-90"/>
              <w:rPr>
                <w:rFonts w:asciiTheme="minorHAnsi" w:hAnsiTheme="minorHAnsi"/>
                <w:b/>
                <w:bCs/>
                <w:sz w:val="18"/>
                <w:szCs w:val="18"/>
              </w:rPr>
            </w:pPr>
            <w:r w:rsidRPr="0061063C">
              <w:rPr>
                <w:rFonts w:asciiTheme="minorHAnsi" w:hAnsiTheme="minorHAnsi"/>
                <w:bCs/>
                <w:sz w:val="18"/>
                <w:szCs w:val="18"/>
              </w:rPr>
              <w:t>Equity holders of the Company</w:t>
            </w:r>
          </w:p>
        </w:tc>
        <w:tc>
          <w:tcPr>
            <w:tcW w:w="302" w:type="pct"/>
            <w:tcBorders>
              <w:top w:val="nil"/>
              <w:left w:val="nil"/>
            </w:tcBorders>
          </w:tcPr>
          <w:p w14:paraId="25901F1B" w14:textId="77777777" w:rsidR="00323BB2" w:rsidRPr="0061063C" w:rsidRDefault="00323BB2" w:rsidP="00453AFA">
            <w:pPr>
              <w:jc w:val="center"/>
              <w:rPr>
                <w:rFonts w:asciiTheme="minorHAnsi" w:hAnsiTheme="minorHAnsi"/>
                <w:sz w:val="18"/>
              </w:rPr>
            </w:pPr>
          </w:p>
        </w:tc>
        <w:tc>
          <w:tcPr>
            <w:tcW w:w="561" w:type="pct"/>
            <w:tcBorders>
              <w:top w:val="nil"/>
              <w:left w:val="nil"/>
              <w:right w:val="nil"/>
            </w:tcBorders>
          </w:tcPr>
          <w:p w14:paraId="25061AF0"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191.3</w:t>
            </w:r>
          </w:p>
        </w:tc>
        <w:tc>
          <w:tcPr>
            <w:tcW w:w="563" w:type="pct"/>
            <w:tcBorders>
              <w:top w:val="nil"/>
              <w:left w:val="nil"/>
              <w:right w:val="nil"/>
            </w:tcBorders>
          </w:tcPr>
          <w:p w14:paraId="764431A4"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(172.8)</w:t>
            </w:r>
          </w:p>
        </w:tc>
        <w:tc>
          <w:tcPr>
            <w:tcW w:w="561" w:type="pct"/>
            <w:tcBorders>
              <w:top w:val="nil"/>
              <w:left w:val="nil"/>
              <w:right w:val="nil"/>
            </w:tcBorders>
          </w:tcPr>
          <w:p w14:paraId="31315338"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18.5</w:t>
            </w:r>
          </w:p>
        </w:tc>
        <w:tc>
          <w:tcPr>
            <w:tcW w:w="562" w:type="pct"/>
            <w:tcBorders>
              <w:top w:val="nil"/>
              <w:left w:val="nil"/>
              <w:right w:val="nil"/>
            </w:tcBorders>
          </w:tcPr>
          <w:p w14:paraId="4C5261E3"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116.3</w:t>
            </w:r>
          </w:p>
        </w:tc>
        <w:tc>
          <w:tcPr>
            <w:tcW w:w="562" w:type="pct"/>
            <w:tcBorders>
              <w:top w:val="nil"/>
              <w:left w:val="nil"/>
              <w:right w:val="nil"/>
            </w:tcBorders>
          </w:tcPr>
          <w:p w14:paraId="0F821371"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(39.4)</w:t>
            </w:r>
          </w:p>
        </w:tc>
        <w:tc>
          <w:tcPr>
            <w:tcW w:w="539" w:type="pct"/>
            <w:tcBorders>
              <w:top w:val="nil"/>
              <w:left w:val="nil"/>
              <w:right w:val="nil"/>
            </w:tcBorders>
          </w:tcPr>
          <w:p w14:paraId="0C307E97"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76.9</w:t>
            </w:r>
          </w:p>
        </w:tc>
      </w:tr>
      <w:tr w:rsidR="00323BB2" w:rsidRPr="0061063C" w14:paraId="3CF61550" w14:textId="77777777" w:rsidTr="00453AFA">
        <w:trPr>
          <w:trHeight w:val="223"/>
        </w:trPr>
        <w:tc>
          <w:tcPr>
            <w:tcW w:w="1350" w:type="pct"/>
            <w:tcBorders>
              <w:top w:val="nil"/>
              <w:bottom w:val="single" w:sz="4" w:space="0" w:color="auto"/>
              <w:right w:val="nil"/>
            </w:tcBorders>
          </w:tcPr>
          <w:p w14:paraId="1809CED6" w14:textId="77777777" w:rsidR="00323BB2" w:rsidRPr="0061063C" w:rsidRDefault="00323BB2" w:rsidP="00453AFA">
            <w:pPr>
              <w:ind w:left="-90"/>
              <w:rPr>
                <w:rFonts w:asciiTheme="minorHAnsi" w:hAnsiTheme="minorHAnsi"/>
                <w:b/>
                <w:bCs/>
                <w:sz w:val="18"/>
                <w:szCs w:val="18"/>
              </w:rPr>
            </w:pPr>
            <w:r w:rsidRPr="0061063C">
              <w:rPr>
                <w:rFonts w:asciiTheme="minorHAnsi" w:hAnsiTheme="minorHAnsi"/>
                <w:bCs/>
                <w:sz w:val="18"/>
                <w:szCs w:val="18"/>
              </w:rPr>
              <w:t>Non-controlling interest</w:t>
            </w:r>
          </w:p>
        </w:tc>
        <w:tc>
          <w:tcPr>
            <w:tcW w:w="302" w:type="pct"/>
            <w:tcBorders>
              <w:top w:val="nil"/>
              <w:left w:val="nil"/>
              <w:bottom w:val="single" w:sz="4" w:space="0" w:color="auto"/>
            </w:tcBorders>
          </w:tcPr>
          <w:p w14:paraId="4B50A5A2" w14:textId="77777777" w:rsidR="00323BB2" w:rsidRPr="0061063C" w:rsidRDefault="00323BB2" w:rsidP="00453AFA">
            <w:pPr>
              <w:jc w:val="center"/>
              <w:rPr>
                <w:rFonts w:asciiTheme="minorHAnsi" w:hAnsiTheme="minorHAnsi"/>
                <w:sz w:val="18"/>
              </w:rPr>
            </w:pPr>
          </w:p>
        </w:tc>
        <w:tc>
          <w:tcPr>
            <w:tcW w:w="561" w:type="pct"/>
            <w:tcBorders>
              <w:top w:val="nil"/>
              <w:left w:val="nil"/>
              <w:bottom w:val="single" w:sz="4" w:space="0" w:color="auto"/>
              <w:right w:val="nil"/>
            </w:tcBorders>
          </w:tcPr>
          <w:p w14:paraId="6FEF1309"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(2.1)</w:t>
            </w:r>
          </w:p>
        </w:tc>
        <w:tc>
          <w:tcPr>
            <w:tcW w:w="563" w:type="pct"/>
            <w:tcBorders>
              <w:top w:val="nil"/>
              <w:left w:val="nil"/>
              <w:bottom w:val="single" w:sz="4" w:space="0" w:color="auto"/>
              <w:right w:val="nil"/>
            </w:tcBorders>
          </w:tcPr>
          <w:p w14:paraId="41BA42A5"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(7.4)</w:t>
            </w:r>
          </w:p>
        </w:tc>
        <w:tc>
          <w:tcPr>
            <w:tcW w:w="561" w:type="pct"/>
            <w:tcBorders>
              <w:top w:val="nil"/>
              <w:left w:val="nil"/>
              <w:bottom w:val="single" w:sz="4" w:space="0" w:color="auto"/>
              <w:right w:val="nil"/>
            </w:tcBorders>
          </w:tcPr>
          <w:p w14:paraId="219B8FE1"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(9.5)</w:t>
            </w:r>
          </w:p>
        </w:tc>
        <w:tc>
          <w:tcPr>
            <w:tcW w:w="562" w:type="pct"/>
            <w:tcBorders>
              <w:top w:val="nil"/>
              <w:left w:val="nil"/>
              <w:bottom w:val="single" w:sz="4" w:space="0" w:color="auto"/>
              <w:right w:val="nil"/>
            </w:tcBorders>
          </w:tcPr>
          <w:p w14:paraId="67EB7FB4"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0.7</w:t>
            </w:r>
          </w:p>
        </w:tc>
        <w:tc>
          <w:tcPr>
            <w:tcW w:w="562" w:type="pct"/>
            <w:tcBorders>
              <w:top w:val="nil"/>
              <w:left w:val="nil"/>
              <w:bottom w:val="single" w:sz="4" w:space="0" w:color="auto"/>
              <w:right w:val="nil"/>
            </w:tcBorders>
          </w:tcPr>
          <w:p w14:paraId="508F1BD8"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(10.0)</w:t>
            </w:r>
          </w:p>
        </w:tc>
        <w:tc>
          <w:tcPr>
            <w:tcW w:w="539" w:type="pct"/>
            <w:tcBorders>
              <w:top w:val="nil"/>
              <w:left w:val="nil"/>
              <w:bottom w:val="single" w:sz="4" w:space="0" w:color="auto"/>
              <w:right w:val="nil"/>
            </w:tcBorders>
          </w:tcPr>
          <w:p w14:paraId="1D2C0630"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(9.3)</w:t>
            </w:r>
          </w:p>
        </w:tc>
      </w:tr>
      <w:tr w:rsidR="00323BB2" w:rsidRPr="0061063C" w14:paraId="2920B08E" w14:textId="77777777" w:rsidTr="00453AFA">
        <w:trPr>
          <w:trHeight w:val="223"/>
        </w:trPr>
        <w:tc>
          <w:tcPr>
            <w:tcW w:w="1350" w:type="pct"/>
            <w:tcBorders>
              <w:top w:val="single" w:sz="4" w:space="0" w:color="auto"/>
              <w:bottom w:val="single" w:sz="4" w:space="0" w:color="auto"/>
              <w:right w:val="nil"/>
            </w:tcBorders>
          </w:tcPr>
          <w:p w14:paraId="479C688B" w14:textId="77777777" w:rsidR="00323BB2" w:rsidRPr="0061063C" w:rsidRDefault="00323BB2" w:rsidP="00453AFA">
            <w:pPr>
              <w:ind w:left="-90"/>
              <w:rPr>
                <w:rFonts w:asciiTheme="minorHAnsi" w:hAnsiTheme="minorHAnsi"/>
                <w:b/>
                <w:bCs/>
                <w:sz w:val="18"/>
                <w:szCs w:val="18"/>
              </w:rPr>
            </w:pPr>
          </w:p>
        </w:tc>
        <w:tc>
          <w:tcPr>
            <w:tcW w:w="302" w:type="pct"/>
            <w:tcBorders>
              <w:top w:val="single" w:sz="4" w:space="0" w:color="auto"/>
              <w:left w:val="nil"/>
              <w:bottom w:val="single" w:sz="4" w:space="0" w:color="auto"/>
            </w:tcBorders>
          </w:tcPr>
          <w:p w14:paraId="5663651A"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bottom w:val="single" w:sz="4" w:space="0" w:color="auto"/>
              <w:right w:val="nil"/>
            </w:tcBorders>
          </w:tcPr>
          <w:p w14:paraId="3E2A70A9"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189.2</w:t>
            </w:r>
          </w:p>
        </w:tc>
        <w:tc>
          <w:tcPr>
            <w:tcW w:w="563" w:type="pct"/>
            <w:tcBorders>
              <w:top w:val="single" w:sz="4" w:space="0" w:color="auto"/>
              <w:left w:val="nil"/>
              <w:bottom w:val="single" w:sz="4" w:space="0" w:color="auto"/>
              <w:right w:val="nil"/>
            </w:tcBorders>
          </w:tcPr>
          <w:p w14:paraId="7D30D18B"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(180.2)</w:t>
            </w:r>
          </w:p>
        </w:tc>
        <w:tc>
          <w:tcPr>
            <w:tcW w:w="561" w:type="pct"/>
            <w:tcBorders>
              <w:top w:val="single" w:sz="4" w:space="0" w:color="auto"/>
              <w:left w:val="nil"/>
              <w:bottom w:val="single" w:sz="4" w:space="0" w:color="auto"/>
              <w:right w:val="nil"/>
            </w:tcBorders>
          </w:tcPr>
          <w:p w14:paraId="54E3ACA5" w14:textId="77777777" w:rsidR="00323BB2" w:rsidRPr="0061063C" w:rsidRDefault="00323BB2" w:rsidP="00453AFA">
            <w:pPr>
              <w:jc w:val="right"/>
              <w:rPr>
                <w:rFonts w:asciiTheme="minorHAnsi" w:hAnsiTheme="minorHAnsi"/>
                <w:b/>
                <w:bCs/>
                <w:sz w:val="18"/>
              </w:rPr>
            </w:pPr>
            <w:r w:rsidRPr="0061063C">
              <w:rPr>
                <w:rFonts w:asciiTheme="minorHAnsi" w:hAnsiTheme="minorHAnsi"/>
                <w:b/>
                <w:bCs/>
                <w:sz w:val="18"/>
              </w:rPr>
              <w:t>9.0</w:t>
            </w:r>
          </w:p>
        </w:tc>
        <w:tc>
          <w:tcPr>
            <w:tcW w:w="562" w:type="pct"/>
            <w:tcBorders>
              <w:top w:val="single" w:sz="4" w:space="0" w:color="auto"/>
              <w:left w:val="nil"/>
              <w:bottom w:val="single" w:sz="4" w:space="0" w:color="auto"/>
              <w:right w:val="nil"/>
            </w:tcBorders>
          </w:tcPr>
          <w:p w14:paraId="3D630631"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117.0</w:t>
            </w:r>
          </w:p>
        </w:tc>
        <w:tc>
          <w:tcPr>
            <w:tcW w:w="562" w:type="pct"/>
            <w:tcBorders>
              <w:top w:val="single" w:sz="4" w:space="0" w:color="auto"/>
              <w:left w:val="nil"/>
              <w:bottom w:val="single" w:sz="4" w:space="0" w:color="auto"/>
              <w:right w:val="nil"/>
            </w:tcBorders>
          </w:tcPr>
          <w:p w14:paraId="1AF14DE2"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(49.4)</w:t>
            </w:r>
          </w:p>
        </w:tc>
        <w:tc>
          <w:tcPr>
            <w:tcW w:w="539" w:type="pct"/>
            <w:tcBorders>
              <w:top w:val="single" w:sz="4" w:space="0" w:color="auto"/>
              <w:left w:val="nil"/>
              <w:bottom w:val="single" w:sz="4" w:space="0" w:color="auto"/>
              <w:right w:val="nil"/>
            </w:tcBorders>
          </w:tcPr>
          <w:p w14:paraId="3645A6E7"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67.6</w:t>
            </w:r>
          </w:p>
        </w:tc>
      </w:tr>
      <w:tr w:rsidR="00323BB2" w:rsidRPr="0061063C" w14:paraId="176509DD" w14:textId="77777777" w:rsidTr="00453AFA">
        <w:trPr>
          <w:trHeight w:val="223"/>
        </w:trPr>
        <w:tc>
          <w:tcPr>
            <w:tcW w:w="1350" w:type="pct"/>
            <w:tcBorders>
              <w:top w:val="single" w:sz="4" w:space="0" w:color="auto"/>
              <w:right w:val="nil"/>
            </w:tcBorders>
          </w:tcPr>
          <w:p w14:paraId="6621F9BF" w14:textId="77777777" w:rsidR="00323BB2" w:rsidRPr="0061063C" w:rsidRDefault="00323BB2" w:rsidP="00453AFA">
            <w:pPr>
              <w:ind w:left="-90"/>
              <w:rPr>
                <w:rFonts w:asciiTheme="minorHAnsi" w:hAnsiTheme="minorHAnsi"/>
                <w:b/>
                <w:bCs/>
                <w:sz w:val="18"/>
              </w:rPr>
            </w:pPr>
          </w:p>
        </w:tc>
        <w:tc>
          <w:tcPr>
            <w:tcW w:w="302" w:type="pct"/>
            <w:tcBorders>
              <w:top w:val="single" w:sz="4" w:space="0" w:color="auto"/>
              <w:left w:val="nil"/>
            </w:tcBorders>
          </w:tcPr>
          <w:p w14:paraId="4076FD23" w14:textId="77777777" w:rsidR="00323BB2" w:rsidRPr="0061063C" w:rsidRDefault="00323BB2" w:rsidP="00453AFA">
            <w:pPr>
              <w:jc w:val="center"/>
              <w:rPr>
                <w:rFonts w:asciiTheme="minorHAnsi" w:hAnsiTheme="minorHAnsi"/>
                <w:sz w:val="18"/>
              </w:rPr>
            </w:pPr>
          </w:p>
        </w:tc>
        <w:tc>
          <w:tcPr>
            <w:tcW w:w="561" w:type="pct"/>
            <w:tcBorders>
              <w:top w:val="single" w:sz="4" w:space="0" w:color="auto"/>
              <w:left w:val="nil"/>
              <w:right w:val="nil"/>
            </w:tcBorders>
          </w:tcPr>
          <w:p w14:paraId="2FD9FF02" w14:textId="77777777" w:rsidR="00323BB2" w:rsidRPr="0061063C" w:rsidRDefault="00323BB2" w:rsidP="00453AFA">
            <w:pPr>
              <w:jc w:val="right"/>
              <w:rPr>
                <w:rFonts w:asciiTheme="minorHAnsi" w:hAnsiTheme="minorHAnsi"/>
                <w:b/>
                <w:bCs/>
                <w:sz w:val="18"/>
              </w:rPr>
            </w:pPr>
          </w:p>
        </w:tc>
        <w:tc>
          <w:tcPr>
            <w:tcW w:w="563" w:type="pct"/>
            <w:tcBorders>
              <w:top w:val="single" w:sz="4" w:space="0" w:color="auto"/>
              <w:left w:val="nil"/>
              <w:right w:val="nil"/>
            </w:tcBorders>
          </w:tcPr>
          <w:p w14:paraId="5918BAA7" w14:textId="77777777" w:rsidR="00323BB2" w:rsidRPr="0061063C" w:rsidRDefault="00323BB2" w:rsidP="00453AFA">
            <w:pPr>
              <w:jc w:val="right"/>
              <w:rPr>
                <w:rFonts w:asciiTheme="minorHAnsi" w:hAnsiTheme="minorHAnsi"/>
                <w:b/>
                <w:bCs/>
                <w:sz w:val="18"/>
              </w:rPr>
            </w:pPr>
          </w:p>
        </w:tc>
        <w:tc>
          <w:tcPr>
            <w:tcW w:w="561" w:type="pct"/>
            <w:tcBorders>
              <w:top w:val="single" w:sz="4" w:space="0" w:color="auto"/>
              <w:left w:val="nil"/>
              <w:right w:val="nil"/>
            </w:tcBorders>
          </w:tcPr>
          <w:p w14:paraId="24BD8B16" w14:textId="77777777" w:rsidR="00323BB2" w:rsidRPr="0061063C" w:rsidRDefault="00323BB2" w:rsidP="00453AFA">
            <w:pPr>
              <w:jc w:val="right"/>
              <w:rPr>
                <w:rFonts w:asciiTheme="minorHAnsi" w:hAnsiTheme="minorHAnsi"/>
                <w:b/>
                <w:bCs/>
                <w:sz w:val="18"/>
              </w:rPr>
            </w:pPr>
          </w:p>
        </w:tc>
        <w:tc>
          <w:tcPr>
            <w:tcW w:w="562" w:type="pct"/>
            <w:tcBorders>
              <w:top w:val="single" w:sz="4" w:space="0" w:color="auto"/>
              <w:left w:val="nil"/>
              <w:right w:val="nil"/>
            </w:tcBorders>
          </w:tcPr>
          <w:p w14:paraId="168D8C7B" w14:textId="77777777" w:rsidR="00323BB2" w:rsidRPr="0061063C" w:rsidRDefault="00323BB2" w:rsidP="00453AFA">
            <w:pPr>
              <w:jc w:val="right"/>
              <w:rPr>
                <w:rFonts w:asciiTheme="minorHAnsi" w:hAnsiTheme="minorHAnsi"/>
                <w:bCs/>
                <w:sz w:val="18"/>
              </w:rPr>
            </w:pPr>
          </w:p>
        </w:tc>
        <w:tc>
          <w:tcPr>
            <w:tcW w:w="562" w:type="pct"/>
            <w:tcBorders>
              <w:top w:val="single" w:sz="4" w:space="0" w:color="auto"/>
              <w:left w:val="nil"/>
              <w:right w:val="nil"/>
            </w:tcBorders>
          </w:tcPr>
          <w:p w14:paraId="4F531B15" w14:textId="77777777" w:rsidR="00323BB2" w:rsidRPr="0061063C" w:rsidRDefault="00323BB2" w:rsidP="00453AFA">
            <w:pPr>
              <w:jc w:val="right"/>
              <w:rPr>
                <w:rFonts w:asciiTheme="minorHAnsi" w:hAnsiTheme="minorHAnsi"/>
                <w:bCs/>
                <w:sz w:val="18"/>
              </w:rPr>
            </w:pPr>
          </w:p>
        </w:tc>
        <w:tc>
          <w:tcPr>
            <w:tcW w:w="539" w:type="pct"/>
            <w:tcBorders>
              <w:top w:val="single" w:sz="4" w:space="0" w:color="auto"/>
              <w:left w:val="nil"/>
              <w:right w:val="nil"/>
            </w:tcBorders>
          </w:tcPr>
          <w:p w14:paraId="4242CAA6" w14:textId="77777777" w:rsidR="00323BB2" w:rsidRPr="0061063C" w:rsidRDefault="00323BB2" w:rsidP="00453AFA">
            <w:pPr>
              <w:jc w:val="right"/>
              <w:rPr>
                <w:rFonts w:asciiTheme="minorHAnsi" w:hAnsiTheme="minorHAnsi"/>
                <w:bCs/>
                <w:sz w:val="18"/>
              </w:rPr>
            </w:pPr>
          </w:p>
        </w:tc>
      </w:tr>
      <w:tr w:rsidR="00323BB2" w:rsidRPr="0061063C" w14:paraId="3ADCFF76" w14:textId="77777777" w:rsidTr="00453AFA">
        <w:trPr>
          <w:trHeight w:val="223"/>
        </w:trPr>
        <w:tc>
          <w:tcPr>
            <w:tcW w:w="1350" w:type="pct"/>
            <w:tcBorders>
              <w:top w:val="nil"/>
              <w:right w:val="nil"/>
            </w:tcBorders>
          </w:tcPr>
          <w:p w14:paraId="1A3828AC" w14:textId="77777777" w:rsidR="00323BB2" w:rsidRPr="0061063C" w:rsidRDefault="00323BB2" w:rsidP="00453AFA">
            <w:pPr>
              <w:ind w:left="-90"/>
              <w:rPr>
                <w:rFonts w:asciiTheme="minorHAnsi" w:hAnsiTheme="minorHAnsi"/>
                <w:b/>
                <w:bCs/>
                <w:sz w:val="18"/>
              </w:rPr>
            </w:pPr>
            <w:r w:rsidRPr="0061063C">
              <w:rPr>
                <w:rFonts w:asciiTheme="minorHAnsi" w:hAnsiTheme="minorHAnsi"/>
                <w:b/>
                <w:bCs/>
                <w:sz w:val="18"/>
              </w:rPr>
              <w:t>Earnings per share</w:t>
            </w:r>
          </w:p>
        </w:tc>
        <w:tc>
          <w:tcPr>
            <w:tcW w:w="302" w:type="pct"/>
            <w:tcBorders>
              <w:top w:val="nil"/>
              <w:left w:val="nil"/>
            </w:tcBorders>
          </w:tcPr>
          <w:p w14:paraId="777D099A" w14:textId="77777777" w:rsidR="00323BB2" w:rsidRPr="0061063C" w:rsidRDefault="00323BB2" w:rsidP="00453AFA">
            <w:pPr>
              <w:jc w:val="center"/>
              <w:rPr>
                <w:rFonts w:asciiTheme="minorHAnsi" w:hAnsiTheme="minorHAnsi"/>
                <w:sz w:val="18"/>
              </w:rPr>
            </w:pPr>
          </w:p>
        </w:tc>
        <w:tc>
          <w:tcPr>
            <w:tcW w:w="561" w:type="pct"/>
            <w:tcBorders>
              <w:top w:val="nil"/>
              <w:left w:val="nil"/>
              <w:right w:val="nil"/>
            </w:tcBorders>
          </w:tcPr>
          <w:p w14:paraId="12E63EDA" w14:textId="77777777" w:rsidR="00323BB2" w:rsidRPr="0061063C" w:rsidRDefault="00323BB2" w:rsidP="00453AFA">
            <w:pPr>
              <w:jc w:val="right"/>
              <w:rPr>
                <w:rFonts w:asciiTheme="minorHAnsi" w:hAnsiTheme="minorHAnsi"/>
                <w:b/>
                <w:bCs/>
                <w:sz w:val="18"/>
              </w:rPr>
            </w:pPr>
          </w:p>
        </w:tc>
        <w:tc>
          <w:tcPr>
            <w:tcW w:w="563" w:type="pct"/>
            <w:tcBorders>
              <w:top w:val="nil"/>
              <w:left w:val="nil"/>
              <w:right w:val="nil"/>
            </w:tcBorders>
          </w:tcPr>
          <w:p w14:paraId="2605E5DF" w14:textId="77777777" w:rsidR="00323BB2" w:rsidRPr="0061063C" w:rsidRDefault="00323BB2" w:rsidP="00453AFA">
            <w:pPr>
              <w:jc w:val="right"/>
              <w:rPr>
                <w:rFonts w:asciiTheme="minorHAnsi" w:hAnsiTheme="minorHAnsi"/>
                <w:b/>
                <w:bCs/>
                <w:sz w:val="18"/>
              </w:rPr>
            </w:pPr>
          </w:p>
        </w:tc>
        <w:tc>
          <w:tcPr>
            <w:tcW w:w="561" w:type="pct"/>
            <w:tcBorders>
              <w:top w:val="nil"/>
              <w:left w:val="nil"/>
              <w:right w:val="nil"/>
            </w:tcBorders>
          </w:tcPr>
          <w:p w14:paraId="4B506A16" w14:textId="77777777" w:rsidR="00323BB2" w:rsidRPr="0061063C" w:rsidRDefault="00323BB2" w:rsidP="00453AFA">
            <w:pPr>
              <w:jc w:val="right"/>
              <w:rPr>
                <w:rFonts w:asciiTheme="minorHAnsi" w:hAnsiTheme="minorHAnsi"/>
                <w:b/>
                <w:bCs/>
                <w:sz w:val="18"/>
              </w:rPr>
            </w:pPr>
          </w:p>
        </w:tc>
        <w:tc>
          <w:tcPr>
            <w:tcW w:w="562" w:type="pct"/>
            <w:tcBorders>
              <w:top w:val="nil"/>
              <w:left w:val="nil"/>
              <w:right w:val="nil"/>
            </w:tcBorders>
          </w:tcPr>
          <w:p w14:paraId="6702B22B" w14:textId="77777777" w:rsidR="00323BB2" w:rsidRPr="0061063C" w:rsidRDefault="00323BB2" w:rsidP="00453AFA">
            <w:pPr>
              <w:jc w:val="right"/>
              <w:rPr>
                <w:rFonts w:asciiTheme="minorHAnsi" w:hAnsiTheme="minorHAnsi"/>
                <w:bCs/>
                <w:sz w:val="18"/>
              </w:rPr>
            </w:pPr>
          </w:p>
        </w:tc>
        <w:tc>
          <w:tcPr>
            <w:tcW w:w="562" w:type="pct"/>
            <w:tcBorders>
              <w:top w:val="nil"/>
              <w:left w:val="nil"/>
              <w:right w:val="nil"/>
            </w:tcBorders>
          </w:tcPr>
          <w:p w14:paraId="6D7A1634" w14:textId="77777777" w:rsidR="00323BB2" w:rsidRPr="0061063C" w:rsidRDefault="00323BB2" w:rsidP="00453AFA">
            <w:pPr>
              <w:jc w:val="right"/>
              <w:rPr>
                <w:rFonts w:asciiTheme="minorHAnsi" w:hAnsiTheme="minorHAnsi"/>
                <w:bCs/>
                <w:sz w:val="18"/>
              </w:rPr>
            </w:pPr>
          </w:p>
        </w:tc>
        <w:tc>
          <w:tcPr>
            <w:tcW w:w="539" w:type="pct"/>
            <w:tcBorders>
              <w:top w:val="nil"/>
              <w:left w:val="nil"/>
              <w:right w:val="nil"/>
            </w:tcBorders>
          </w:tcPr>
          <w:p w14:paraId="7FB2A905" w14:textId="77777777" w:rsidR="00323BB2" w:rsidRPr="0061063C" w:rsidRDefault="00323BB2" w:rsidP="00453AFA">
            <w:pPr>
              <w:tabs>
                <w:tab w:val="right" w:pos="873"/>
              </w:tabs>
              <w:rPr>
                <w:rFonts w:asciiTheme="minorHAnsi" w:hAnsiTheme="minorHAnsi"/>
                <w:bCs/>
                <w:i/>
                <w:sz w:val="18"/>
              </w:rPr>
            </w:pPr>
            <w:r w:rsidRPr="0061063C">
              <w:rPr>
                <w:rFonts w:asciiTheme="minorHAnsi" w:hAnsiTheme="minorHAnsi"/>
                <w:bCs/>
                <w:i/>
                <w:sz w:val="18"/>
              </w:rPr>
              <w:tab/>
              <w:t>Restated</w:t>
            </w:r>
          </w:p>
          <w:p w14:paraId="040B26D2" w14:textId="77777777" w:rsidR="00323BB2" w:rsidRPr="0061063C" w:rsidRDefault="00323BB2" w:rsidP="00453AFA">
            <w:pPr>
              <w:jc w:val="right"/>
              <w:rPr>
                <w:rFonts w:asciiTheme="minorHAnsi" w:hAnsiTheme="minorHAnsi"/>
                <w:bCs/>
                <w:sz w:val="18"/>
              </w:rPr>
            </w:pPr>
            <w:r w:rsidRPr="0061063C">
              <w:rPr>
                <w:rFonts w:asciiTheme="minorHAnsi" w:hAnsiTheme="minorHAnsi"/>
                <w:bCs/>
                <w:sz w:val="18"/>
              </w:rPr>
              <w:t>(Note 8)</w:t>
            </w:r>
          </w:p>
        </w:tc>
      </w:tr>
      <w:tr w:rsidR="00323BB2" w:rsidRPr="0061063C" w14:paraId="77FD5D95" w14:textId="77777777" w:rsidTr="00453AFA">
        <w:trPr>
          <w:trHeight w:val="211"/>
        </w:trPr>
        <w:tc>
          <w:tcPr>
            <w:tcW w:w="1350" w:type="pct"/>
            <w:tcBorders>
              <w:top w:val="nil"/>
              <w:right w:val="nil"/>
            </w:tcBorders>
          </w:tcPr>
          <w:p w14:paraId="4B411C0C" w14:textId="77777777" w:rsidR="00323BB2" w:rsidRPr="0061063C" w:rsidRDefault="00323BB2" w:rsidP="00453AFA">
            <w:pPr>
              <w:ind w:left="-90"/>
              <w:rPr>
                <w:rFonts w:asciiTheme="minorHAnsi" w:hAnsiTheme="minorHAnsi"/>
                <w:sz w:val="18"/>
              </w:rPr>
            </w:pPr>
          </w:p>
        </w:tc>
        <w:tc>
          <w:tcPr>
            <w:tcW w:w="302" w:type="pct"/>
            <w:tcBorders>
              <w:top w:val="nil"/>
              <w:left w:val="nil"/>
            </w:tcBorders>
          </w:tcPr>
          <w:p w14:paraId="1BDDCB75" w14:textId="77777777" w:rsidR="00323BB2" w:rsidRPr="0061063C" w:rsidRDefault="00323BB2" w:rsidP="00453AFA">
            <w:pPr>
              <w:jc w:val="center"/>
              <w:rPr>
                <w:rFonts w:asciiTheme="minorHAnsi" w:hAnsiTheme="minorHAnsi"/>
                <w:iCs/>
                <w:sz w:val="18"/>
              </w:rPr>
            </w:pPr>
          </w:p>
        </w:tc>
        <w:tc>
          <w:tcPr>
            <w:tcW w:w="561" w:type="pct"/>
            <w:tcBorders>
              <w:top w:val="nil"/>
              <w:left w:val="nil"/>
              <w:right w:val="nil"/>
            </w:tcBorders>
          </w:tcPr>
          <w:p w14:paraId="26D30BD7" w14:textId="77777777" w:rsidR="00323BB2" w:rsidRPr="0061063C" w:rsidRDefault="00323BB2" w:rsidP="00453AFA">
            <w:pPr>
              <w:jc w:val="right"/>
              <w:rPr>
                <w:rFonts w:asciiTheme="minorHAnsi" w:hAnsiTheme="minorHAnsi"/>
                <w:b/>
                <w:sz w:val="18"/>
              </w:rPr>
            </w:pPr>
          </w:p>
        </w:tc>
        <w:tc>
          <w:tcPr>
            <w:tcW w:w="563" w:type="pct"/>
            <w:tcBorders>
              <w:top w:val="nil"/>
              <w:left w:val="nil"/>
              <w:right w:val="nil"/>
            </w:tcBorders>
          </w:tcPr>
          <w:p w14:paraId="097A03C3" w14:textId="77777777" w:rsidR="00323BB2" w:rsidRPr="0061063C" w:rsidRDefault="00323BB2" w:rsidP="00453AFA">
            <w:pPr>
              <w:jc w:val="right"/>
              <w:rPr>
                <w:rFonts w:asciiTheme="minorHAnsi" w:hAnsiTheme="minorHAnsi"/>
                <w:b/>
                <w:sz w:val="18"/>
              </w:rPr>
            </w:pPr>
          </w:p>
        </w:tc>
        <w:tc>
          <w:tcPr>
            <w:tcW w:w="561" w:type="pct"/>
            <w:tcBorders>
              <w:top w:val="nil"/>
              <w:left w:val="nil"/>
              <w:right w:val="nil"/>
            </w:tcBorders>
          </w:tcPr>
          <w:p w14:paraId="28EEFC59" w14:textId="77777777" w:rsidR="00323BB2" w:rsidRPr="0061063C" w:rsidRDefault="00323BB2" w:rsidP="00453AFA">
            <w:pPr>
              <w:jc w:val="right"/>
              <w:rPr>
                <w:rFonts w:asciiTheme="minorHAnsi" w:hAnsiTheme="minorHAnsi"/>
                <w:b/>
                <w:sz w:val="18"/>
              </w:rPr>
            </w:pPr>
          </w:p>
        </w:tc>
        <w:tc>
          <w:tcPr>
            <w:tcW w:w="562" w:type="pct"/>
            <w:tcBorders>
              <w:top w:val="nil"/>
              <w:left w:val="nil"/>
              <w:right w:val="nil"/>
            </w:tcBorders>
          </w:tcPr>
          <w:p w14:paraId="7353B81F" w14:textId="77777777" w:rsidR="00323BB2" w:rsidRPr="0061063C" w:rsidRDefault="00323BB2" w:rsidP="00453AFA">
            <w:pPr>
              <w:jc w:val="right"/>
              <w:rPr>
                <w:rFonts w:asciiTheme="minorHAnsi" w:hAnsiTheme="minorHAnsi"/>
                <w:sz w:val="18"/>
              </w:rPr>
            </w:pPr>
          </w:p>
        </w:tc>
        <w:tc>
          <w:tcPr>
            <w:tcW w:w="562" w:type="pct"/>
            <w:tcBorders>
              <w:top w:val="nil"/>
              <w:left w:val="nil"/>
              <w:right w:val="nil"/>
            </w:tcBorders>
          </w:tcPr>
          <w:p w14:paraId="6DCB7CA3" w14:textId="77777777" w:rsidR="00323BB2" w:rsidRPr="0061063C" w:rsidRDefault="00323BB2" w:rsidP="00453AFA">
            <w:pPr>
              <w:jc w:val="right"/>
              <w:rPr>
                <w:rFonts w:asciiTheme="minorHAnsi" w:hAnsiTheme="minorHAnsi"/>
                <w:sz w:val="18"/>
              </w:rPr>
            </w:pPr>
          </w:p>
        </w:tc>
        <w:tc>
          <w:tcPr>
            <w:tcW w:w="539" w:type="pct"/>
            <w:tcBorders>
              <w:top w:val="nil"/>
              <w:left w:val="nil"/>
              <w:right w:val="nil"/>
            </w:tcBorders>
          </w:tcPr>
          <w:p w14:paraId="32797153" w14:textId="77777777" w:rsidR="00323BB2" w:rsidRPr="0061063C" w:rsidRDefault="00323BB2" w:rsidP="00453AFA">
            <w:pPr>
              <w:jc w:val="right"/>
              <w:rPr>
                <w:rFonts w:asciiTheme="minorHAnsi" w:hAnsiTheme="minorHAnsi"/>
                <w:sz w:val="18"/>
              </w:rPr>
            </w:pPr>
          </w:p>
        </w:tc>
      </w:tr>
      <w:tr w:rsidR="00323BB2" w:rsidRPr="0061063C" w14:paraId="23904262" w14:textId="77777777" w:rsidTr="00453AFA">
        <w:trPr>
          <w:trHeight w:val="211"/>
        </w:trPr>
        <w:tc>
          <w:tcPr>
            <w:tcW w:w="1350" w:type="pct"/>
            <w:tcBorders>
              <w:top w:val="nil"/>
              <w:right w:val="nil"/>
            </w:tcBorders>
          </w:tcPr>
          <w:p w14:paraId="4DFC1490" w14:textId="77777777" w:rsidR="00323BB2" w:rsidRPr="0061063C" w:rsidRDefault="00323BB2" w:rsidP="00453AFA">
            <w:pPr>
              <w:ind w:left="-90"/>
              <w:rPr>
                <w:rFonts w:asciiTheme="minorHAnsi" w:hAnsiTheme="minorHAnsi"/>
                <w:sz w:val="18"/>
              </w:rPr>
            </w:pPr>
            <w:r w:rsidRPr="0061063C">
              <w:rPr>
                <w:rFonts w:asciiTheme="minorHAnsi" w:hAnsiTheme="minorHAnsi"/>
                <w:sz w:val="18"/>
              </w:rPr>
              <w:t>Basic</w:t>
            </w:r>
          </w:p>
        </w:tc>
        <w:tc>
          <w:tcPr>
            <w:tcW w:w="302" w:type="pct"/>
            <w:tcBorders>
              <w:top w:val="nil"/>
              <w:left w:val="nil"/>
            </w:tcBorders>
          </w:tcPr>
          <w:p w14:paraId="5AADC6D5" w14:textId="77777777" w:rsidR="00323BB2" w:rsidRPr="0061063C" w:rsidRDefault="00323BB2" w:rsidP="00453AFA">
            <w:pPr>
              <w:jc w:val="center"/>
              <w:rPr>
                <w:rFonts w:asciiTheme="minorHAnsi" w:hAnsiTheme="minorHAnsi"/>
                <w:iCs/>
                <w:sz w:val="18"/>
              </w:rPr>
            </w:pPr>
            <w:r w:rsidRPr="0061063C">
              <w:rPr>
                <w:rFonts w:asciiTheme="minorHAnsi" w:hAnsiTheme="minorHAnsi"/>
                <w:iCs/>
                <w:sz w:val="18"/>
              </w:rPr>
              <w:t>8</w:t>
            </w:r>
          </w:p>
        </w:tc>
        <w:tc>
          <w:tcPr>
            <w:tcW w:w="561" w:type="pct"/>
            <w:tcBorders>
              <w:top w:val="nil"/>
              <w:left w:val="nil"/>
              <w:right w:val="nil"/>
            </w:tcBorders>
          </w:tcPr>
          <w:p w14:paraId="57B1B025" w14:textId="77777777" w:rsidR="00323BB2" w:rsidRPr="0061063C" w:rsidRDefault="00323BB2" w:rsidP="00453AFA">
            <w:pPr>
              <w:jc w:val="right"/>
              <w:rPr>
                <w:rFonts w:asciiTheme="minorHAnsi" w:hAnsiTheme="minorHAnsi"/>
                <w:b/>
                <w:sz w:val="18"/>
              </w:rPr>
            </w:pPr>
          </w:p>
        </w:tc>
        <w:tc>
          <w:tcPr>
            <w:tcW w:w="563" w:type="pct"/>
            <w:tcBorders>
              <w:top w:val="nil"/>
              <w:left w:val="nil"/>
              <w:right w:val="nil"/>
            </w:tcBorders>
          </w:tcPr>
          <w:p w14:paraId="56BF6251" w14:textId="77777777" w:rsidR="00323BB2" w:rsidRPr="0061063C" w:rsidRDefault="00323BB2" w:rsidP="00453AFA">
            <w:pPr>
              <w:jc w:val="right"/>
              <w:rPr>
                <w:rFonts w:asciiTheme="minorHAnsi" w:hAnsiTheme="minorHAnsi"/>
                <w:b/>
                <w:sz w:val="18"/>
              </w:rPr>
            </w:pPr>
          </w:p>
        </w:tc>
        <w:tc>
          <w:tcPr>
            <w:tcW w:w="561" w:type="pct"/>
            <w:tcBorders>
              <w:top w:val="nil"/>
              <w:left w:val="nil"/>
              <w:right w:val="nil"/>
            </w:tcBorders>
          </w:tcPr>
          <w:p w14:paraId="072BA654" w14:textId="77777777" w:rsidR="00323BB2" w:rsidRPr="0061063C" w:rsidRDefault="00323BB2" w:rsidP="00453AFA">
            <w:pPr>
              <w:jc w:val="right"/>
              <w:rPr>
                <w:rFonts w:asciiTheme="minorHAnsi" w:hAnsiTheme="minorHAnsi"/>
                <w:b/>
                <w:sz w:val="18"/>
              </w:rPr>
            </w:pPr>
            <w:r w:rsidRPr="0061063C">
              <w:rPr>
                <w:rFonts w:asciiTheme="minorHAnsi" w:hAnsiTheme="minorHAnsi"/>
                <w:b/>
                <w:sz w:val="18"/>
              </w:rPr>
              <w:t>£0.181</w:t>
            </w:r>
          </w:p>
        </w:tc>
        <w:tc>
          <w:tcPr>
            <w:tcW w:w="562" w:type="pct"/>
            <w:tcBorders>
              <w:top w:val="nil"/>
              <w:left w:val="nil"/>
              <w:right w:val="nil"/>
            </w:tcBorders>
          </w:tcPr>
          <w:p w14:paraId="3098A362" w14:textId="77777777" w:rsidR="00323BB2" w:rsidRPr="0061063C" w:rsidRDefault="00323BB2" w:rsidP="00453AFA">
            <w:pPr>
              <w:jc w:val="right"/>
              <w:rPr>
                <w:rFonts w:asciiTheme="minorHAnsi" w:hAnsiTheme="minorHAnsi"/>
                <w:sz w:val="18"/>
              </w:rPr>
            </w:pPr>
          </w:p>
        </w:tc>
        <w:tc>
          <w:tcPr>
            <w:tcW w:w="562" w:type="pct"/>
            <w:tcBorders>
              <w:top w:val="nil"/>
              <w:left w:val="nil"/>
              <w:right w:val="nil"/>
            </w:tcBorders>
          </w:tcPr>
          <w:p w14:paraId="6AC0A949" w14:textId="77777777" w:rsidR="00323BB2" w:rsidRPr="0061063C" w:rsidRDefault="00323BB2" w:rsidP="00453AFA">
            <w:pPr>
              <w:jc w:val="right"/>
              <w:rPr>
                <w:rFonts w:asciiTheme="minorHAnsi" w:hAnsiTheme="minorHAnsi"/>
                <w:sz w:val="18"/>
              </w:rPr>
            </w:pPr>
          </w:p>
        </w:tc>
        <w:tc>
          <w:tcPr>
            <w:tcW w:w="539" w:type="pct"/>
            <w:tcBorders>
              <w:top w:val="nil"/>
              <w:left w:val="nil"/>
              <w:right w:val="nil"/>
            </w:tcBorders>
          </w:tcPr>
          <w:p w14:paraId="7C2B48AE" w14:textId="77777777" w:rsidR="00323BB2" w:rsidRPr="0061063C" w:rsidRDefault="00323BB2" w:rsidP="00453AFA">
            <w:pPr>
              <w:jc w:val="right"/>
              <w:rPr>
                <w:rFonts w:asciiTheme="minorHAnsi" w:hAnsiTheme="minorHAnsi"/>
                <w:sz w:val="18"/>
              </w:rPr>
            </w:pPr>
            <w:r w:rsidRPr="0061063C">
              <w:rPr>
                <w:rFonts w:asciiTheme="minorHAnsi" w:hAnsiTheme="minorHAnsi"/>
                <w:sz w:val="18"/>
              </w:rPr>
              <w:t>£0.962</w:t>
            </w:r>
          </w:p>
        </w:tc>
      </w:tr>
      <w:tr w:rsidR="00323BB2" w:rsidRPr="0061063C" w14:paraId="62E30FF4" w14:textId="77777777" w:rsidTr="00453AFA">
        <w:trPr>
          <w:trHeight w:val="211"/>
        </w:trPr>
        <w:tc>
          <w:tcPr>
            <w:tcW w:w="1350" w:type="pct"/>
            <w:tcBorders>
              <w:top w:val="nil"/>
              <w:bottom w:val="single" w:sz="4" w:space="0" w:color="auto"/>
              <w:right w:val="nil"/>
            </w:tcBorders>
          </w:tcPr>
          <w:p w14:paraId="704F7726" w14:textId="77777777" w:rsidR="00323BB2" w:rsidRPr="0061063C" w:rsidRDefault="00323BB2" w:rsidP="00453AFA">
            <w:pPr>
              <w:ind w:left="-90"/>
              <w:rPr>
                <w:rFonts w:asciiTheme="minorHAnsi" w:hAnsiTheme="minorHAnsi"/>
                <w:sz w:val="18"/>
              </w:rPr>
            </w:pPr>
            <w:r w:rsidRPr="0061063C">
              <w:rPr>
                <w:rFonts w:asciiTheme="minorHAnsi" w:hAnsiTheme="minorHAnsi"/>
                <w:sz w:val="18"/>
              </w:rPr>
              <w:t>Diluted</w:t>
            </w:r>
          </w:p>
        </w:tc>
        <w:tc>
          <w:tcPr>
            <w:tcW w:w="302" w:type="pct"/>
            <w:tcBorders>
              <w:top w:val="nil"/>
              <w:left w:val="nil"/>
              <w:bottom w:val="single" w:sz="4" w:space="0" w:color="auto"/>
            </w:tcBorders>
          </w:tcPr>
          <w:p w14:paraId="339AECEF" w14:textId="77777777" w:rsidR="00323BB2" w:rsidRPr="0061063C" w:rsidRDefault="00323BB2" w:rsidP="00453AFA">
            <w:pPr>
              <w:jc w:val="center"/>
              <w:rPr>
                <w:rFonts w:asciiTheme="minorHAnsi" w:hAnsiTheme="minorHAnsi"/>
                <w:iCs/>
                <w:sz w:val="18"/>
              </w:rPr>
            </w:pPr>
            <w:r w:rsidRPr="0061063C">
              <w:rPr>
                <w:rFonts w:asciiTheme="minorHAnsi" w:hAnsiTheme="minorHAnsi"/>
                <w:iCs/>
                <w:sz w:val="18"/>
              </w:rPr>
              <w:t>8</w:t>
            </w:r>
          </w:p>
        </w:tc>
        <w:tc>
          <w:tcPr>
            <w:tcW w:w="561" w:type="pct"/>
            <w:tcBorders>
              <w:top w:val="nil"/>
              <w:left w:val="nil"/>
              <w:bottom w:val="single" w:sz="4" w:space="0" w:color="auto"/>
              <w:right w:val="nil"/>
            </w:tcBorders>
          </w:tcPr>
          <w:p w14:paraId="598057AD" w14:textId="77777777" w:rsidR="00323BB2" w:rsidRPr="0061063C" w:rsidRDefault="00323BB2" w:rsidP="00453AFA">
            <w:pPr>
              <w:jc w:val="right"/>
              <w:rPr>
                <w:rFonts w:asciiTheme="minorHAnsi" w:hAnsiTheme="minorHAnsi"/>
                <w:b/>
                <w:sz w:val="18"/>
              </w:rPr>
            </w:pPr>
          </w:p>
        </w:tc>
        <w:tc>
          <w:tcPr>
            <w:tcW w:w="563" w:type="pct"/>
            <w:tcBorders>
              <w:top w:val="nil"/>
              <w:left w:val="nil"/>
              <w:bottom w:val="single" w:sz="4" w:space="0" w:color="auto"/>
              <w:right w:val="nil"/>
            </w:tcBorders>
          </w:tcPr>
          <w:p w14:paraId="2BB0734C" w14:textId="77777777" w:rsidR="00323BB2" w:rsidRPr="0061063C" w:rsidRDefault="00323BB2" w:rsidP="00453AFA">
            <w:pPr>
              <w:jc w:val="right"/>
              <w:rPr>
                <w:rFonts w:asciiTheme="minorHAnsi" w:hAnsiTheme="minorHAnsi"/>
                <w:b/>
                <w:sz w:val="18"/>
              </w:rPr>
            </w:pPr>
          </w:p>
        </w:tc>
        <w:tc>
          <w:tcPr>
            <w:tcW w:w="561" w:type="pct"/>
            <w:tcBorders>
              <w:top w:val="nil"/>
              <w:left w:val="nil"/>
              <w:bottom w:val="single" w:sz="4" w:space="0" w:color="auto"/>
              <w:right w:val="nil"/>
            </w:tcBorders>
          </w:tcPr>
          <w:p w14:paraId="2B43F038" w14:textId="77777777" w:rsidR="00323BB2" w:rsidRPr="0061063C" w:rsidRDefault="00323BB2" w:rsidP="00453AFA">
            <w:pPr>
              <w:jc w:val="right"/>
              <w:rPr>
                <w:rFonts w:asciiTheme="minorHAnsi" w:hAnsiTheme="minorHAnsi"/>
                <w:b/>
                <w:sz w:val="18"/>
              </w:rPr>
            </w:pPr>
            <w:r w:rsidRPr="0061063C">
              <w:rPr>
                <w:rFonts w:asciiTheme="minorHAnsi" w:hAnsiTheme="minorHAnsi"/>
                <w:b/>
                <w:sz w:val="18"/>
              </w:rPr>
              <w:t>£0.1</w:t>
            </w:r>
            <w:r>
              <w:rPr>
                <w:rFonts w:asciiTheme="minorHAnsi" w:hAnsiTheme="minorHAnsi"/>
                <w:b/>
                <w:sz w:val="18"/>
              </w:rPr>
              <w:t>79</w:t>
            </w:r>
          </w:p>
        </w:tc>
        <w:tc>
          <w:tcPr>
            <w:tcW w:w="562" w:type="pct"/>
            <w:tcBorders>
              <w:top w:val="nil"/>
              <w:left w:val="nil"/>
              <w:bottom w:val="single" w:sz="4" w:space="0" w:color="auto"/>
              <w:right w:val="nil"/>
            </w:tcBorders>
          </w:tcPr>
          <w:p w14:paraId="6863645D" w14:textId="77777777" w:rsidR="00323BB2" w:rsidRPr="0061063C" w:rsidRDefault="00323BB2" w:rsidP="00453AFA">
            <w:pPr>
              <w:jc w:val="right"/>
              <w:rPr>
                <w:rFonts w:asciiTheme="minorHAnsi" w:hAnsiTheme="minorHAnsi"/>
                <w:sz w:val="18"/>
              </w:rPr>
            </w:pPr>
          </w:p>
        </w:tc>
        <w:tc>
          <w:tcPr>
            <w:tcW w:w="562" w:type="pct"/>
            <w:tcBorders>
              <w:top w:val="nil"/>
              <w:left w:val="nil"/>
              <w:bottom w:val="single" w:sz="4" w:space="0" w:color="auto"/>
              <w:right w:val="nil"/>
            </w:tcBorders>
          </w:tcPr>
          <w:p w14:paraId="480E43B0" w14:textId="77777777" w:rsidR="00323BB2" w:rsidRPr="0061063C" w:rsidRDefault="00323BB2" w:rsidP="00453AFA">
            <w:pPr>
              <w:jc w:val="right"/>
              <w:rPr>
                <w:rFonts w:asciiTheme="minorHAnsi" w:hAnsiTheme="minorHAnsi"/>
                <w:sz w:val="18"/>
              </w:rPr>
            </w:pPr>
          </w:p>
        </w:tc>
        <w:tc>
          <w:tcPr>
            <w:tcW w:w="539" w:type="pct"/>
            <w:tcBorders>
              <w:top w:val="nil"/>
              <w:left w:val="nil"/>
              <w:bottom w:val="single" w:sz="4" w:space="0" w:color="auto"/>
              <w:right w:val="nil"/>
            </w:tcBorders>
          </w:tcPr>
          <w:p w14:paraId="66479319" w14:textId="77777777" w:rsidR="00323BB2" w:rsidRPr="0061063C" w:rsidRDefault="00323BB2" w:rsidP="00453AFA">
            <w:pPr>
              <w:jc w:val="right"/>
              <w:rPr>
                <w:rFonts w:asciiTheme="minorHAnsi" w:hAnsiTheme="minorHAnsi"/>
                <w:sz w:val="18"/>
              </w:rPr>
            </w:pPr>
            <w:r w:rsidRPr="0061063C">
              <w:rPr>
                <w:rFonts w:asciiTheme="minorHAnsi" w:hAnsiTheme="minorHAnsi"/>
                <w:sz w:val="18"/>
              </w:rPr>
              <w:t>£0.959</w:t>
            </w:r>
          </w:p>
        </w:tc>
      </w:tr>
    </w:tbl>
    <w:p w14:paraId="3BE7F6BB" w14:textId="77777777" w:rsidR="00323BB2" w:rsidRPr="0061063C" w:rsidRDefault="00323BB2" w:rsidP="00323BB2">
      <w:pPr>
        <w:pStyle w:val="BodyText"/>
        <w:spacing w:after="0"/>
        <w:rPr>
          <w:rFonts w:asciiTheme="minorHAnsi" w:hAnsiTheme="minorHAnsi"/>
          <w:b/>
          <w:sz w:val="20"/>
          <w:szCs w:val="20"/>
          <w:lang w:val="en-IE"/>
        </w:rPr>
      </w:pPr>
    </w:p>
    <w:tbl>
      <w:tblPr>
        <w:tblW w:w="9531" w:type="dxa"/>
        <w:tblInd w:w="108" w:type="dxa"/>
        <w:tblLook w:val="01E0" w:firstRow="1" w:lastRow="1" w:firstColumn="1" w:lastColumn="1" w:noHBand="0" w:noVBand="0"/>
      </w:tblPr>
      <w:tblGrid>
        <w:gridCol w:w="358"/>
        <w:gridCol w:w="9173"/>
      </w:tblGrid>
      <w:tr w:rsidR="00323BB2" w:rsidRPr="0061063C" w14:paraId="4E933B56" w14:textId="77777777" w:rsidTr="00453AFA">
        <w:tc>
          <w:tcPr>
            <w:tcW w:w="358" w:type="dxa"/>
            <w:shd w:val="clear" w:color="auto" w:fill="auto"/>
          </w:tcPr>
          <w:p w14:paraId="4CF13DC6" w14:textId="77777777" w:rsidR="00323BB2" w:rsidRPr="0061063C" w:rsidRDefault="00323BB2" w:rsidP="00453AFA">
            <w:pPr>
              <w:widowControl w:val="0"/>
              <w:autoSpaceDE w:val="0"/>
              <w:autoSpaceDN w:val="0"/>
              <w:adjustRightInd w:val="0"/>
              <w:ind w:hanging="108"/>
              <w:rPr>
                <w:rFonts w:asciiTheme="minorHAnsi" w:hAnsiTheme="minorHAnsi"/>
                <w:sz w:val="18"/>
              </w:rPr>
            </w:pPr>
            <w:r w:rsidRPr="0061063C">
              <w:rPr>
                <w:rFonts w:asciiTheme="minorHAnsi" w:hAnsiTheme="minorHAnsi"/>
                <w:sz w:val="18"/>
              </w:rPr>
              <w:t>1</w:t>
            </w:r>
          </w:p>
        </w:tc>
        <w:tc>
          <w:tcPr>
            <w:tcW w:w="9173" w:type="dxa"/>
            <w:shd w:val="clear" w:color="auto" w:fill="auto"/>
          </w:tcPr>
          <w:p w14:paraId="5DDBA69A" w14:textId="77777777" w:rsidR="00323BB2" w:rsidRPr="0061063C" w:rsidRDefault="00323BB2" w:rsidP="00453AFA">
            <w:pPr>
              <w:widowControl w:val="0"/>
              <w:autoSpaceDE w:val="0"/>
              <w:autoSpaceDN w:val="0"/>
              <w:adjustRightInd w:val="0"/>
              <w:ind w:left="-108"/>
              <w:rPr>
                <w:rFonts w:asciiTheme="minorHAnsi" w:hAnsiTheme="minorHAnsi"/>
                <w:sz w:val="18"/>
                <w:lang w:val="en-IE" w:eastAsia="en-IE"/>
              </w:rPr>
            </w:pPr>
            <w:r w:rsidRPr="0061063C">
              <w:rPr>
                <w:rFonts w:asciiTheme="minorHAnsi" w:hAnsiTheme="minorHAnsi"/>
                <w:sz w:val="18"/>
                <w:lang w:val="en-IE" w:eastAsia="en-IE"/>
              </w:rPr>
              <w:t xml:space="preserve">EBITDA is defined as profit for the period before depreciation, amortisation and impairment, financial income, financial expense and tax expense / credit. It is considered by the Directors to be a key measure of the Group’s financial performance. </w:t>
            </w:r>
          </w:p>
        </w:tc>
      </w:tr>
      <w:tr w:rsidR="00323BB2" w:rsidRPr="0061063C" w14:paraId="04A38D50" w14:textId="77777777" w:rsidTr="00453AFA">
        <w:tc>
          <w:tcPr>
            <w:tcW w:w="358" w:type="dxa"/>
            <w:shd w:val="clear" w:color="auto" w:fill="auto"/>
          </w:tcPr>
          <w:p w14:paraId="01582079" w14:textId="77777777" w:rsidR="00323BB2" w:rsidRPr="0061063C" w:rsidRDefault="00323BB2" w:rsidP="00453AFA">
            <w:pPr>
              <w:widowControl w:val="0"/>
              <w:autoSpaceDE w:val="0"/>
              <w:autoSpaceDN w:val="0"/>
              <w:adjustRightInd w:val="0"/>
              <w:rPr>
                <w:rFonts w:asciiTheme="minorHAnsi" w:hAnsiTheme="minorHAnsi"/>
                <w:sz w:val="18"/>
              </w:rPr>
            </w:pPr>
          </w:p>
        </w:tc>
        <w:tc>
          <w:tcPr>
            <w:tcW w:w="9173" w:type="dxa"/>
            <w:shd w:val="clear" w:color="auto" w:fill="auto"/>
          </w:tcPr>
          <w:p w14:paraId="2CE26759" w14:textId="77777777" w:rsidR="00323BB2" w:rsidRPr="0061063C" w:rsidRDefault="00323BB2" w:rsidP="00453AFA">
            <w:pPr>
              <w:widowControl w:val="0"/>
              <w:autoSpaceDE w:val="0"/>
              <w:autoSpaceDN w:val="0"/>
              <w:adjustRightInd w:val="0"/>
              <w:ind w:left="-108"/>
              <w:rPr>
                <w:rFonts w:asciiTheme="minorHAnsi" w:hAnsiTheme="minorHAnsi"/>
                <w:sz w:val="18"/>
                <w:lang w:val="en-IE" w:eastAsia="en-IE"/>
              </w:rPr>
            </w:pPr>
          </w:p>
        </w:tc>
      </w:tr>
    </w:tbl>
    <w:p w14:paraId="1170FC16" w14:textId="77777777" w:rsidR="00323BB2" w:rsidRPr="0061063C" w:rsidRDefault="00323BB2" w:rsidP="00323BB2">
      <w:pPr>
        <w:pStyle w:val="body"/>
        <w:rPr>
          <w:rFonts w:ascii="Times New Roman" w:hAnsi="Times New Roman"/>
          <w:b/>
          <w:szCs w:val="18"/>
          <w:lang w:val="en-IE"/>
        </w:rPr>
      </w:pPr>
      <w:r w:rsidRPr="0061063C">
        <w:rPr>
          <w:rFonts w:ascii="Times New Roman" w:hAnsi="Times New Roman"/>
          <w:b/>
          <w:szCs w:val="18"/>
          <w:lang w:val="en-IE"/>
        </w:rPr>
        <w:br w:type="page"/>
      </w:r>
    </w:p>
    <w:p w14:paraId="368394CC" w14:textId="77777777" w:rsidR="00323BB2" w:rsidRPr="0061063C" w:rsidRDefault="00323BB2" w:rsidP="00323BB2">
      <w:pPr>
        <w:pStyle w:val="body"/>
        <w:rPr>
          <w:rFonts w:asciiTheme="minorHAnsi" w:hAnsiTheme="minorHAnsi"/>
          <w:b/>
          <w:sz w:val="20"/>
          <w:lang w:val="en-IE"/>
        </w:rPr>
      </w:pPr>
      <w:r w:rsidRPr="0061063C">
        <w:rPr>
          <w:rFonts w:asciiTheme="minorHAnsi" w:hAnsiTheme="minorHAnsi"/>
          <w:b/>
          <w:sz w:val="20"/>
        </w:rPr>
        <w:lastRenderedPageBreak/>
        <w:t>CONDENSED</w:t>
      </w:r>
      <w:r w:rsidRPr="0061063C">
        <w:rPr>
          <w:rFonts w:asciiTheme="minorHAnsi" w:hAnsiTheme="minorHAnsi"/>
          <w:sz w:val="20"/>
        </w:rPr>
        <w:t xml:space="preserve"> </w:t>
      </w:r>
      <w:r w:rsidRPr="0061063C">
        <w:rPr>
          <w:rFonts w:asciiTheme="minorHAnsi" w:hAnsiTheme="minorHAnsi"/>
          <w:b/>
          <w:sz w:val="20"/>
        </w:rPr>
        <w:t>CONSOLIDATED INTERIM STATEMENT OF OTHER COMPREHENSIVE INCOME</w:t>
      </w:r>
    </w:p>
    <w:p w14:paraId="70F02C29"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t>For the six months ended 30 June 2020</w:t>
      </w:r>
    </w:p>
    <w:p w14:paraId="48DB2584" w14:textId="77777777" w:rsidR="00323BB2" w:rsidRPr="0061063C" w:rsidRDefault="00323BB2" w:rsidP="00323BB2">
      <w:pPr>
        <w:pStyle w:val="BodyText"/>
        <w:spacing w:after="0"/>
        <w:rPr>
          <w:rFonts w:asciiTheme="minorHAnsi" w:hAnsiTheme="minorHAnsi"/>
          <w:b/>
          <w:sz w:val="20"/>
          <w:szCs w:val="20"/>
          <w:lang w:val="en-IE"/>
        </w:rPr>
      </w:pPr>
    </w:p>
    <w:p w14:paraId="1A3B2647" w14:textId="77777777" w:rsidR="00323BB2" w:rsidRPr="0061063C" w:rsidRDefault="00323BB2" w:rsidP="00323BB2">
      <w:pPr>
        <w:pStyle w:val="BodyText"/>
        <w:spacing w:after="0"/>
        <w:rPr>
          <w:rFonts w:asciiTheme="minorHAnsi" w:hAnsiTheme="minorHAnsi"/>
          <w:b/>
          <w:sz w:val="20"/>
          <w:szCs w:val="20"/>
          <w:lang w:val="en-IE"/>
        </w:rPr>
      </w:pPr>
    </w:p>
    <w:tbl>
      <w:tblPr>
        <w:tblW w:w="10881" w:type="dxa"/>
        <w:tblLayout w:type="fixed"/>
        <w:tblLook w:val="0000" w:firstRow="0" w:lastRow="0" w:firstColumn="0" w:lastColumn="0" w:noHBand="0" w:noVBand="0"/>
      </w:tblPr>
      <w:tblGrid>
        <w:gridCol w:w="5670"/>
        <w:gridCol w:w="709"/>
        <w:gridCol w:w="1418"/>
        <w:gridCol w:w="1525"/>
        <w:gridCol w:w="1559"/>
      </w:tblGrid>
      <w:tr w:rsidR="00323BB2" w:rsidRPr="0061063C" w14:paraId="3520161D" w14:textId="77777777" w:rsidTr="00453AFA">
        <w:trPr>
          <w:gridAfter w:val="1"/>
          <w:wAfter w:w="1559" w:type="dxa"/>
          <w:trHeight w:val="422"/>
        </w:trPr>
        <w:tc>
          <w:tcPr>
            <w:tcW w:w="5670" w:type="dxa"/>
            <w:tcBorders>
              <w:top w:val="single" w:sz="4" w:space="0" w:color="auto"/>
              <w:left w:val="nil"/>
              <w:bottom w:val="single" w:sz="4" w:space="0" w:color="auto"/>
              <w:right w:val="nil"/>
            </w:tcBorders>
          </w:tcPr>
          <w:p w14:paraId="6A3825CA" w14:textId="77777777" w:rsidR="00323BB2" w:rsidRPr="0061063C" w:rsidRDefault="00323BB2" w:rsidP="00453AFA">
            <w:pPr>
              <w:ind w:left="-90"/>
              <w:jc w:val="both"/>
              <w:rPr>
                <w:rFonts w:asciiTheme="minorHAnsi" w:hAnsiTheme="minorHAnsi"/>
                <w:sz w:val="20"/>
              </w:rPr>
            </w:pPr>
            <w:bookmarkStart w:id="9" w:name="_Hlk47604486"/>
            <w:bookmarkStart w:id="10" w:name="_Hlk48594839"/>
          </w:p>
        </w:tc>
        <w:tc>
          <w:tcPr>
            <w:tcW w:w="709" w:type="dxa"/>
            <w:tcBorders>
              <w:top w:val="single" w:sz="4" w:space="0" w:color="auto"/>
              <w:left w:val="nil"/>
              <w:bottom w:val="single" w:sz="4" w:space="0" w:color="auto"/>
              <w:right w:val="nil"/>
            </w:tcBorders>
          </w:tcPr>
          <w:p w14:paraId="070EB8D6" w14:textId="77777777" w:rsidR="00323BB2" w:rsidRPr="0061063C" w:rsidRDefault="00323BB2" w:rsidP="00453AFA">
            <w:pPr>
              <w:jc w:val="center"/>
              <w:rPr>
                <w:rFonts w:asciiTheme="minorHAnsi" w:hAnsiTheme="minorHAnsi"/>
                <w:iCs/>
                <w:sz w:val="20"/>
              </w:rPr>
            </w:pPr>
          </w:p>
          <w:p w14:paraId="5AD5A648" w14:textId="77777777" w:rsidR="00323BB2" w:rsidRPr="0061063C" w:rsidRDefault="00323BB2" w:rsidP="00453AFA">
            <w:pPr>
              <w:jc w:val="center"/>
              <w:rPr>
                <w:rFonts w:asciiTheme="minorHAnsi" w:hAnsiTheme="minorHAnsi"/>
                <w:iCs/>
                <w:sz w:val="20"/>
              </w:rPr>
            </w:pPr>
          </w:p>
          <w:p w14:paraId="51590F5E" w14:textId="77777777" w:rsidR="00323BB2" w:rsidRPr="0061063C" w:rsidRDefault="00323BB2" w:rsidP="00453AFA">
            <w:pPr>
              <w:rPr>
                <w:rFonts w:asciiTheme="minorHAnsi" w:hAnsiTheme="minorHAnsi"/>
                <w:iCs/>
                <w:sz w:val="20"/>
              </w:rPr>
            </w:pPr>
          </w:p>
          <w:p w14:paraId="60AF629C" w14:textId="77777777" w:rsidR="00323BB2" w:rsidRPr="0061063C" w:rsidRDefault="00323BB2" w:rsidP="00453AFA">
            <w:pPr>
              <w:rPr>
                <w:rFonts w:asciiTheme="minorHAnsi" w:hAnsiTheme="minorHAnsi"/>
                <w:iCs/>
                <w:sz w:val="20"/>
              </w:rPr>
            </w:pPr>
          </w:p>
        </w:tc>
        <w:tc>
          <w:tcPr>
            <w:tcW w:w="1418" w:type="dxa"/>
            <w:tcBorders>
              <w:top w:val="single" w:sz="4" w:space="0" w:color="auto"/>
              <w:left w:val="nil"/>
              <w:bottom w:val="single" w:sz="4" w:space="0" w:color="auto"/>
              <w:right w:val="nil"/>
            </w:tcBorders>
          </w:tcPr>
          <w:p w14:paraId="4366F63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Six months</w:t>
            </w:r>
          </w:p>
          <w:p w14:paraId="6000FD1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ended</w:t>
            </w:r>
          </w:p>
          <w:p w14:paraId="20F9418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30 June 2020</w:t>
            </w:r>
          </w:p>
          <w:p w14:paraId="1553B56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(unaudited)</w:t>
            </w:r>
          </w:p>
          <w:p w14:paraId="476316B2" w14:textId="77777777" w:rsidR="00323BB2" w:rsidRPr="0061063C" w:rsidRDefault="00323BB2" w:rsidP="00453AFA">
            <w:pPr>
              <w:jc w:val="right"/>
              <w:rPr>
                <w:rFonts w:asciiTheme="minorHAnsi" w:hAnsiTheme="minorHAnsi"/>
                <w:sz w:val="20"/>
              </w:rPr>
            </w:pPr>
            <w:r w:rsidRPr="0061063C">
              <w:rPr>
                <w:rFonts w:asciiTheme="minorHAnsi" w:hAnsiTheme="minorHAnsi"/>
                <w:b/>
                <w:bCs/>
                <w:sz w:val="20"/>
              </w:rPr>
              <w:t>£m</w:t>
            </w:r>
          </w:p>
        </w:tc>
        <w:tc>
          <w:tcPr>
            <w:tcW w:w="1525" w:type="dxa"/>
            <w:tcBorders>
              <w:top w:val="single" w:sz="4" w:space="0" w:color="auto"/>
              <w:left w:val="nil"/>
              <w:bottom w:val="single" w:sz="4" w:space="0" w:color="auto"/>
              <w:right w:val="nil"/>
            </w:tcBorders>
          </w:tcPr>
          <w:p w14:paraId="3F6A822E"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Six months</w:t>
            </w:r>
          </w:p>
          <w:p w14:paraId="7410FE8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ended</w:t>
            </w:r>
          </w:p>
          <w:p w14:paraId="4B02008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30 June 2019</w:t>
            </w:r>
          </w:p>
          <w:p w14:paraId="26DBE3F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 xml:space="preserve"> (unaudited)</w:t>
            </w:r>
          </w:p>
          <w:p w14:paraId="5CC60E51" w14:textId="77777777" w:rsidR="00323BB2" w:rsidRPr="0061063C" w:rsidRDefault="00323BB2" w:rsidP="00453AFA">
            <w:pPr>
              <w:jc w:val="right"/>
              <w:rPr>
                <w:rFonts w:asciiTheme="minorHAnsi" w:hAnsiTheme="minorHAnsi"/>
                <w:sz w:val="20"/>
              </w:rPr>
            </w:pPr>
            <w:r w:rsidRPr="0061063C">
              <w:rPr>
                <w:rFonts w:asciiTheme="minorHAnsi" w:hAnsiTheme="minorHAnsi"/>
                <w:bCs/>
                <w:sz w:val="20"/>
              </w:rPr>
              <w:t>£m</w:t>
            </w:r>
          </w:p>
        </w:tc>
      </w:tr>
      <w:tr w:rsidR="00323BB2" w:rsidRPr="0061063C" w14:paraId="3599A97A" w14:textId="77777777" w:rsidTr="00453AFA">
        <w:trPr>
          <w:gridAfter w:val="1"/>
          <w:wAfter w:w="1559" w:type="dxa"/>
        </w:trPr>
        <w:tc>
          <w:tcPr>
            <w:tcW w:w="5670" w:type="dxa"/>
            <w:tcBorders>
              <w:top w:val="single" w:sz="4" w:space="0" w:color="auto"/>
              <w:left w:val="nil"/>
              <w:right w:val="nil"/>
            </w:tcBorders>
          </w:tcPr>
          <w:p w14:paraId="2AFD2476" w14:textId="77777777" w:rsidR="00323BB2" w:rsidRPr="0061063C" w:rsidRDefault="00323BB2" w:rsidP="00453AFA">
            <w:pPr>
              <w:ind w:left="-90"/>
              <w:rPr>
                <w:rFonts w:asciiTheme="minorHAnsi" w:hAnsiTheme="minorHAnsi"/>
                <w:b/>
                <w:sz w:val="20"/>
              </w:rPr>
            </w:pPr>
          </w:p>
        </w:tc>
        <w:tc>
          <w:tcPr>
            <w:tcW w:w="709" w:type="dxa"/>
            <w:tcBorders>
              <w:top w:val="single" w:sz="4" w:space="0" w:color="auto"/>
              <w:left w:val="nil"/>
              <w:right w:val="nil"/>
            </w:tcBorders>
          </w:tcPr>
          <w:p w14:paraId="4C6C991C" w14:textId="77777777" w:rsidR="00323BB2" w:rsidRPr="0061063C" w:rsidDel="008E2D97" w:rsidRDefault="00323BB2" w:rsidP="00453AFA">
            <w:pPr>
              <w:jc w:val="center"/>
              <w:rPr>
                <w:rFonts w:asciiTheme="minorHAnsi" w:hAnsiTheme="minorHAnsi"/>
                <w:iCs/>
                <w:sz w:val="20"/>
              </w:rPr>
            </w:pPr>
          </w:p>
        </w:tc>
        <w:tc>
          <w:tcPr>
            <w:tcW w:w="1418" w:type="dxa"/>
            <w:tcBorders>
              <w:top w:val="single" w:sz="4" w:space="0" w:color="auto"/>
              <w:left w:val="nil"/>
              <w:right w:val="nil"/>
            </w:tcBorders>
          </w:tcPr>
          <w:p w14:paraId="7D3AA3A1" w14:textId="77777777" w:rsidR="00323BB2" w:rsidRPr="0061063C" w:rsidRDefault="00323BB2" w:rsidP="00453AFA">
            <w:pPr>
              <w:jc w:val="right"/>
              <w:rPr>
                <w:rFonts w:asciiTheme="minorHAnsi" w:hAnsiTheme="minorHAnsi"/>
                <w:b/>
                <w:bCs/>
                <w:sz w:val="20"/>
              </w:rPr>
            </w:pPr>
          </w:p>
        </w:tc>
        <w:tc>
          <w:tcPr>
            <w:tcW w:w="1525" w:type="dxa"/>
            <w:tcBorders>
              <w:top w:val="single" w:sz="4" w:space="0" w:color="auto"/>
              <w:left w:val="nil"/>
              <w:right w:val="nil"/>
            </w:tcBorders>
          </w:tcPr>
          <w:p w14:paraId="4DA45D3C" w14:textId="77777777" w:rsidR="00323BB2" w:rsidRPr="0061063C" w:rsidRDefault="00323BB2" w:rsidP="00453AFA">
            <w:pPr>
              <w:jc w:val="right"/>
              <w:rPr>
                <w:rFonts w:asciiTheme="minorHAnsi" w:hAnsiTheme="minorHAnsi"/>
                <w:bCs/>
                <w:sz w:val="20"/>
              </w:rPr>
            </w:pPr>
          </w:p>
        </w:tc>
      </w:tr>
      <w:tr w:rsidR="00323BB2" w:rsidRPr="0061063C" w14:paraId="3F7A36F1" w14:textId="77777777" w:rsidTr="00453AFA">
        <w:trPr>
          <w:gridAfter w:val="1"/>
          <w:wAfter w:w="1559" w:type="dxa"/>
        </w:trPr>
        <w:tc>
          <w:tcPr>
            <w:tcW w:w="5670" w:type="dxa"/>
            <w:tcBorders>
              <w:left w:val="nil"/>
              <w:bottom w:val="single" w:sz="4" w:space="0" w:color="auto"/>
              <w:right w:val="nil"/>
            </w:tcBorders>
          </w:tcPr>
          <w:p w14:paraId="63078FA0" w14:textId="77777777" w:rsidR="00323BB2" w:rsidRPr="0061063C" w:rsidRDefault="00323BB2" w:rsidP="00453AFA">
            <w:pPr>
              <w:ind w:left="-90"/>
              <w:rPr>
                <w:rFonts w:asciiTheme="minorHAnsi" w:hAnsiTheme="minorHAnsi"/>
                <w:sz w:val="20"/>
              </w:rPr>
            </w:pPr>
            <w:r w:rsidRPr="0061063C">
              <w:rPr>
                <w:rFonts w:asciiTheme="minorHAnsi" w:hAnsiTheme="minorHAnsi"/>
                <w:b/>
                <w:sz w:val="20"/>
              </w:rPr>
              <w:t>Profit for the period</w:t>
            </w:r>
          </w:p>
        </w:tc>
        <w:tc>
          <w:tcPr>
            <w:tcW w:w="709" w:type="dxa"/>
            <w:tcBorders>
              <w:left w:val="nil"/>
              <w:bottom w:val="single" w:sz="4" w:space="0" w:color="auto"/>
              <w:right w:val="nil"/>
            </w:tcBorders>
          </w:tcPr>
          <w:p w14:paraId="341DD2F4" w14:textId="77777777" w:rsidR="00323BB2" w:rsidRPr="0061063C" w:rsidRDefault="00323BB2" w:rsidP="00453AFA">
            <w:pPr>
              <w:jc w:val="center"/>
              <w:rPr>
                <w:rFonts w:asciiTheme="minorHAnsi" w:hAnsiTheme="minorHAnsi"/>
                <w:iCs/>
                <w:sz w:val="20"/>
              </w:rPr>
            </w:pPr>
          </w:p>
        </w:tc>
        <w:tc>
          <w:tcPr>
            <w:tcW w:w="1418" w:type="dxa"/>
            <w:tcBorders>
              <w:left w:val="nil"/>
              <w:bottom w:val="single" w:sz="4" w:space="0" w:color="auto"/>
              <w:right w:val="nil"/>
            </w:tcBorders>
          </w:tcPr>
          <w:p w14:paraId="7732AEB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9.0</w:t>
            </w:r>
          </w:p>
        </w:tc>
        <w:tc>
          <w:tcPr>
            <w:tcW w:w="1525" w:type="dxa"/>
            <w:tcBorders>
              <w:left w:val="nil"/>
              <w:bottom w:val="single" w:sz="4" w:space="0" w:color="auto"/>
              <w:right w:val="nil"/>
            </w:tcBorders>
          </w:tcPr>
          <w:p w14:paraId="6E654E5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67.6</w:t>
            </w:r>
          </w:p>
        </w:tc>
      </w:tr>
      <w:tr w:rsidR="00323BB2" w:rsidRPr="0061063C" w14:paraId="729B07B0" w14:textId="77777777" w:rsidTr="00453AFA">
        <w:trPr>
          <w:gridAfter w:val="1"/>
          <w:wAfter w:w="1559" w:type="dxa"/>
        </w:trPr>
        <w:tc>
          <w:tcPr>
            <w:tcW w:w="5670" w:type="dxa"/>
            <w:tcBorders>
              <w:top w:val="single" w:sz="4" w:space="0" w:color="auto"/>
              <w:left w:val="nil"/>
              <w:right w:val="nil"/>
            </w:tcBorders>
          </w:tcPr>
          <w:p w14:paraId="4E9A9A56" w14:textId="77777777" w:rsidR="00323BB2" w:rsidRPr="0061063C" w:rsidRDefault="00323BB2" w:rsidP="00453AFA">
            <w:pPr>
              <w:ind w:left="-90"/>
              <w:rPr>
                <w:rFonts w:asciiTheme="minorHAnsi" w:hAnsiTheme="minorHAnsi"/>
                <w:b/>
                <w:sz w:val="20"/>
              </w:rPr>
            </w:pPr>
          </w:p>
        </w:tc>
        <w:tc>
          <w:tcPr>
            <w:tcW w:w="709" w:type="dxa"/>
            <w:tcBorders>
              <w:top w:val="single" w:sz="4" w:space="0" w:color="auto"/>
              <w:left w:val="nil"/>
              <w:right w:val="nil"/>
            </w:tcBorders>
          </w:tcPr>
          <w:p w14:paraId="1C1FA678" w14:textId="77777777" w:rsidR="00323BB2" w:rsidRPr="0061063C" w:rsidRDefault="00323BB2" w:rsidP="00453AFA">
            <w:pPr>
              <w:jc w:val="center"/>
              <w:rPr>
                <w:rFonts w:asciiTheme="minorHAnsi" w:hAnsiTheme="minorHAnsi"/>
                <w:iCs/>
                <w:sz w:val="20"/>
              </w:rPr>
            </w:pPr>
          </w:p>
        </w:tc>
        <w:tc>
          <w:tcPr>
            <w:tcW w:w="1418" w:type="dxa"/>
            <w:tcBorders>
              <w:top w:val="single" w:sz="4" w:space="0" w:color="auto"/>
              <w:left w:val="nil"/>
              <w:right w:val="nil"/>
            </w:tcBorders>
          </w:tcPr>
          <w:p w14:paraId="0541F92D" w14:textId="77777777" w:rsidR="00323BB2" w:rsidRPr="0061063C" w:rsidRDefault="00323BB2" w:rsidP="00453AFA">
            <w:pPr>
              <w:jc w:val="right"/>
              <w:rPr>
                <w:rFonts w:asciiTheme="minorHAnsi" w:hAnsiTheme="minorHAnsi"/>
                <w:b/>
                <w:bCs/>
                <w:sz w:val="20"/>
              </w:rPr>
            </w:pPr>
          </w:p>
        </w:tc>
        <w:tc>
          <w:tcPr>
            <w:tcW w:w="1525" w:type="dxa"/>
            <w:tcBorders>
              <w:top w:val="single" w:sz="4" w:space="0" w:color="auto"/>
              <w:left w:val="nil"/>
              <w:right w:val="nil"/>
            </w:tcBorders>
          </w:tcPr>
          <w:p w14:paraId="4F00F3EF" w14:textId="77777777" w:rsidR="00323BB2" w:rsidRPr="0061063C" w:rsidRDefault="00323BB2" w:rsidP="00453AFA">
            <w:pPr>
              <w:jc w:val="right"/>
              <w:rPr>
                <w:rFonts w:asciiTheme="minorHAnsi" w:hAnsiTheme="minorHAnsi"/>
                <w:bCs/>
                <w:sz w:val="20"/>
              </w:rPr>
            </w:pPr>
          </w:p>
        </w:tc>
      </w:tr>
      <w:tr w:rsidR="00323BB2" w:rsidRPr="0061063C" w14:paraId="51491D9F" w14:textId="77777777" w:rsidTr="00453AFA">
        <w:trPr>
          <w:gridAfter w:val="1"/>
          <w:wAfter w:w="1559" w:type="dxa"/>
        </w:trPr>
        <w:tc>
          <w:tcPr>
            <w:tcW w:w="5670" w:type="dxa"/>
            <w:tcBorders>
              <w:left w:val="nil"/>
              <w:right w:val="nil"/>
            </w:tcBorders>
          </w:tcPr>
          <w:p w14:paraId="4082F268" w14:textId="77777777" w:rsidR="00323BB2" w:rsidRPr="0061063C" w:rsidRDefault="00323BB2" w:rsidP="00453AFA">
            <w:pPr>
              <w:tabs>
                <w:tab w:val="left" w:pos="4227"/>
              </w:tabs>
              <w:ind w:left="-90"/>
              <w:rPr>
                <w:rFonts w:asciiTheme="minorHAnsi" w:hAnsiTheme="minorHAnsi"/>
                <w:b/>
                <w:sz w:val="20"/>
              </w:rPr>
            </w:pPr>
            <w:r w:rsidRPr="0061063C">
              <w:rPr>
                <w:rFonts w:asciiTheme="minorHAnsi" w:hAnsiTheme="minorHAnsi"/>
                <w:b/>
                <w:sz w:val="20"/>
              </w:rPr>
              <w:t xml:space="preserve">Other comprehensive income </w:t>
            </w:r>
            <w:r w:rsidRPr="0061063C">
              <w:rPr>
                <w:rFonts w:asciiTheme="minorHAnsi" w:hAnsiTheme="minorHAnsi"/>
                <w:b/>
                <w:sz w:val="20"/>
              </w:rPr>
              <w:tab/>
            </w:r>
          </w:p>
        </w:tc>
        <w:tc>
          <w:tcPr>
            <w:tcW w:w="709" w:type="dxa"/>
            <w:tcBorders>
              <w:left w:val="nil"/>
              <w:right w:val="nil"/>
            </w:tcBorders>
          </w:tcPr>
          <w:p w14:paraId="7A9A6934" w14:textId="77777777" w:rsidR="00323BB2" w:rsidRPr="0061063C" w:rsidRDefault="00323BB2" w:rsidP="00453AFA">
            <w:pPr>
              <w:jc w:val="center"/>
              <w:rPr>
                <w:rFonts w:asciiTheme="minorHAnsi" w:hAnsiTheme="minorHAnsi"/>
                <w:iCs/>
                <w:sz w:val="20"/>
              </w:rPr>
            </w:pPr>
          </w:p>
        </w:tc>
        <w:tc>
          <w:tcPr>
            <w:tcW w:w="1418" w:type="dxa"/>
            <w:tcBorders>
              <w:left w:val="nil"/>
              <w:right w:val="nil"/>
            </w:tcBorders>
          </w:tcPr>
          <w:p w14:paraId="10C2DF89" w14:textId="77777777" w:rsidR="00323BB2" w:rsidRPr="0061063C" w:rsidRDefault="00323BB2" w:rsidP="00453AFA">
            <w:pPr>
              <w:jc w:val="right"/>
              <w:rPr>
                <w:rFonts w:asciiTheme="minorHAnsi" w:hAnsiTheme="minorHAnsi"/>
                <w:b/>
                <w:bCs/>
                <w:sz w:val="20"/>
              </w:rPr>
            </w:pPr>
          </w:p>
        </w:tc>
        <w:tc>
          <w:tcPr>
            <w:tcW w:w="1525" w:type="dxa"/>
            <w:tcBorders>
              <w:left w:val="nil"/>
              <w:right w:val="nil"/>
            </w:tcBorders>
          </w:tcPr>
          <w:p w14:paraId="1F065720" w14:textId="77777777" w:rsidR="00323BB2" w:rsidRPr="0061063C" w:rsidRDefault="00323BB2" w:rsidP="00453AFA">
            <w:pPr>
              <w:jc w:val="right"/>
              <w:rPr>
                <w:rFonts w:asciiTheme="minorHAnsi" w:hAnsiTheme="minorHAnsi"/>
                <w:bCs/>
                <w:sz w:val="20"/>
              </w:rPr>
            </w:pPr>
          </w:p>
        </w:tc>
      </w:tr>
      <w:tr w:rsidR="00323BB2" w:rsidRPr="0061063C" w14:paraId="6FA67FAD" w14:textId="77777777" w:rsidTr="00453AFA">
        <w:trPr>
          <w:trHeight w:val="226"/>
        </w:trPr>
        <w:tc>
          <w:tcPr>
            <w:tcW w:w="6379" w:type="dxa"/>
            <w:gridSpan w:val="2"/>
            <w:tcBorders>
              <w:left w:val="nil"/>
              <w:right w:val="nil"/>
            </w:tcBorders>
          </w:tcPr>
          <w:p w14:paraId="7D024309" w14:textId="77777777" w:rsidR="00323BB2" w:rsidRPr="0061063C" w:rsidRDefault="00323BB2" w:rsidP="00453AFA">
            <w:pPr>
              <w:ind w:left="-90"/>
              <w:rPr>
                <w:rFonts w:asciiTheme="minorHAnsi" w:hAnsiTheme="minorHAnsi"/>
                <w:b/>
                <w:sz w:val="20"/>
              </w:rPr>
            </w:pPr>
            <w:r w:rsidRPr="0061063C">
              <w:rPr>
                <w:rFonts w:asciiTheme="minorHAnsi" w:hAnsiTheme="minorHAnsi"/>
                <w:b/>
                <w:sz w:val="20"/>
              </w:rPr>
              <w:t>Items that are or may be reclassified subsequently to profit or loss:</w:t>
            </w:r>
          </w:p>
        </w:tc>
        <w:tc>
          <w:tcPr>
            <w:tcW w:w="1418" w:type="dxa"/>
            <w:tcBorders>
              <w:left w:val="nil"/>
              <w:right w:val="nil"/>
            </w:tcBorders>
          </w:tcPr>
          <w:p w14:paraId="5AD2AE26" w14:textId="77777777" w:rsidR="00323BB2" w:rsidRPr="0061063C" w:rsidRDefault="00323BB2" w:rsidP="00453AFA">
            <w:pPr>
              <w:jc w:val="right"/>
              <w:rPr>
                <w:rFonts w:asciiTheme="minorHAnsi" w:hAnsiTheme="minorHAnsi"/>
                <w:b/>
                <w:bCs/>
                <w:sz w:val="20"/>
              </w:rPr>
            </w:pPr>
          </w:p>
        </w:tc>
        <w:tc>
          <w:tcPr>
            <w:tcW w:w="1525" w:type="dxa"/>
            <w:tcBorders>
              <w:left w:val="nil"/>
              <w:right w:val="nil"/>
            </w:tcBorders>
          </w:tcPr>
          <w:p w14:paraId="5F6FC7A3" w14:textId="77777777" w:rsidR="00323BB2" w:rsidRPr="0061063C" w:rsidRDefault="00323BB2" w:rsidP="00453AFA">
            <w:pPr>
              <w:jc w:val="right"/>
              <w:rPr>
                <w:rFonts w:asciiTheme="minorHAnsi" w:hAnsiTheme="minorHAnsi"/>
                <w:bCs/>
                <w:sz w:val="20"/>
              </w:rPr>
            </w:pPr>
          </w:p>
        </w:tc>
        <w:tc>
          <w:tcPr>
            <w:tcW w:w="1559" w:type="dxa"/>
            <w:tcBorders>
              <w:left w:val="nil"/>
              <w:right w:val="nil"/>
            </w:tcBorders>
          </w:tcPr>
          <w:p w14:paraId="5E4A9E44" w14:textId="77777777" w:rsidR="00323BB2" w:rsidRPr="0061063C" w:rsidRDefault="00323BB2" w:rsidP="00453AFA">
            <w:pPr>
              <w:jc w:val="right"/>
              <w:rPr>
                <w:rFonts w:asciiTheme="minorHAnsi" w:hAnsiTheme="minorHAnsi"/>
                <w:bCs/>
                <w:sz w:val="20"/>
              </w:rPr>
            </w:pPr>
          </w:p>
        </w:tc>
      </w:tr>
      <w:tr w:rsidR="00323BB2" w:rsidRPr="0061063C" w14:paraId="5F4304DD" w14:textId="77777777" w:rsidTr="00453AFA">
        <w:trPr>
          <w:gridAfter w:val="1"/>
          <w:wAfter w:w="1559" w:type="dxa"/>
        </w:trPr>
        <w:tc>
          <w:tcPr>
            <w:tcW w:w="5670" w:type="dxa"/>
            <w:tcBorders>
              <w:left w:val="nil"/>
              <w:right w:val="nil"/>
            </w:tcBorders>
          </w:tcPr>
          <w:p w14:paraId="617CFC0B" w14:textId="77777777" w:rsidR="00323BB2" w:rsidRPr="0061063C" w:rsidRDefault="00323BB2" w:rsidP="00453AFA">
            <w:pPr>
              <w:ind w:left="-90"/>
              <w:rPr>
                <w:rFonts w:asciiTheme="minorHAnsi" w:hAnsiTheme="minorHAnsi"/>
                <w:sz w:val="20"/>
              </w:rPr>
            </w:pPr>
            <w:r w:rsidRPr="0061063C">
              <w:rPr>
                <w:rFonts w:asciiTheme="minorHAnsi" w:hAnsiTheme="minorHAnsi"/>
                <w:sz w:val="20"/>
              </w:rPr>
              <w:t>Effective portion of changes in fair value of cash flow hedges</w:t>
            </w:r>
          </w:p>
        </w:tc>
        <w:tc>
          <w:tcPr>
            <w:tcW w:w="709" w:type="dxa"/>
            <w:tcBorders>
              <w:left w:val="nil"/>
              <w:right w:val="nil"/>
            </w:tcBorders>
          </w:tcPr>
          <w:p w14:paraId="12DE16ED" w14:textId="77777777" w:rsidR="00323BB2" w:rsidRPr="0061063C" w:rsidRDefault="00323BB2" w:rsidP="00453AFA">
            <w:pPr>
              <w:jc w:val="center"/>
              <w:rPr>
                <w:rFonts w:asciiTheme="minorHAnsi" w:hAnsiTheme="minorHAnsi"/>
                <w:iCs/>
                <w:sz w:val="20"/>
              </w:rPr>
            </w:pPr>
          </w:p>
        </w:tc>
        <w:tc>
          <w:tcPr>
            <w:tcW w:w="1418" w:type="dxa"/>
            <w:tcBorders>
              <w:left w:val="nil"/>
              <w:right w:val="nil"/>
            </w:tcBorders>
          </w:tcPr>
          <w:p w14:paraId="6D224F4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(88.2)</w:t>
            </w:r>
          </w:p>
        </w:tc>
        <w:tc>
          <w:tcPr>
            <w:tcW w:w="1525" w:type="dxa"/>
            <w:tcBorders>
              <w:left w:val="nil"/>
              <w:right w:val="nil"/>
            </w:tcBorders>
          </w:tcPr>
          <w:p w14:paraId="58480DB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B2DE300" w14:textId="77777777" w:rsidTr="00453AFA">
        <w:trPr>
          <w:gridAfter w:val="1"/>
          <w:wAfter w:w="1559" w:type="dxa"/>
          <w:trHeight w:val="60"/>
        </w:trPr>
        <w:tc>
          <w:tcPr>
            <w:tcW w:w="5670" w:type="dxa"/>
            <w:tcBorders>
              <w:left w:val="nil"/>
              <w:right w:val="nil"/>
            </w:tcBorders>
          </w:tcPr>
          <w:p w14:paraId="291E74E4" w14:textId="77777777" w:rsidR="00323BB2" w:rsidRPr="0061063C" w:rsidRDefault="00323BB2" w:rsidP="00453AFA">
            <w:pPr>
              <w:ind w:left="-90"/>
              <w:rPr>
                <w:rFonts w:asciiTheme="minorHAnsi" w:hAnsiTheme="minorHAnsi"/>
                <w:sz w:val="20"/>
              </w:rPr>
            </w:pPr>
            <w:r w:rsidRPr="0061063C">
              <w:rPr>
                <w:rFonts w:asciiTheme="minorHAnsi" w:hAnsiTheme="minorHAnsi"/>
                <w:sz w:val="20"/>
              </w:rPr>
              <w:t>Fair value of cash flow hedges transferred to the income statement</w:t>
            </w:r>
          </w:p>
        </w:tc>
        <w:tc>
          <w:tcPr>
            <w:tcW w:w="709" w:type="dxa"/>
            <w:tcBorders>
              <w:left w:val="nil"/>
              <w:right w:val="nil"/>
            </w:tcBorders>
          </w:tcPr>
          <w:p w14:paraId="10772A2B" w14:textId="77777777" w:rsidR="00323BB2" w:rsidRPr="0061063C" w:rsidRDefault="00323BB2" w:rsidP="00453AFA">
            <w:pPr>
              <w:jc w:val="center"/>
              <w:rPr>
                <w:rFonts w:asciiTheme="minorHAnsi" w:hAnsiTheme="minorHAnsi"/>
                <w:iCs/>
                <w:sz w:val="20"/>
              </w:rPr>
            </w:pPr>
          </w:p>
        </w:tc>
        <w:tc>
          <w:tcPr>
            <w:tcW w:w="1418" w:type="dxa"/>
            <w:tcBorders>
              <w:left w:val="nil"/>
              <w:right w:val="nil"/>
            </w:tcBorders>
          </w:tcPr>
          <w:p w14:paraId="4699773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86.5</w:t>
            </w:r>
          </w:p>
        </w:tc>
        <w:tc>
          <w:tcPr>
            <w:tcW w:w="1525" w:type="dxa"/>
            <w:tcBorders>
              <w:left w:val="nil"/>
              <w:right w:val="nil"/>
            </w:tcBorders>
          </w:tcPr>
          <w:p w14:paraId="087EFFF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12F953A" w14:textId="77777777" w:rsidTr="00453AFA">
        <w:trPr>
          <w:gridAfter w:val="1"/>
          <w:wAfter w:w="1559" w:type="dxa"/>
        </w:trPr>
        <w:tc>
          <w:tcPr>
            <w:tcW w:w="5670" w:type="dxa"/>
            <w:tcBorders>
              <w:left w:val="nil"/>
              <w:right w:val="nil"/>
            </w:tcBorders>
          </w:tcPr>
          <w:p w14:paraId="7A6A22AE" w14:textId="77777777" w:rsidR="00323BB2" w:rsidRPr="0061063C" w:rsidRDefault="00323BB2" w:rsidP="00453AFA">
            <w:pPr>
              <w:ind w:left="-90"/>
              <w:rPr>
                <w:rFonts w:asciiTheme="minorHAnsi" w:hAnsiTheme="minorHAnsi"/>
                <w:sz w:val="20"/>
              </w:rPr>
            </w:pPr>
            <w:r w:rsidRPr="0061063C">
              <w:rPr>
                <w:rFonts w:asciiTheme="minorHAnsi" w:hAnsiTheme="minorHAnsi"/>
                <w:sz w:val="20"/>
              </w:rPr>
              <w:t>Foreign exchange gain on translation of the net assets of foreign currency denominated entities</w:t>
            </w:r>
            <w:r w:rsidRPr="0061063C">
              <w:rPr>
                <w:rFonts w:asciiTheme="minorHAnsi" w:hAnsiTheme="minorHAnsi"/>
                <w:sz w:val="20"/>
                <w:vertAlign w:val="superscript"/>
              </w:rPr>
              <w:t>1</w:t>
            </w:r>
          </w:p>
        </w:tc>
        <w:tc>
          <w:tcPr>
            <w:tcW w:w="709" w:type="dxa"/>
            <w:tcBorders>
              <w:left w:val="nil"/>
              <w:right w:val="nil"/>
            </w:tcBorders>
          </w:tcPr>
          <w:p w14:paraId="54C16971" w14:textId="77777777" w:rsidR="00323BB2" w:rsidRPr="0061063C" w:rsidRDefault="00323BB2" w:rsidP="00453AFA">
            <w:pPr>
              <w:jc w:val="center"/>
              <w:rPr>
                <w:rFonts w:asciiTheme="minorHAnsi" w:hAnsiTheme="minorHAnsi"/>
                <w:iCs/>
                <w:sz w:val="20"/>
              </w:rPr>
            </w:pPr>
          </w:p>
          <w:p w14:paraId="1AF6F430" w14:textId="77777777" w:rsidR="00323BB2" w:rsidRPr="0061063C" w:rsidRDefault="00323BB2" w:rsidP="00453AFA">
            <w:pPr>
              <w:jc w:val="center"/>
              <w:rPr>
                <w:rFonts w:asciiTheme="minorHAnsi" w:hAnsiTheme="minorHAnsi"/>
                <w:iCs/>
                <w:sz w:val="20"/>
              </w:rPr>
            </w:pPr>
          </w:p>
        </w:tc>
        <w:tc>
          <w:tcPr>
            <w:tcW w:w="1418" w:type="dxa"/>
            <w:tcBorders>
              <w:left w:val="nil"/>
              <w:right w:val="nil"/>
            </w:tcBorders>
          </w:tcPr>
          <w:p w14:paraId="0F028AA4" w14:textId="77777777" w:rsidR="00323BB2" w:rsidRPr="0061063C" w:rsidRDefault="00323BB2" w:rsidP="00453AFA">
            <w:pPr>
              <w:jc w:val="right"/>
              <w:rPr>
                <w:rFonts w:asciiTheme="minorHAnsi" w:hAnsiTheme="minorHAnsi"/>
                <w:b/>
                <w:bCs/>
                <w:sz w:val="20"/>
              </w:rPr>
            </w:pPr>
          </w:p>
          <w:p w14:paraId="6F8D67B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174.7</w:t>
            </w:r>
          </w:p>
        </w:tc>
        <w:tc>
          <w:tcPr>
            <w:tcW w:w="1525" w:type="dxa"/>
            <w:tcBorders>
              <w:left w:val="nil"/>
              <w:right w:val="nil"/>
            </w:tcBorders>
          </w:tcPr>
          <w:p w14:paraId="1ED05217" w14:textId="77777777" w:rsidR="00323BB2" w:rsidRPr="0061063C" w:rsidRDefault="00323BB2" w:rsidP="00453AFA">
            <w:pPr>
              <w:jc w:val="right"/>
              <w:rPr>
                <w:rFonts w:asciiTheme="minorHAnsi" w:hAnsiTheme="minorHAnsi"/>
                <w:bCs/>
                <w:sz w:val="20"/>
              </w:rPr>
            </w:pPr>
          </w:p>
          <w:p w14:paraId="38E9ECD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w:t>
            </w:r>
          </w:p>
        </w:tc>
      </w:tr>
      <w:tr w:rsidR="00323BB2" w:rsidRPr="0061063C" w14:paraId="072D6C06" w14:textId="77777777" w:rsidTr="00453AFA">
        <w:trPr>
          <w:gridAfter w:val="1"/>
          <w:wAfter w:w="1559" w:type="dxa"/>
        </w:trPr>
        <w:tc>
          <w:tcPr>
            <w:tcW w:w="5670" w:type="dxa"/>
            <w:tcBorders>
              <w:left w:val="nil"/>
              <w:right w:val="nil"/>
            </w:tcBorders>
          </w:tcPr>
          <w:p w14:paraId="197C907D" w14:textId="77777777" w:rsidR="00323BB2" w:rsidRPr="0061063C" w:rsidRDefault="00323BB2" w:rsidP="00453AFA">
            <w:pPr>
              <w:ind w:left="-90"/>
              <w:rPr>
                <w:rFonts w:asciiTheme="minorHAnsi" w:hAnsiTheme="minorHAnsi"/>
                <w:sz w:val="20"/>
              </w:rPr>
            </w:pPr>
            <w:r w:rsidRPr="0061063C">
              <w:rPr>
                <w:rFonts w:asciiTheme="minorHAnsi" w:hAnsiTheme="minorHAnsi"/>
                <w:sz w:val="20"/>
              </w:rPr>
              <w:t>Debt instruments at FVOCI</w:t>
            </w:r>
          </w:p>
        </w:tc>
        <w:tc>
          <w:tcPr>
            <w:tcW w:w="709" w:type="dxa"/>
            <w:tcBorders>
              <w:left w:val="nil"/>
              <w:right w:val="nil"/>
            </w:tcBorders>
          </w:tcPr>
          <w:p w14:paraId="5ABFCAA6" w14:textId="77777777" w:rsidR="00323BB2" w:rsidRPr="0061063C" w:rsidRDefault="00323BB2" w:rsidP="00453AFA">
            <w:pPr>
              <w:jc w:val="center"/>
              <w:rPr>
                <w:rFonts w:asciiTheme="minorHAnsi" w:hAnsiTheme="minorHAnsi"/>
                <w:iCs/>
                <w:sz w:val="20"/>
              </w:rPr>
            </w:pPr>
          </w:p>
        </w:tc>
        <w:tc>
          <w:tcPr>
            <w:tcW w:w="1418" w:type="dxa"/>
            <w:tcBorders>
              <w:left w:val="nil"/>
              <w:right w:val="nil"/>
            </w:tcBorders>
          </w:tcPr>
          <w:p w14:paraId="0ACE335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0.1</w:t>
            </w:r>
          </w:p>
        </w:tc>
        <w:tc>
          <w:tcPr>
            <w:tcW w:w="1525" w:type="dxa"/>
            <w:tcBorders>
              <w:left w:val="nil"/>
              <w:right w:val="nil"/>
            </w:tcBorders>
          </w:tcPr>
          <w:p w14:paraId="2394312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24C411D" w14:textId="77777777" w:rsidTr="00453AFA">
        <w:trPr>
          <w:gridAfter w:val="1"/>
          <w:wAfter w:w="1559" w:type="dxa"/>
          <w:trHeight w:val="204"/>
        </w:trPr>
        <w:tc>
          <w:tcPr>
            <w:tcW w:w="5670" w:type="dxa"/>
            <w:tcBorders>
              <w:top w:val="single" w:sz="4" w:space="0" w:color="auto"/>
              <w:left w:val="nil"/>
              <w:bottom w:val="single" w:sz="4" w:space="0" w:color="auto"/>
              <w:right w:val="nil"/>
            </w:tcBorders>
          </w:tcPr>
          <w:p w14:paraId="7495DC05" w14:textId="77777777" w:rsidR="00323BB2" w:rsidRPr="0061063C" w:rsidRDefault="00323BB2" w:rsidP="00453AFA">
            <w:pPr>
              <w:ind w:left="-90"/>
              <w:rPr>
                <w:rFonts w:asciiTheme="minorHAnsi" w:hAnsiTheme="minorHAnsi"/>
                <w:b/>
                <w:sz w:val="20"/>
              </w:rPr>
            </w:pPr>
            <w:r w:rsidRPr="0061063C">
              <w:rPr>
                <w:rFonts w:asciiTheme="minorHAnsi" w:hAnsiTheme="minorHAnsi"/>
                <w:b/>
                <w:sz w:val="20"/>
              </w:rPr>
              <w:t xml:space="preserve">Other comprehensive income </w:t>
            </w:r>
          </w:p>
        </w:tc>
        <w:tc>
          <w:tcPr>
            <w:tcW w:w="709" w:type="dxa"/>
            <w:tcBorders>
              <w:top w:val="single" w:sz="4" w:space="0" w:color="auto"/>
              <w:left w:val="nil"/>
              <w:bottom w:val="single" w:sz="4" w:space="0" w:color="auto"/>
              <w:right w:val="nil"/>
            </w:tcBorders>
          </w:tcPr>
          <w:p w14:paraId="3426B4B6" w14:textId="77777777" w:rsidR="00323BB2" w:rsidRPr="0061063C" w:rsidRDefault="00323BB2" w:rsidP="00453AFA">
            <w:pPr>
              <w:rPr>
                <w:rFonts w:asciiTheme="minorHAnsi" w:hAnsiTheme="minorHAnsi"/>
                <w:iCs/>
                <w:sz w:val="20"/>
              </w:rPr>
            </w:pPr>
          </w:p>
        </w:tc>
        <w:tc>
          <w:tcPr>
            <w:tcW w:w="1418" w:type="dxa"/>
            <w:tcBorders>
              <w:top w:val="single" w:sz="4" w:space="0" w:color="auto"/>
              <w:left w:val="nil"/>
              <w:bottom w:val="single" w:sz="4" w:space="0" w:color="auto"/>
              <w:right w:val="nil"/>
            </w:tcBorders>
          </w:tcPr>
          <w:p w14:paraId="4BEF7E9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173.1</w:t>
            </w:r>
          </w:p>
        </w:tc>
        <w:tc>
          <w:tcPr>
            <w:tcW w:w="1525" w:type="dxa"/>
            <w:tcBorders>
              <w:top w:val="single" w:sz="4" w:space="0" w:color="auto"/>
              <w:left w:val="nil"/>
              <w:bottom w:val="single" w:sz="4" w:space="0" w:color="auto"/>
              <w:right w:val="nil"/>
            </w:tcBorders>
          </w:tcPr>
          <w:p w14:paraId="3DD728F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w:t>
            </w:r>
          </w:p>
        </w:tc>
      </w:tr>
      <w:tr w:rsidR="00323BB2" w:rsidRPr="0061063C" w14:paraId="57D6F579" w14:textId="77777777" w:rsidTr="00453AFA">
        <w:trPr>
          <w:gridAfter w:val="1"/>
          <w:wAfter w:w="1559" w:type="dxa"/>
          <w:trHeight w:val="204"/>
        </w:trPr>
        <w:tc>
          <w:tcPr>
            <w:tcW w:w="5670" w:type="dxa"/>
            <w:tcBorders>
              <w:top w:val="single" w:sz="4" w:space="0" w:color="auto"/>
              <w:left w:val="nil"/>
              <w:bottom w:val="single" w:sz="4" w:space="0" w:color="auto"/>
              <w:right w:val="nil"/>
            </w:tcBorders>
          </w:tcPr>
          <w:p w14:paraId="426AA8C9" w14:textId="77777777" w:rsidR="00323BB2" w:rsidRPr="0061063C" w:rsidRDefault="00323BB2" w:rsidP="00453AFA">
            <w:pPr>
              <w:ind w:left="-90"/>
              <w:rPr>
                <w:rFonts w:asciiTheme="minorHAnsi" w:hAnsiTheme="minorHAnsi"/>
                <w:b/>
                <w:sz w:val="20"/>
              </w:rPr>
            </w:pPr>
            <w:r w:rsidRPr="0061063C">
              <w:rPr>
                <w:rFonts w:asciiTheme="minorHAnsi" w:hAnsiTheme="minorHAnsi"/>
                <w:b/>
                <w:sz w:val="20"/>
              </w:rPr>
              <w:t xml:space="preserve">Total comprehensive income for the period </w:t>
            </w:r>
          </w:p>
        </w:tc>
        <w:tc>
          <w:tcPr>
            <w:tcW w:w="709" w:type="dxa"/>
            <w:tcBorders>
              <w:top w:val="single" w:sz="4" w:space="0" w:color="auto"/>
              <w:left w:val="nil"/>
              <w:bottom w:val="single" w:sz="4" w:space="0" w:color="auto"/>
              <w:right w:val="nil"/>
            </w:tcBorders>
          </w:tcPr>
          <w:p w14:paraId="10DA0A28" w14:textId="77777777" w:rsidR="00323BB2" w:rsidRPr="0061063C" w:rsidRDefault="00323BB2" w:rsidP="00453AFA">
            <w:pPr>
              <w:rPr>
                <w:rFonts w:asciiTheme="minorHAnsi" w:hAnsiTheme="minorHAnsi"/>
                <w:iCs/>
                <w:sz w:val="20"/>
              </w:rPr>
            </w:pPr>
          </w:p>
        </w:tc>
        <w:tc>
          <w:tcPr>
            <w:tcW w:w="1418" w:type="dxa"/>
            <w:tcBorders>
              <w:top w:val="single" w:sz="4" w:space="0" w:color="auto"/>
              <w:left w:val="nil"/>
              <w:bottom w:val="single" w:sz="4" w:space="0" w:color="auto"/>
              <w:right w:val="nil"/>
            </w:tcBorders>
          </w:tcPr>
          <w:p w14:paraId="17C4509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182.1</w:t>
            </w:r>
          </w:p>
        </w:tc>
        <w:tc>
          <w:tcPr>
            <w:tcW w:w="1525" w:type="dxa"/>
            <w:tcBorders>
              <w:top w:val="single" w:sz="4" w:space="0" w:color="auto"/>
              <w:left w:val="nil"/>
              <w:bottom w:val="single" w:sz="4" w:space="0" w:color="auto"/>
              <w:right w:val="nil"/>
            </w:tcBorders>
          </w:tcPr>
          <w:p w14:paraId="6153685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69.6</w:t>
            </w:r>
          </w:p>
        </w:tc>
      </w:tr>
      <w:tr w:rsidR="00323BB2" w:rsidRPr="0061063C" w14:paraId="276D0700" w14:textId="77777777" w:rsidTr="00453AFA">
        <w:trPr>
          <w:gridAfter w:val="1"/>
          <w:wAfter w:w="1559" w:type="dxa"/>
          <w:trHeight w:val="204"/>
        </w:trPr>
        <w:tc>
          <w:tcPr>
            <w:tcW w:w="5670" w:type="dxa"/>
            <w:tcBorders>
              <w:top w:val="single" w:sz="4" w:space="0" w:color="auto"/>
              <w:left w:val="nil"/>
              <w:right w:val="nil"/>
            </w:tcBorders>
          </w:tcPr>
          <w:p w14:paraId="6C94064F" w14:textId="77777777" w:rsidR="00323BB2" w:rsidRPr="0061063C" w:rsidRDefault="00323BB2" w:rsidP="00453AFA">
            <w:pPr>
              <w:ind w:left="-90"/>
              <w:rPr>
                <w:rFonts w:asciiTheme="minorHAnsi" w:hAnsiTheme="minorHAnsi"/>
                <w:b/>
                <w:sz w:val="20"/>
              </w:rPr>
            </w:pPr>
          </w:p>
        </w:tc>
        <w:tc>
          <w:tcPr>
            <w:tcW w:w="709" w:type="dxa"/>
            <w:tcBorders>
              <w:top w:val="single" w:sz="4" w:space="0" w:color="auto"/>
              <w:left w:val="nil"/>
              <w:right w:val="nil"/>
            </w:tcBorders>
          </w:tcPr>
          <w:p w14:paraId="05C2FF5C" w14:textId="77777777" w:rsidR="00323BB2" w:rsidRPr="0061063C" w:rsidRDefault="00323BB2" w:rsidP="00453AFA">
            <w:pPr>
              <w:rPr>
                <w:rFonts w:asciiTheme="minorHAnsi" w:hAnsiTheme="minorHAnsi"/>
                <w:iCs/>
                <w:sz w:val="20"/>
              </w:rPr>
            </w:pPr>
          </w:p>
        </w:tc>
        <w:tc>
          <w:tcPr>
            <w:tcW w:w="1418" w:type="dxa"/>
            <w:tcBorders>
              <w:top w:val="single" w:sz="4" w:space="0" w:color="auto"/>
              <w:left w:val="nil"/>
              <w:right w:val="nil"/>
            </w:tcBorders>
          </w:tcPr>
          <w:p w14:paraId="24CB2D3D" w14:textId="77777777" w:rsidR="00323BB2" w:rsidRPr="0061063C" w:rsidRDefault="00323BB2" w:rsidP="00453AFA">
            <w:pPr>
              <w:jc w:val="right"/>
              <w:rPr>
                <w:rFonts w:asciiTheme="minorHAnsi" w:hAnsiTheme="minorHAnsi"/>
                <w:b/>
                <w:bCs/>
                <w:sz w:val="20"/>
              </w:rPr>
            </w:pPr>
          </w:p>
        </w:tc>
        <w:tc>
          <w:tcPr>
            <w:tcW w:w="1525" w:type="dxa"/>
            <w:tcBorders>
              <w:top w:val="single" w:sz="4" w:space="0" w:color="auto"/>
              <w:left w:val="nil"/>
              <w:right w:val="nil"/>
            </w:tcBorders>
          </w:tcPr>
          <w:p w14:paraId="21933535" w14:textId="77777777" w:rsidR="00323BB2" w:rsidRPr="0061063C" w:rsidRDefault="00323BB2" w:rsidP="00453AFA">
            <w:pPr>
              <w:jc w:val="right"/>
              <w:rPr>
                <w:rFonts w:asciiTheme="minorHAnsi" w:hAnsiTheme="minorHAnsi"/>
                <w:bCs/>
                <w:sz w:val="20"/>
              </w:rPr>
            </w:pPr>
          </w:p>
        </w:tc>
      </w:tr>
      <w:tr w:rsidR="00323BB2" w:rsidRPr="0061063C" w14:paraId="07580197" w14:textId="77777777" w:rsidTr="00453AFA">
        <w:trPr>
          <w:gridAfter w:val="1"/>
          <w:wAfter w:w="1559" w:type="dxa"/>
          <w:trHeight w:val="204"/>
        </w:trPr>
        <w:tc>
          <w:tcPr>
            <w:tcW w:w="5670" w:type="dxa"/>
            <w:tcBorders>
              <w:left w:val="nil"/>
              <w:right w:val="nil"/>
            </w:tcBorders>
          </w:tcPr>
          <w:p w14:paraId="1CB24F30" w14:textId="77777777" w:rsidR="00323BB2" w:rsidRPr="0061063C" w:rsidRDefault="00323BB2" w:rsidP="00453AFA">
            <w:pPr>
              <w:ind w:left="-90"/>
              <w:rPr>
                <w:rFonts w:asciiTheme="minorHAnsi" w:hAnsiTheme="minorHAnsi"/>
                <w:b/>
                <w:sz w:val="20"/>
              </w:rPr>
            </w:pPr>
            <w:r w:rsidRPr="0061063C">
              <w:rPr>
                <w:rFonts w:asciiTheme="minorHAnsi" w:hAnsiTheme="minorHAnsi"/>
                <w:b/>
                <w:sz w:val="20"/>
              </w:rPr>
              <w:t xml:space="preserve">Attributable to: </w:t>
            </w:r>
          </w:p>
        </w:tc>
        <w:tc>
          <w:tcPr>
            <w:tcW w:w="709" w:type="dxa"/>
            <w:tcBorders>
              <w:left w:val="nil"/>
              <w:right w:val="nil"/>
            </w:tcBorders>
          </w:tcPr>
          <w:p w14:paraId="7F94A326" w14:textId="77777777" w:rsidR="00323BB2" w:rsidRPr="0061063C" w:rsidRDefault="00323BB2" w:rsidP="00453AFA">
            <w:pPr>
              <w:rPr>
                <w:rFonts w:asciiTheme="minorHAnsi" w:hAnsiTheme="minorHAnsi"/>
                <w:iCs/>
                <w:sz w:val="20"/>
              </w:rPr>
            </w:pPr>
          </w:p>
        </w:tc>
        <w:tc>
          <w:tcPr>
            <w:tcW w:w="1418" w:type="dxa"/>
            <w:tcBorders>
              <w:left w:val="nil"/>
              <w:right w:val="nil"/>
            </w:tcBorders>
          </w:tcPr>
          <w:p w14:paraId="0443EA49" w14:textId="77777777" w:rsidR="00323BB2" w:rsidRPr="0061063C" w:rsidRDefault="00323BB2" w:rsidP="00453AFA">
            <w:pPr>
              <w:jc w:val="right"/>
              <w:rPr>
                <w:rFonts w:asciiTheme="minorHAnsi" w:hAnsiTheme="minorHAnsi"/>
                <w:b/>
                <w:bCs/>
                <w:sz w:val="20"/>
              </w:rPr>
            </w:pPr>
          </w:p>
        </w:tc>
        <w:tc>
          <w:tcPr>
            <w:tcW w:w="1525" w:type="dxa"/>
            <w:tcBorders>
              <w:left w:val="nil"/>
              <w:right w:val="nil"/>
            </w:tcBorders>
          </w:tcPr>
          <w:p w14:paraId="3C7FA133" w14:textId="77777777" w:rsidR="00323BB2" w:rsidRPr="0061063C" w:rsidRDefault="00323BB2" w:rsidP="00453AFA">
            <w:pPr>
              <w:jc w:val="right"/>
              <w:rPr>
                <w:rFonts w:asciiTheme="minorHAnsi" w:hAnsiTheme="minorHAnsi"/>
                <w:bCs/>
                <w:sz w:val="20"/>
              </w:rPr>
            </w:pPr>
          </w:p>
        </w:tc>
      </w:tr>
      <w:tr w:rsidR="00323BB2" w:rsidRPr="0061063C" w14:paraId="77746442" w14:textId="77777777" w:rsidTr="00453AFA">
        <w:trPr>
          <w:gridAfter w:val="1"/>
          <w:wAfter w:w="1559" w:type="dxa"/>
          <w:trHeight w:val="204"/>
        </w:trPr>
        <w:tc>
          <w:tcPr>
            <w:tcW w:w="5670" w:type="dxa"/>
            <w:tcBorders>
              <w:left w:val="nil"/>
              <w:right w:val="nil"/>
            </w:tcBorders>
          </w:tcPr>
          <w:p w14:paraId="5641AC16" w14:textId="77777777" w:rsidR="00323BB2" w:rsidRPr="0061063C" w:rsidRDefault="00323BB2" w:rsidP="00453AFA">
            <w:pPr>
              <w:ind w:left="-90"/>
              <w:rPr>
                <w:rFonts w:asciiTheme="minorHAnsi" w:hAnsiTheme="minorHAnsi"/>
                <w:b/>
                <w:sz w:val="20"/>
              </w:rPr>
            </w:pPr>
            <w:r w:rsidRPr="0061063C">
              <w:rPr>
                <w:rFonts w:asciiTheme="minorHAnsi" w:hAnsiTheme="minorHAnsi"/>
                <w:bCs/>
                <w:sz w:val="20"/>
              </w:rPr>
              <w:t>Equity holders of the Company</w:t>
            </w:r>
          </w:p>
        </w:tc>
        <w:tc>
          <w:tcPr>
            <w:tcW w:w="709" w:type="dxa"/>
            <w:tcBorders>
              <w:left w:val="nil"/>
              <w:right w:val="nil"/>
            </w:tcBorders>
          </w:tcPr>
          <w:p w14:paraId="3073A49B" w14:textId="77777777" w:rsidR="00323BB2" w:rsidRPr="0061063C" w:rsidRDefault="00323BB2" w:rsidP="00453AFA">
            <w:pPr>
              <w:rPr>
                <w:rFonts w:asciiTheme="minorHAnsi" w:hAnsiTheme="minorHAnsi"/>
                <w:iCs/>
                <w:sz w:val="20"/>
              </w:rPr>
            </w:pPr>
          </w:p>
        </w:tc>
        <w:tc>
          <w:tcPr>
            <w:tcW w:w="1418" w:type="dxa"/>
            <w:tcBorders>
              <w:left w:val="nil"/>
              <w:right w:val="nil"/>
            </w:tcBorders>
          </w:tcPr>
          <w:p w14:paraId="5F7E954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181.0</w:t>
            </w:r>
          </w:p>
        </w:tc>
        <w:tc>
          <w:tcPr>
            <w:tcW w:w="1525" w:type="dxa"/>
            <w:tcBorders>
              <w:left w:val="nil"/>
              <w:right w:val="nil"/>
            </w:tcBorders>
          </w:tcPr>
          <w:p w14:paraId="16312C1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78.4</w:t>
            </w:r>
          </w:p>
        </w:tc>
      </w:tr>
      <w:tr w:rsidR="00323BB2" w:rsidRPr="0061063C" w14:paraId="0AC979FB" w14:textId="77777777" w:rsidTr="00453AFA">
        <w:trPr>
          <w:gridAfter w:val="1"/>
          <w:wAfter w:w="1559" w:type="dxa"/>
          <w:trHeight w:val="204"/>
        </w:trPr>
        <w:tc>
          <w:tcPr>
            <w:tcW w:w="5670" w:type="dxa"/>
            <w:tcBorders>
              <w:left w:val="nil"/>
              <w:bottom w:val="single" w:sz="4" w:space="0" w:color="auto"/>
              <w:right w:val="nil"/>
            </w:tcBorders>
          </w:tcPr>
          <w:p w14:paraId="4737413F" w14:textId="77777777" w:rsidR="00323BB2" w:rsidRPr="0061063C" w:rsidRDefault="00323BB2" w:rsidP="00453AFA">
            <w:pPr>
              <w:ind w:left="-90"/>
              <w:rPr>
                <w:rFonts w:asciiTheme="minorHAnsi" w:hAnsiTheme="minorHAnsi"/>
                <w:b/>
                <w:sz w:val="20"/>
              </w:rPr>
            </w:pPr>
            <w:r w:rsidRPr="0061063C">
              <w:rPr>
                <w:rFonts w:asciiTheme="minorHAnsi" w:hAnsiTheme="minorHAnsi"/>
                <w:bCs/>
                <w:sz w:val="20"/>
              </w:rPr>
              <w:t>Non-controlling interest</w:t>
            </w:r>
          </w:p>
        </w:tc>
        <w:tc>
          <w:tcPr>
            <w:tcW w:w="709" w:type="dxa"/>
            <w:tcBorders>
              <w:left w:val="nil"/>
              <w:bottom w:val="single" w:sz="4" w:space="0" w:color="auto"/>
              <w:right w:val="nil"/>
            </w:tcBorders>
          </w:tcPr>
          <w:p w14:paraId="2DCEDEBC" w14:textId="77777777" w:rsidR="00323BB2" w:rsidRPr="0061063C" w:rsidRDefault="00323BB2" w:rsidP="00453AFA">
            <w:pPr>
              <w:rPr>
                <w:rFonts w:asciiTheme="minorHAnsi" w:hAnsiTheme="minorHAnsi"/>
                <w:iCs/>
                <w:sz w:val="20"/>
              </w:rPr>
            </w:pPr>
          </w:p>
        </w:tc>
        <w:tc>
          <w:tcPr>
            <w:tcW w:w="1418" w:type="dxa"/>
            <w:tcBorders>
              <w:left w:val="nil"/>
              <w:bottom w:val="single" w:sz="4" w:space="0" w:color="auto"/>
              <w:right w:val="nil"/>
            </w:tcBorders>
            <w:shd w:val="clear" w:color="auto" w:fill="auto"/>
          </w:tcPr>
          <w:p w14:paraId="7443ABC2"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1.1</w:t>
            </w:r>
          </w:p>
        </w:tc>
        <w:tc>
          <w:tcPr>
            <w:tcW w:w="1525" w:type="dxa"/>
            <w:tcBorders>
              <w:left w:val="nil"/>
              <w:bottom w:val="single" w:sz="4" w:space="0" w:color="auto"/>
              <w:right w:val="nil"/>
            </w:tcBorders>
          </w:tcPr>
          <w:p w14:paraId="63212D0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(8.8)</w:t>
            </w:r>
          </w:p>
        </w:tc>
      </w:tr>
      <w:tr w:rsidR="00323BB2" w:rsidRPr="0061063C" w14:paraId="317D4555" w14:textId="77777777" w:rsidTr="00453AFA">
        <w:trPr>
          <w:gridAfter w:val="1"/>
          <w:wAfter w:w="1559" w:type="dxa"/>
          <w:trHeight w:val="204"/>
        </w:trPr>
        <w:tc>
          <w:tcPr>
            <w:tcW w:w="5670" w:type="dxa"/>
            <w:tcBorders>
              <w:top w:val="single" w:sz="4" w:space="0" w:color="auto"/>
              <w:left w:val="nil"/>
              <w:bottom w:val="single" w:sz="4" w:space="0" w:color="auto"/>
              <w:right w:val="nil"/>
            </w:tcBorders>
          </w:tcPr>
          <w:p w14:paraId="6E593F23" w14:textId="77777777" w:rsidR="00323BB2" w:rsidRPr="0061063C" w:rsidRDefault="00323BB2" w:rsidP="00453AFA">
            <w:pPr>
              <w:ind w:left="-90"/>
              <w:rPr>
                <w:rFonts w:asciiTheme="minorHAnsi" w:hAnsiTheme="minorHAnsi"/>
                <w:b/>
                <w:sz w:val="20"/>
              </w:rPr>
            </w:pPr>
          </w:p>
        </w:tc>
        <w:tc>
          <w:tcPr>
            <w:tcW w:w="709" w:type="dxa"/>
            <w:tcBorders>
              <w:top w:val="single" w:sz="4" w:space="0" w:color="auto"/>
              <w:left w:val="nil"/>
              <w:bottom w:val="single" w:sz="4" w:space="0" w:color="auto"/>
              <w:right w:val="nil"/>
            </w:tcBorders>
          </w:tcPr>
          <w:p w14:paraId="70D82151" w14:textId="77777777" w:rsidR="00323BB2" w:rsidRPr="0061063C" w:rsidRDefault="00323BB2" w:rsidP="00453AFA">
            <w:pPr>
              <w:rPr>
                <w:rFonts w:asciiTheme="minorHAnsi" w:hAnsiTheme="minorHAnsi"/>
                <w:iCs/>
                <w:sz w:val="20"/>
              </w:rPr>
            </w:pPr>
          </w:p>
        </w:tc>
        <w:tc>
          <w:tcPr>
            <w:tcW w:w="1418" w:type="dxa"/>
            <w:tcBorders>
              <w:top w:val="single" w:sz="4" w:space="0" w:color="auto"/>
              <w:left w:val="nil"/>
              <w:bottom w:val="single" w:sz="4" w:space="0" w:color="auto"/>
              <w:right w:val="nil"/>
            </w:tcBorders>
          </w:tcPr>
          <w:p w14:paraId="2E83072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182.1</w:t>
            </w:r>
          </w:p>
        </w:tc>
        <w:tc>
          <w:tcPr>
            <w:tcW w:w="1525" w:type="dxa"/>
            <w:tcBorders>
              <w:top w:val="single" w:sz="4" w:space="0" w:color="auto"/>
              <w:left w:val="nil"/>
              <w:bottom w:val="single" w:sz="4" w:space="0" w:color="auto"/>
              <w:right w:val="nil"/>
            </w:tcBorders>
          </w:tcPr>
          <w:p w14:paraId="73B63E3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69.6</w:t>
            </w:r>
          </w:p>
        </w:tc>
      </w:tr>
      <w:bookmarkEnd w:id="9"/>
    </w:tbl>
    <w:p w14:paraId="2DD98BD9" w14:textId="77777777" w:rsidR="00323BB2" w:rsidRPr="0061063C" w:rsidRDefault="00323BB2" w:rsidP="00323BB2">
      <w:pPr>
        <w:pStyle w:val="BodyText"/>
        <w:spacing w:after="0"/>
        <w:rPr>
          <w:b/>
          <w:sz w:val="20"/>
          <w:szCs w:val="20"/>
          <w:lang w:val="en-IE"/>
        </w:rPr>
      </w:pPr>
    </w:p>
    <w:p w14:paraId="0DD6BFA1" w14:textId="77777777" w:rsidR="00323BB2" w:rsidRPr="0061063C" w:rsidRDefault="00323BB2" w:rsidP="00323BB2">
      <w:pPr>
        <w:rPr>
          <w:rFonts w:asciiTheme="minorHAnsi" w:hAnsiTheme="minorHAnsi" w:cstheme="minorHAnsi"/>
          <w:iCs/>
          <w:sz w:val="18"/>
          <w:szCs w:val="18"/>
        </w:rPr>
      </w:pPr>
      <w:r w:rsidRPr="0061063C">
        <w:rPr>
          <w:rFonts w:asciiTheme="minorHAnsi" w:hAnsiTheme="minorHAnsi" w:cstheme="minorHAnsi"/>
          <w:sz w:val="18"/>
          <w:szCs w:val="18"/>
          <w:vertAlign w:val="superscript"/>
        </w:rPr>
        <w:t>1</w:t>
      </w:r>
      <w:r>
        <w:rPr>
          <w:rFonts w:asciiTheme="minorHAnsi" w:hAnsiTheme="minorHAnsi" w:cstheme="minorHAnsi"/>
          <w:sz w:val="18"/>
          <w:szCs w:val="18"/>
          <w:vertAlign w:val="superscript"/>
        </w:rPr>
        <w:t xml:space="preserve"> </w:t>
      </w:r>
      <w:r w:rsidRPr="0061063C">
        <w:rPr>
          <w:rFonts w:asciiTheme="minorHAnsi" w:hAnsiTheme="minorHAnsi" w:cstheme="minorHAnsi"/>
          <w:sz w:val="18"/>
          <w:szCs w:val="18"/>
        </w:rPr>
        <w:t xml:space="preserve">Foreign exchange gain on translation of the net assets of foreign currency denominated entities is presented including an income tax credit of £6.2m </w:t>
      </w:r>
      <w:r w:rsidRPr="0061063C">
        <w:rPr>
          <w:rFonts w:asciiTheme="minorHAnsi" w:hAnsiTheme="minorHAnsi" w:cstheme="minorHAnsi"/>
          <w:iCs/>
          <w:sz w:val="18"/>
          <w:szCs w:val="18"/>
        </w:rPr>
        <w:t>which relates to the tax effect on foreign exchange activities with respect to the Group’s hedging activities. A corresponding tax charge of £6.2m in relation to the same is recognised in the Condensed Consolidated Income Statement such that there is no overall impact on the Condensed Consolidated Interim Statement of Financial position.</w:t>
      </w:r>
    </w:p>
    <w:bookmarkEnd w:id="10"/>
    <w:p w14:paraId="02823505" w14:textId="77777777" w:rsidR="00323BB2" w:rsidRPr="0061063C" w:rsidRDefault="00323BB2" w:rsidP="00323BB2">
      <w:pPr>
        <w:pStyle w:val="BodyText"/>
        <w:spacing w:after="0"/>
        <w:rPr>
          <w:sz w:val="20"/>
          <w:szCs w:val="20"/>
          <w:lang w:val="en-IE" w:eastAsia="en-IE"/>
        </w:rPr>
      </w:pPr>
    </w:p>
    <w:p w14:paraId="5838B6C3" w14:textId="77777777" w:rsidR="00323BB2" w:rsidRPr="0061063C" w:rsidRDefault="00323BB2" w:rsidP="00323BB2">
      <w:pPr>
        <w:pStyle w:val="BodyText"/>
        <w:spacing w:after="0"/>
        <w:rPr>
          <w:sz w:val="20"/>
          <w:szCs w:val="20"/>
          <w:lang w:val="en-IE" w:eastAsia="en-IE"/>
        </w:rPr>
      </w:pPr>
    </w:p>
    <w:p w14:paraId="12C84EA8" w14:textId="77777777" w:rsidR="00323BB2" w:rsidRPr="0061063C" w:rsidRDefault="00323BB2" w:rsidP="00323BB2">
      <w:pPr>
        <w:pStyle w:val="BodyText"/>
        <w:spacing w:after="0"/>
        <w:rPr>
          <w:sz w:val="20"/>
          <w:szCs w:val="20"/>
          <w:lang w:val="en-IE" w:eastAsia="en-IE"/>
        </w:rPr>
      </w:pPr>
    </w:p>
    <w:p w14:paraId="297E3828" w14:textId="77777777" w:rsidR="00323BB2" w:rsidRPr="0061063C" w:rsidRDefault="00323BB2" w:rsidP="00323BB2">
      <w:pPr>
        <w:pStyle w:val="BodyText"/>
        <w:spacing w:after="0"/>
        <w:rPr>
          <w:sz w:val="20"/>
          <w:szCs w:val="20"/>
          <w:lang w:val="en-IE" w:eastAsia="en-IE"/>
        </w:rPr>
      </w:pPr>
    </w:p>
    <w:p w14:paraId="6A3D280D" w14:textId="77777777" w:rsidR="00323BB2" w:rsidRPr="0061063C" w:rsidRDefault="00323BB2" w:rsidP="00323BB2">
      <w:pPr>
        <w:pStyle w:val="BodyText"/>
        <w:spacing w:after="0"/>
        <w:rPr>
          <w:sz w:val="20"/>
          <w:szCs w:val="20"/>
          <w:lang w:val="en-IE" w:eastAsia="en-IE"/>
        </w:rPr>
      </w:pPr>
    </w:p>
    <w:p w14:paraId="47366C8A" w14:textId="77777777" w:rsidR="00323BB2" w:rsidRPr="0061063C" w:rsidRDefault="00323BB2" w:rsidP="00323BB2">
      <w:pPr>
        <w:pStyle w:val="BodyText"/>
        <w:spacing w:after="0"/>
        <w:rPr>
          <w:sz w:val="20"/>
          <w:szCs w:val="20"/>
          <w:lang w:val="en-IE" w:eastAsia="en-IE"/>
        </w:rPr>
      </w:pPr>
    </w:p>
    <w:p w14:paraId="0DEEC09A" w14:textId="77777777" w:rsidR="00323BB2" w:rsidRPr="0061063C" w:rsidRDefault="00323BB2" w:rsidP="00323BB2">
      <w:pPr>
        <w:pStyle w:val="BodyText"/>
        <w:spacing w:after="0"/>
        <w:rPr>
          <w:sz w:val="20"/>
          <w:szCs w:val="20"/>
          <w:lang w:val="en-IE" w:eastAsia="en-IE"/>
        </w:rPr>
      </w:pPr>
    </w:p>
    <w:p w14:paraId="1B5F9EF3" w14:textId="77777777" w:rsidR="00323BB2" w:rsidRPr="0061063C" w:rsidRDefault="00323BB2" w:rsidP="00323BB2">
      <w:pPr>
        <w:pStyle w:val="BodyText"/>
        <w:spacing w:after="0"/>
        <w:rPr>
          <w:sz w:val="20"/>
          <w:szCs w:val="20"/>
          <w:lang w:val="en-IE"/>
        </w:rPr>
      </w:pPr>
      <w:r w:rsidRPr="0061063C">
        <w:rPr>
          <w:sz w:val="20"/>
          <w:szCs w:val="20"/>
          <w:lang w:val="en-IE"/>
        </w:rPr>
        <w:br w:type="page"/>
      </w:r>
    </w:p>
    <w:p w14:paraId="3E61A34C" w14:textId="77777777" w:rsidR="00323BB2" w:rsidRPr="0061063C" w:rsidRDefault="00323BB2" w:rsidP="00323BB2">
      <w:pPr>
        <w:pStyle w:val="BodyText"/>
        <w:spacing w:after="0"/>
        <w:rPr>
          <w:rFonts w:asciiTheme="minorHAnsi" w:hAnsiTheme="minorHAnsi"/>
          <w:b/>
          <w:sz w:val="20"/>
          <w:szCs w:val="20"/>
          <w:lang w:val="en-IE" w:eastAsia="en-IE"/>
        </w:rPr>
      </w:pPr>
      <w:r w:rsidRPr="0061063C">
        <w:rPr>
          <w:rFonts w:asciiTheme="minorHAnsi" w:hAnsiTheme="minorHAnsi"/>
          <w:b/>
          <w:sz w:val="20"/>
          <w:szCs w:val="20"/>
        </w:rPr>
        <w:lastRenderedPageBreak/>
        <w:t>CONDENSED CONSOLIDATED INTERIM STATEMENT OF FINANCIAL POSITION</w:t>
      </w:r>
    </w:p>
    <w:p w14:paraId="42C27E57" w14:textId="77777777" w:rsidR="00323BB2" w:rsidRPr="0061063C" w:rsidRDefault="00323BB2" w:rsidP="00323BB2">
      <w:pPr>
        <w:pStyle w:val="BodyText"/>
        <w:spacing w:after="0"/>
        <w:rPr>
          <w:rFonts w:asciiTheme="minorHAnsi" w:hAnsiTheme="minorHAnsi"/>
          <w:b/>
          <w:sz w:val="20"/>
          <w:szCs w:val="20"/>
          <w:lang w:val="en-IE" w:eastAsia="en-IE"/>
        </w:rPr>
      </w:pPr>
      <w:r w:rsidRPr="0061063C">
        <w:rPr>
          <w:rFonts w:asciiTheme="minorHAnsi" w:hAnsiTheme="minorHAnsi"/>
          <w:b/>
          <w:sz w:val="20"/>
          <w:szCs w:val="20"/>
          <w:lang w:val="en-IE" w:eastAsia="en-IE"/>
        </w:rPr>
        <w:t>As at 30 June 2020</w:t>
      </w:r>
    </w:p>
    <w:tbl>
      <w:tblPr>
        <w:tblW w:w="9531" w:type="dxa"/>
        <w:tblInd w:w="108" w:type="dxa"/>
        <w:tblLayout w:type="fixed"/>
        <w:tblLook w:val="0000" w:firstRow="0" w:lastRow="0" w:firstColumn="0" w:lastColumn="0" w:noHBand="0" w:noVBand="0"/>
      </w:tblPr>
      <w:tblGrid>
        <w:gridCol w:w="358"/>
        <w:gridCol w:w="3929"/>
        <w:gridCol w:w="708"/>
        <w:gridCol w:w="1843"/>
        <w:gridCol w:w="2126"/>
        <w:gridCol w:w="567"/>
      </w:tblGrid>
      <w:tr w:rsidR="00323BB2" w:rsidRPr="0061063C" w14:paraId="62B01BF7" w14:textId="77777777" w:rsidTr="00453AFA">
        <w:trPr>
          <w:gridAfter w:val="1"/>
          <w:wAfter w:w="567" w:type="dxa"/>
          <w:trHeight w:val="432"/>
        </w:trPr>
        <w:tc>
          <w:tcPr>
            <w:tcW w:w="4287" w:type="dxa"/>
            <w:gridSpan w:val="2"/>
            <w:tcBorders>
              <w:top w:val="single" w:sz="4" w:space="0" w:color="auto"/>
              <w:left w:val="nil"/>
              <w:bottom w:val="single" w:sz="4" w:space="0" w:color="auto"/>
              <w:right w:val="nil"/>
            </w:tcBorders>
          </w:tcPr>
          <w:p w14:paraId="3A75A061" w14:textId="77777777" w:rsidR="00323BB2" w:rsidRPr="0061063C" w:rsidRDefault="00323BB2" w:rsidP="00453AFA">
            <w:pPr>
              <w:ind w:left="-108"/>
              <w:jc w:val="both"/>
              <w:rPr>
                <w:rFonts w:asciiTheme="minorHAnsi" w:hAnsiTheme="minorHAnsi"/>
                <w:sz w:val="20"/>
              </w:rPr>
            </w:pPr>
          </w:p>
        </w:tc>
        <w:tc>
          <w:tcPr>
            <w:tcW w:w="708" w:type="dxa"/>
            <w:tcBorders>
              <w:top w:val="single" w:sz="4" w:space="0" w:color="auto"/>
              <w:left w:val="nil"/>
              <w:bottom w:val="single" w:sz="4" w:space="0" w:color="auto"/>
              <w:right w:val="nil"/>
            </w:tcBorders>
          </w:tcPr>
          <w:p w14:paraId="4D967BBC" w14:textId="77777777" w:rsidR="00323BB2" w:rsidRPr="0061063C" w:rsidRDefault="00323BB2" w:rsidP="00453AFA">
            <w:pPr>
              <w:rPr>
                <w:rFonts w:asciiTheme="minorHAnsi" w:hAnsiTheme="minorHAnsi"/>
                <w:iCs/>
                <w:sz w:val="20"/>
              </w:rPr>
            </w:pPr>
          </w:p>
          <w:p w14:paraId="2115B49D"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Note</w:t>
            </w:r>
          </w:p>
        </w:tc>
        <w:tc>
          <w:tcPr>
            <w:tcW w:w="1843" w:type="dxa"/>
            <w:tcBorders>
              <w:top w:val="single" w:sz="4" w:space="0" w:color="auto"/>
              <w:left w:val="nil"/>
              <w:bottom w:val="single" w:sz="4" w:space="0" w:color="auto"/>
              <w:right w:val="nil"/>
            </w:tcBorders>
          </w:tcPr>
          <w:p w14:paraId="58BEB24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30 June 2020</w:t>
            </w:r>
          </w:p>
          <w:p w14:paraId="26CAB71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(unaudited)</w:t>
            </w:r>
          </w:p>
          <w:p w14:paraId="49DFEBD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£m</w:t>
            </w:r>
          </w:p>
        </w:tc>
        <w:tc>
          <w:tcPr>
            <w:tcW w:w="2126" w:type="dxa"/>
            <w:tcBorders>
              <w:top w:val="single" w:sz="4" w:space="0" w:color="auto"/>
              <w:left w:val="nil"/>
              <w:bottom w:val="single" w:sz="4" w:space="0" w:color="auto"/>
              <w:right w:val="nil"/>
            </w:tcBorders>
          </w:tcPr>
          <w:p w14:paraId="2E6861B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31 December 2019</w:t>
            </w:r>
          </w:p>
          <w:p w14:paraId="7578860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(audited)</w:t>
            </w:r>
          </w:p>
          <w:p w14:paraId="2BBBE79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£m</w:t>
            </w:r>
          </w:p>
        </w:tc>
      </w:tr>
      <w:tr w:rsidR="00323BB2" w:rsidRPr="0061063C" w14:paraId="4D43A6DB" w14:textId="77777777" w:rsidTr="00453AFA">
        <w:trPr>
          <w:gridAfter w:val="1"/>
          <w:wAfter w:w="567" w:type="dxa"/>
          <w:trHeight w:val="80"/>
        </w:trPr>
        <w:tc>
          <w:tcPr>
            <w:tcW w:w="4287" w:type="dxa"/>
            <w:gridSpan w:val="2"/>
            <w:tcBorders>
              <w:top w:val="single" w:sz="4" w:space="0" w:color="auto"/>
              <w:left w:val="nil"/>
              <w:bottom w:val="nil"/>
              <w:right w:val="nil"/>
            </w:tcBorders>
          </w:tcPr>
          <w:p w14:paraId="192DAE98" w14:textId="77777777" w:rsidR="00323BB2" w:rsidRPr="0061063C" w:rsidRDefault="00323BB2" w:rsidP="00453AFA">
            <w:pPr>
              <w:spacing w:after="120"/>
              <w:ind w:left="-108"/>
              <w:rPr>
                <w:rFonts w:asciiTheme="minorHAnsi" w:hAnsiTheme="minorHAnsi"/>
                <w:b/>
                <w:bCs/>
                <w:sz w:val="20"/>
              </w:rPr>
            </w:pPr>
            <w:r w:rsidRPr="0061063C">
              <w:rPr>
                <w:rFonts w:asciiTheme="minorHAnsi" w:hAnsiTheme="minorHAnsi"/>
                <w:b/>
                <w:bCs/>
                <w:sz w:val="20"/>
              </w:rPr>
              <w:t>Assets</w:t>
            </w:r>
          </w:p>
        </w:tc>
        <w:tc>
          <w:tcPr>
            <w:tcW w:w="708" w:type="dxa"/>
            <w:tcBorders>
              <w:top w:val="single" w:sz="4" w:space="0" w:color="auto"/>
              <w:left w:val="nil"/>
              <w:bottom w:val="nil"/>
              <w:right w:val="nil"/>
            </w:tcBorders>
          </w:tcPr>
          <w:p w14:paraId="088FCB39"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nil"/>
              <w:right w:val="nil"/>
            </w:tcBorders>
          </w:tcPr>
          <w:p w14:paraId="0F74008F" w14:textId="77777777" w:rsidR="00323BB2" w:rsidRPr="0061063C" w:rsidRDefault="00323BB2" w:rsidP="00453AFA">
            <w:pPr>
              <w:jc w:val="right"/>
              <w:rPr>
                <w:rFonts w:asciiTheme="minorHAnsi" w:hAnsiTheme="minorHAnsi"/>
                <w:b/>
                <w:bCs/>
                <w:sz w:val="20"/>
              </w:rPr>
            </w:pPr>
          </w:p>
        </w:tc>
        <w:tc>
          <w:tcPr>
            <w:tcW w:w="2126" w:type="dxa"/>
            <w:tcBorders>
              <w:top w:val="single" w:sz="4" w:space="0" w:color="auto"/>
              <w:left w:val="nil"/>
              <w:bottom w:val="nil"/>
              <w:right w:val="nil"/>
            </w:tcBorders>
          </w:tcPr>
          <w:p w14:paraId="70461FEC" w14:textId="77777777" w:rsidR="00323BB2" w:rsidRPr="0061063C" w:rsidRDefault="00323BB2" w:rsidP="00453AFA">
            <w:pPr>
              <w:jc w:val="right"/>
              <w:rPr>
                <w:rFonts w:asciiTheme="minorHAnsi" w:hAnsiTheme="minorHAnsi"/>
                <w:bCs/>
                <w:sz w:val="20"/>
              </w:rPr>
            </w:pPr>
          </w:p>
        </w:tc>
      </w:tr>
      <w:tr w:rsidR="00323BB2" w:rsidRPr="0061063C" w14:paraId="4718878A" w14:textId="77777777" w:rsidTr="00453AFA">
        <w:trPr>
          <w:gridAfter w:val="1"/>
          <w:wAfter w:w="567" w:type="dxa"/>
        </w:trPr>
        <w:tc>
          <w:tcPr>
            <w:tcW w:w="4287" w:type="dxa"/>
            <w:gridSpan w:val="2"/>
            <w:tcBorders>
              <w:top w:val="nil"/>
              <w:left w:val="nil"/>
              <w:bottom w:val="nil"/>
              <w:right w:val="nil"/>
            </w:tcBorders>
          </w:tcPr>
          <w:p w14:paraId="3764FECB" w14:textId="77777777" w:rsidR="00323BB2" w:rsidRPr="0061063C" w:rsidRDefault="00323BB2" w:rsidP="00453AFA">
            <w:pPr>
              <w:ind w:left="-108"/>
              <w:rPr>
                <w:rFonts w:asciiTheme="minorHAnsi" w:hAnsiTheme="minorHAnsi"/>
                <w:sz w:val="20"/>
              </w:rPr>
            </w:pPr>
            <w:bookmarkStart w:id="11" w:name="_Hlk47366705"/>
            <w:r w:rsidRPr="0061063C">
              <w:rPr>
                <w:rFonts w:asciiTheme="minorHAnsi" w:hAnsiTheme="minorHAnsi"/>
                <w:sz w:val="20"/>
              </w:rPr>
              <w:t>Property, plant and equipment</w:t>
            </w:r>
          </w:p>
        </w:tc>
        <w:tc>
          <w:tcPr>
            <w:tcW w:w="708" w:type="dxa"/>
            <w:tcBorders>
              <w:top w:val="nil"/>
              <w:left w:val="nil"/>
              <w:bottom w:val="nil"/>
              <w:right w:val="nil"/>
            </w:tcBorders>
          </w:tcPr>
          <w:p w14:paraId="388F866A" w14:textId="77777777" w:rsidR="00323BB2" w:rsidRPr="0061063C" w:rsidRDefault="00323BB2" w:rsidP="00453AFA">
            <w:pPr>
              <w:jc w:val="center"/>
              <w:rPr>
                <w:rFonts w:asciiTheme="minorHAnsi" w:hAnsiTheme="minorHAnsi"/>
                <w:iCs/>
                <w:sz w:val="20"/>
              </w:rPr>
            </w:pPr>
          </w:p>
        </w:tc>
        <w:tc>
          <w:tcPr>
            <w:tcW w:w="1843" w:type="dxa"/>
            <w:tcBorders>
              <w:top w:val="nil"/>
              <w:left w:val="nil"/>
              <w:bottom w:val="nil"/>
              <w:right w:val="nil"/>
            </w:tcBorders>
          </w:tcPr>
          <w:p w14:paraId="7524741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385.6</w:t>
            </w:r>
          </w:p>
        </w:tc>
        <w:tc>
          <w:tcPr>
            <w:tcW w:w="2126" w:type="dxa"/>
            <w:tcBorders>
              <w:top w:val="nil"/>
              <w:left w:val="nil"/>
              <w:bottom w:val="nil"/>
              <w:right w:val="nil"/>
            </w:tcBorders>
          </w:tcPr>
          <w:p w14:paraId="1286593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298.2</w:t>
            </w:r>
          </w:p>
        </w:tc>
      </w:tr>
      <w:tr w:rsidR="00323BB2" w:rsidRPr="0061063C" w14:paraId="3E342DB6" w14:textId="77777777" w:rsidTr="00453AFA">
        <w:trPr>
          <w:gridAfter w:val="1"/>
          <w:wAfter w:w="567" w:type="dxa"/>
        </w:trPr>
        <w:tc>
          <w:tcPr>
            <w:tcW w:w="4287" w:type="dxa"/>
            <w:gridSpan w:val="2"/>
            <w:tcBorders>
              <w:top w:val="nil"/>
              <w:left w:val="nil"/>
              <w:bottom w:val="nil"/>
              <w:right w:val="nil"/>
            </w:tcBorders>
          </w:tcPr>
          <w:p w14:paraId="131491B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Intangible assets</w:t>
            </w:r>
          </w:p>
        </w:tc>
        <w:tc>
          <w:tcPr>
            <w:tcW w:w="708" w:type="dxa"/>
            <w:tcBorders>
              <w:top w:val="nil"/>
              <w:left w:val="nil"/>
              <w:bottom w:val="nil"/>
              <w:right w:val="nil"/>
            </w:tcBorders>
          </w:tcPr>
          <w:p w14:paraId="17264E55" w14:textId="77777777" w:rsidR="00323BB2" w:rsidRPr="0061063C" w:rsidRDefault="00323BB2" w:rsidP="00453AFA">
            <w:pPr>
              <w:jc w:val="center"/>
              <w:rPr>
                <w:rFonts w:asciiTheme="minorHAnsi" w:hAnsiTheme="minorHAnsi"/>
                <w:iCs/>
                <w:sz w:val="20"/>
              </w:rPr>
            </w:pPr>
          </w:p>
        </w:tc>
        <w:tc>
          <w:tcPr>
            <w:tcW w:w="1843" w:type="dxa"/>
            <w:tcBorders>
              <w:top w:val="nil"/>
              <w:left w:val="nil"/>
              <w:bottom w:val="nil"/>
              <w:right w:val="nil"/>
            </w:tcBorders>
          </w:tcPr>
          <w:p w14:paraId="3397BF3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5,868.6</w:t>
            </w:r>
          </w:p>
        </w:tc>
        <w:tc>
          <w:tcPr>
            <w:tcW w:w="2126" w:type="dxa"/>
            <w:tcBorders>
              <w:top w:val="nil"/>
              <w:left w:val="nil"/>
              <w:bottom w:val="nil"/>
              <w:right w:val="nil"/>
            </w:tcBorders>
          </w:tcPr>
          <w:p w14:paraId="5F904F0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558.5</w:t>
            </w:r>
          </w:p>
        </w:tc>
      </w:tr>
      <w:tr w:rsidR="00323BB2" w:rsidRPr="0061063C" w14:paraId="51485C2D" w14:textId="77777777" w:rsidTr="00453AFA">
        <w:trPr>
          <w:gridAfter w:val="1"/>
          <w:wAfter w:w="567" w:type="dxa"/>
          <w:trHeight w:val="92"/>
        </w:trPr>
        <w:tc>
          <w:tcPr>
            <w:tcW w:w="4287" w:type="dxa"/>
            <w:gridSpan w:val="2"/>
            <w:tcBorders>
              <w:top w:val="nil"/>
              <w:left w:val="nil"/>
              <w:right w:val="nil"/>
            </w:tcBorders>
          </w:tcPr>
          <w:p w14:paraId="72CA701D"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Goodwill</w:t>
            </w:r>
          </w:p>
        </w:tc>
        <w:tc>
          <w:tcPr>
            <w:tcW w:w="708" w:type="dxa"/>
            <w:tcBorders>
              <w:top w:val="nil"/>
              <w:left w:val="nil"/>
              <w:right w:val="nil"/>
            </w:tcBorders>
          </w:tcPr>
          <w:p w14:paraId="5B3BEFEF"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9</w:t>
            </w:r>
          </w:p>
        </w:tc>
        <w:tc>
          <w:tcPr>
            <w:tcW w:w="1843" w:type="dxa"/>
            <w:tcBorders>
              <w:top w:val="nil"/>
              <w:left w:val="nil"/>
              <w:right w:val="nil"/>
            </w:tcBorders>
          </w:tcPr>
          <w:p w14:paraId="2570972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9,533.7</w:t>
            </w:r>
          </w:p>
        </w:tc>
        <w:tc>
          <w:tcPr>
            <w:tcW w:w="2126" w:type="dxa"/>
            <w:tcBorders>
              <w:top w:val="nil"/>
              <w:left w:val="nil"/>
              <w:right w:val="nil"/>
            </w:tcBorders>
          </w:tcPr>
          <w:p w14:paraId="6B63087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4,120.3</w:t>
            </w:r>
          </w:p>
        </w:tc>
      </w:tr>
      <w:tr w:rsidR="00323BB2" w:rsidRPr="0061063C" w14:paraId="69647393" w14:textId="77777777" w:rsidTr="00453AFA">
        <w:trPr>
          <w:gridAfter w:val="1"/>
          <w:wAfter w:w="567" w:type="dxa"/>
          <w:trHeight w:val="180"/>
        </w:trPr>
        <w:tc>
          <w:tcPr>
            <w:tcW w:w="4287" w:type="dxa"/>
            <w:gridSpan w:val="2"/>
            <w:tcBorders>
              <w:left w:val="nil"/>
              <w:right w:val="nil"/>
            </w:tcBorders>
          </w:tcPr>
          <w:p w14:paraId="600504E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Deferred tax assets</w:t>
            </w:r>
          </w:p>
        </w:tc>
        <w:tc>
          <w:tcPr>
            <w:tcW w:w="708" w:type="dxa"/>
            <w:tcBorders>
              <w:left w:val="nil"/>
              <w:right w:val="nil"/>
            </w:tcBorders>
          </w:tcPr>
          <w:p w14:paraId="3B9B35D1"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4C6C697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17.0</w:t>
            </w:r>
          </w:p>
        </w:tc>
        <w:tc>
          <w:tcPr>
            <w:tcW w:w="2126" w:type="dxa"/>
            <w:tcBorders>
              <w:left w:val="nil"/>
              <w:right w:val="nil"/>
            </w:tcBorders>
          </w:tcPr>
          <w:p w14:paraId="7616F29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11.9</w:t>
            </w:r>
          </w:p>
        </w:tc>
      </w:tr>
      <w:tr w:rsidR="00323BB2" w:rsidRPr="0061063C" w14:paraId="7A54B462" w14:textId="77777777" w:rsidTr="00453AFA">
        <w:trPr>
          <w:gridAfter w:val="1"/>
          <w:wAfter w:w="567" w:type="dxa"/>
          <w:trHeight w:val="180"/>
        </w:trPr>
        <w:tc>
          <w:tcPr>
            <w:tcW w:w="4287" w:type="dxa"/>
            <w:gridSpan w:val="2"/>
            <w:tcBorders>
              <w:left w:val="nil"/>
              <w:right w:val="nil"/>
            </w:tcBorders>
          </w:tcPr>
          <w:p w14:paraId="4DB2B295" w14:textId="77777777" w:rsidR="00323BB2" w:rsidRPr="0061063C" w:rsidRDefault="00323BB2" w:rsidP="00453AFA">
            <w:pPr>
              <w:ind w:left="-108"/>
              <w:rPr>
                <w:rFonts w:asciiTheme="minorHAnsi" w:hAnsiTheme="minorHAnsi"/>
                <w:sz w:val="20"/>
              </w:rPr>
            </w:pPr>
            <w:r>
              <w:rPr>
                <w:rFonts w:asciiTheme="minorHAnsi" w:hAnsiTheme="minorHAnsi"/>
                <w:sz w:val="20"/>
              </w:rPr>
              <w:t>Non-c</w:t>
            </w:r>
            <w:r w:rsidRPr="0061063C">
              <w:rPr>
                <w:rFonts w:asciiTheme="minorHAnsi" w:hAnsiTheme="minorHAnsi"/>
                <w:sz w:val="20"/>
              </w:rPr>
              <w:t>urrent tax receivable</w:t>
            </w:r>
          </w:p>
        </w:tc>
        <w:tc>
          <w:tcPr>
            <w:tcW w:w="708" w:type="dxa"/>
            <w:tcBorders>
              <w:left w:val="nil"/>
              <w:right w:val="nil"/>
            </w:tcBorders>
          </w:tcPr>
          <w:p w14:paraId="5B79D259"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6B87807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13.5</w:t>
            </w:r>
          </w:p>
        </w:tc>
        <w:tc>
          <w:tcPr>
            <w:tcW w:w="2126" w:type="dxa"/>
            <w:tcBorders>
              <w:left w:val="nil"/>
              <w:right w:val="nil"/>
            </w:tcBorders>
          </w:tcPr>
          <w:p w14:paraId="485830CB" w14:textId="77777777" w:rsidR="00323BB2" w:rsidRPr="0061063C" w:rsidRDefault="00323BB2" w:rsidP="00453AFA">
            <w:pPr>
              <w:jc w:val="right"/>
              <w:rPr>
                <w:rFonts w:asciiTheme="minorHAnsi" w:hAnsiTheme="minorHAnsi"/>
                <w:bCs/>
                <w:sz w:val="20"/>
              </w:rPr>
            </w:pPr>
            <w:r>
              <w:rPr>
                <w:rFonts w:asciiTheme="minorHAnsi" w:hAnsiTheme="minorHAnsi"/>
                <w:bCs/>
                <w:sz w:val="20"/>
              </w:rPr>
              <w:t>-</w:t>
            </w:r>
          </w:p>
        </w:tc>
      </w:tr>
      <w:tr w:rsidR="00323BB2" w:rsidRPr="0061063C" w14:paraId="55506A84" w14:textId="77777777" w:rsidTr="00453AFA">
        <w:trPr>
          <w:gridAfter w:val="1"/>
          <w:wAfter w:w="567" w:type="dxa"/>
          <w:trHeight w:val="180"/>
        </w:trPr>
        <w:tc>
          <w:tcPr>
            <w:tcW w:w="4287" w:type="dxa"/>
            <w:gridSpan w:val="2"/>
            <w:tcBorders>
              <w:left w:val="nil"/>
              <w:right w:val="nil"/>
            </w:tcBorders>
          </w:tcPr>
          <w:p w14:paraId="1E990F3C"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Derivative financial assets</w:t>
            </w:r>
          </w:p>
        </w:tc>
        <w:tc>
          <w:tcPr>
            <w:tcW w:w="708" w:type="dxa"/>
            <w:tcBorders>
              <w:left w:val="nil"/>
              <w:right w:val="nil"/>
            </w:tcBorders>
          </w:tcPr>
          <w:p w14:paraId="70EA3F8B"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16</w:t>
            </w:r>
          </w:p>
        </w:tc>
        <w:tc>
          <w:tcPr>
            <w:tcW w:w="1843" w:type="dxa"/>
            <w:tcBorders>
              <w:left w:val="nil"/>
              <w:right w:val="nil"/>
            </w:tcBorders>
          </w:tcPr>
          <w:p w14:paraId="6594B40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31.6</w:t>
            </w:r>
          </w:p>
        </w:tc>
        <w:tc>
          <w:tcPr>
            <w:tcW w:w="2126" w:type="dxa"/>
            <w:tcBorders>
              <w:left w:val="nil"/>
              <w:right w:val="nil"/>
            </w:tcBorders>
          </w:tcPr>
          <w:p w14:paraId="14CB463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307CE32B" w14:textId="77777777" w:rsidTr="00453AFA">
        <w:trPr>
          <w:gridAfter w:val="1"/>
          <w:wAfter w:w="567" w:type="dxa"/>
          <w:trHeight w:val="180"/>
        </w:trPr>
        <w:tc>
          <w:tcPr>
            <w:tcW w:w="4287" w:type="dxa"/>
            <w:gridSpan w:val="2"/>
            <w:tcBorders>
              <w:left w:val="nil"/>
              <w:right w:val="nil"/>
            </w:tcBorders>
          </w:tcPr>
          <w:p w14:paraId="091323F2"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Investments</w:t>
            </w:r>
          </w:p>
        </w:tc>
        <w:tc>
          <w:tcPr>
            <w:tcW w:w="708" w:type="dxa"/>
            <w:tcBorders>
              <w:left w:val="nil"/>
              <w:right w:val="nil"/>
            </w:tcBorders>
          </w:tcPr>
          <w:p w14:paraId="3E56B429"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11</w:t>
            </w:r>
          </w:p>
        </w:tc>
        <w:tc>
          <w:tcPr>
            <w:tcW w:w="1843" w:type="dxa"/>
            <w:tcBorders>
              <w:left w:val="nil"/>
              <w:right w:val="nil"/>
            </w:tcBorders>
          </w:tcPr>
          <w:p w14:paraId="1F4A5A0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4.6</w:t>
            </w:r>
          </w:p>
        </w:tc>
        <w:tc>
          <w:tcPr>
            <w:tcW w:w="2126" w:type="dxa"/>
            <w:tcBorders>
              <w:left w:val="nil"/>
              <w:right w:val="nil"/>
            </w:tcBorders>
          </w:tcPr>
          <w:p w14:paraId="026D26F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0.1</w:t>
            </w:r>
          </w:p>
        </w:tc>
      </w:tr>
      <w:tr w:rsidR="00323BB2" w:rsidRPr="0061063C" w14:paraId="4AEEFDDF" w14:textId="77777777" w:rsidTr="00453AFA">
        <w:trPr>
          <w:gridAfter w:val="1"/>
          <w:wAfter w:w="567" w:type="dxa"/>
        </w:trPr>
        <w:tc>
          <w:tcPr>
            <w:tcW w:w="4287" w:type="dxa"/>
            <w:gridSpan w:val="2"/>
            <w:tcBorders>
              <w:left w:val="nil"/>
              <w:right w:val="nil"/>
            </w:tcBorders>
          </w:tcPr>
          <w:p w14:paraId="4223B1C1"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Other receivables</w:t>
            </w:r>
          </w:p>
        </w:tc>
        <w:tc>
          <w:tcPr>
            <w:tcW w:w="708" w:type="dxa"/>
            <w:tcBorders>
              <w:left w:val="nil"/>
              <w:right w:val="nil"/>
            </w:tcBorders>
          </w:tcPr>
          <w:p w14:paraId="6E670E61"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11</w:t>
            </w:r>
          </w:p>
        </w:tc>
        <w:tc>
          <w:tcPr>
            <w:tcW w:w="1843" w:type="dxa"/>
            <w:tcBorders>
              <w:left w:val="nil"/>
              <w:right w:val="nil"/>
            </w:tcBorders>
          </w:tcPr>
          <w:p w14:paraId="029F943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89.4</w:t>
            </w:r>
          </w:p>
        </w:tc>
        <w:tc>
          <w:tcPr>
            <w:tcW w:w="2126" w:type="dxa"/>
            <w:tcBorders>
              <w:left w:val="nil"/>
              <w:right w:val="nil"/>
            </w:tcBorders>
          </w:tcPr>
          <w:p w14:paraId="3F05573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50.4</w:t>
            </w:r>
          </w:p>
        </w:tc>
      </w:tr>
      <w:tr w:rsidR="00323BB2" w:rsidRPr="0061063C" w14:paraId="1783D4B9" w14:textId="77777777" w:rsidTr="00453AFA">
        <w:trPr>
          <w:gridAfter w:val="1"/>
          <w:wAfter w:w="567" w:type="dxa"/>
        </w:trPr>
        <w:tc>
          <w:tcPr>
            <w:tcW w:w="4287" w:type="dxa"/>
            <w:gridSpan w:val="2"/>
            <w:tcBorders>
              <w:left w:val="nil"/>
              <w:bottom w:val="single" w:sz="4" w:space="0" w:color="auto"/>
              <w:right w:val="nil"/>
            </w:tcBorders>
          </w:tcPr>
          <w:p w14:paraId="4D8E2349"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assets – restricted cash</w:t>
            </w:r>
          </w:p>
        </w:tc>
        <w:tc>
          <w:tcPr>
            <w:tcW w:w="708" w:type="dxa"/>
            <w:tcBorders>
              <w:left w:val="nil"/>
              <w:bottom w:val="single" w:sz="4" w:space="0" w:color="auto"/>
              <w:right w:val="nil"/>
            </w:tcBorders>
          </w:tcPr>
          <w:p w14:paraId="60EC881A"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12</w:t>
            </w:r>
          </w:p>
        </w:tc>
        <w:tc>
          <w:tcPr>
            <w:tcW w:w="1843" w:type="dxa"/>
            <w:tcBorders>
              <w:left w:val="nil"/>
              <w:bottom w:val="single" w:sz="4" w:space="0" w:color="auto"/>
              <w:right w:val="nil"/>
            </w:tcBorders>
          </w:tcPr>
          <w:p w14:paraId="6D2E2C7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9.2</w:t>
            </w:r>
          </w:p>
        </w:tc>
        <w:tc>
          <w:tcPr>
            <w:tcW w:w="2126" w:type="dxa"/>
            <w:tcBorders>
              <w:left w:val="nil"/>
              <w:bottom w:val="single" w:sz="4" w:space="0" w:color="auto"/>
              <w:right w:val="nil"/>
            </w:tcBorders>
          </w:tcPr>
          <w:p w14:paraId="1F6C444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65F8CBFE" w14:textId="77777777" w:rsidTr="00453AFA">
        <w:trPr>
          <w:gridAfter w:val="1"/>
          <w:wAfter w:w="567" w:type="dxa"/>
        </w:trPr>
        <w:tc>
          <w:tcPr>
            <w:tcW w:w="4287" w:type="dxa"/>
            <w:gridSpan w:val="2"/>
            <w:tcBorders>
              <w:top w:val="single" w:sz="4" w:space="0" w:color="auto"/>
              <w:left w:val="nil"/>
              <w:bottom w:val="single" w:sz="4" w:space="0" w:color="auto"/>
              <w:right w:val="nil"/>
            </w:tcBorders>
          </w:tcPr>
          <w:p w14:paraId="378485E3"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non-current assets</w:t>
            </w:r>
          </w:p>
        </w:tc>
        <w:tc>
          <w:tcPr>
            <w:tcW w:w="708" w:type="dxa"/>
            <w:tcBorders>
              <w:top w:val="single" w:sz="4" w:space="0" w:color="auto"/>
              <w:left w:val="nil"/>
              <w:bottom w:val="single" w:sz="4" w:space="0" w:color="auto"/>
              <w:right w:val="nil"/>
            </w:tcBorders>
          </w:tcPr>
          <w:p w14:paraId="721136A5"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196A4856" w14:textId="77777777" w:rsidR="00323BB2" w:rsidRPr="0061063C" w:rsidRDefault="00323BB2" w:rsidP="00453AFA">
            <w:pPr>
              <w:tabs>
                <w:tab w:val="center" w:pos="786"/>
                <w:tab w:val="right" w:pos="1572"/>
              </w:tabs>
              <w:jc w:val="right"/>
              <w:rPr>
                <w:rFonts w:asciiTheme="minorHAnsi" w:hAnsiTheme="minorHAnsi"/>
                <w:b/>
                <w:bCs/>
                <w:sz w:val="20"/>
              </w:rPr>
            </w:pPr>
            <w:r w:rsidRPr="0061063C">
              <w:rPr>
                <w:rFonts w:asciiTheme="minorHAnsi" w:hAnsiTheme="minorHAnsi"/>
                <w:b/>
                <w:bCs/>
                <w:sz w:val="20"/>
              </w:rPr>
              <w:t>15,953.2</w:t>
            </w:r>
          </w:p>
        </w:tc>
        <w:tc>
          <w:tcPr>
            <w:tcW w:w="2126" w:type="dxa"/>
            <w:tcBorders>
              <w:top w:val="single" w:sz="4" w:space="0" w:color="auto"/>
              <w:left w:val="nil"/>
              <w:bottom w:val="single" w:sz="4" w:space="0" w:color="auto"/>
              <w:right w:val="nil"/>
            </w:tcBorders>
          </w:tcPr>
          <w:p w14:paraId="1D65D067" w14:textId="77777777" w:rsidR="00323BB2" w:rsidRPr="0061063C" w:rsidRDefault="00323BB2" w:rsidP="00453AFA">
            <w:pPr>
              <w:tabs>
                <w:tab w:val="center" w:pos="786"/>
                <w:tab w:val="right" w:pos="1572"/>
              </w:tabs>
              <w:jc w:val="right"/>
              <w:rPr>
                <w:rFonts w:asciiTheme="minorHAnsi" w:hAnsiTheme="minorHAnsi"/>
                <w:bCs/>
                <w:sz w:val="20"/>
              </w:rPr>
            </w:pPr>
            <w:r w:rsidRPr="0061063C">
              <w:rPr>
                <w:rFonts w:asciiTheme="minorHAnsi" w:hAnsiTheme="minorHAnsi"/>
                <w:bCs/>
                <w:sz w:val="20"/>
              </w:rPr>
              <w:t>5,039.4</w:t>
            </w:r>
          </w:p>
        </w:tc>
      </w:tr>
      <w:tr w:rsidR="00323BB2" w:rsidRPr="0061063C" w14:paraId="67FD39C1" w14:textId="77777777" w:rsidTr="00453AFA">
        <w:trPr>
          <w:gridAfter w:val="1"/>
          <w:wAfter w:w="567" w:type="dxa"/>
          <w:trHeight w:val="331"/>
        </w:trPr>
        <w:tc>
          <w:tcPr>
            <w:tcW w:w="4287" w:type="dxa"/>
            <w:gridSpan w:val="2"/>
            <w:tcBorders>
              <w:top w:val="single" w:sz="4" w:space="0" w:color="auto"/>
              <w:left w:val="nil"/>
              <w:right w:val="nil"/>
            </w:tcBorders>
          </w:tcPr>
          <w:p w14:paraId="14B6C18B" w14:textId="77777777" w:rsidR="00323BB2" w:rsidRPr="0061063C" w:rsidRDefault="00323BB2" w:rsidP="00453AFA">
            <w:pPr>
              <w:ind w:left="-108"/>
              <w:rPr>
                <w:rFonts w:asciiTheme="minorHAnsi" w:hAnsiTheme="minorHAnsi"/>
                <w:sz w:val="20"/>
              </w:rPr>
            </w:pPr>
          </w:p>
          <w:p w14:paraId="422BA50C"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Trade and other receivables</w:t>
            </w:r>
          </w:p>
        </w:tc>
        <w:tc>
          <w:tcPr>
            <w:tcW w:w="708" w:type="dxa"/>
            <w:tcBorders>
              <w:top w:val="single" w:sz="4" w:space="0" w:color="auto"/>
              <w:left w:val="nil"/>
              <w:right w:val="nil"/>
            </w:tcBorders>
            <w:shd w:val="clear" w:color="auto" w:fill="auto"/>
          </w:tcPr>
          <w:p w14:paraId="1F679600" w14:textId="77777777" w:rsidR="00323BB2" w:rsidRPr="0061063C" w:rsidRDefault="00323BB2" w:rsidP="00453AFA">
            <w:pPr>
              <w:jc w:val="center"/>
              <w:rPr>
                <w:rFonts w:asciiTheme="minorHAnsi" w:hAnsiTheme="minorHAnsi"/>
                <w:iCs/>
                <w:sz w:val="20"/>
              </w:rPr>
            </w:pPr>
          </w:p>
          <w:p w14:paraId="63F25344"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11</w:t>
            </w:r>
          </w:p>
        </w:tc>
        <w:tc>
          <w:tcPr>
            <w:tcW w:w="1843" w:type="dxa"/>
            <w:tcBorders>
              <w:top w:val="single" w:sz="4" w:space="0" w:color="auto"/>
              <w:left w:val="nil"/>
              <w:right w:val="nil"/>
            </w:tcBorders>
          </w:tcPr>
          <w:p w14:paraId="62714CAA" w14:textId="77777777" w:rsidR="00323BB2" w:rsidRPr="0061063C" w:rsidRDefault="00323BB2" w:rsidP="00453AFA">
            <w:pPr>
              <w:jc w:val="right"/>
              <w:rPr>
                <w:rFonts w:asciiTheme="minorHAnsi" w:hAnsiTheme="minorHAnsi"/>
                <w:b/>
                <w:bCs/>
                <w:sz w:val="20"/>
              </w:rPr>
            </w:pPr>
          </w:p>
          <w:p w14:paraId="2F97045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164.3</w:t>
            </w:r>
          </w:p>
        </w:tc>
        <w:tc>
          <w:tcPr>
            <w:tcW w:w="2126" w:type="dxa"/>
            <w:tcBorders>
              <w:top w:val="single" w:sz="4" w:space="0" w:color="auto"/>
              <w:left w:val="nil"/>
              <w:right w:val="nil"/>
            </w:tcBorders>
          </w:tcPr>
          <w:p w14:paraId="4F8ECE6E" w14:textId="77777777" w:rsidR="00323BB2" w:rsidRPr="0061063C" w:rsidRDefault="00323BB2" w:rsidP="00453AFA">
            <w:pPr>
              <w:jc w:val="right"/>
              <w:rPr>
                <w:rFonts w:asciiTheme="minorHAnsi" w:hAnsiTheme="minorHAnsi"/>
                <w:bCs/>
                <w:sz w:val="20"/>
              </w:rPr>
            </w:pPr>
          </w:p>
          <w:p w14:paraId="349234B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64.6</w:t>
            </w:r>
          </w:p>
        </w:tc>
      </w:tr>
      <w:tr w:rsidR="00323BB2" w:rsidRPr="0061063C" w14:paraId="541C9B89" w14:textId="77777777" w:rsidTr="00453AFA">
        <w:trPr>
          <w:gridAfter w:val="1"/>
          <w:wAfter w:w="567" w:type="dxa"/>
          <w:trHeight w:val="198"/>
        </w:trPr>
        <w:tc>
          <w:tcPr>
            <w:tcW w:w="4287" w:type="dxa"/>
            <w:gridSpan w:val="2"/>
            <w:tcBorders>
              <w:top w:val="nil"/>
              <w:left w:val="nil"/>
              <w:right w:val="nil"/>
            </w:tcBorders>
          </w:tcPr>
          <w:p w14:paraId="789D82D1"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Current tax receivable</w:t>
            </w:r>
          </w:p>
        </w:tc>
        <w:tc>
          <w:tcPr>
            <w:tcW w:w="708" w:type="dxa"/>
            <w:tcBorders>
              <w:top w:val="nil"/>
              <w:left w:val="nil"/>
              <w:right w:val="nil"/>
            </w:tcBorders>
            <w:shd w:val="clear" w:color="auto" w:fill="auto"/>
          </w:tcPr>
          <w:p w14:paraId="4DB086BC" w14:textId="77777777" w:rsidR="00323BB2" w:rsidRPr="0061063C" w:rsidRDefault="00323BB2" w:rsidP="00453AFA">
            <w:pPr>
              <w:jc w:val="center"/>
              <w:rPr>
                <w:rFonts w:asciiTheme="minorHAnsi" w:hAnsiTheme="minorHAnsi"/>
                <w:iCs/>
                <w:sz w:val="20"/>
              </w:rPr>
            </w:pPr>
          </w:p>
        </w:tc>
        <w:tc>
          <w:tcPr>
            <w:tcW w:w="1843" w:type="dxa"/>
            <w:tcBorders>
              <w:top w:val="nil"/>
              <w:left w:val="nil"/>
              <w:right w:val="nil"/>
            </w:tcBorders>
          </w:tcPr>
          <w:p w14:paraId="082DA90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11.5</w:t>
            </w:r>
          </w:p>
        </w:tc>
        <w:tc>
          <w:tcPr>
            <w:tcW w:w="2126" w:type="dxa"/>
            <w:tcBorders>
              <w:top w:val="nil"/>
              <w:left w:val="nil"/>
              <w:right w:val="nil"/>
            </w:tcBorders>
          </w:tcPr>
          <w:p w14:paraId="5ABB078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67B6C8BB" w14:textId="77777777" w:rsidTr="00453AFA">
        <w:trPr>
          <w:gridAfter w:val="1"/>
          <w:wAfter w:w="567" w:type="dxa"/>
          <w:trHeight w:val="198"/>
        </w:trPr>
        <w:tc>
          <w:tcPr>
            <w:tcW w:w="4287" w:type="dxa"/>
            <w:gridSpan w:val="2"/>
            <w:tcBorders>
              <w:top w:val="nil"/>
              <w:left w:val="nil"/>
              <w:right w:val="nil"/>
            </w:tcBorders>
          </w:tcPr>
          <w:p w14:paraId="6887BA46"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assets – restricted cash</w:t>
            </w:r>
          </w:p>
        </w:tc>
        <w:tc>
          <w:tcPr>
            <w:tcW w:w="708" w:type="dxa"/>
            <w:tcBorders>
              <w:top w:val="nil"/>
              <w:left w:val="nil"/>
              <w:right w:val="nil"/>
            </w:tcBorders>
            <w:shd w:val="clear" w:color="auto" w:fill="auto"/>
          </w:tcPr>
          <w:p w14:paraId="3A01F1A9"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12</w:t>
            </w:r>
          </w:p>
        </w:tc>
        <w:tc>
          <w:tcPr>
            <w:tcW w:w="1843" w:type="dxa"/>
            <w:tcBorders>
              <w:top w:val="nil"/>
              <w:left w:val="nil"/>
              <w:right w:val="nil"/>
            </w:tcBorders>
          </w:tcPr>
          <w:p w14:paraId="77A0BF4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477.0</w:t>
            </w:r>
          </w:p>
        </w:tc>
        <w:tc>
          <w:tcPr>
            <w:tcW w:w="2126" w:type="dxa"/>
            <w:tcBorders>
              <w:top w:val="nil"/>
              <w:left w:val="nil"/>
              <w:right w:val="nil"/>
            </w:tcBorders>
          </w:tcPr>
          <w:p w14:paraId="6CD5F8C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189.1</w:t>
            </w:r>
          </w:p>
        </w:tc>
      </w:tr>
      <w:tr w:rsidR="00323BB2" w:rsidRPr="0061063C" w14:paraId="71B95473" w14:textId="77777777" w:rsidTr="00453AFA">
        <w:trPr>
          <w:gridAfter w:val="1"/>
          <w:wAfter w:w="567" w:type="dxa"/>
          <w:trHeight w:val="198"/>
        </w:trPr>
        <w:tc>
          <w:tcPr>
            <w:tcW w:w="4287" w:type="dxa"/>
            <w:gridSpan w:val="2"/>
            <w:tcBorders>
              <w:left w:val="nil"/>
              <w:right w:val="nil"/>
            </w:tcBorders>
          </w:tcPr>
          <w:p w14:paraId="6A3F9C4D"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Current investments – customer deposits</w:t>
            </w:r>
          </w:p>
        </w:tc>
        <w:tc>
          <w:tcPr>
            <w:tcW w:w="708" w:type="dxa"/>
            <w:tcBorders>
              <w:left w:val="nil"/>
              <w:right w:val="nil"/>
            </w:tcBorders>
            <w:shd w:val="clear" w:color="auto" w:fill="auto"/>
          </w:tcPr>
          <w:p w14:paraId="255C252B"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12</w:t>
            </w:r>
          </w:p>
        </w:tc>
        <w:tc>
          <w:tcPr>
            <w:tcW w:w="1843" w:type="dxa"/>
            <w:tcBorders>
              <w:left w:val="nil"/>
              <w:right w:val="nil"/>
            </w:tcBorders>
          </w:tcPr>
          <w:p w14:paraId="5B0AAB6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87.2</w:t>
            </w:r>
          </w:p>
        </w:tc>
        <w:tc>
          <w:tcPr>
            <w:tcW w:w="2126" w:type="dxa"/>
            <w:tcBorders>
              <w:left w:val="nil"/>
              <w:right w:val="nil"/>
            </w:tcBorders>
          </w:tcPr>
          <w:p w14:paraId="435D6A0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574A7482" w14:textId="77777777" w:rsidTr="00453AFA">
        <w:trPr>
          <w:gridAfter w:val="1"/>
          <w:wAfter w:w="567" w:type="dxa"/>
          <w:trHeight w:val="198"/>
        </w:trPr>
        <w:tc>
          <w:tcPr>
            <w:tcW w:w="4287" w:type="dxa"/>
            <w:gridSpan w:val="2"/>
            <w:tcBorders>
              <w:left w:val="nil"/>
              <w:bottom w:val="single" w:sz="4" w:space="0" w:color="auto"/>
              <w:right w:val="nil"/>
            </w:tcBorders>
          </w:tcPr>
          <w:p w14:paraId="6DE9ABAC"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Cash and cash equivalents</w:t>
            </w:r>
          </w:p>
        </w:tc>
        <w:tc>
          <w:tcPr>
            <w:tcW w:w="708" w:type="dxa"/>
            <w:tcBorders>
              <w:left w:val="nil"/>
              <w:bottom w:val="single" w:sz="4" w:space="0" w:color="auto"/>
              <w:right w:val="nil"/>
            </w:tcBorders>
            <w:shd w:val="clear" w:color="auto" w:fill="auto"/>
          </w:tcPr>
          <w:p w14:paraId="386BD4E7"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12</w:t>
            </w:r>
          </w:p>
        </w:tc>
        <w:tc>
          <w:tcPr>
            <w:tcW w:w="1843" w:type="dxa"/>
            <w:tcBorders>
              <w:left w:val="nil"/>
              <w:bottom w:val="single" w:sz="4" w:space="0" w:color="auto"/>
              <w:right w:val="nil"/>
            </w:tcBorders>
          </w:tcPr>
          <w:p w14:paraId="1BD37FA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786.5</w:t>
            </w:r>
          </w:p>
        </w:tc>
        <w:tc>
          <w:tcPr>
            <w:tcW w:w="2126" w:type="dxa"/>
            <w:tcBorders>
              <w:left w:val="nil"/>
              <w:bottom w:val="single" w:sz="4" w:space="0" w:color="auto"/>
              <w:right w:val="nil"/>
            </w:tcBorders>
          </w:tcPr>
          <w:p w14:paraId="1BD50C6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108.1</w:t>
            </w:r>
          </w:p>
        </w:tc>
      </w:tr>
      <w:tr w:rsidR="00323BB2" w:rsidRPr="0061063C" w14:paraId="17A95253" w14:textId="77777777" w:rsidTr="00453AFA">
        <w:trPr>
          <w:gridAfter w:val="1"/>
          <w:wAfter w:w="567" w:type="dxa"/>
          <w:trHeight w:val="215"/>
        </w:trPr>
        <w:tc>
          <w:tcPr>
            <w:tcW w:w="4287" w:type="dxa"/>
            <w:gridSpan w:val="2"/>
            <w:tcBorders>
              <w:top w:val="single" w:sz="4" w:space="0" w:color="auto"/>
              <w:left w:val="nil"/>
              <w:bottom w:val="single" w:sz="4" w:space="0" w:color="auto"/>
              <w:right w:val="nil"/>
            </w:tcBorders>
          </w:tcPr>
          <w:p w14:paraId="5E6480EE"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current assets</w:t>
            </w:r>
          </w:p>
        </w:tc>
        <w:tc>
          <w:tcPr>
            <w:tcW w:w="708" w:type="dxa"/>
            <w:tcBorders>
              <w:top w:val="single" w:sz="4" w:space="0" w:color="auto"/>
              <w:left w:val="nil"/>
              <w:bottom w:val="single" w:sz="4" w:space="0" w:color="auto"/>
              <w:right w:val="nil"/>
            </w:tcBorders>
          </w:tcPr>
          <w:p w14:paraId="50B32545"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03A996B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1,526.5</w:t>
            </w:r>
          </w:p>
        </w:tc>
        <w:tc>
          <w:tcPr>
            <w:tcW w:w="2126" w:type="dxa"/>
            <w:tcBorders>
              <w:top w:val="single" w:sz="4" w:space="0" w:color="auto"/>
              <w:left w:val="nil"/>
              <w:bottom w:val="single" w:sz="4" w:space="0" w:color="auto"/>
              <w:right w:val="nil"/>
            </w:tcBorders>
          </w:tcPr>
          <w:p w14:paraId="1C08C63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361.8</w:t>
            </w:r>
          </w:p>
        </w:tc>
      </w:tr>
      <w:tr w:rsidR="00323BB2" w:rsidRPr="0061063C" w14:paraId="1166D465" w14:textId="77777777" w:rsidTr="00453AFA">
        <w:trPr>
          <w:gridAfter w:val="1"/>
          <w:wAfter w:w="567" w:type="dxa"/>
          <w:trHeight w:val="261"/>
        </w:trPr>
        <w:tc>
          <w:tcPr>
            <w:tcW w:w="4287" w:type="dxa"/>
            <w:gridSpan w:val="2"/>
            <w:tcBorders>
              <w:top w:val="single" w:sz="4" w:space="0" w:color="auto"/>
              <w:left w:val="nil"/>
              <w:bottom w:val="single" w:sz="4" w:space="0" w:color="auto"/>
              <w:right w:val="nil"/>
            </w:tcBorders>
          </w:tcPr>
          <w:p w14:paraId="55C7F6EB" w14:textId="77777777" w:rsidR="00323BB2" w:rsidRPr="0061063C" w:rsidRDefault="00323BB2" w:rsidP="00453AFA">
            <w:pPr>
              <w:ind w:left="-108"/>
              <w:rPr>
                <w:rFonts w:asciiTheme="minorHAnsi" w:hAnsiTheme="minorHAnsi"/>
                <w:b/>
                <w:bCs/>
                <w:sz w:val="20"/>
              </w:rPr>
            </w:pPr>
          </w:p>
          <w:p w14:paraId="73587B1F"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assets</w:t>
            </w:r>
          </w:p>
        </w:tc>
        <w:tc>
          <w:tcPr>
            <w:tcW w:w="708" w:type="dxa"/>
            <w:tcBorders>
              <w:top w:val="single" w:sz="4" w:space="0" w:color="auto"/>
              <w:left w:val="nil"/>
              <w:bottom w:val="single" w:sz="4" w:space="0" w:color="auto"/>
              <w:right w:val="nil"/>
            </w:tcBorders>
          </w:tcPr>
          <w:p w14:paraId="247847BA"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356480F7" w14:textId="77777777" w:rsidR="00323BB2" w:rsidRPr="0061063C" w:rsidRDefault="00323BB2" w:rsidP="00453AFA">
            <w:pPr>
              <w:jc w:val="right"/>
              <w:rPr>
                <w:rFonts w:asciiTheme="minorHAnsi" w:hAnsiTheme="minorHAnsi"/>
                <w:b/>
                <w:bCs/>
                <w:sz w:val="20"/>
              </w:rPr>
            </w:pPr>
          </w:p>
          <w:p w14:paraId="6BB447C3"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17,479.7</w:t>
            </w:r>
          </w:p>
        </w:tc>
        <w:tc>
          <w:tcPr>
            <w:tcW w:w="2126" w:type="dxa"/>
            <w:tcBorders>
              <w:top w:val="single" w:sz="4" w:space="0" w:color="auto"/>
              <w:left w:val="nil"/>
              <w:bottom w:val="single" w:sz="4" w:space="0" w:color="auto"/>
              <w:right w:val="nil"/>
            </w:tcBorders>
          </w:tcPr>
          <w:p w14:paraId="7E320157" w14:textId="77777777" w:rsidR="00323BB2" w:rsidRPr="0061063C" w:rsidRDefault="00323BB2" w:rsidP="00453AFA">
            <w:pPr>
              <w:jc w:val="right"/>
              <w:rPr>
                <w:rFonts w:asciiTheme="minorHAnsi" w:hAnsiTheme="minorHAnsi"/>
                <w:bCs/>
                <w:sz w:val="20"/>
              </w:rPr>
            </w:pPr>
          </w:p>
          <w:p w14:paraId="5F6A706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5,401.2</w:t>
            </w:r>
          </w:p>
        </w:tc>
      </w:tr>
      <w:tr w:rsidR="00323BB2" w:rsidRPr="0061063C" w14:paraId="14CFB3DA" w14:textId="77777777" w:rsidTr="00453AFA">
        <w:trPr>
          <w:gridAfter w:val="1"/>
          <w:wAfter w:w="567" w:type="dxa"/>
          <w:trHeight w:val="270"/>
        </w:trPr>
        <w:tc>
          <w:tcPr>
            <w:tcW w:w="4287" w:type="dxa"/>
            <w:gridSpan w:val="2"/>
            <w:tcBorders>
              <w:top w:val="single" w:sz="4" w:space="0" w:color="auto"/>
              <w:left w:val="nil"/>
              <w:bottom w:val="nil"/>
              <w:right w:val="nil"/>
            </w:tcBorders>
          </w:tcPr>
          <w:p w14:paraId="30EEEA47" w14:textId="77777777" w:rsidR="00323BB2" w:rsidRPr="0061063C" w:rsidRDefault="00323BB2" w:rsidP="00453AFA">
            <w:pPr>
              <w:ind w:left="-108"/>
              <w:rPr>
                <w:rFonts w:asciiTheme="minorHAnsi" w:hAnsiTheme="minorHAnsi"/>
                <w:b/>
                <w:bCs/>
                <w:sz w:val="20"/>
              </w:rPr>
            </w:pPr>
          </w:p>
          <w:p w14:paraId="589E797D" w14:textId="77777777" w:rsidR="00323BB2" w:rsidRPr="0061063C" w:rsidRDefault="00323BB2" w:rsidP="00453AFA">
            <w:pPr>
              <w:spacing w:after="120"/>
              <w:ind w:left="-108"/>
              <w:rPr>
                <w:rFonts w:asciiTheme="minorHAnsi" w:hAnsiTheme="minorHAnsi"/>
                <w:b/>
                <w:bCs/>
                <w:sz w:val="20"/>
              </w:rPr>
            </w:pPr>
            <w:r w:rsidRPr="0061063C">
              <w:rPr>
                <w:rFonts w:asciiTheme="minorHAnsi" w:hAnsiTheme="minorHAnsi"/>
                <w:b/>
                <w:bCs/>
                <w:sz w:val="20"/>
              </w:rPr>
              <w:t>Equity</w:t>
            </w:r>
          </w:p>
        </w:tc>
        <w:tc>
          <w:tcPr>
            <w:tcW w:w="708" w:type="dxa"/>
            <w:tcBorders>
              <w:top w:val="single" w:sz="4" w:space="0" w:color="auto"/>
              <w:left w:val="nil"/>
              <w:bottom w:val="nil"/>
              <w:right w:val="nil"/>
            </w:tcBorders>
          </w:tcPr>
          <w:p w14:paraId="52A78621"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nil"/>
              <w:right w:val="nil"/>
            </w:tcBorders>
          </w:tcPr>
          <w:p w14:paraId="7FD17208" w14:textId="77777777" w:rsidR="00323BB2" w:rsidRPr="0061063C" w:rsidRDefault="00323BB2" w:rsidP="00453AFA">
            <w:pPr>
              <w:jc w:val="right"/>
              <w:rPr>
                <w:rFonts w:asciiTheme="minorHAnsi" w:hAnsiTheme="minorHAnsi"/>
                <w:b/>
                <w:bCs/>
                <w:sz w:val="20"/>
              </w:rPr>
            </w:pPr>
          </w:p>
        </w:tc>
        <w:tc>
          <w:tcPr>
            <w:tcW w:w="2126" w:type="dxa"/>
            <w:tcBorders>
              <w:top w:val="single" w:sz="4" w:space="0" w:color="auto"/>
              <w:left w:val="nil"/>
              <w:bottom w:val="nil"/>
              <w:right w:val="nil"/>
            </w:tcBorders>
          </w:tcPr>
          <w:p w14:paraId="21109924" w14:textId="77777777" w:rsidR="00323BB2" w:rsidRPr="0061063C" w:rsidRDefault="00323BB2" w:rsidP="00453AFA">
            <w:pPr>
              <w:rPr>
                <w:rFonts w:asciiTheme="minorHAnsi" w:hAnsiTheme="minorHAnsi"/>
                <w:bCs/>
                <w:sz w:val="20"/>
              </w:rPr>
            </w:pPr>
          </w:p>
        </w:tc>
      </w:tr>
      <w:tr w:rsidR="00323BB2" w:rsidRPr="0061063C" w14:paraId="596F275E" w14:textId="77777777" w:rsidTr="00453AFA">
        <w:trPr>
          <w:gridAfter w:val="1"/>
          <w:wAfter w:w="567" w:type="dxa"/>
          <w:trHeight w:val="162"/>
        </w:trPr>
        <w:tc>
          <w:tcPr>
            <w:tcW w:w="4287" w:type="dxa"/>
            <w:gridSpan w:val="2"/>
            <w:tcBorders>
              <w:top w:val="nil"/>
              <w:left w:val="nil"/>
              <w:bottom w:val="nil"/>
              <w:right w:val="nil"/>
            </w:tcBorders>
          </w:tcPr>
          <w:p w14:paraId="7F336764"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Issued share capital and share premium</w:t>
            </w:r>
          </w:p>
        </w:tc>
        <w:tc>
          <w:tcPr>
            <w:tcW w:w="708" w:type="dxa"/>
            <w:tcBorders>
              <w:top w:val="nil"/>
              <w:left w:val="nil"/>
              <w:bottom w:val="nil"/>
              <w:right w:val="nil"/>
            </w:tcBorders>
            <w:shd w:val="clear" w:color="auto" w:fill="auto"/>
          </w:tcPr>
          <w:p w14:paraId="7212662E" w14:textId="77777777" w:rsidR="00323BB2" w:rsidRPr="0061063C" w:rsidRDefault="00323BB2" w:rsidP="00453AFA">
            <w:pPr>
              <w:jc w:val="center"/>
              <w:rPr>
                <w:rFonts w:asciiTheme="minorHAnsi" w:hAnsiTheme="minorHAnsi"/>
                <w:iCs/>
                <w:sz w:val="20"/>
              </w:rPr>
            </w:pPr>
          </w:p>
        </w:tc>
        <w:tc>
          <w:tcPr>
            <w:tcW w:w="1843" w:type="dxa"/>
            <w:tcBorders>
              <w:top w:val="nil"/>
              <w:left w:val="nil"/>
              <w:bottom w:val="nil"/>
              <w:right w:val="nil"/>
            </w:tcBorders>
          </w:tcPr>
          <w:p w14:paraId="46E6E07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w:t>
            </w:r>
            <w:r>
              <w:rPr>
                <w:rFonts w:asciiTheme="minorHAnsi" w:hAnsiTheme="minorHAnsi"/>
                <w:b/>
                <w:bCs/>
                <w:sz w:val="20"/>
              </w:rPr>
              <w:t>334</w:t>
            </w:r>
            <w:r w:rsidRPr="0061063C">
              <w:rPr>
                <w:rFonts w:asciiTheme="minorHAnsi" w:hAnsiTheme="minorHAnsi"/>
                <w:b/>
                <w:bCs/>
                <w:sz w:val="20"/>
              </w:rPr>
              <w:t>.</w:t>
            </w:r>
            <w:r>
              <w:rPr>
                <w:rFonts w:asciiTheme="minorHAnsi" w:hAnsiTheme="minorHAnsi"/>
                <w:b/>
                <w:bCs/>
                <w:sz w:val="20"/>
              </w:rPr>
              <w:t>7</w:t>
            </w:r>
          </w:p>
        </w:tc>
        <w:tc>
          <w:tcPr>
            <w:tcW w:w="2126" w:type="dxa"/>
            <w:tcBorders>
              <w:top w:val="nil"/>
              <w:left w:val="nil"/>
              <w:bottom w:val="nil"/>
              <w:right w:val="nil"/>
            </w:tcBorders>
          </w:tcPr>
          <w:p w14:paraId="223EAC9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428.3</w:t>
            </w:r>
          </w:p>
        </w:tc>
      </w:tr>
      <w:tr w:rsidR="00323BB2" w:rsidRPr="0061063C" w14:paraId="38DCE5AC" w14:textId="77777777" w:rsidTr="00453AFA">
        <w:trPr>
          <w:gridAfter w:val="1"/>
          <w:wAfter w:w="567" w:type="dxa"/>
          <w:trHeight w:val="207"/>
        </w:trPr>
        <w:tc>
          <w:tcPr>
            <w:tcW w:w="4287" w:type="dxa"/>
            <w:gridSpan w:val="2"/>
            <w:tcBorders>
              <w:top w:val="nil"/>
              <w:left w:val="nil"/>
              <w:bottom w:val="nil"/>
              <w:right w:val="nil"/>
            </w:tcBorders>
          </w:tcPr>
          <w:p w14:paraId="1846222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Merger reserve</w:t>
            </w:r>
          </w:p>
        </w:tc>
        <w:tc>
          <w:tcPr>
            <w:tcW w:w="708" w:type="dxa"/>
            <w:tcBorders>
              <w:top w:val="nil"/>
              <w:left w:val="nil"/>
              <w:bottom w:val="nil"/>
              <w:right w:val="nil"/>
            </w:tcBorders>
          </w:tcPr>
          <w:p w14:paraId="559A212A" w14:textId="77777777" w:rsidR="00323BB2" w:rsidRPr="0061063C" w:rsidRDefault="00323BB2" w:rsidP="00453AFA">
            <w:pPr>
              <w:jc w:val="center"/>
              <w:rPr>
                <w:rFonts w:asciiTheme="minorHAnsi" w:hAnsiTheme="minorHAnsi"/>
                <w:iCs/>
                <w:sz w:val="20"/>
              </w:rPr>
            </w:pPr>
          </w:p>
        </w:tc>
        <w:tc>
          <w:tcPr>
            <w:tcW w:w="1843" w:type="dxa"/>
            <w:tcBorders>
              <w:top w:val="nil"/>
              <w:left w:val="nil"/>
              <w:bottom w:val="nil"/>
              <w:right w:val="nil"/>
            </w:tcBorders>
          </w:tcPr>
          <w:p w14:paraId="14F73C0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6,189.5</w:t>
            </w:r>
          </w:p>
        </w:tc>
        <w:tc>
          <w:tcPr>
            <w:tcW w:w="2126" w:type="dxa"/>
            <w:tcBorders>
              <w:top w:val="nil"/>
              <w:left w:val="nil"/>
              <w:bottom w:val="nil"/>
              <w:right w:val="nil"/>
            </w:tcBorders>
          </w:tcPr>
          <w:p w14:paraId="6BC67E0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5D0C3F38" w14:textId="77777777" w:rsidTr="00453AFA">
        <w:trPr>
          <w:gridAfter w:val="1"/>
          <w:wAfter w:w="567" w:type="dxa"/>
          <w:trHeight w:val="207"/>
        </w:trPr>
        <w:tc>
          <w:tcPr>
            <w:tcW w:w="4287" w:type="dxa"/>
            <w:gridSpan w:val="2"/>
            <w:tcBorders>
              <w:top w:val="nil"/>
              <w:left w:val="nil"/>
              <w:bottom w:val="nil"/>
              <w:right w:val="nil"/>
            </w:tcBorders>
          </w:tcPr>
          <w:p w14:paraId="0D63D45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Treasury shares</w:t>
            </w:r>
          </w:p>
        </w:tc>
        <w:tc>
          <w:tcPr>
            <w:tcW w:w="708" w:type="dxa"/>
            <w:tcBorders>
              <w:top w:val="nil"/>
              <w:left w:val="nil"/>
              <w:bottom w:val="nil"/>
              <w:right w:val="nil"/>
            </w:tcBorders>
          </w:tcPr>
          <w:p w14:paraId="49D529A7" w14:textId="77777777" w:rsidR="00323BB2" w:rsidRPr="0061063C" w:rsidRDefault="00323BB2" w:rsidP="00453AFA">
            <w:pPr>
              <w:jc w:val="center"/>
              <w:rPr>
                <w:rFonts w:asciiTheme="minorHAnsi" w:hAnsiTheme="minorHAnsi"/>
                <w:iCs/>
                <w:sz w:val="20"/>
              </w:rPr>
            </w:pPr>
          </w:p>
        </w:tc>
        <w:tc>
          <w:tcPr>
            <w:tcW w:w="1843" w:type="dxa"/>
            <w:tcBorders>
              <w:top w:val="nil"/>
              <w:left w:val="nil"/>
              <w:bottom w:val="nil"/>
              <w:right w:val="nil"/>
            </w:tcBorders>
          </w:tcPr>
          <w:p w14:paraId="11ABB9A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(40.7)</w:t>
            </w:r>
          </w:p>
        </w:tc>
        <w:tc>
          <w:tcPr>
            <w:tcW w:w="2126" w:type="dxa"/>
            <w:tcBorders>
              <w:top w:val="nil"/>
              <w:left w:val="nil"/>
              <w:bottom w:val="nil"/>
              <w:right w:val="nil"/>
            </w:tcBorders>
          </w:tcPr>
          <w:p w14:paraId="03FEB25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(40.7)</w:t>
            </w:r>
          </w:p>
        </w:tc>
      </w:tr>
      <w:tr w:rsidR="00323BB2" w:rsidRPr="0061063C" w14:paraId="0E4DC54C" w14:textId="77777777" w:rsidTr="00453AFA">
        <w:trPr>
          <w:gridAfter w:val="1"/>
          <w:wAfter w:w="567" w:type="dxa"/>
          <w:trHeight w:val="109"/>
        </w:trPr>
        <w:tc>
          <w:tcPr>
            <w:tcW w:w="4287" w:type="dxa"/>
            <w:gridSpan w:val="2"/>
            <w:tcBorders>
              <w:top w:val="nil"/>
              <w:left w:val="nil"/>
              <w:bottom w:val="nil"/>
              <w:right w:val="nil"/>
            </w:tcBorders>
          </w:tcPr>
          <w:p w14:paraId="39E2271A"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Shares held by employee benefit trust</w:t>
            </w:r>
          </w:p>
        </w:tc>
        <w:tc>
          <w:tcPr>
            <w:tcW w:w="708" w:type="dxa"/>
            <w:tcBorders>
              <w:top w:val="nil"/>
              <w:left w:val="nil"/>
              <w:bottom w:val="nil"/>
              <w:right w:val="nil"/>
            </w:tcBorders>
          </w:tcPr>
          <w:p w14:paraId="3402EF88" w14:textId="77777777" w:rsidR="00323BB2" w:rsidRPr="0061063C" w:rsidRDefault="00323BB2" w:rsidP="00453AFA">
            <w:pPr>
              <w:jc w:val="center"/>
              <w:rPr>
                <w:rFonts w:asciiTheme="minorHAnsi" w:hAnsiTheme="minorHAnsi"/>
                <w:iCs/>
                <w:sz w:val="20"/>
              </w:rPr>
            </w:pPr>
          </w:p>
        </w:tc>
        <w:tc>
          <w:tcPr>
            <w:tcW w:w="1843" w:type="dxa"/>
            <w:tcBorders>
              <w:top w:val="nil"/>
              <w:left w:val="nil"/>
              <w:bottom w:val="nil"/>
              <w:right w:val="nil"/>
            </w:tcBorders>
          </w:tcPr>
          <w:p w14:paraId="6FABFB23"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(5.8)</w:t>
            </w:r>
          </w:p>
        </w:tc>
        <w:tc>
          <w:tcPr>
            <w:tcW w:w="2126" w:type="dxa"/>
            <w:tcBorders>
              <w:top w:val="nil"/>
              <w:left w:val="nil"/>
              <w:bottom w:val="nil"/>
              <w:right w:val="nil"/>
            </w:tcBorders>
          </w:tcPr>
          <w:p w14:paraId="33CE598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(6.1)</w:t>
            </w:r>
          </w:p>
        </w:tc>
      </w:tr>
      <w:tr w:rsidR="00323BB2" w:rsidRPr="0061063C" w14:paraId="55BBCD17" w14:textId="77777777" w:rsidTr="00453AFA">
        <w:trPr>
          <w:gridAfter w:val="1"/>
          <w:wAfter w:w="567" w:type="dxa"/>
          <w:trHeight w:val="184"/>
        </w:trPr>
        <w:tc>
          <w:tcPr>
            <w:tcW w:w="4287" w:type="dxa"/>
            <w:gridSpan w:val="2"/>
            <w:tcBorders>
              <w:top w:val="nil"/>
              <w:left w:val="nil"/>
              <w:right w:val="nil"/>
            </w:tcBorders>
          </w:tcPr>
          <w:p w14:paraId="5896B6F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Other reserves</w:t>
            </w:r>
          </w:p>
        </w:tc>
        <w:tc>
          <w:tcPr>
            <w:tcW w:w="708" w:type="dxa"/>
            <w:tcBorders>
              <w:top w:val="nil"/>
              <w:left w:val="nil"/>
              <w:right w:val="nil"/>
            </w:tcBorders>
          </w:tcPr>
          <w:p w14:paraId="28F72BEE" w14:textId="77777777" w:rsidR="00323BB2" w:rsidRPr="0061063C" w:rsidRDefault="00323BB2" w:rsidP="00453AFA">
            <w:pPr>
              <w:jc w:val="center"/>
              <w:rPr>
                <w:rFonts w:asciiTheme="minorHAnsi" w:hAnsiTheme="minorHAnsi"/>
                <w:iCs/>
                <w:sz w:val="20"/>
              </w:rPr>
            </w:pPr>
          </w:p>
        </w:tc>
        <w:tc>
          <w:tcPr>
            <w:tcW w:w="1843" w:type="dxa"/>
            <w:tcBorders>
              <w:top w:val="nil"/>
              <w:left w:val="nil"/>
              <w:right w:val="nil"/>
            </w:tcBorders>
          </w:tcPr>
          <w:p w14:paraId="2D5D146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243.0</w:t>
            </w:r>
          </w:p>
        </w:tc>
        <w:tc>
          <w:tcPr>
            <w:tcW w:w="2126" w:type="dxa"/>
            <w:tcBorders>
              <w:top w:val="nil"/>
              <w:left w:val="nil"/>
              <w:right w:val="nil"/>
            </w:tcBorders>
          </w:tcPr>
          <w:p w14:paraId="66E40C6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63.7</w:t>
            </w:r>
          </w:p>
        </w:tc>
      </w:tr>
      <w:tr w:rsidR="00323BB2" w:rsidRPr="0061063C" w14:paraId="72C96A06" w14:textId="77777777" w:rsidTr="00453AFA">
        <w:trPr>
          <w:gridAfter w:val="1"/>
          <w:wAfter w:w="567" w:type="dxa"/>
          <w:trHeight w:val="225"/>
        </w:trPr>
        <w:tc>
          <w:tcPr>
            <w:tcW w:w="4287" w:type="dxa"/>
            <w:gridSpan w:val="2"/>
            <w:tcBorders>
              <w:top w:val="nil"/>
              <w:left w:val="nil"/>
              <w:bottom w:val="single" w:sz="4" w:space="0" w:color="auto"/>
              <w:right w:val="nil"/>
            </w:tcBorders>
          </w:tcPr>
          <w:p w14:paraId="20B7BBC1"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Retained earnings</w:t>
            </w:r>
          </w:p>
        </w:tc>
        <w:tc>
          <w:tcPr>
            <w:tcW w:w="708" w:type="dxa"/>
            <w:tcBorders>
              <w:top w:val="nil"/>
              <w:left w:val="nil"/>
              <w:bottom w:val="single" w:sz="4" w:space="0" w:color="auto"/>
              <w:right w:val="nil"/>
            </w:tcBorders>
          </w:tcPr>
          <w:p w14:paraId="43AAB122" w14:textId="77777777" w:rsidR="00323BB2" w:rsidRPr="0061063C" w:rsidRDefault="00323BB2" w:rsidP="00453AFA">
            <w:pPr>
              <w:jc w:val="center"/>
              <w:rPr>
                <w:rFonts w:asciiTheme="minorHAnsi" w:hAnsiTheme="minorHAnsi"/>
                <w:iCs/>
                <w:sz w:val="20"/>
              </w:rPr>
            </w:pPr>
          </w:p>
        </w:tc>
        <w:tc>
          <w:tcPr>
            <w:tcW w:w="1843" w:type="dxa"/>
            <w:tcBorders>
              <w:top w:val="nil"/>
              <w:left w:val="nil"/>
              <w:bottom w:val="single" w:sz="4" w:space="0" w:color="auto"/>
              <w:right w:val="nil"/>
            </w:tcBorders>
          </w:tcPr>
          <w:p w14:paraId="065A2CE9"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w:t>
            </w:r>
            <w:r>
              <w:rPr>
                <w:rFonts w:asciiTheme="minorHAnsi" w:hAnsiTheme="minorHAnsi"/>
                <w:b/>
                <w:bCs/>
                <w:sz w:val="20"/>
              </w:rPr>
              <w:t>624</w:t>
            </w:r>
            <w:r w:rsidRPr="0061063C">
              <w:rPr>
                <w:rFonts w:asciiTheme="minorHAnsi" w:hAnsiTheme="minorHAnsi"/>
                <w:b/>
                <w:bCs/>
                <w:sz w:val="20"/>
              </w:rPr>
              <w:t>.</w:t>
            </w:r>
            <w:r>
              <w:rPr>
                <w:rFonts w:asciiTheme="minorHAnsi" w:hAnsiTheme="minorHAnsi"/>
                <w:b/>
                <w:bCs/>
                <w:sz w:val="20"/>
              </w:rPr>
              <w:t>6</w:t>
            </w:r>
          </w:p>
        </w:tc>
        <w:tc>
          <w:tcPr>
            <w:tcW w:w="2126" w:type="dxa"/>
            <w:tcBorders>
              <w:top w:val="nil"/>
              <w:left w:val="nil"/>
              <w:bottom w:val="single" w:sz="4" w:space="0" w:color="auto"/>
              <w:right w:val="nil"/>
            </w:tcBorders>
          </w:tcPr>
          <w:p w14:paraId="4C79AC0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3,539.5</w:t>
            </w:r>
          </w:p>
        </w:tc>
      </w:tr>
      <w:tr w:rsidR="00323BB2" w:rsidRPr="0061063C" w14:paraId="1F66AA31" w14:textId="77777777" w:rsidTr="00453AFA">
        <w:trPr>
          <w:gridAfter w:val="1"/>
          <w:wAfter w:w="567" w:type="dxa"/>
          <w:trHeight w:val="241"/>
        </w:trPr>
        <w:tc>
          <w:tcPr>
            <w:tcW w:w="4287" w:type="dxa"/>
            <w:gridSpan w:val="2"/>
            <w:tcBorders>
              <w:top w:val="single" w:sz="4" w:space="0" w:color="auto"/>
              <w:left w:val="nil"/>
              <w:right w:val="nil"/>
            </w:tcBorders>
          </w:tcPr>
          <w:p w14:paraId="33F54E15" w14:textId="77777777" w:rsidR="00323BB2" w:rsidRPr="0061063C" w:rsidRDefault="00323BB2" w:rsidP="00453AFA">
            <w:pPr>
              <w:ind w:left="-108"/>
              <w:rPr>
                <w:rFonts w:asciiTheme="minorHAnsi" w:hAnsiTheme="minorHAnsi"/>
                <w:sz w:val="20"/>
              </w:rPr>
            </w:pPr>
            <w:r w:rsidRPr="0061063C">
              <w:rPr>
                <w:rFonts w:asciiTheme="minorHAnsi" w:hAnsiTheme="minorHAnsi"/>
                <w:b/>
                <w:bCs/>
                <w:sz w:val="20"/>
              </w:rPr>
              <w:t>Equity attributable to owners of the parent</w:t>
            </w:r>
          </w:p>
        </w:tc>
        <w:tc>
          <w:tcPr>
            <w:tcW w:w="708" w:type="dxa"/>
            <w:tcBorders>
              <w:top w:val="single" w:sz="4" w:space="0" w:color="auto"/>
              <w:left w:val="nil"/>
              <w:right w:val="nil"/>
            </w:tcBorders>
          </w:tcPr>
          <w:p w14:paraId="64C156AA"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right w:val="nil"/>
            </w:tcBorders>
          </w:tcPr>
          <w:p w14:paraId="6826AC32"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11,345.3</w:t>
            </w:r>
          </w:p>
        </w:tc>
        <w:tc>
          <w:tcPr>
            <w:tcW w:w="2126" w:type="dxa"/>
            <w:tcBorders>
              <w:top w:val="single" w:sz="4" w:space="0" w:color="auto"/>
              <w:left w:val="nil"/>
              <w:right w:val="nil"/>
            </w:tcBorders>
          </w:tcPr>
          <w:p w14:paraId="2EA8DE5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3,984.7</w:t>
            </w:r>
          </w:p>
        </w:tc>
      </w:tr>
      <w:tr w:rsidR="00323BB2" w:rsidRPr="0061063C" w14:paraId="304521A9" w14:textId="77777777" w:rsidTr="00453AFA">
        <w:trPr>
          <w:gridAfter w:val="1"/>
          <w:wAfter w:w="567" w:type="dxa"/>
          <w:trHeight w:val="281"/>
        </w:trPr>
        <w:tc>
          <w:tcPr>
            <w:tcW w:w="4287" w:type="dxa"/>
            <w:gridSpan w:val="2"/>
            <w:tcBorders>
              <w:left w:val="nil"/>
              <w:bottom w:val="single" w:sz="4" w:space="0" w:color="auto"/>
              <w:right w:val="nil"/>
            </w:tcBorders>
          </w:tcPr>
          <w:p w14:paraId="409BD392" w14:textId="77777777" w:rsidR="00323BB2" w:rsidRPr="0061063C" w:rsidRDefault="00323BB2" w:rsidP="00453AFA">
            <w:pPr>
              <w:ind w:left="-108"/>
              <w:rPr>
                <w:rFonts w:asciiTheme="minorHAnsi" w:hAnsiTheme="minorHAnsi"/>
                <w:b/>
                <w:bCs/>
                <w:sz w:val="20"/>
              </w:rPr>
            </w:pPr>
            <w:r w:rsidRPr="0061063C">
              <w:rPr>
                <w:rFonts w:asciiTheme="minorHAnsi" w:hAnsiTheme="minorHAnsi"/>
                <w:sz w:val="20"/>
              </w:rPr>
              <w:t>Non-controlling interest</w:t>
            </w:r>
          </w:p>
        </w:tc>
        <w:tc>
          <w:tcPr>
            <w:tcW w:w="708" w:type="dxa"/>
            <w:tcBorders>
              <w:left w:val="nil"/>
              <w:bottom w:val="single" w:sz="4" w:space="0" w:color="auto"/>
              <w:right w:val="nil"/>
            </w:tcBorders>
          </w:tcPr>
          <w:p w14:paraId="3510639A" w14:textId="77777777" w:rsidR="00323BB2" w:rsidRPr="0061063C" w:rsidRDefault="00323BB2" w:rsidP="00453AFA">
            <w:pPr>
              <w:jc w:val="center"/>
              <w:rPr>
                <w:rFonts w:asciiTheme="minorHAnsi" w:hAnsiTheme="minorHAnsi"/>
                <w:iCs/>
                <w:sz w:val="20"/>
              </w:rPr>
            </w:pPr>
          </w:p>
        </w:tc>
        <w:tc>
          <w:tcPr>
            <w:tcW w:w="1843" w:type="dxa"/>
            <w:tcBorders>
              <w:left w:val="nil"/>
              <w:bottom w:val="single" w:sz="4" w:space="0" w:color="auto"/>
              <w:right w:val="nil"/>
            </w:tcBorders>
          </w:tcPr>
          <w:p w14:paraId="50C9E36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199.0</w:t>
            </w:r>
          </w:p>
        </w:tc>
        <w:tc>
          <w:tcPr>
            <w:tcW w:w="2126" w:type="dxa"/>
            <w:tcBorders>
              <w:left w:val="nil"/>
              <w:bottom w:val="single" w:sz="4" w:space="0" w:color="auto"/>
              <w:right w:val="nil"/>
            </w:tcBorders>
          </w:tcPr>
          <w:p w14:paraId="6C27070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204.9</w:t>
            </w:r>
          </w:p>
        </w:tc>
      </w:tr>
      <w:tr w:rsidR="00323BB2" w:rsidRPr="0061063C" w14:paraId="1D20A7A6" w14:textId="77777777" w:rsidTr="00453AFA">
        <w:trPr>
          <w:gridAfter w:val="1"/>
          <w:wAfter w:w="567" w:type="dxa"/>
          <w:trHeight w:val="299"/>
        </w:trPr>
        <w:tc>
          <w:tcPr>
            <w:tcW w:w="4287" w:type="dxa"/>
            <w:gridSpan w:val="2"/>
            <w:tcBorders>
              <w:top w:val="single" w:sz="4" w:space="0" w:color="auto"/>
              <w:left w:val="nil"/>
              <w:bottom w:val="single" w:sz="4" w:space="0" w:color="auto"/>
              <w:right w:val="nil"/>
            </w:tcBorders>
          </w:tcPr>
          <w:p w14:paraId="672917F3"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 xml:space="preserve">Total equity </w:t>
            </w:r>
          </w:p>
        </w:tc>
        <w:tc>
          <w:tcPr>
            <w:tcW w:w="708" w:type="dxa"/>
            <w:tcBorders>
              <w:top w:val="single" w:sz="4" w:space="0" w:color="auto"/>
              <w:left w:val="nil"/>
              <w:bottom w:val="single" w:sz="4" w:space="0" w:color="auto"/>
              <w:right w:val="nil"/>
            </w:tcBorders>
          </w:tcPr>
          <w:p w14:paraId="2E88B107"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4CFC14A9"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11,544.3</w:t>
            </w:r>
          </w:p>
        </w:tc>
        <w:tc>
          <w:tcPr>
            <w:tcW w:w="2126" w:type="dxa"/>
            <w:tcBorders>
              <w:top w:val="single" w:sz="4" w:space="0" w:color="auto"/>
              <w:left w:val="nil"/>
              <w:bottom w:val="single" w:sz="4" w:space="0" w:color="auto"/>
              <w:right w:val="nil"/>
            </w:tcBorders>
          </w:tcPr>
          <w:p w14:paraId="7DB17D4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4,189.6</w:t>
            </w:r>
          </w:p>
        </w:tc>
      </w:tr>
      <w:tr w:rsidR="00323BB2" w:rsidRPr="0061063C" w14:paraId="22B1FEDB" w14:textId="77777777" w:rsidTr="00453AFA">
        <w:trPr>
          <w:gridAfter w:val="1"/>
          <w:wAfter w:w="567" w:type="dxa"/>
          <w:trHeight w:val="576"/>
        </w:trPr>
        <w:tc>
          <w:tcPr>
            <w:tcW w:w="4287" w:type="dxa"/>
            <w:gridSpan w:val="2"/>
            <w:tcBorders>
              <w:top w:val="single" w:sz="4" w:space="0" w:color="auto"/>
              <w:left w:val="nil"/>
              <w:bottom w:val="nil"/>
              <w:right w:val="nil"/>
            </w:tcBorders>
          </w:tcPr>
          <w:p w14:paraId="08CC5975" w14:textId="77777777" w:rsidR="00323BB2" w:rsidRPr="0061063C" w:rsidRDefault="00323BB2" w:rsidP="00453AFA">
            <w:pPr>
              <w:ind w:left="-108"/>
              <w:rPr>
                <w:rFonts w:asciiTheme="minorHAnsi" w:hAnsiTheme="minorHAnsi"/>
                <w:b/>
                <w:bCs/>
                <w:sz w:val="20"/>
              </w:rPr>
            </w:pPr>
          </w:p>
          <w:p w14:paraId="2290A24A"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Liabilities</w:t>
            </w:r>
          </w:p>
        </w:tc>
        <w:tc>
          <w:tcPr>
            <w:tcW w:w="708" w:type="dxa"/>
            <w:tcBorders>
              <w:top w:val="single" w:sz="4" w:space="0" w:color="auto"/>
              <w:left w:val="nil"/>
              <w:right w:val="nil"/>
            </w:tcBorders>
          </w:tcPr>
          <w:p w14:paraId="21AEC0FC"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right w:val="nil"/>
            </w:tcBorders>
          </w:tcPr>
          <w:p w14:paraId="482E3DB1" w14:textId="77777777" w:rsidR="00323BB2" w:rsidRPr="0061063C" w:rsidRDefault="00323BB2" w:rsidP="00453AFA">
            <w:pPr>
              <w:jc w:val="right"/>
              <w:rPr>
                <w:rFonts w:asciiTheme="minorHAnsi" w:hAnsiTheme="minorHAnsi"/>
                <w:b/>
                <w:bCs/>
                <w:sz w:val="20"/>
              </w:rPr>
            </w:pPr>
          </w:p>
        </w:tc>
        <w:tc>
          <w:tcPr>
            <w:tcW w:w="2126" w:type="dxa"/>
            <w:tcBorders>
              <w:top w:val="single" w:sz="4" w:space="0" w:color="auto"/>
              <w:left w:val="nil"/>
              <w:right w:val="nil"/>
            </w:tcBorders>
          </w:tcPr>
          <w:p w14:paraId="31018758" w14:textId="77777777" w:rsidR="00323BB2" w:rsidRPr="0061063C" w:rsidRDefault="00323BB2" w:rsidP="00453AFA">
            <w:pPr>
              <w:jc w:val="right"/>
              <w:rPr>
                <w:rFonts w:asciiTheme="minorHAnsi" w:hAnsiTheme="minorHAnsi"/>
                <w:bCs/>
                <w:sz w:val="20"/>
              </w:rPr>
            </w:pPr>
          </w:p>
        </w:tc>
      </w:tr>
      <w:tr w:rsidR="00323BB2" w:rsidRPr="0061063C" w14:paraId="1A28A90F" w14:textId="77777777" w:rsidTr="00453AFA">
        <w:trPr>
          <w:gridAfter w:val="1"/>
          <w:wAfter w:w="567" w:type="dxa"/>
          <w:trHeight w:val="185"/>
        </w:trPr>
        <w:tc>
          <w:tcPr>
            <w:tcW w:w="4287" w:type="dxa"/>
            <w:gridSpan w:val="2"/>
            <w:tcBorders>
              <w:top w:val="nil"/>
              <w:left w:val="nil"/>
              <w:bottom w:val="nil"/>
              <w:right w:val="nil"/>
            </w:tcBorders>
          </w:tcPr>
          <w:p w14:paraId="218AE0C4"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Trade and other payables</w:t>
            </w:r>
          </w:p>
        </w:tc>
        <w:tc>
          <w:tcPr>
            <w:tcW w:w="708" w:type="dxa"/>
            <w:tcBorders>
              <w:left w:val="nil"/>
              <w:right w:val="nil"/>
            </w:tcBorders>
          </w:tcPr>
          <w:p w14:paraId="67DD846F"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13</w:t>
            </w:r>
          </w:p>
        </w:tc>
        <w:tc>
          <w:tcPr>
            <w:tcW w:w="1843" w:type="dxa"/>
            <w:tcBorders>
              <w:left w:val="nil"/>
              <w:right w:val="nil"/>
            </w:tcBorders>
          </w:tcPr>
          <w:p w14:paraId="382E903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858.6</w:t>
            </w:r>
          </w:p>
        </w:tc>
        <w:tc>
          <w:tcPr>
            <w:tcW w:w="2126" w:type="dxa"/>
            <w:tcBorders>
              <w:left w:val="nil"/>
              <w:right w:val="nil"/>
            </w:tcBorders>
          </w:tcPr>
          <w:p w14:paraId="6D60159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369.6</w:t>
            </w:r>
          </w:p>
        </w:tc>
      </w:tr>
      <w:tr w:rsidR="00323BB2" w:rsidRPr="0061063C" w14:paraId="6B4DAEA8" w14:textId="77777777" w:rsidTr="00453AFA">
        <w:trPr>
          <w:gridAfter w:val="1"/>
          <w:wAfter w:w="567" w:type="dxa"/>
        </w:trPr>
        <w:tc>
          <w:tcPr>
            <w:tcW w:w="4287" w:type="dxa"/>
            <w:gridSpan w:val="2"/>
            <w:tcBorders>
              <w:top w:val="nil"/>
              <w:left w:val="nil"/>
              <w:right w:val="nil"/>
            </w:tcBorders>
          </w:tcPr>
          <w:p w14:paraId="24EA5348"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rPr>
              <w:t>Customer balances</w:t>
            </w:r>
          </w:p>
        </w:tc>
        <w:tc>
          <w:tcPr>
            <w:tcW w:w="2551" w:type="dxa"/>
            <w:gridSpan w:val="2"/>
            <w:tcBorders>
              <w:top w:val="nil"/>
              <w:left w:val="nil"/>
              <w:right w:val="nil"/>
            </w:tcBorders>
            <w:shd w:val="clear" w:color="auto" w:fill="auto"/>
          </w:tcPr>
          <w:p w14:paraId="4C89B8CA"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542.0</w:t>
            </w:r>
          </w:p>
        </w:tc>
        <w:tc>
          <w:tcPr>
            <w:tcW w:w="2126" w:type="dxa"/>
            <w:tcBorders>
              <w:top w:val="nil"/>
              <w:left w:val="nil"/>
              <w:right w:val="nil"/>
            </w:tcBorders>
          </w:tcPr>
          <w:p w14:paraId="5A82E9BC"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rPr>
              <w:t>179.2</w:t>
            </w:r>
          </w:p>
        </w:tc>
      </w:tr>
      <w:tr w:rsidR="00323BB2" w:rsidRPr="0061063C" w14:paraId="40CDB136" w14:textId="77777777" w:rsidTr="00453AFA">
        <w:trPr>
          <w:gridAfter w:val="1"/>
          <w:wAfter w:w="567" w:type="dxa"/>
          <w:trHeight w:val="80"/>
        </w:trPr>
        <w:tc>
          <w:tcPr>
            <w:tcW w:w="4287" w:type="dxa"/>
            <w:gridSpan w:val="2"/>
            <w:tcBorders>
              <w:top w:val="nil"/>
              <w:left w:val="nil"/>
              <w:bottom w:val="nil"/>
              <w:right w:val="nil"/>
            </w:tcBorders>
          </w:tcPr>
          <w:p w14:paraId="1E32495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Derivative financial liabilities</w:t>
            </w:r>
          </w:p>
        </w:tc>
        <w:tc>
          <w:tcPr>
            <w:tcW w:w="708" w:type="dxa"/>
            <w:tcBorders>
              <w:top w:val="nil"/>
              <w:left w:val="nil"/>
              <w:right w:val="nil"/>
            </w:tcBorders>
          </w:tcPr>
          <w:p w14:paraId="0A33334B" w14:textId="77777777" w:rsidR="00323BB2" w:rsidRPr="0061063C" w:rsidRDefault="00323BB2" w:rsidP="00453AFA">
            <w:pPr>
              <w:jc w:val="center"/>
              <w:rPr>
                <w:rFonts w:asciiTheme="minorHAnsi" w:hAnsiTheme="minorHAnsi"/>
                <w:iCs/>
                <w:sz w:val="20"/>
              </w:rPr>
            </w:pPr>
            <w:r w:rsidRPr="00EA47CE">
              <w:rPr>
                <w:rFonts w:asciiTheme="minorHAnsi" w:hAnsiTheme="minorHAnsi"/>
                <w:iCs/>
                <w:sz w:val="20"/>
              </w:rPr>
              <w:t>13</w:t>
            </w:r>
          </w:p>
        </w:tc>
        <w:tc>
          <w:tcPr>
            <w:tcW w:w="1843" w:type="dxa"/>
            <w:tcBorders>
              <w:top w:val="nil"/>
              <w:left w:val="nil"/>
              <w:right w:val="nil"/>
            </w:tcBorders>
          </w:tcPr>
          <w:p w14:paraId="694384A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30.9</w:t>
            </w:r>
          </w:p>
        </w:tc>
        <w:tc>
          <w:tcPr>
            <w:tcW w:w="2126" w:type="dxa"/>
            <w:tcBorders>
              <w:top w:val="nil"/>
              <w:left w:val="nil"/>
              <w:right w:val="nil"/>
            </w:tcBorders>
          </w:tcPr>
          <w:p w14:paraId="5E460F8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20.4</w:t>
            </w:r>
          </w:p>
        </w:tc>
      </w:tr>
      <w:tr w:rsidR="00323BB2" w:rsidRPr="0061063C" w14:paraId="0582F248" w14:textId="77777777" w:rsidTr="00453AFA">
        <w:trPr>
          <w:gridAfter w:val="1"/>
          <w:wAfter w:w="567" w:type="dxa"/>
          <w:trHeight w:val="80"/>
        </w:trPr>
        <w:tc>
          <w:tcPr>
            <w:tcW w:w="4287" w:type="dxa"/>
            <w:gridSpan w:val="2"/>
            <w:tcBorders>
              <w:top w:val="nil"/>
              <w:left w:val="nil"/>
              <w:bottom w:val="nil"/>
              <w:right w:val="nil"/>
            </w:tcBorders>
          </w:tcPr>
          <w:p w14:paraId="2E144D4B"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Provisions</w:t>
            </w:r>
          </w:p>
        </w:tc>
        <w:tc>
          <w:tcPr>
            <w:tcW w:w="708" w:type="dxa"/>
            <w:tcBorders>
              <w:top w:val="nil"/>
              <w:left w:val="nil"/>
              <w:right w:val="nil"/>
            </w:tcBorders>
          </w:tcPr>
          <w:p w14:paraId="5BE60691" w14:textId="77777777" w:rsidR="00323BB2" w:rsidRPr="0061063C" w:rsidRDefault="00323BB2" w:rsidP="00453AFA">
            <w:pPr>
              <w:jc w:val="center"/>
              <w:rPr>
                <w:rFonts w:asciiTheme="minorHAnsi" w:hAnsiTheme="minorHAnsi"/>
                <w:iCs/>
                <w:sz w:val="20"/>
              </w:rPr>
            </w:pPr>
          </w:p>
        </w:tc>
        <w:tc>
          <w:tcPr>
            <w:tcW w:w="1843" w:type="dxa"/>
            <w:tcBorders>
              <w:top w:val="nil"/>
              <w:left w:val="nil"/>
              <w:right w:val="nil"/>
            </w:tcBorders>
          </w:tcPr>
          <w:p w14:paraId="2296DE1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5.4</w:t>
            </w:r>
          </w:p>
        </w:tc>
        <w:tc>
          <w:tcPr>
            <w:tcW w:w="2126" w:type="dxa"/>
            <w:tcBorders>
              <w:top w:val="nil"/>
              <w:left w:val="nil"/>
              <w:right w:val="nil"/>
            </w:tcBorders>
          </w:tcPr>
          <w:p w14:paraId="10D2E40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2.9</w:t>
            </w:r>
          </w:p>
        </w:tc>
      </w:tr>
      <w:tr w:rsidR="00323BB2" w:rsidRPr="0061063C" w14:paraId="02E331AE" w14:textId="77777777" w:rsidTr="00453AFA">
        <w:trPr>
          <w:gridAfter w:val="1"/>
          <w:wAfter w:w="567" w:type="dxa"/>
          <w:trHeight w:val="225"/>
        </w:trPr>
        <w:tc>
          <w:tcPr>
            <w:tcW w:w="4287" w:type="dxa"/>
            <w:gridSpan w:val="2"/>
            <w:tcBorders>
              <w:top w:val="nil"/>
              <w:left w:val="nil"/>
              <w:right w:val="nil"/>
            </w:tcBorders>
          </w:tcPr>
          <w:p w14:paraId="0B9572CD" w14:textId="77777777" w:rsidR="00323BB2" w:rsidRPr="0061063C" w:rsidRDefault="00323BB2" w:rsidP="00453AFA">
            <w:pPr>
              <w:ind w:left="-108"/>
              <w:rPr>
                <w:rFonts w:asciiTheme="minorHAnsi" w:hAnsiTheme="minorHAnsi"/>
                <w:b/>
                <w:bCs/>
                <w:sz w:val="20"/>
              </w:rPr>
            </w:pPr>
            <w:r w:rsidRPr="0061063C">
              <w:rPr>
                <w:rFonts w:asciiTheme="minorHAnsi" w:hAnsiTheme="minorHAnsi"/>
                <w:sz w:val="20"/>
              </w:rPr>
              <w:t>Current tax payable</w:t>
            </w:r>
          </w:p>
        </w:tc>
        <w:tc>
          <w:tcPr>
            <w:tcW w:w="708" w:type="dxa"/>
            <w:tcBorders>
              <w:left w:val="nil"/>
              <w:right w:val="nil"/>
            </w:tcBorders>
          </w:tcPr>
          <w:p w14:paraId="7F61D040"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667F26C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w:t>
            </w:r>
            <w:r>
              <w:rPr>
                <w:rFonts w:asciiTheme="minorHAnsi" w:hAnsiTheme="minorHAnsi"/>
                <w:b/>
                <w:bCs/>
                <w:sz w:val="20"/>
              </w:rPr>
              <w:t>8</w:t>
            </w:r>
          </w:p>
        </w:tc>
        <w:tc>
          <w:tcPr>
            <w:tcW w:w="2126" w:type="dxa"/>
            <w:tcBorders>
              <w:left w:val="nil"/>
              <w:right w:val="nil"/>
            </w:tcBorders>
          </w:tcPr>
          <w:p w14:paraId="36FF802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20.0</w:t>
            </w:r>
          </w:p>
        </w:tc>
      </w:tr>
      <w:tr w:rsidR="00323BB2" w:rsidRPr="0061063C" w14:paraId="5E989E5B" w14:textId="77777777" w:rsidTr="00453AFA">
        <w:trPr>
          <w:gridAfter w:val="1"/>
          <w:wAfter w:w="567" w:type="dxa"/>
          <w:trHeight w:val="225"/>
        </w:trPr>
        <w:tc>
          <w:tcPr>
            <w:tcW w:w="4287" w:type="dxa"/>
            <w:gridSpan w:val="2"/>
            <w:tcBorders>
              <w:top w:val="nil"/>
              <w:left w:val="nil"/>
              <w:right w:val="nil"/>
            </w:tcBorders>
          </w:tcPr>
          <w:p w14:paraId="60F5A2D2"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 xml:space="preserve">Lease </w:t>
            </w:r>
            <w:r>
              <w:rPr>
                <w:rFonts w:asciiTheme="minorHAnsi" w:hAnsiTheme="minorHAnsi"/>
                <w:sz w:val="20"/>
              </w:rPr>
              <w:t>l</w:t>
            </w:r>
            <w:r w:rsidRPr="0061063C">
              <w:rPr>
                <w:rFonts w:asciiTheme="minorHAnsi" w:hAnsiTheme="minorHAnsi"/>
                <w:sz w:val="20"/>
              </w:rPr>
              <w:t>iabilities</w:t>
            </w:r>
          </w:p>
        </w:tc>
        <w:tc>
          <w:tcPr>
            <w:tcW w:w="708" w:type="dxa"/>
            <w:tcBorders>
              <w:left w:val="nil"/>
              <w:right w:val="nil"/>
            </w:tcBorders>
          </w:tcPr>
          <w:p w14:paraId="4A743E7D"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688E16F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54.6</w:t>
            </w:r>
          </w:p>
        </w:tc>
        <w:tc>
          <w:tcPr>
            <w:tcW w:w="2126" w:type="dxa"/>
            <w:tcBorders>
              <w:left w:val="nil"/>
              <w:right w:val="nil"/>
            </w:tcBorders>
          </w:tcPr>
          <w:p w14:paraId="2E145F4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38.4</w:t>
            </w:r>
          </w:p>
        </w:tc>
      </w:tr>
      <w:tr w:rsidR="00323BB2" w:rsidRPr="0061063C" w14:paraId="7183A909" w14:textId="77777777" w:rsidTr="00453AFA">
        <w:trPr>
          <w:gridAfter w:val="1"/>
          <w:wAfter w:w="567" w:type="dxa"/>
          <w:trHeight w:val="225"/>
        </w:trPr>
        <w:tc>
          <w:tcPr>
            <w:tcW w:w="4287" w:type="dxa"/>
            <w:gridSpan w:val="2"/>
            <w:tcBorders>
              <w:top w:val="nil"/>
              <w:left w:val="nil"/>
              <w:right w:val="nil"/>
            </w:tcBorders>
          </w:tcPr>
          <w:p w14:paraId="1FFFE84B"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Borrowings</w:t>
            </w:r>
          </w:p>
        </w:tc>
        <w:tc>
          <w:tcPr>
            <w:tcW w:w="708" w:type="dxa"/>
            <w:tcBorders>
              <w:left w:val="nil"/>
              <w:right w:val="nil"/>
            </w:tcBorders>
          </w:tcPr>
          <w:p w14:paraId="377F59EA"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15</w:t>
            </w:r>
          </w:p>
        </w:tc>
        <w:tc>
          <w:tcPr>
            <w:tcW w:w="1843" w:type="dxa"/>
            <w:tcBorders>
              <w:left w:val="nil"/>
              <w:right w:val="nil"/>
            </w:tcBorders>
          </w:tcPr>
          <w:p w14:paraId="2BA9499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56.2</w:t>
            </w:r>
          </w:p>
        </w:tc>
        <w:tc>
          <w:tcPr>
            <w:tcW w:w="2126" w:type="dxa"/>
            <w:tcBorders>
              <w:left w:val="nil"/>
              <w:right w:val="nil"/>
            </w:tcBorders>
          </w:tcPr>
          <w:p w14:paraId="1878E8B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255.0</w:t>
            </w:r>
          </w:p>
        </w:tc>
      </w:tr>
      <w:tr w:rsidR="00323BB2" w:rsidRPr="0061063C" w14:paraId="7B9A915B" w14:textId="77777777" w:rsidTr="00453AFA">
        <w:trPr>
          <w:gridAfter w:val="1"/>
          <w:wAfter w:w="567" w:type="dxa"/>
          <w:trHeight w:val="227"/>
        </w:trPr>
        <w:tc>
          <w:tcPr>
            <w:tcW w:w="4287" w:type="dxa"/>
            <w:gridSpan w:val="2"/>
            <w:tcBorders>
              <w:top w:val="single" w:sz="4" w:space="0" w:color="auto"/>
              <w:left w:val="nil"/>
              <w:bottom w:val="single" w:sz="4" w:space="0" w:color="auto"/>
              <w:right w:val="nil"/>
            </w:tcBorders>
          </w:tcPr>
          <w:p w14:paraId="62F8BD32"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current liabilities</w:t>
            </w:r>
          </w:p>
        </w:tc>
        <w:tc>
          <w:tcPr>
            <w:tcW w:w="708" w:type="dxa"/>
            <w:tcBorders>
              <w:top w:val="single" w:sz="4" w:space="0" w:color="auto"/>
              <w:left w:val="nil"/>
              <w:bottom w:val="single" w:sz="4" w:space="0" w:color="auto"/>
              <w:right w:val="nil"/>
            </w:tcBorders>
          </w:tcPr>
          <w:p w14:paraId="7B7F1BF9"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5661267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1,557.</w:t>
            </w:r>
            <w:r>
              <w:rPr>
                <w:rFonts w:asciiTheme="minorHAnsi" w:hAnsiTheme="minorHAnsi"/>
                <w:b/>
                <w:bCs/>
                <w:sz w:val="20"/>
              </w:rPr>
              <w:t>5</w:t>
            </w:r>
          </w:p>
        </w:tc>
        <w:tc>
          <w:tcPr>
            <w:tcW w:w="2126" w:type="dxa"/>
            <w:tcBorders>
              <w:top w:val="single" w:sz="4" w:space="0" w:color="auto"/>
              <w:left w:val="nil"/>
              <w:bottom w:val="single" w:sz="4" w:space="0" w:color="auto"/>
              <w:right w:val="nil"/>
            </w:tcBorders>
          </w:tcPr>
          <w:p w14:paraId="680DFC7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885.5</w:t>
            </w:r>
          </w:p>
        </w:tc>
      </w:tr>
      <w:tr w:rsidR="00323BB2" w:rsidRPr="0061063C" w14:paraId="647B9FAC" w14:textId="77777777" w:rsidTr="00453AFA">
        <w:trPr>
          <w:gridAfter w:val="1"/>
          <w:wAfter w:w="567" w:type="dxa"/>
          <w:trHeight w:val="231"/>
        </w:trPr>
        <w:tc>
          <w:tcPr>
            <w:tcW w:w="4287" w:type="dxa"/>
            <w:gridSpan w:val="2"/>
            <w:tcBorders>
              <w:top w:val="single" w:sz="4" w:space="0" w:color="auto"/>
              <w:left w:val="nil"/>
              <w:right w:val="nil"/>
            </w:tcBorders>
          </w:tcPr>
          <w:p w14:paraId="73C73822" w14:textId="77777777" w:rsidR="00323BB2" w:rsidRPr="0061063C" w:rsidRDefault="00323BB2" w:rsidP="00453AFA">
            <w:pPr>
              <w:ind w:left="-108"/>
              <w:rPr>
                <w:rFonts w:asciiTheme="minorHAnsi" w:hAnsiTheme="minorHAnsi"/>
                <w:b/>
                <w:bCs/>
                <w:sz w:val="20"/>
              </w:rPr>
            </w:pPr>
          </w:p>
        </w:tc>
        <w:tc>
          <w:tcPr>
            <w:tcW w:w="708" w:type="dxa"/>
            <w:tcBorders>
              <w:top w:val="single" w:sz="4" w:space="0" w:color="auto"/>
              <w:left w:val="nil"/>
              <w:right w:val="nil"/>
            </w:tcBorders>
          </w:tcPr>
          <w:p w14:paraId="3CC155BB"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right w:val="nil"/>
            </w:tcBorders>
          </w:tcPr>
          <w:p w14:paraId="6002B7A1" w14:textId="77777777" w:rsidR="00323BB2" w:rsidRPr="0061063C" w:rsidRDefault="00323BB2" w:rsidP="00453AFA">
            <w:pPr>
              <w:jc w:val="right"/>
              <w:rPr>
                <w:rFonts w:asciiTheme="minorHAnsi" w:hAnsiTheme="minorHAnsi"/>
                <w:b/>
                <w:bCs/>
                <w:sz w:val="20"/>
              </w:rPr>
            </w:pPr>
          </w:p>
        </w:tc>
        <w:tc>
          <w:tcPr>
            <w:tcW w:w="2126" w:type="dxa"/>
            <w:tcBorders>
              <w:top w:val="single" w:sz="4" w:space="0" w:color="auto"/>
              <w:left w:val="nil"/>
              <w:right w:val="nil"/>
            </w:tcBorders>
          </w:tcPr>
          <w:p w14:paraId="634B8D61" w14:textId="77777777" w:rsidR="00323BB2" w:rsidRPr="0061063C" w:rsidRDefault="00323BB2" w:rsidP="00453AFA">
            <w:pPr>
              <w:jc w:val="right"/>
              <w:rPr>
                <w:rFonts w:asciiTheme="minorHAnsi" w:hAnsiTheme="minorHAnsi"/>
                <w:bCs/>
                <w:sz w:val="20"/>
              </w:rPr>
            </w:pPr>
          </w:p>
        </w:tc>
      </w:tr>
      <w:tr w:rsidR="00323BB2" w:rsidRPr="0061063C" w14:paraId="5575246C" w14:textId="77777777" w:rsidTr="00453AFA">
        <w:trPr>
          <w:gridAfter w:val="1"/>
          <w:wAfter w:w="567" w:type="dxa"/>
        </w:trPr>
        <w:tc>
          <w:tcPr>
            <w:tcW w:w="4287" w:type="dxa"/>
            <w:gridSpan w:val="2"/>
            <w:tcBorders>
              <w:top w:val="nil"/>
              <w:left w:val="nil"/>
              <w:right w:val="nil"/>
            </w:tcBorders>
          </w:tcPr>
          <w:p w14:paraId="75A976BA"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Trade and other payables</w:t>
            </w:r>
          </w:p>
        </w:tc>
        <w:tc>
          <w:tcPr>
            <w:tcW w:w="708" w:type="dxa"/>
            <w:tcBorders>
              <w:left w:val="nil"/>
              <w:right w:val="nil"/>
            </w:tcBorders>
            <w:shd w:val="clear" w:color="auto" w:fill="auto"/>
          </w:tcPr>
          <w:p w14:paraId="013CB755"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13</w:t>
            </w:r>
          </w:p>
        </w:tc>
        <w:tc>
          <w:tcPr>
            <w:tcW w:w="1843" w:type="dxa"/>
            <w:tcBorders>
              <w:left w:val="nil"/>
              <w:right w:val="nil"/>
            </w:tcBorders>
          </w:tcPr>
          <w:p w14:paraId="1151F1C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12.2</w:t>
            </w:r>
          </w:p>
        </w:tc>
        <w:tc>
          <w:tcPr>
            <w:tcW w:w="2126" w:type="dxa"/>
            <w:tcBorders>
              <w:left w:val="nil"/>
              <w:right w:val="nil"/>
            </w:tcBorders>
          </w:tcPr>
          <w:p w14:paraId="0FB6089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11.5</w:t>
            </w:r>
          </w:p>
        </w:tc>
      </w:tr>
      <w:tr w:rsidR="00323BB2" w:rsidRPr="0061063C" w14:paraId="2CB89E4C" w14:textId="77777777" w:rsidTr="00453AFA">
        <w:trPr>
          <w:gridAfter w:val="1"/>
          <w:wAfter w:w="567" w:type="dxa"/>
        </w:trPr>
        <w:tc>
          <w:tcPr>
            <w:tcW w:w="4287" w:type="dxa"/>
            <w:gridSpan w:val="2"/>
            <w:tcBorders>
              <w:top w:val="nil"/>
              <w:left w:val="nil"/>
              <w:right w:val="nil"/>
            </w:tcBorders>
          </w:tcPr>
          <w:p w14:paraId="0A0319F8"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Derivative financial liabilities</w:t>
            </w:r>
          </w:p>
        </w:tc>
        <w:tc>
          <w:tcPr>
            <w:tcW w:w="708" w:type="dxa"/>
            <w:tcBorders>
              <w:left w:val="nil"/>
              <w:right w:val="nil"/>
            </w:tcBorders>
            <w:shd w:val="clear" w:color="auto" w:fill="auto"/>
          </w:tcPr>
          <w:p w14:paraId="3407E8E8" w14:textId="77777777" w:rsidR="00323BB2" w:rsidRPr="0061063C" w:rsidRDefault="00323BB2" w:rsidP="00453AFA">
            <w:pPr>
              <w:jc w:val="center"/>
              <w:rPr>
                <w:rFonts w:asciiTheme="minorHAnsi" w:hAnsiTheme="minorHAnsi"/>
                <w:iCs/>
                <w:sz w:val="20"/>
              </w:rPr>
            </w:pPr>
            <w:r w:rsidRPr="00EA47CE">
              <w:rPr>
                <w:rFonts w:asciiTheme="minorHAnsi" w:hAnsiTheme="minorHAnsi"/>
                <w:iCs/>
                <w:sz w:val="20"/>
              </w:rPr>
              <w:t>13</w:t>
            </w:r>
          </w:p>
        </w:tc>
        <w:tc>
          <w:tcPr>
            <w:tcW w:w="1843" w:type="dxa"/>
            <w:tcBorders>
              <w:left w:val="nil"/>
              <w:right w:val="nil"/>
            </w:tcBorders>
          </w:tcPr>
          <w:p w14:paraId="2E7ECD6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41.4</w:t>
            </w:r>
          </w:p>
        </w:tc>
        <w:tc>
          <w:tcPr>
            <w:tcW w:w="2126" w:type="dxa"/>
            <w:tcBorders>
              <w:left w:val="nil"/>
              <w:right w:val="nil"/>
            </w:tcBorders>
          </w:tcPr>
          <w:p w14:paraId="519A6F9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0.7</w:t>
            </w:r>
          </w:p>
        </w:tc>
      </w:tr>
      <w:tr w:rsidR="00323BB2" w:rsidRPr="0061063C" w14:paraId="17A7B654" w14:textId="77777777" w:rsidTr="00453AFA">
        <w:trPr>
          <w:gridAfter w:val="1"/>
          <w:wAfter w:w="567" w:type="dxa"/>
        </w:trPr>
        <w:tc>
          <w:tcPr>
            <w:tcW w:w="4287" w:type="dxa"/>
            <w:gridSpan w:val="2"/>
            <w:tcBorders>
              <w:top w:val="nil"/>
              <w:left w:val="nil"/>
              <w:right w:val="nil"/>
            </w:tcBorders>
          </w:tcPr>
          <w:p w14:paraId="419D8F4B"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Provisions</w:t>
            </w:r>
          </w:p>
        </w:tc>
        <w:tc>
          <w:tcPr>
            <w:tcW w:w="708" w:type="dxa"/>
            <w:tcBorders>
              <w:left w:val="nil"/>
              <w:right w:val="nil"/>
            </w:tcBorders>
          </w:tcPr>
          <w:p w14:paraId="548F073D"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0E15849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54.5</w:t>
            </w:r>
          </w:p>
        </w:tc>
        <w:tc>
          <w:tcPr>
            <w:tcW w:w="2126" w:type="dxa"/>
            <w:tcBorders>
              <w:left w:val="nil"/>
              <w:right w:val="nil"/>
            </w:tcBorders>
          </w:tcPr>
          <w:p w14:paraId="6A8BFE4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1.1</w:t>
            </w:r>
          </w:p>
        </w:tc>
      </w:tr>
      <w:tr w:rsidR="00323BB2" w:rsidRPr="0061063C" w14:paraId="5A5E8FF1" w14:textId="77777777" w:rsidTr="00453AFA">
        <w:trPr>
          <w:gridAfter w:val="1"/>
          <w:wAfter w:w="567" w:type="dxa"/>
          <w:trHeight w:val="171"/>
        </w:trPr>
        <w:tc>
          <w:tcPr>
            <w:tcW w:w="4287" w:type="dxa"/>
            <w:gridSpan w:val="2"/>
            <w:tcBorders>
              <w:left w:val="nil"/>
              <w:right w:val="nil"/>
            </w:tcBorders>
          </w:tcPr>
          <w:p w14:paraId="180A6CA4"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Deferred tax liabilities</w:t>
            </w:r>
          </w:p>
        </w:tc>
        <w:tc>
          <w:tcPr>
            <w:tcW w:w="708" w:type="dxa"/>
            <w:tcBorders>
              <w:left w:val="nil"/>
              <w:right w:val="nil"/>
            </w:tcBorders>
          </w:tcPr>
          <w:p w14:paraId="62F684ED"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26565E8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544.3</w:t>
            </w:r>
          </w:p>
        </w:tc>
        <w:tc>
          <w:tcPr>
            <w:tcW w:w="2126" w:type="dxa"/>
            <w:tcBorders>
              <w:left w:val="nil"/>
              <w:right w:val="nil"/>
            </w:tcBorders>
          </w:tcPr>
          <w:p w14:paraId="5A75202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65.0</w:t>
            </w:r>
          </w:p>
        </w:tc>
      </w:tr>
      <w:tr w:rsidR="00323BB2" w:rsidRPr="0061063C" w14:paraId="3ADDDB11" w14:textId="77777777" w:rsidTr="00453AFA">
        <w:trPr>
          <w:gridAfter w:val="1"/>
          <w:wAfter w:w="567" w:type="dxa"/>
          <w:trHeight w:val="171"/>
        </w:trPr>
        <w:tc>
          <w:tcPr>
            <w:tcW w:w="4287" w:type="dxa"/>
            <w:gridSpan w:val="2"/>
            <w:tcBorders>
              <w:left w:val="nil"/>
              <w:right w:val="nil"/>
            </w:tcBorders>
          </w:tcPr>
          <w:p w14:paraId="78C4F759"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 xml:space="preserve">Lease </w:t>
            </w:r>
            <w:r>
              <w:rPr>
                <w:rFonts w:asciiTheme="minorHAnsi" w:hAnsiTheme="minorHAnsi"/>
                <w:sz w:val="20"/>
              </w:rPr>
              <w:t>l</w:t>
            </w:r>
            <w:r w:rsidRPr="0061063C">
              <w:rPr>
                <w:rFonts w:asciiTheme="minorHAnsi" w:hAnsiTheme="minorHAnsi"/>
                <w:sz w:val="20"/>
              </w:rPr>
              <w:t>iabilities</w:t>
            </w:r>
          </w:p>
        </w:tc>
        <w:tc>
          <w:tcPr>
            <w:tcW w:w="708" w:type="dxa"/>
            <w:tcBorders>
              <w:left w:val="nil"/>
              <w:right w:val="nil"/>
            </w:tcBorders>
          </w:tcPr>
          <w:p w14:paraId="375219A1" w14:textId="77777777" w:rsidR="00323BB2" w:rsidRPr="0061063C" w:rsidRDefault="00323BB2" w:rsidP="00453AFA">
            <w:pPr>
              <w:jc w:val="center"/>
              <w:rPr>
                <w:rFonts w:asciiTheme="minorHAnsi" w:hAnsiTheme="minorHAnsi"/>
                <w:iCs/>
                <w:sz w:val="20"/>
              </w:rPr>
            </w:pPr>
          </w:p>
        </w:tc>
        <w:tc>
          <w:tcPr>
            <w:tcW w:w="1843" w:type="dxa"/>
            <w:tcBorders>
              <w:left w:val="nil"/>
              <w:right w:val="nil"/>
            </w:tcBorders>
          </w:tcPr>
          <w:p w14:paraId="63ADF88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156.5</w:t>
            </w:r>
          </w:p>
        </w:tc>
        <w:tc>
          <w:tcPr>
            <w:tcW w:w="2126" w:type="dxa"/>
            <w:tcBorders>
              <w:left w:val="nil"/>
              <w:right w:val="nil"/>
            </w:tcBorders>
          </w:tcPr>
          <w:p w14:paraId="2425028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132.1</w:t>
            </w:r>
          </w:p>
        </w:tc>
      </w:tr>
      <w:tr w:rsidR="00323BB2" w:rsidRPr="0061063C" w14:paraId="279B6C91" w14:textId="77777777" w:rsidTr="00453AFA">
        <w:trPr>
          <w:gridAfter w:val="1"/>
          <w:wAfter w:w="567" w:type="dxa"/>
          <w:trHeight w:val="207"/>
        </w:trPr>
        <w:tc>
          <w:tcPr>
            <w:tcW w:w="4287" w:type="dxa"/>
            <w:gridSpan w:val="2"/>
            <w:tcBorders>
              <w:left w:val="nil"/>
              <w:bottom w:val="single" w:sz="4" w:space="0" w:color="auto"/>
              <w:right w:val="nil"/>
            </w:tcBorders>
          </w:tcPr>
          <w:p w14:paraId="6C29EA99" w14:textId="77777777" w:rsidR="00323BB2" w:rsidRPr="0061063C" w:rsidRDefault="00323BB2" w:rsidP="00453AFA">
            <w:pPr>
              <w:ind w:left="-108"/>
              <w:rPr>
                <w:rFonts w:asciiTheme="minorHAnsi" w:hAnsiTheme="minorHAnsi"/>
                <w:b/>
                <w:bCs/>
                <w:sz w:val="20"/>
              </w:rPr>
            </w:pPr>
            <w:r w:rsidRPr="0061063C">
              <w:rPr>
                <w:rFonts w:asciiTheme="minorHAnsi" w:hAnsiTheme="minorHAnsi"/>
                <w:bCs/>
                <w:sz w:val="20"/>
              </w:rPr>
              <w:t>Borrowings</w:t>
            </w:r>
          </w:p>
        </w:tc>
        <w:tc>
          <w:tcPr>
            <w:tcW w:w="708" w:type="dxa"/>
            <w:tcBorders>
              <w:left w:val="nil"/>
              <w:bottom w:val="single" w:sz="4" w:space="0" w:color="auto"/>
              <w:right w:val="nil"/>
            </w:tcBorders>
          </w:tcPr>
          <w:p w14:paraId="1F19DE1B"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15</w:t>
            </w:r>
          </w:p>
        </w:tc>
        <w:tc>
          <w:tcPr>
            <w:tcW w:w="1843" w:type="dxa"/>
            <w:tcBorders>
              <w:left w:val="nil"/>
              <w:bottom w:val="single" w:sz="4" w:space="0" w:color="auto"/>
              <w:right w:val="nil"/>
            </w:tcBorders>
          </w:tcPr>
          <w:p w14:paraId="3E6A624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3,569.0</w:t>
            </w:r>
          </w:p>
        </w:tc>
        <w:tc>
          <w:tcPr>
            <w:tcW w:w="2126" w:type="dxa"/>
            <w:tcBorders>
              <w:left w:val="nil"/>
              <w:bottom w:val="single" w:sz="4" w:space="0" w:color="auto"/>
              <w:right w:val="nil"/>
            </w:tcBorders>
          </w:tcPr>
          <w:p w14:paraId="1249785E" w14:textId="77777777" w:rsidR="00323BB2" w:rsidRPr="0061063C" w:rsidRDefault="00323BB2" w:rsidP="00453AFA">
            <w:pPr>
              <w:rPr>
                <w:rFonts w:asciiTheme="minorHAnsi" w:hAnsiTheme="minorHAnsi"/>
                <w:bCs/>
                <w:sz w:val="20"/>
              </w:rPr>
            </w:pPr>
            <w:r w:rsidRPr="0061063C">
              <w:rPr>
                <w:rFonts w:asciiTheme="minorHAnsi" w:hAnsiTheme="minorHAnsi"/>
                <w:bCs/>
                <w:sz w:val="20"/>
              </w:rPr>
              <w:t xml:space="preserve">                                115.7</w:t>
            </w:r>
          </w:p>
        </w:tc>
      </w:tr>
      <w:tr w:rsidR="00323BB2" w:rsidRPr="0061063C" w14:paraId="68F909EF" w14:textId="77777777" w:rsidTr="00453AFA">
        <w:trPr>
          <w:gridAfter w:val="1"/>
          <w:wAfter w:w="567" w:type="dxa"/>
        </w:trPr>
        <w:tc>
          <w:tcPr>
            <w:tcW w:w="4287" w:type="dxa"/>
            <w:gridSpan w:val="2"/>
            <w:tcBorders>
              <w:top w:val="single" w:sz="4" w:space="0" w:color="auto"/>
              <w:left w:val="nil"/>
              <w:bottom w:val="single" w:sz="4" w:space="0" w:color="auto"/>
              <w:right w:val="nil"/>
            </w:tcBorders>
          </w:tcPr>
          <w:p w14:paraId="10A0B5EB"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non-current liabilities</w:t>
            </w:r>
          </w:p>
        </w:tc>
        <w:tc>
          <w:tcPr>
            <w:tcW w:w="708" w:type="dxa"/>
            <w:tcBorders>
              <w:top w:val="single" w:sz="4" w:space="0" w:color="auto"/>
              <w:left w:val="nil"/>
              <w:bottom w:val="single" w:sz="4" w:space="0" w:color="auto"/>
              <w:right w:val="nil"/>
            </w:tcBorders>
          </w:tcPr>
          <w:p w14:paraId="006FB78A"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58E0E15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4,37</w:t>
            </w:r>
            <w:r>
              <w:rPr>
                <w:rFonts w:asciiTheme="minorHAnsi" w:hAnsiTheme="minorHAnsi"/>
                <w:b/>
                <w:bCs/>
                <w:sz w:val="20"/>
              </w:rPr>
              <w:t>7</w:t>
            </w:r>
            <w:r w:rsidRPr="0061063C">
              <w:rPr>
                <w:rFonts w:asciiTheme="minorHAnsi" w:hAnsiTheme="minorHAnsi"/>
                <w:b/>
                <w:bCs/>
                <w:sz w:val="20"/>
              </w:rPr>
              <w:t>.</w:t>
            </w:r>
            <w:r>
              <w:rPr>
                <w:rFonts w:asciiTheme="minorHAnsi" w:hAnsiTheme="minorHAnsi"/>
                <w:b/>
                <w:bCs/>
                <w:sz w:val="20"/>
              </w:rPr>
              <w:t>9</w:t>
            </w:r>
          </w:p>
        </w:tc>
        <w:tc>
          <w:tcPr>
            <w:tcW w:w="2126" w:type="dxa"/>
            <w:tcBorders>
              <w:top w:val="single" w:sz="4" w:space="0" w:color="auto"/>
              <w:left w:val="nil"/>
              <w:bottom w:val="single" w:sz="4" w:space="0" w:color="auto"/>
              <w:right w:val="nil"/>
            </w:tcBorders>
          </w:tcPr>
          <w:p w14:paraId="4631363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326.1</w:t>
            </w:r>
          </w:p>
        </w:tc>
      </w:tr>
      <w:tr w:rsidR="00323BB2" w:rsidRPr="0061063C" w14:paraId="106FF50C" w14:textId="77777777" w:rsidTr="00453AFA">
        <w:trPr>
          <w:gridAfter w:val="1"/>
          <w:wAfter w:w="567" w:type="dxa"/>
          <w:trHeight w:val="247"/>
        </w:trPr>
        <w:tc>
          <w:tcPr>
            <w:tcW w:w="4287" w:type="dxa"/>
            <w:gridSpan w:val="2"/>
            <w:tcBorders>
              <w:top w:val="single" w:sz="4" w:space="0" w:color="auto"/>
              <w:left w:val="nil"/>
              <w:bottom w:val="single" w:sz="4" w:space="0" w:color="auto"/>
              <w:right w:val="nil"/>
            </w:tcBorders>
          </w:tcPr>
          <w:p w14:paraId="34FEF3A3"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liabilities</w:t>
            </w:r>
          </w:p>
        </w:tc>
        <w:tc>
          <w:tcPr>
            <w:tcW w:w="708" w:type="dxa"/>
            <w:tcBorders>
              <w:top w:val="single" w:sz="4" w:space="0" w:color="auto"/>
              <w:left w:val="nil"/>
              <w:bottom w:val="single" w:sz="4" w:space="0" w:color="auto"/>
              <w:right w:val="nil"/>
            </w:tcBorders>
          </w:tcPr>
          <w:p w14:paraId="33D57794" w14:textId="77777777" w:rsidR="00323BB2" w:rsidRPr="0061063C" w:rsidRDefault="00323BB2" w:rsidP="00453AFA">
            <w:pPr>
              <w:jc w:val="center"/>
              <w:rPr>
                <w:rFonts w:asciiTheme="minorHAnsi" w:hAnsiTheme="minorHAnsi"/>
                <w:iCs/>
                <w:sz w:val="20"/>
              </w:rPr>
            </w:pPr>
          </w:p>
        </w:tc>
        <w:tc>
          <w:tcPr>
            <w:tcW w:w="1843" w:type="dxa"/>
            <w:tcBorders>
              <w:top w:val="single" w:sz="4" w:space="0" w:color="auto"/>
              <w:left w:val="nil"/>
              <w:bottom w:val="single" w:sz="4" w:space="0" w:color="auto"/>
              <w:right w:val="nil"/>
            </w:tcBorders>
          </w:tcPr>
          <w:p w14:paraId="1F59278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5,935.4</w:t>
            </w:r>
          </w:p>
        </w:tc>
        <w:tc>
          <w:tcPr>
            <w:tcW w:w="2126" w:type="dxa"/>
            <w:tcBorders>
              <w:top w:val="single" w:sz="4" w:space="0" w:color="auto"/>
              <w:left w:val="nil"/>
              <w:bottom w:val="single" w:sz="4" w:space="0" w:color="auto"/>
              <w:right w:val="nil"/>
            </w:tcBorders>
          </w:tcPr>
          <w:p w14:paraId="3A4F54A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1,211.6</w:t>
            </w:r>
          </w:p>
        </w:tc>
      </w:tr>
      <w:tr w:rsidR="00323BB2" w:rsidRPr="0061063C" w14:paraId="0E0561D8" w14:textId="77777777" w:rsidTr="00453AFA">
        <w:trPr>
          <w:gridAfter w:val="1"/>
          <w:wAfter w:w="567" w:type="dxa"/>
          <w:trHeight w:val="336"/>
        </w:trPr>
        <w:tc>
          <w:tcPr>
            <w:tcW w:w="4287" w:type="dxa"/>
            <w:gridSpan w:val="2"/>
            <w:tcBorders>
              <w:top w:val="single" w:sz="4" w:space="0" w:color="auto"/>
              <w:left w:val="nil"/>
              <w:bottom w:val="single" w:sz="4" w:space="0" w:color="auto"/>
              <w:right w:val="nil"/>
            </w:tcBorders>
          </w:tcPr>
          <w:p w14:paraId="3218876E" w14:textId="77777777" w:rsidR="00323BB2" w:rsidRPr="0061063C" w:rsidRDefault="00323BB2" w:rsidP="00453AFA">
            <w:pPr>
              <w:ind w:left="-108"/>
              <w:rPr>
                <w:rFonts w:asciiTheme="minorHAnsi" w:hAnsiTheme="minorHAnsi"/>
                <w:b/>
                <w:bCs/>
                <w:sz w:val="20"/>
              </w:rPr>
            </w:pPr>
          </w:p>
          <w:p w14:paraId="72105808"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equity and liabilities</w:t>
            </w:r>
          </w:p>
        </w:tc>
        <w:tc>
          <w:tcPr>
            <w:tcW w:w="708" w:type="dxa"/>
            <w:tcBorders>
              <w:top w:val="single" w:sz="4" w:space="0" w:color="auto"/>
              <w:left w:val="nil"/>
              <w:bottom w:val="single" w:sz="4" w:space="0" w:color="auto"/>
              <w:right w:val="nil"/>
            </w:tcBorders>
          </w:tcPr>
          <w:p w14:paraId="780E1946" w14:textId="77777777" w:rsidR="00323BB2" w:rsidRPr="0061063C" w:rsidRDefault="00323BB2" w:rsidP="00453AFA">
            <w:pPr>
              <w:jc w:val="center"/>
              <w:rPr>
                <w:rFonts w:asciiTheme="minorHAnsi" w:hAnsiTheme="minorHAnsi"/>
                <w:i/>
                <w:iCs/>
                <w:sz w:val="20"/>
              </w:rPr>
            </w:pPr>
          </w:p>
        </w:tc>
        <w:tc>
          <w:tcPr>
            <w:tcW w:w="1843" w:type="dxa"/>
            <w:tcBorders>
              <w:top w:val="single" w:sz="4" w:space="0" w:color="auto"/>
              <w:left w:val="nil"/>
              <w:bottom w:val="single" w:sz="4" w:space="0" w:color="auto"/>
              <w:right w:val="nil"/>
            </w:tcBorders>
          </w:tcPr>
          <w:p w14:paraId="4FEC81B3" w14:textId="77777777" w:rsidR="00323BB2" w:rsidRPr="0061063C" w:rsidRDefault="00323BB2" w:rsidP="00453AFA">
            <w:pPr>
              <w:jc w:val="right"/>
              <w:rPr>
                <w:rFonts w:asciiTheme="minorHAnsi" w:hAnsiTheme="minorHAnsi"/>
                <w:b/>
                <w:bCs/>
                <w:sz w:val="20"/>
              </w:rPr>
            </w:pPr>
          </w:p>
          <w:p w14:paraId="3F387FD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17,479.7</w:t>
            </w:r>
          </w:p>
        </w:tc>
        <w:tc>
          <w:tcPr>
            <w:tcW w:w="2126" w:type="dxa"/>
            <w:tcBorders>
              <w:top w:val="single" w:sz="4" w:space="0" w:color="auto"/>
              <w:left w:val="nil"/>
              <w:bottom w:val="single" w:sz="4" w:space="0" w:color="auto"/>
              <w:right w:val="nil"/>
            </w:tcBorders>
          </w:tcPr>
          <w:p w14:paraId="758CACA6" w14:textId="77777777" w:rsidR="00323BB2" w:rsidRPr="0061063C" w:rsidRDefault="00323BB2" w:rsidP="00453AFA">
            <w:pPr>
              <w:jc w:val="right"/>
              <w:rPr>
                <w:rFonts w:asciiTheme="minorHAnsi" w:hAnsiTheme="minorHAnsi"/>
                <w:bCs/>
                <w:sz w:val="20"/>
              </w:rPr>
            </w:pPr>
          </w:p>
          <w:p w14:paraId="30C844D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5,401.2</w:t>
            </w:r>
          </w:p>
        </w:tc>
      </w:tr>
      <w:bookmarkEnd w:id="11"/>
      <w:tr w:rsidR="00323BB2" w:rsidRPr="0061063C" w14:paraId="67229A81" w14:textId="77777777" w:rsidTr="00453AFA">
        <w:tblPrEx>
          <w:tblLook w:val="01E0" w:firstRow="1" w:lastRow="1" w:firstColumn="1" w:lastColumn="1" w:noHBand="0" w:noVBand="0"/>
        </w:tblPrEx>
        <w:tc>
          <w:tcPr>
            <w:tcW w:w="358" w:type="dxa"/>
            <w:shd w:val="clear" w:color="auto" w:fill="auto"/>
          </w:tcPr>
          <w:p w14:paraId="7F87535D" w14:textId="77777777" w:rsidR="00323BB2" w:rsidRPr="0061063C" w:rsidRDefault="00323BB2" w:rsidP="00453AFA">
            <w:pPr>
              <w:widowControl w:val="0"/>
              <w:autoSpaceDE w:val="0"/>
              <w:autoSpaceDN w:val="0"/>
              <w:adjustRightInd w:val="0"/>
              <w:rPr>
                <w:rFonts w:asciiTheme="minorHAnsi" w:hAnsiTheme="minorHAnsi"/>
                <w:sz w:val="18"/>
              </w:rPr>
            </w:pPr>
          </w:p>
        </w:tc>
        <w:tc>
          <w:tcPr>
            <w:tcW w:w="9173" w:type="dxa"/>
            <w:gridSpan w:val="5"/>
            <w:shd w:val="clear" w:color="auto" w:fill="auto"/>
          </w:tcPr>
          <w:p w14:paraId="059603F6" w14:textId="77777777" w:rsidR="00323BB2" w:rsidRPr="0061063C" w:rsidRDefault="00323BB2" w:rsidP="00453AFA">
            <w:pPr>
              <w:widowControl w:val="0"/>
              <w:autoSpaceDE w:val="0"/>
              <w:autoSpaceDN w:val="0"/>
              <w:adjustRightInd w:val="0"/>
              <w:ind w:left="-108"/>
              <w:rPr>
                <w:rFonts w:asciiTheme="minorHAnsi" w:hAnsiTheme="minorHAnsi"/>
                <w:sz w:val="18"/>
                <w:lang w:val="en-IE" w:eastAsia="en-IE"/>
              </w:rPr>
            </w:pPr>
          </w:p>
        </w:tc>
      </w:tr>
    </w:tbl>
    <w:p w14:paraId="358E3229" w14:textId="77777777" w:rsidR="00323BB2" w:rsidRPr="0061063C" w:rsidRDefault="00323BB2" w:rsidP="00323BB2">
      <w:pPr>
        <w:rPr>
          <w:rFonts w:asciiTheme="minorHAnsi" w:hAnsiTheme="minorHAnsi"/>
          <w:b/>
          <w:sz w:val="20"/>
          <w:lang w:val="en-IE"/>
        </w:rPr>
      </w:pPr>
      <w:r w:rsidRPr="0061063C">
        <w:rPr>
          <w:b/>
          <w:sz w:val="20"/>
          <w:lang w:val="en-IE"/>
        </w:rPr>
        <w:br w:type="page"/>
      </w:r>
      <w:r w:rsidRPr="0061063C">
        <w:rPr>
          <w:rFonts w:asciiTheme="minorHAnsi" w:hAnsiTheme="minorHAnsi"/>
          <w:b/>
          <w:sz w:val="20"/>
        </w:rPr>
        <w:lastRenderedPageBreak/>
        <w:t>CONDENSED CONSOLIDATED INTERIM STATEMENT OF CASH FLOWS</w:t>
      </w:r>
    </w:p>
    <w:p w14:paraId="2B272CEE"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t>For the six months ended 30 June 2020</w:t>
      </w:r>
    </w:p>
    <w:p w14:paraId="18F37EBB" w14:textId="77777777" w:rsidR="00323BB2" w:rsidRPr="0061063C" w:rsidRDefault="00323BB2" w:rsidP="00323BB2">
      <w:pPr>
        <w:pStyle w:val="BodyText"/>
        <w:spacing w:after="0"/>
        <w:rPr>
          <w:rFonts w:asciiTheme="minorHAnsi" w:hAnsiTheme="minorHAnsi"/>
          <w:b/>
          <w:sz w:val="12"/>
          <w:szCs w:val="12"/>
          <w:lang w:val="en-IE"/>
        </w:rPr>
      </w:pPr>
    </w:p>
    <w:tbl>
      <w:tblPr>
        <w:tblW w:w="5148" w:type="pct"/>
        <w:tblInd w:w="-284" w:type="dxa"/>
        <w:tblLayout w:type="fixed"/>
        <w:tblLook w:val="0000" w:firstRow="0" w:lastRow="0" w:firstColumn="0" w:lastColumn="0" w:noHBand="0" w:noVBand="0"/>
      </w:tblPr>
      <w:tblGrid>
        <w:gridCol w:w="1513"/>
        <w:gridCol w:w="5104"/>
        <w:gridCol w:w="704"/>
        <w:gridCol w:w="1267"/>
        <w:gridCol w:w="1265"/>
      </w:tblGrid>
      <w:tr w:rsidR="00323BB2" w:rsidRPr="0061063C" w14:paraId="34ACE278" w14:textId="77777777" w:rsidTr="00453AFA">
        <w:tc>
          <w:tcPr>
            <w:tcW w:w="3358" w:type="pct"/>
            <w:gridSpan w:val="2"/>
            <w:tcBorders>
              <w:top w:val="single" w:sz="4" w:space="0" w:color="auto"/>
              <w:left w:val="nil"/>
              <w:bottom w:val="single" w:sz="4" w:space="0" w:color="auto"/>
              <w:right w:val="nil"/>
            </w:tcBorders>
          </w:tcPr>
          <w:p w14:paraId="50517E5C" w14:textId="77777777" w:rsidR="00323BB2" w:rsidRPr="0061063C" w:rsidRDefault="00323BB2" w:rsidP="00453AFA">
            <w:pPr>
              <w:jc w:val="both"/>
              <w:rPr>
                <w:rFonts w:asciiTheme="minorHAnsi" w:hAnsiTheme="minorHAnsi"/>
                <w:sz w:val="20"/>
              </w:rPr>
            </w:pPr>
          </w:p>
        </w:tc>
        <w:tc>
          <w:tcPr>
            <w:tcW w:w="357" w:type="pct"/>
            <w:tcBorders>
              <w:top w:val="single" w:sz="4" w:space="0" w:color="auto"/>
              <w:left w:val="nil"/>
              <w:bottom w:val="single" w:sz="4" w:space="0" w:color="auto"/>
              <w:right w:val="nil"/>
            </w:tcBorders>
            <w:shd w:val="clear" w:color="auto" w:fill="auto"/>
          </w:tcPr>
          <w:p w14:paraId="616972A0" w14:textId="77777777" w:rsidR="00323BB2" w:rsidRPr="0061063C" w:rsidRDefault="00323BB2" w:rsidP="00453AFA">
            <w:pPr>
              <w:jc w:val="center"/>
              <w:rPr>
                <w:rFonts w:asciiTheme="minorHAnsi" w:hAnsiTheme="minorHAnsi"/>
                <w:iCs/>
                <w:sz w:val="20"/>
              </w:rPr>
            </w:pPr>
          </w:p>
          <w:p w14:paraId="255F50D9" w14:textId="77777777" w:rsidR="00323BB2" w:rsidRPr="0061063C" w:rsidRDefault="00323BB2" w:rsidP="00453AFA">
            <w:pPr>
              <w:jc w:val="center"/>
              <w:rPr>
                <w:rFonts w:asciiTheme="minorHAnsi" w:hAnsiTheme="minorHAnsi"/>
                <w:iCs/>
                <w:sz w:val="20"/>
              </w:rPr>
            </w:pPr>
          </w:p>
          <w:p w14:paraId="54AD5DD0" w14:textId="77777777" w:rsidR="00323BB2" w:rsidRPr="0061063C" w:rsidRDefault="00323BB2" w:rsidP="00453AFA">
            <w:pPr>
              <w:jc w:val="center"/>
              <w:rPr>
                <w:rFonts w:asciiTheme="minorHAnsi" w:hAnsiTheme="minorHAnsi"/>
                <w:iCs/>
                <w:sz w:val="20"/>
              </w:rPr>
            </w:pPr>
          </w:p>
          <w:p w14:paraId="19F4CB42" w14:textId="77777777" w:rsidR="00323BB2" w:rsidRPr="0061063C" w:rsidRDefault="00323BB2" w:rsidP="00453AFA">
            <w:pPr>
              <w:rPr>
                <w:rFonts w:asciiTheme="minorHAnsi" w:hAnsiTheme="minorHAnsi"/>
                <w:iCs/>
                <w:sz w:val="20"/>
              </w:rPr>
            </w:pPr>
            <w:r w:rsidRPr="0061063C">
              <w:rPr>
                <w:rFonts w:asciiTheme="minorHAnsi" w:hAnsiTheme="minorHAnsi"/>
                <w:iCs/>
                <w:sz w:val="20"/>
              </w:rPr>
              <w:t xml:space="preserve">  Note</w:t>
            </w:r>
          </w:p>
        </w:tc>
        <w:tc>
          <w:tcPr>
            <w:tcW w:w="643" w:type="pct"/>
            <w:tcBorders>
              <w:top w:val="single" w:sz="4" w:space="0" w:color="auto"/>
              <w:left w:val="nil"/>
              <w:bottom w:val="single" w:sz="4" w:space="0" w:color="auto"/>
              <w:right w:val="nil"/>
            </w:tcBorders>
            <w:shd w:val="clear" w:color="auto" w:fill="auto"/>
          </w:tcPr>
          <w:p w14:paraId="5F265C8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Six months</w:t>
            </w:r>
          </w:p>
          <w:p w14:paraId="5DB8475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ended</w:t>
            </w:r>
          </w:p>
          <w:p w14:paraId="0195931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30 June 2020</w:t>
            </w:r>
          </w:p>
          <w:p w14:paraId="6238EC4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(unaudited)</w:t>
            </w:r>
          </w:p>
          <w:p w14:paraId="3CCDB44B"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£m</w:t>
            </w:r>
          </w:p>
        </w:tc>
        <w:tc>
          <w:tcPr>
            <w:tcW w:w="642" w:type="pct"/>
            <w:tcBorders>
              <w:top w:val="single" w:sz="4" w:space="0" w:color="auto"/>
              <w:left w:val="nil"/>
              <w:bottom w:val="single" w:sz="4" w:space="0" w:color="auto"/>
              <w:right w:val="nil"/>
            </w:tcBorders>
            <w:shd w:val="clear" w:color="auto" w:fill="auto"/>
          </w:tcPr>
          <w:p w14:paraId="3A8A654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Six months</w:t>
            </w:r>
          </w:p>
          <w:p w14:paraId="6A5C524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ended</w:t>
            </w:r>
          </w:p>
          <w:p w14:paraId="72CE10F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30 June 2019</w:t>
            </w:r>
          </w:p>
          <w:p w14:paraId="666DA80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(unaudited)</w:t>
            </w:r>
          </w:p>
          <w:p w14:paraId="17D3D55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£m</w:t>
            </w:r>
          </w:p>
        </w:tc>
      </w:tr>
      <w:tr w:rsidR="00323BB2" w:rsidRPr="0061063C" w14:paraId="0D0C3C3B" w14:textId="77777777" w:rsidTr="00453AFA">
        <w:tc>
          <w:tcPr>
            <w:tcW w:w="3358" w:type="pct"/>
            <w:gridSpan w:val="2"/>
            <w:tcBorders>
              <w:top w:val="single" w:sz="4" w:space="0" w:color="auto"/>
              <w:left w:val="nil"/>
              <w:bottom w:val="nil"/>
              <w:right w:val="nil"/>
            </w:tcBorders>
          </w:tcPr>
          <w:p w14:paraId="6778EA56"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Cash flows from operating activities</w:t>
            </w:r>
          </w:p>
        </w:tc>
        <w:tc>
          <w:tcPr>
            <w:tcW w:w="357" w:type="pct"/>
            <w:tcBorders>
              <w:top w:val="single" w:sz="4" w:space="0" w:color="auto"/>
              <w:left w:val="nil"/>
              <w:bottom w:val="nil"/>
              <w:right w:val="nil"/>
            </w:tcBorders>
          </w:tcPr>
          <w:p w14:paraId="24C2CFCB"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bottom w:val="nil"/>
              <w:right w:val="nil"/>
            </w:tcBorders>
          </w:tcPr>
          <w:p w14:paraId="60AA5D76" w14:textId="77777777" w:rsidR="00323BB2" w:rsidRPr="0061063C" w:rsidRDefault="00323BB2" w:rsidP="00453AFA">
            <w:pPr>
              <w:jc w:val="right"/>
              <w:rPr>
                <w:rFonts w:asciiTheme="minorHAnsi" w:hAnsiTheme="minorHAnsi"/>
                <w:bCs/>
                <w:sz w:val="20"/>
              </w:rPr>
            </w:pPr>
          </w:p>
        </w:tc>
        <w:tc>
          <w:tcPr>
            <w:tcW w:w="642" w:type="pct"/>
            <w:tcBorders>
              <w:top w:val="single" w:sz="4" w:space="0" w:color="auto"/>
              <w:left w:val="nil"/>
              <w:bottom w:val="nil"/>
              <w:right w:val="nil"/>
            </w:tcBorders>
          </w:tcPr>
          <w:p w14:paraId="02D052FC" w14:textId="77777777" w:rsidR="00323BB2" w:rsidRPr="0061063C" w:rsidRDefault="00323BB2" w:rsidP="00453AFA">
            <w:pPr>
              <w:jc w:val="right"/>
              <w:rPr>
                <w:rFonts w:asciiTheme="minorHAnsi" w:hAnsiTheme="minorHAnsi"/>
                <w:bCs/>
                <w:sz w:val="20"/>
              </w:rPr>
            </w:pPr>
          </w:p>
        </w:tc>
      </w:tr>
      <w:tr w:rsidR="00323BB2" w:rsidRPr="0061063C" w14:paraId="41DB470C" w14:textId="77777777" w:rsidTr="00453AFA">
        <w:tc>
          <w:tcPr>
            <w:tcW w:w="3358" w:type="pct"/>
            <w:gridSpan w:val="2"/>
            <w:tcBorders>
              <w:top w:val="nil"/>
              <w:left w:val="nil"/>
              <w:right w:val="nil"/>
            </w:tcBorders>
          </w:tcPr>
          <w:p w14:paraId="296F5D22" w14:textId="77777777" w:rsidR="00323BB2" w:rsidRPr="0061063C" w:rsidRDefault="00323BB2" w:rsidP="00453AFA">
            <w:pPr>
              <w:ind w:left="-90"/>
              <w:rPr>
                <w:rFonts w:asciiTheme="minorHAnsi" w:hAnsiTheme="minorHAnsi"/>
                <w:sz w:val="20"/>
              </w:rPr>
            </w:pPr>
            <w:r w:rsidRPr="0061063C">
              <w:rPr>
                <w:rFonts w:asciiTheme="minorHAnsi" w:hAnsiTheme="minorHAnsi"/>
                <w:bCs/>
                <w:sz w:val="20"/>
              </w:rPr>
              <w:t>Profit for the period</w:t>
            </w:r>
          </w:p>
        </w:tc>
        <w:tc>
          <w:tcPr>
            <w:tcW w:w="357" w:type="pct"/>
            <w:tcBorders>
              <w:top w:val="nil"/>
              <w:left w:val="nil"/>
              <w:right w:val="nil"/>
            </w:tcBorders>
          </w:tcPr>
          <w:p w14:paraId="3054A694"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shd w:val="clear" w:color="auto" w:fill="auto"/>
          </w:tcPr>
          <w:p w14:paraId="3A87401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9.0</w:t>
            </w:r>
          </w:p>
        </w:tc>
        <w:tc>
          <w:tcPr>
            <w:tcW w:w="642" w:type="pct"/>
            <w:tcBorders>
              <w:top w:val="nil"/>
              <w:left w:val="nil"/>
              <w:right w:val="nil"/>
            </w:tcBorders>
            <w:shd w:val="clear" w:color="auto" w:fill="auto"/>
          </w:tcPr>
          <w:p w14:paraId="71B1822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67.6</w:t>
            </w:r>
          </w:p>
        </w:tc>
      </w:tr>
      <w:tr w:rsidR="00323BB2" w:rsidRPr="0061063C" w14:paraId="304F24EC" w14:textId="77777777" w:rsidTr="00453AFA">
        <w:tc>
          <w:tcPr>
            <w:tcW w:w="3358" w:type="pct"/>
            <w:gridSpan w:val="2"/>
            <w:tcBorders>
              <w:left w:val="nil"/>
              <w:bottom w:val="nil"/>
              <w:right w:val="nil"/>
            </w:tcBorders>
          </w:tcPr>
          <w:p w14:paraId="14415D6C" w14:textId="77777777" w:rsidR="00323BB2" w:rsidRPr="0061063C" w:rsidRDefault="00323BB2" w:rsidP="00453AFA">
            <w:pPr>
              <w:ind w:left="-90"/>
              <w:rPr>
                <w:rFonts w:asciiTheme="minorHAnsi" w:hAnsiTheme="minorHAnsi"/>
                <w:sz w:val="20"/>
              </w:rPr>
            </w:pPr>
            <w:r w:rsidRPr="0061063C">
              <w:rPr>
                <w:rFonts w:asciiTheme="minorHAnsi" w:hAnsiTheme="minorHAnsi"/>
                <w:sz w:val="20"/>
              </w:rPr>
              <w:t>Separately disclosed items</w:t>
            </w:r>
          </w:p>
        </w:tc>
        <w:tc>
          <w:tcPr>
            <w:tcW w:w="357" w:type="pct"/>
            <w:tcBorders>
              <w:left w:val="nil"/>
              <w:bottom w:val="nil"/>
              <w:right w:val="nil"/>
            </w:tcBorders>
          </w:tcPr>
          <w:p w14:paraId="2AA9A558"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5</w:t>
            </w:r>
          </w:p>
        </w:tc>
        <w:tc>
          <w:tcPr>
            <w:tcW w:w="643" w:type="pct"/>
            <w:tcBorders>
              <w:left w:val="nil"/>
              <w:bottom w:val="nil"/>
              <w:right w:val="nil"/>
            </w:tcBorders>
            <w:shd w:val="clear" w:color="auto" w:fill="auto"/>
          </w:tcPr>
          <w:p w14:paraId="4938E1C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180.2</w:t>
            </w:r>
          </w:p>
        </w:tc>
        <w:tc>
          <w:tcPr>
            <w:tcW w:w="642" w:type="pct"/>
            <w:tcBorders>
              <w:left w:val="nil"/>
              <w:bottom w:val="nil"/>
              <w:right w:val="nil"/>
            </w:tcBorders>
            <w:shd w:val="clear" w:color="auto" w:fill="auto"/>
          </w:tcPr>
          <w:p w14:paraId="263A941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49.4</w:t>
            </w:r>
          </w:p>
        </w:tc>
      </w:tr>
      <w:tr w:rsidR="00323BB2" w:rsidRPr="0061063C" w14:paraId="110F0513" w14:textId="77777777" w:rsidTr="00453AFA">
        <w:tc>
          <w:tcPr>
            <w:tcW w:w="3358" w:type="pct"/>
            <w:gridSpan w:val="2"/>
            <w:tcBorders>
              <w:top w:val="nil"/>
              <w:left w:val="nil"/>
              <w:right w:val="nil"/>
            </w:tcBorders>
          </w:tcPr>
          <w:p w14:paraId="674835EB" w14:textId="77777777" w:rsidR="00323BB2" w:rsidRPr="0061063C" w:rsidRDefault="00323BB2" w:rsidP="00453AFA">
            <w:pPr>
              <w:ind w:left="-90"/>
              <w:rPr>
                <w:rFonts w:asciiTheme="minorHAnsi" w:hAnsiTheme="minorHAnsi"/>
                <w:sz w:val="20"/>
              </w:rPr>
            </w:pPr>
            <w:r w:rsidRPr="0061063C">
              <w:rPr>
                <w:rFonts w:asciiTheme="minorHAnsi" w:hAnsiTheme="minorHAnsi"/>
                <w:sz w:val="20"/>
              </w:rPr>
              <w:t>Tax expense before separately disclosed items</w:t>
            </w:r>
          </w:p>
        </w:tc>
        <w:tc>
          <w:tcPr>
            <w:tcW w:w="357" w:type="pct"/>
            <w:tcBorders>
              <w:top w:val="nil"/>
              <w:left w:val="nil"/>
              <w:right w:val="nil"/>
            </w:tcBorders>
          </w:tcPr>
          <w:p w14:paraId="58495D73"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1192DFE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29.1</w:t>
            </w:r>
          </w:p>
        </w:tc>
        <w:tc>
          <w:tcPr>
            <w:tcW w:w="642" w:type="pct"/>
            <w:tcBorders>
              <w:top w:val="nil"/>
              <w:left w:val="nil"/>
              <w:right w:val="nil"/>
            </w:tcBorders>
          </w:tcPr>
          <w:p w14:paraId="4AA402D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22.8</w:t>
            </w:r>
          </w:p>
        </w:tc>
      </w:tr>
      <w:tr w:rsidR="00323BB2" w:rsidRPr="0061063C" w14:paraId="36BC8DEE" w14:textId="77777777" w:rsidTr="00453AFA">
        <w:tc>
          <w:tcPr>
            <w:tcW w:w="3358" w:type="pct"/>
            <w:gridSpan w:val="2"/>
            <w:tcBorders>
              <w:left w:val="nil"/>
              <w:bottom w:val="nil"/>
              <w:right w:val="nil"/>
            </w:tcBorders>
          </w:tcPr>
          <w:p w14:paraId="0842582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Financial income before separately disclosed items</w:t>
            </w:r>
          </w:p>
        </w:tc>
        <w:tc>
          <w:tcPr>
            <w:tcW w:w="357" w:type="pct"/>
            <w:tcBorders>
              <w:left w:val="nil"/>
              <w:bottom w:val="nil"/>
              <w:right w:val="nil"/>
            </w:tcBorders>
          </w:tcPr>
          <w:p w14:paraId="743BECF6" w14:textId="77777777" w:rsidR="00323BB2" w:rsidRPr="0061063C" w:rsidRDefault="00323BB2" w:rsidP="00453AFA">
            <w:pPr>
              <w:jc w:val="center"/>
              <w:rPr>
                <w:rFonts w:asciiTheme="minorHAnsi" w:hAnsiTheme="minorHAnsi"/>
                <w:iCs/>
                <w:sz w:val="20"/>
              </w:rPr>
            </w:pPr>
          </w:p>
        </w:tc>
        <w:tc>
          <w:tcPr>
            <w:tcW w:w="643" w:type="pct"/>
            <w:tcBorders>
              <w:left w:val="nil"/>
              <w:bottom w:val="nil"/>
              <w:right w:val="nil"/>
            </w:tcBorders>
          </w:tcPr>
          <w:p w14:paraId="39FE86B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(0.4)</w:t>
            </w:r>
          </w:p>
        </w:tc>
        <w:tc>
          <w:tcPr>
            <w:tcW w:w="642" w:type="pct"/>
            <w:tcBorders>
              <w:left w:val="nil"/>
              <w:bottom w:val="nil"/>
              <w:right w:val="nil"/>
            </w:tcBorders>
          </w:tcPr>
          <w:p w14:paraId="7481E86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(0.4)</w:t>
            </w:r>
          </w:p>
        </w:tc>
      </w:tr>
      <w:tr w:rsidR="00323BB2" w:rsidRPr="0061063C" w14:paraId="59ABDE6F" w14:textId="77777777" w:rsidTr="00453AFA">
        <w:tc>
          <w:tcPr>
            <w:tcW w:w="3358" w:type="pct"/>
            <w:gridSpan w:val="2"/>
            <w:tcBorders>
              <w:top w:val="nil"/>
              <w:left w:val="nil"/>
              <w:right w:val="nil"/>
            </w:tcBorders>
          </w:tcPr>
          <w:p w14:paraId="7A9DC264" w14:textId="77777777" w:rsidR="00323BB2" w:rsidRPr="0061063C" w:rsidRDefault="00323BB2" w:rsidP="00453AFA">
            <w:pPr>
              <w:ind w:left="-90"/>
              <w:rPr>
                <w:rFonts w:asciiTheme="minorHAnsi" w:hAnsiTheme="minorHAnsi"/>
                <w:sz w:val="20"/>
              </w:rPr>
            </w:pPr>
            <w:r w:rsidRPr="0061063C">
              <w:rPr>
                <w:rFonts w:asciiTheme="minorHAnsi" w:hAnsiTheme="minorHAnsi"/>
                <w:sz w:val="20"/>
              </w:rPr>
              <w:t>Financial expense before separately disclosed items</w:t>
            </w:r>
          </w:p>
        </w:tc>
        <w:tc>
          <w:tcPr>
            <w:tcW w:w="357" w:type="pct"/>
            <w:tcBorders>
              <w:top w:val="nil"/>
              <w:left w:val="nil"/>
              <w:right w:val="nil"/>
            </w:tcBorders>
          </w:tcPr>
          <w:p w14:paraId="11377BDB"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1897280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34.9</w:t>
            </w:r>
          </w:p>
        </w:tc>
        <w:tc>
          <w:tcPr>
            <w:tcW w:w="642" w:type="pct"/>
            <w:tcBorders>
              <w:top w:val="nil"/>
              <w:left w:val="nil"/>
              <w:right w:val="nil"/>
            </w:tcBorders>
          </w:tcPr>
          <w:p w14:paraId="79E823A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7.1</w:t>
            </w:r>
          </w:p>
        </w:tc>
      </w:tr>
      <w:tr w:rsidR="00323BB2" w:rsidRPr="0061063C" w14:paraId="19BAFCD2" w14:textId="77777777" w:rsidTr="00453AFA">
        <w:tc>
          <w:tcPr>
            <w:tcW w:w="3358" w:type="pct"/>
            <w:gridSpan w:val="2"/>
            <w:tcBorders>
              <w:top w:val="nil"/>
              <w:left w:val="nil"/>
              <w:right w:val="nil"/>
            </w:tcBorders>
          </w:tcPr>
          <w:p w14:paraId="31812769" w14:textId="77777777" w:rsidR="00323BB2" w:rsidRPr="0061063C" w:rsidRDefault="00323BB2" w:rsidP="00453AFA">
            <w:pPr>
              <w:ind w:left="-90"/>
              <w:rPr>
                <w:rFonts w:asciiTheme="minorHAnsi" w:hAnsiTheme="minorHAnsi"/>
                <w:sz w:val="20"/>
              </w:rPr>
            </w:pPr>
            <w:r w:rsidRPr="0061063C">
              <w:rPr>
                <w:rFonts w:asciiTheme="minorHAnsi" w:hAnsiTheme="minorHAnsi"/>
                <w:sz w:val="20"/>
              </w:rPr>
              <w:t>Depreciation and amortisation before separately disclosed items</w:t>
            </w:r>
          </w:p>
        </w:tc>
        <w:tc>
          <w:tcPr>
            <w:tcW w:w="357" w:type="pct"/>
            <w:tcBorders>
              <w:top w:val="nil"/>
              <w:left w:val="nil"/>
              <w:right w:val="nil"/>
            </w:tcBorders>
          </w:tcPr>
          <w:p w14:paraId="42D1ADE1"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01085633"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 xml:space="preserve">88.9 </w:t>
            </w:r>
          </w:p>
        </w:tc>
        <w:tc>
          <w:tcPr>
            <w:tcW w:w="642" w:type="pct"/>
            <w:tcBorders>
              <w:top w:val="nil"/>
              <w:left w:val="nil"/>
              <w:right w:val="nil"/>
            </w:tcBorders>
          </w:tcPr>
          <w:p w14:paraId="37DFA49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 xml:space="preserve">69.3 </w:t>
            </w:r>
          </w:p>
        </w:tc>
      </w:tr>
      <w:tr w:rsidR="00323BB2" w:rsidRPr="0061063C" w14:paraId="1D751160" w14:textId="77777777" w:rsidTr="00453AFA">
        <w:tc>
          <w:tcPr>
            <w:tcW w:w="3358" w:type="pct"/>
            <w:gridSpan w:val="2"/>
            <w:tcBorders>
              <w:top w:val="nil"/>
              <w:left w:val="nil"/>
              <w:right w:val="nil"/>
            </w:tcBorders>
          </w:tcPr>
          <w:p w14:paraId="3581C4CE" w14:textId="77777777" w:rsidR="00323BB2" w:rsidRPr="0061063C" w:rsidRDefault="00323BB2" w:rsidP="00453AFA">
            <w:pPr>
              <w:ind w:left="-90"/>
              <w:rPr>
                <w:rFonts w:asciiTheme="minorHAnsi" w:hAnsiTheme="minorHAnsi"/>
                <w:sz w:val="20"/>
              </w:rPr>
            </w:pPr>
            <w:r w:rsidRPr="0061063C">
              <w:rPr>
                <w:rFonts w:asciiTheme="minorHAnsi" w:hAnsiTheme="minorHAnsi"/>
                <w:sz w:val="20"/>
              </w:rPr>
              <w:t>Employee equity-settled share-based payments expense before separately disclosed items</w:t>
            </w:r>
          </w:p>
        </w:tc>
        <w:tc>
          <w:tcPr>
            <w:tcW w:w="357" w:type="pct"/>
            <w:tcBorders>
              <w:top w:val="nil"/>
              <w:left w:val="nil"/>
              <w:right w:val="nil"/>
            </w:tcBorders>
          </w:tcPr>
          <w:p w14:paraId="4E67D55F"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007182BE" w14:textId="77777777" w:rsidR="00323BB2" w:rsidRPr="0061063C" w:rsidRDefault="00323BB2" w:rsidP="00453AFA">
            <w:pPr>
              <w:jc w:val="right"/>
              <w:rPr>
                <w:rFonts w:asciiTheme="minorHAnsi" w:hAnsiTheme="minorHAnsi"/>
                <w:b/>
                <w:bCs/>
                <w:sz w:val="20"/>
              </w:rPr>
            </w:pPr>
          </w:p>
          <w:p w14:paraId="1DB175B6"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18.0</w:t>
            </w:r>
          </w:p>
        </w:tc>
        <w:tc>
          <w:tcPr>
            <w:tcW w:w="642" w:type="pct"/>
            <w:tcBorders>
              <w:top w:val="nil"/>
              <w:left w:val="nil"/>
              <w:right w:val="nil"/>
            </w:tcBorders>
          </w:tcPr>
          <w:p w14:paraId="3BFD93EC" w14:textId="77777777" w:rsidR="00323BB2" w:rsidRPr="0061063C" w:rsidRDefault="00323BB2" w:rsidP="00453AFA">
            <w:pPr>
              <w:jc w:val="right"/>
              <w:rPr>
                <w:rFonts w:asciiTheme="minorHAnsi" w:hAnsiTheme="minorHAnsi"/>
                <w:bCs/>
                <w:sz w:val="20"/>
              </w:rPr>
            </w:pPr>
          </w:p>
          <w:p w14:paraId="0A208AA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12.7</w:t>
            </w:r>
          </w:p>
        </w:tc>
      </w:tr>
      <w:tr w:rsidR="00323BB2" w:rsidRPr="0061063C" w14:paraId="66008A23" w14:textId="77777777" w:rsidTr="00453AFA">
        <w:tc>
          <w:tcPr>
            <w:tcW w:w="3358" w:type="pct"/>
            <w:gridSpan w:val="2"/>
            <w:tcBorders>
              <w:top w:val="nil"/>
              <w:left w:val="nil"/>
              <w:right w:val="nil"/>
            </w:tcBorders>
          </w:tcPr>
          <w:p w14:paraId="2F28536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 xml:space="preserve">Foreign currency exchange loss </w:t>
            </w:r>
          </w:p>
        </w:tc>
        <w:tc>
          <w:tcPr>
            <w:tcW w:w="357" w:type="pct"/>
            <w:tcBorders>
              <w:top w:val="nil"/>
              <w:left w:val="nil"/>
              <w:right w:val="nil"/>
            </w:tcBorders>
          </w:tcPr>
          <w:p w14:paraId="3913C9B1"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472D6524"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15.4</w:t>
            </w:r>
          </w:p>
        </w:tc>
        <w:tc>
          <w:tcPr>
            <w:tcW w:w="642" w:type="pct"/>
            <w:tcBorders>
              <w:top w:val="nil"/>
              <w:left w:val="nil"/>
              <w:right w:val="nil"/>
            </w:tcBorders>
          </w:tcPr>
          <w:p w14:paraId="338DE7C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0.5</w:t>
            </w:r>
          </w:p>
        </w:tc>
      </w:tr>
      <w:tr w:rsidR="00323BB2" w:rsidRPr="0061063C" w14:paraId="08DF9570" w14:textId="77777777" w:rsidTr="00453AFA">
        <w:tc>
          <w:tcPr>
            <w:tcW w:w="3358" w:type="pct"/>
            <w:gridSpan w:val="2"/>
            <w:tcBorders>
              <w:left w:val="nil"/>
              <w:right w:val="nil"/>
            </w:tcBorders>
          </w:tcPr>
          <w:p w14:paraId="3DC0554E" w14:textId="77777777" w:rsidR="00323BB2" w:rsidRPr="0061063C" w:rsidRDefault="00323BB2" w:rsidP="00453AFA">
            <w:pPr>
              <w:ind w:left="-90"/>
              <w:rPr>
                <w:rFonts w:asciiTheme="minorHAnsi" w:hAnsiTheme="minorHAnsi"/>
                <w:sz w:val="20"/>
              </w:rPr>
            </w:pPr>
            <w:r w:rsidRPr="0061063C">
              <w:rPr>
                <w:rFonts w:asciiTheme="minorHAnsi" w:hAnsiTheme="minorHAnsi"/>
                <w:sz w:val="20"/>
              </w:rPr>
              <w:t>Gain on disposal of property, plant and equipment and intangible assets</w:t>
            </w:r>
          </w:p>
        </w:tc>
        <w:tc>
          <w:tcPr>
            <w:tcW w:w="357" w:type="pct"/>
            <w:tcBorders>
              <w:left w:val="nil"/>
              <w:right w:val="nil"/>
            </w:tcBorders>
          </w:tcPr>
          <w:p w14:paraId="16955D17" w14:textId="77777777" w:rsidR="00323BB2" w:rsidRPr="0061063C" w:rsidRDefault="00323BB2" w:rsidP="00453AFA">
            <w:pPr>
              <w:jc w:val="center"/>
              <w:rPr>
                <w:rFonts w:asciiTheme="minorHAnsi" w:hAnsiTheme="minorHAnsi"/>
                <w:iCs/>
                <w:sz w:val="20"/>
              </w:rPr>
            </w:pPr>
          </w:p>
        </w:tc>
        <w:tc>
          <w:tcPr>
            <w:tcW w:w="643" w:type="pct"/>
            <w:tcBorders>
              <w:left w:val="nil"/>
              <w:right w:val="nil"/>
            </w:tcBorders>
          </w:tcPr>
          <w:p w14:paraId="7B210754"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(0.2)</w:t>
            </w:r>
          </w:p>
        </w:tc>
        <w:tc>
          <w:tcPr>
            <w:tcW w:w="642" w:type="pct"/>
            <w:tcBorders>
              <w:left w:val="nil"/>
              <w:right w:val="nil"/>
            </w:tcBorders>
          </w:tcPr>
          <w:p w14:paraId="3D2328C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4E43A4B7" w14:textId="77777777" w:rsidTr="00453AFA">
        <w:tc>
          <w:tcPr>
            <w:tcW w:w="3358" w:type="pct"/>
            <w:gridSpan w:val="2"/>
            <w:tcBorders>
              <w:top w:val="single" w:sz="4" w:space="0" w:color="auto"/>
              <w:left w:val="nil"/>
              <w:bottom w:val="nil"/>
              <w:right w:val="nil"/>
            </w:tcBorders>
          </w:tcPr>
          <w:p w14:paraId="04749FF1"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Cash from operations before changes in working capital</w:t>
            </w:r>
          </w:p>
        </w:tc>
        <w:tc>
          <w:tcPr>
            <w:tcW w:w="357" w:type="pct"/>
            <w:tcBorders>
              <w:top w:val="single" w:sz="4" w:space="0" w:color="auto"/>
              <w:left w:val="nil"/>
              <w:bottom w:val="nil"/>
              <w:right w:val="nil"/>
            </w:tcBorders>
          </w:tcPr>
          <w:p w14:paraId="09288126"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bottom w:val="nil"/>
              <w:right w:val="nil"/>
            </w:tcBorders>
          </w:tcPr>
          <w:p w14:paraId="71EF42CD"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374.9</w:t>
            </w:r>
          </w:p>
        </w:tc>
        <w:tc>
          <w:tcPr>
            <w:tcW w:w="642" w:type="pct"/>
            <w:tcBorders>
              <w:top w:val="single" w:sz="4" w:space="0" w:color="auto"/>
              <w:left w:val="nil"/>
              <w:bottom w:val="nil"/>
              <w:right w:val="nil"/>
            </w:tcBorders>
          </w:tcPr>
          <w:p w14:paraId="02E2B4E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229.0</w:t>
            </w:r>
          </w:p>
        </w:tc>
      </w:tr>
      <w:tr w:rsidR="00323BB2" w:rsidRPr="0061063C" w14:paraId="7E5D00ED" w14:textId="77777777" w:rsidTr="00453AFA">
        <w:tc>
          <w:tcPr>
            <w:tcW w:w="3358" w:type="pct"/>
            <w:gridSpan w:val="2"/>
            <w:tcBorders>
              <w:top w:val="nil"/>
              <w:left w:val="nil"/>
              <w:right w:val="nil"/>
            </w:tcBorders>
          </w:tcPr>
          <w:p w14:paraId="1412D84D" w14:textId="77777777" w:rsidR="00323BB2" w:rsidRPr="0061063C" w:rsidRDefault="00323BB2" w:rsidP="00453AFA">
            <w:pPr>
              <w:ind w:left="-90"/>
              <w:rPr>
                <w:rFonts w:asciiTheme="minorHAnsi" w:hAnsiTheme="minorHAnsi"/>
                <w:sz w:val="20"/>
              </w:rPr>
            </w:pPr>
            <w:r w:rsidRPr="0061063C">
              <w:rPr>
                <w:rFonts w:asciiTheme="minorHAnsi" w:hAnsiTheme="minorHAnsi"/>
                <w:sz w:val="20"/>
              </w:rPr>
              <w:t>Increase in trade and other receivables</w:t>
            </w:r>
          </w:p>
        </w:tc>
        <w:tc>
          <w:tcPr>
            <w:tcW w:w="357" w:type="pct"/>
            <w:tcBorders>
              <w:top w:val="nil"/>
              <w:left w:val="nil"/>
              <w:right w:val="nil"/>
            </w:tcBorders>
          </w:tcPr>
          <w:p w14:paraId="3200C7F5"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6303CE81" w14:textId="77777777" w:rsidR="00323BB2" w:rsidRPr="0061063C" w:rsidRDefault="00323BB2" w:rsidP="00453AFA">
            <w:pPr>
              <w:jc w:val="right"/>
              <w:rPr>
                <w:rFonts w:asciiTheme="minorHAnsi" w:hAnsiTheme="minorHAnsi"/>
                <w:b/>
                <w:bCs/>
                <w:sz w:val="20"/>
              </w:rPr>
            </w:pPr>
            <w:r>
              <w:rPr>
                <w:rFonts w:asciiTheme="minorHAnsi" w:hAnsiTheme="minorHAnsi"/>
                <w:b/>
                <w:bCs/>
                <w:sz w:val="20"/>
              </w:rPr>
              <w:t>5</w:t>
            </w:r>
            <w:r w:rsidRPr="0061063C">
              <w:rPr>
                <w:rFonts w:asciiTheme="minorHAnsi" w:hAnsiTheme="minorHAnsi"/>
                <w:b/>
                <w:bCs/>
                <w:sz w:val="20"/>
              </w:rPr>
              <w:t>.8</w:t>
            </w:r>
          </w:p>
        </w:tc>
        <w:tc>
          <w:tcPr>
            <w:tcW w:w="642" w:type="pct"/>
            <w:tcBorders>
              <w:top w:val="nil"/>
              <w:left w:val="nil"/>
              <w:right w:val="nil"/>
            </w:tcBorders>
          </w:tcPr>
          <w:p w14:paraId="2416162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(2.1)</w:t>
            </w:r>
          </w:p>
        </w:tc>
      </w:tr>
      <w:tr w:rsidR="00323BB2" w:rsidRPr="0061063C" w14:paraId="03CB4239" w14:textId="77777777" w:rsidTr="00453AFA">
        <w:tc>
          <w:tcPr>
            <w:tcW w:w="3358" w:type="pct"/>
            <w:gridSpan w:val="2"/>
            <w:tcBorders>
              <w:left w:val="nil"/>
              <w:bottom w:val="single" w:sz="4" w:space="0" w:color="auto"/>
              <w:right w:val="nil"/>
            </w:tcBorders>
          </w:tcPr>
          <w:p w14:paraId="50F982BA" w14:textId="77777777" w:rsidR="00323BB2" w:rsidRPr="0061063C" w:rsidRDefault="00323BB2" w:rsidP="00453AFA">
            <w:pPr>
              <w:ind w:left="-90"/>
              <w:rPr>
                <w:rFonts w:asciiTheme="minorHAnsi" w:hAnsiTheme="minorHAnsi"/>
                <w:sz w:val="20"/>
              </w:rPr>
            </w:pPr>
            <w:r w:rsidRPr="0061063C">
              <w:rPr>
                <w:rFonts w:asciiTheme="minorHAnsi" w:hAnsiTheme="minorHAnsi"/>
                <w:sz w:val="20"/>
              </w:rPr>
              <w:t>Increase in trade, other payables and provisions</w:t>
            </w:r>
          </w:p>
        </w:tc>
        <w:tc>
          <w:tcPr>
            <w:tcW w:w="357" w:type="pct"/>
            <w:tcBorders>
              <w:left w:val="nil"/>
              <w:bottom w:val="single" w:sz="4" w:space="0" w:color="auto"/>
              <w:right w:val="nil"/>
            </w:tcBorders>
          </w:tcPr>
          <w:p w14:paraId="0F18F283" w14:textId="77777777" w:rsidR="00323BB2" w:rsidRPr="0061063C" w:rsidRDefault="00323BB2" w:rsidP="00453AFA">
            <w:pPr>
              <w:jc w:val="center"/>
              <w:rPr>
                <w:rFonts w:asciiTheme="minorHAnsi" w:hAnsiTheme="minorHAnsi"/>
                <w:iCs/>
                <w:sz w:val="20"/>
              </w:rPr>
            </w:pPr>
          </w:p>
        </w:tc>
        <w:tc>
          <w:tcPr>
            <w:tcW w:w="643" w:type="pct"/>
            <w:tcBorders>
              <w:left w:val="nil"/>
              <w:bottom w:val="single" w:sz="4" w:space="0" w:color="auto"/>
              <w:right w:val="nil"/>
            </w:tcBorders>
          </w:tcPr>
          <w:p w14:paraId="4B1C565E" w14:textId="77777777" w:rsidR="00323BB2" w:rsidRPr="0061063C" w:rsidRDefault="00323BB2" w:rsidP="00453AFA">
            <w:pPr>
              <w:jc w:val="right"/>
              <w:rPr>
                <w:rFonts w:asciiTheme="minorHAnsi" w:hAnsiTheme="minorHAnsi"/>
                <w:bCs/>
                <w:sz w:val="20"/>
              </w:rPr>
            </w:pPr>
            <w:r>
              <w:rPr>
                <w:rFonts w:asciiTheme="minorHAnsi" w:hAnsiTheme="minorHAnsi"/>
                <w:b/>
                <w:bCs/>
                <w:sz w:val="20"/>
              </w:rPr>
              <w:t>74.6</w:t>
            </w:r>
          </w:p>
        </w:tc>
        <w:tc>
          <w:tcPr>
            <w:tcW w:w="642" w:type="pct"/>
            <w:tcBorders>
              <w:left w:val="nil"/>
              <w:bottom w:val="single" w:sz="4" w:space="0" w:color="auto"/>
              <w:right w:val="nil"/>
            </w:tcBorders>
          </w:tcPr>
          <w:p w14:paraId="192A38A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11.2</w:t>
            </w:r>
          </w:p>
        </w:tc>
      </w:tr>
      <w:tr w:rsidR="00323BB2" w:rsidRPr="0061063C" w14:paraId="2C42ABE3" w14:textId="77777777" w:rsidTr="00453AFA">
        <w:tc>
          <w:tcPr>
            <w:tcW w:w="3358" w:type="pct"/>
            <w:gridSpan w:val="2"/>
            <w:tcBorders>
              <w:top w:val="single" w:sz="4" w:space="0" w:color="auto"/>
              <w:left w:val="nil"/>
              <w:right w:val="nil"/>
            </w:tcBorders>
          </w:tcPr>
          <w:p w14:paraId="27B82DFF"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Cash generated from operations</w:t>
            </w:r>
          </w:p>
        </w:tc>
        <w:tc>
          <w:tcPr>
            <w:tcW w:w="357" w:type="pct"/>
            <w:tcBorders>
              <w:top w:val="single" w:sz="4" w:space="0" w:color="auto"/>
              <w:left w:val="nil"/>
              <w:right w:val="nil"/>
            </w:tcBorders>
          </w:tcPr>
          <w:p w14:paraId="5FC94655"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right w:val="nil"/>
            </w:tcBorders>
          </w:tcPr>
          <w:p w14:paraId="479C1BA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45</w:t>
            </w:r>
            <w:r>
              <w:rPr>
                <w:rFonts w:asciiTheme="minorHAnsi" w:hAnsiTheme="minorHAnsi"/>
                <w:b/>
                <w:bCs/>
                <w:sz w:val="20"/>
              </w:rPr>
              <w:t>5.3</w:t>
            </w:r>
          </w:p>
        </w:tc>
        <w:tc>
          <w:tcPr>
            <w:tcW w:w="642" w:type="pct"/>
            <w:tcBorders>
              <w:top w:val="single" w:sz="4" w:space="0" w:color="auto"/>
              <w:left w:val="nil"/>
              <w:right w:val="nil"/>
            </w:tcBorders>
          </w:tcPr>
          <w:p w14:paraId="4ADD70F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238.1</w:t>
            </w:r>
          </w:p>
        </w:tc>
      </w:tr>
      <w:tr w:rsidR="00323BB2" w:rsidRPr="0061063C" w14:paraId="6BEE0AF8" w14:textId="77777777" w:rsidTr="00453AFA">
        <w:tc>
          <w:tcPr>
            <w:tcW w:w="3358" w:type="pct"/>
            <w:gridSpan w:val="2"/>
            <w:tcBorders>
              <w:left w:val="nil"/>
              <w:bottom w:val="single" w:sz="4" w:space="0" w:color="auto"/>
              <w:right w:val="nil"/>
            </w:tcBorders>
          </w:tcPr>
          <w:p w14:paraId="14C8F13E" w14:textId="77777777" w:rsidR="00323BB2" w:rsidRPr="0061063C" w:rsidRDefault="00323BB2" w:rsidP="00453AFA">
            <w:pPr>
              <w:ind w:left="-90"/>
              <w:rPr>
                <w:rFonts w:asciiTheme="minorHAnsi" w:hAnsiTheme="minorHAnsi"/>
                <w:sz w:val="20"/>
              </w:rPr>
            </w:pPr>
            <w:r w:rsidRPr="0061063C">
              <w:rPr>
                <w:rFonts w:asciiTheme="minorHAnsi" w:hAnsiTheme="minorHAnsi"/>
                <w:sz w:val="20"/>
              </w:rPr>
              <w:t>Tax paid</w:t>
            </w:r>
          </w:p>
        </w:tc>
        <w:tc>
          <w:tcPr>
            <w:tcW w:w="357" w:type="pct"/>
            <w:tcBorders>
              <w:left w:val="nil"/>
              <w:bottom w:val="single" w:sz="4" w:space="0" w:color="auto"/>
              <w:right w:val="nil"/>
            </w:tcBorders>
          </w:tcPr>
          <w:p w14:paraId="7BDB9FD3" w14:textId="77777777" w:rsidR="00323BB2" w:rsidRPr="0061063C" w:rsidRDefault="00323BB2" w:rsidP="00453AFA">
            <w:pPr>
              <w:jc w:val="center"/>
              <w:rPr>
                <w:rFonts w:asciiTheme="minorHAnsi" w:hAnsiTheme="minorHAnsi"/>
                <w:iCs/>
                <w:sz w:val="20"/>
              </w:rPr>
            </w:pPr>
          </w:p>
        </w:tc>
        <w:tc>
          <w:tcPr>
            <w:tcW w:w="643" w:type="pct"/>
            <w:tcBorders>
              <w:left w:val="nil"/>
              <w:bottom w:val="single" w:sz="4" w:space="0" w:color="auto"/>
              <w:right w:val="nil"/>
            </w:tcBorders>
            <w:shd w:val="clear" w:color="auto" w:fill="auto"/>
          </w:tcPr>
          <w:p w14:paraId="338F6CB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(60.0)</w:t>
            </w:r>
          </w:p>
        </w:tc>
        <w:tc>
          <w:tcPr>
            <w:tcW w:w="642" w:type="pct"/>
            <w:tcBorders>
              <w:left w:val="nil"/>
              <w:bottom w:val="single" w:sz="4" w:space="0" w:color="auto"/>
              <w:right w:val="nil"/>
            </w:tcBorders>
            <w:shd w:val="clear" w:color="auto" w:fill="auto"/>
          </w:tcPr>
          <w:p w14:paraId="204AAD7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(21.9)</w:t>
            </w:r>
          </w:p>
        </w:tc>
      </w:tr>
      <w:tr w:rsidR="00323BB2" w:rsidRPr="0061063C" w14:paraId="70C93873" w14:textId="77777777" w:rsidTr="00453AFA">
        <w:tc>
          <w:tcPr>
            <w:tcW w:w="3358" w:type="pct"/>
            <w:gridSpan w:val="2"/>
            <w:tcBorders>
              <w:top w:val="single" w:sz="4" w:space="0" w:color="auto"/>
              <w:left w:val="nil"/>
              <w:right w:val="nil"/>
            </w:tcBorders>
          </w:tcPr>
          <w:p w14:paraId="2627AA48" w14:textId="77777777" w:rsidR="00323BB2" w:rsidRPr="0061063C" w:rsidRDefault="00323BB2" w:rsidP="00453AFA">
            <w:pPr>
              <w:ind w:left="-90"/>
              <w:rPr>
                <w:rFonts w:asciiTheme="minorHAnsi" w:hAnsiTheme="minorHAnsi"/>
                <w:sz w:val="20"/>
              </w:rPr>
            </w:pPr>
            <w:r w:rsidRPr="0061063C">
              <w:rPr>
                <w:rFonts w:asciiTheme="minorHAnsi" w:hAnsiTheme="minorHAnsi"/>
                <w:b/>
                <w:bCs/>
                <w:sz w:val="20"/>
              </w:rPr>
              <w:t>Net cash from operating activities before combination fees and restructuring costs and legacy tax assessments</w:t>
            </w:r>
          </w:p>
        </w:tc>
        <w:tc>
          <w:tcPr>
            <w:tcW w:w="357" w:type="pct"/>
            <w:tcBorders>
              <w:top w:val="single" w:sz="4" w:space="0" w:color="auto"/>
              <w:left w:val="nil"/>
              <w:right w:val="nil"/>
            </w:tcBorders>
          </w:tcPr>
          <w:p w14:paraId="5ABC4C12"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right w:val="nil"/>
            </w:tcBorders>
          </w:tcPr>
          <w:p w14:paraId="04BF260F" w14:textId="77777777" w:rsidR="00323BB2" w:rsidRPr="0061063C" w:rsidRDefault="00323BB2" w:rsidP="00453AFA">
            <w:pPr>
              <w:jc w:val="right"/>
              <w:rPr>
                <w:rFonts w:asciiTheme="minorHAnsi" w:hAnsiTheme="minorHAnsi"/>
                <w:b/>
                <w:bCs/>
                <w:sz w:val="20"/>
              </w:rPr>
            </w:pPr>
          </w:p>
          <w:p w14:paraId="3423C6E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39</w:t>
            </w:r>
            <w:r>
              <w:rPr>
                <w:rFonts w:asciiTheme="minorHAnsi" w:hAnsiTheme="minorHAnsi"/>
                <w:b/>
                <w:bCs/>
                <w:sz w:val="20"/>
              </w:rPr>
              <w:t>5.3</w:t>
            </w:r>
          </w:p>
        </w:tc>
        <w:tc>
          <w:tcPr>
            <w:tcW w:w="642" w:type="pct"/>
            <w:tcBorders>
              <w:top w:val="single" w:sz="4" w:space="0" w:color="auto"/>
              <w:left w:val="nil"/>
              <w:right w:val="nil"/>
            </w:tcBorders>
          </w:tcPr>
          <w:p w14:paraId="5B930B6C" w14:textId="77777777" w:rsidR="00323BB2" w:rsidRPr="0061063C" w:rsidRDefault="00323BB2" w:rsidP="00453AFA">
            <w:pPr>
              <w:jc w:val="right"/>
              <w:rPr>
                <w:rFonts w:asciiTheme="minorHAnsi" w:hAnsiTheme="minorHAnsi"/>
                <w:bCs/>
                <w:sz w:val="20"/>
              </w:rPr>
            </w:pPr>
          </w:p>
          <w:p w14:paraId="332A173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216.2</w:t>
            </w:r>
          </w:p>
        </w:tc>
      </w:tr>
      <w:tr w:rsidR="00323BB2" w:rsidRPr="0061063C" w14:paraId="374E9B65" w14:textId="77777777" w:rsidTr="00453AFA">
        <w:tc>
          <w:tcPr>
            <w:tcW w:w="3358" w:type="pct"/>
            <w:gridSpan w:val="2"/>
            <w:tcBorders>
              <w:left w:val="nil"/>
              <w:right w:val="nil"/>
            </w:tcBorders>
          </w:tcPr>
          <w:p w14:paraId="728778B4" w14:textId="77777777" w:rsidR="00323BB2" w:rsidRPr="0061063C" w:rsidRDefault="00323BB2" w:rsidP="00453AFA">
            <w:pPr>
              <w:ind w:left="-90"/>
              <w:rPr>
                <w:rFonts w:asciiTheme="minorHAnsi" w:hAnsiTheme="minorHAnsi"/>
                <w:bCs/>
                <w:sz w:val="20"/>
              </w:rPr>
            </w:pPr>
            <w:r w:rsidRPr="0061063C">
              <w:rPr>
                <w:rFonts w:asciiTheme="minorHAnsi" w:hAnsiTheme="minorHAnsi"/>
                <w:bCs/>
                <w:sz w:val="20"/>
              </w:rPr>
              <w:t>Combination fees, restructuring and integration costs paid</w:t>
            </w:r>
          </w:p>
        </w:tc>
        <w:tc>
          <w:tcPr>
            <w:tcW w:w="357" w:type="pct"/>
            <w:tcBorders>
              <w:left w:val="nil"/>
              <w:right w:val="nil"/>
            </w:tcBorders>
          </w:tcPr>
          <w:p w14:paraId="522E8501" w14:textId="77777777" w:rsidR="00323BB2" w:rsidRPr="0061063C" w:rsidRDefault="00323BB2" w:rsidP="00453AFA">
            <w:pPr>
              <w:jc w:val="center"/>
              <w:rPr>
                <w:rFonts w:asciiTheme="minorHAnsi" w:hAnsiTheme="minorHAnsi"/>
                <w:iCs/>
                <w:sz w:val="20"/>
              </w:rPr>
            </w:pPr>
          </w:p>
        </w:tc>
        <w:tc>
          <w:tcPr>
            <w:tcW w:w="643" w:type="pct"/>
            <w:tcBorders>
              <w:left w:val="nil"/>
              <w:right w:val="nil"/>
            </w:tcBorders>
          </w:tcPr>
          <w:p w14:paraId="5DB15BB1"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(83.9)</w:t>
            </w:r>
          </w:p>
        </w:tc>
        <w:tc>
          <w:tcPr>
            <w:tcW w:w="642" w:type="pct"/>
            <w:tcBorders>
              <w:left w:val="nil"/>
              <w:right w:val="nil"/>
            </w:tcBorders>
          </w:tcPr>
          <w:p w14:paraId="7817777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(1.8)</w:t>
            </w:r>
          </w:p>
        </w:tc>
      </w:tr>
      <w:tr w:rsidR="00323BB2" w:rsidRPr="0061063C" w14:paraId="42BE4B46" w14:textId="77777777" w:rsidTr="00453AFA">
        <w:tc>
          <w:tcPr>
            <w:tcW w:w="3358" w:type="pct"/>
            <w:gridSpan w:val="2"/>
            <w:tcBorders>
              <w:left w:val="nil"/>
              <w:bottom w:val="single" w:sz="4" w:space="0" w:color="auto"/>
              <w:right w:val="nil"/>
            </w:tcBorders>
          </w:tcPr>
          <w:p w14:paraId="5DAC4E14" w14:textId="77777777" w:rsidR="00323BB2" w:rsidRPr="0061063C" w:rsidRDefault="00323BB2" w:rsidP="00453AFA">
            <w:pPr>
              <w:ind w:left="-90"/>
              <w:rPr>
                <w:rFonts w:asciiTheme="minorHAnsi" w:hAnsiTheme="minorHAnsi"/>
                <w:bCs/>
                <w:sz w:val="20"/>
              </w:rPr>
            </w:pPr>
            <w:r w:rsidRPr="0061063C">
              <w:rPr>
                <w:rFonts w:asciiTheme="minorHAnsi" w:hAnsiTheme="minorHAnsi"/>
                <w:sz w:val="20"/>
              </w:rPr>
              <w:t>Amounts paid in respect of legacy Greek and German tax assessments</w:t>
            </w:r>
          </w:p>
        </w:tc>
        <w:tc>
          <w:tcPr>
            <w:tcW w:w="357" w:type="pct"/>
            <w:tcBorders>
              <w:left w:val="nil"/>
              <w:bottom w:val="single" w:sz="4" w:space="0" w:color="auto"/>
              <w:right w:val="nil"/>
            </w:tcBorders>
          </w:tcPr>
          <w:p w14:paraId="363C2DAF" w14:textId="77777777" w:rsidR="00323BB2" w:rsidRPr="0061063C" w:rsidRDefault="00323BB2" w:rsidP="00453AFA">
            <w:pPr>
              <w:jc w:val="center"/>
              <w:rPr>
                <w:rFonts w:asciiTheme="minorHAnsi" w:hAnsiTheme="minorHAnsi"/>
                <w:iCs/>
                <w:sz w:val="20"/>
              </w:rPr>
            </w:pPr>
          </w:p>
        </w:tc>
        <w:tc>
          <w:tcPr>
            <w:tcW w:w="643" w:type="pct"/>
            <w:tcBorders>
              <w:left w:val="nil"/>
              <w:bottom w:val="single" w:sz="4" w:space="0" w:color="auto"/>
              <w:right w:val="nil"/>
            </w:tcBorders>
          </w:tcPr>
          <w:p w14:paraId="3DB152F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w:t>
            </w:r>
          </w:p>
        </w:tc>
        <w:tc>
          <w:tcPr>
            <w:tcW w:w="642" w:type="pct"/>
            <w:tcBorders>
              <w:left w:val="nil"/>
              <w:bottom w:val="single" w:sz="4" w:space="0" w:color="auto"/>
              <w:right w:val="nil"/>
            </w:tcBorders>
          </w:tcPr>
          <w:p w14:paraId="56C79C2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(39.6)</w:t>
            </w:r>
          </w:p>
        </w:tc>
      </w:tr>
      <w:tr w:rsidR="00323BB2" w:rsidRPr="0061063C" w14:paraId="28211E3F" w14:textId="77777777" w:rsidTr="00453AFA">
        <w:tc>
          <w:tcPr>
            <w:tcW w:w="3358" w:type="pct"/>
            <w:gridSpan w:val="2"/>
            <w:tcBorders>
              <w:top w:val="single" w:sz="4" w:space="0" w:color="auto"/>
              <w:left w:val="nil"/>
              <w:bottom w:val="single" w:sz="4" w:space="0" w:color="auto"/>
              <w:right w:val="nil"/>
            </w:tcBorders>
          </w:tcPr>
          <w:p w14:paraId="195AA4BC"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Net cash from operating activities</w:t>
            </w:r>
          </w:p>
        </w:tc>
        <w:tc>
          <w:tcPr>
            <w:tcW w:w="357" w:type="pct"/>
            <w:tcBorders>
              <w:top w:val="single" w:sz="4" w:space="0" w:color="auto"/>
              <w:left w:val="nil"/>
              <w:bottom w:val="single" w:sz="4" w:space="0" w:color="auto"/>
              <w:right w:val="nil"/>
            </w:tcBorders>
          </w:tcPr>
          <w:p w14:paraId="456E6DC7"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bottom w:val="single" w:sz="4" w:space="0" w:color="auto"/>
              <w:right w:val="nil"/>
            </w:tcBorders>
          </w:tcPr>
          <w:p w14:paraId="38764EF3"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31</w:t>
            </w:r>
            <w:r>
              <w:rPr>
                <w:rFonts w:asciiTheme="minorHAnsi" w:hAnsiTheme="minorHAnsi"/>
                <w:b/>
                <w:bCs/>
                <w:sz w:val="20"/>
              </w:rPr>
              <w:t>1.4</w:t>
            </w:r>
          </w:p>
        </w:tc>
        <w:tc>
          <w:tcPr>
            <w:tcW w:w="642" w:type="pct"/>
            <w:tcBorders>
              <w:top w:val="single" w:sz="4" w:space="0" w:color="auto"/>
              <w:left w:val="nil"/>
              <w:bottom w:val="single" w:sz="4" w:space="0" w:color="auto"/>
              <w:right w:val="nil"/>
            </w:tcBorders>
          </w:tcPr>
          <w:p w14:paraId="2DBF8A1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174.8</w:t>
            </w:r>
          </w:p>
        </w:tc>
      </w:tr>
      <w:tr w:rsidR="00323BB2" w:rsidRPr="0061063C" w14:paraId="45D3BCCD" w14:textId="77777777" w:rsidTr="00453AFA">
        <w:trPr>
          <w:gridAfter w:val="2"/>
          <w:wAfter w:w="1285" w:type="pct"/>
          <w:trHeight w:val="64"/>
        </w:trPr>
        <w:tc>
          <w:tcPr>
            <w:tcW w:w="768" w:type="pct"/>
            <w:tcBorders>
              <w:top w:val="single" w:sz="4" w:space="0" w:color="auto"/>
              <w:left w:val="nil"/>
              <w:bottom w:val="nil"/>
              <w:right w:val="nil"/>
            </w:tcBorders>
          </w:tcPr>
          <w:p w14:paraId="19922FD4" w14:textId="77777777" w:rsidR="00323BB2" w:rsidRPr="0061063C" w:rsidRDefault="00323BB2" w:rsidP="00453AFA">
            <w:pPr>
              <w:rPr>
                <w:rFonts w:asciiTheme="minorHAnsi" w:hAnsiTheme="minorHAnsi"/>
                <w:bCs/>
                <w:sz w:val="20"/>
              </w:rPr>
            </w:pPr>
          </w:p>
        </w:tc>
        <w:tc>
          <w:tcPr>
            <w:tcW w:w="2590" w:type="pct"/>
            <w:tcBorders>
              <w:top w:val="single" w:sz="4" w:space="0" w:color="auto"/>
              <w:left w:val="nil"/>
              <w:bottom w:val="nil"/>
              <w:right w:val="nil"/>
            </w:tcBorders>
          </w:tcPr>
          <w:p w14:paraId="1841A2CC" w14:textId="77777777" w:rsidR="00323BB2" w:rsidRPr="0061063C" w:rsidRDefault="00323BB2" w:rsidP="00453AFA">
            <w:pPr>
              <w:jc w:val="right"/>
              <w:rPr>
                <w:rFonts w:asciiTheme="minorHAnsi" w:hAnsiTheme="minorHAnsi"/>
                <w:bCs/>
                <w:sz w:val="20"/>
              </w:rPr>
            </w:pPr>
          </w:p>
        </w:tc>
        <w:tc>
          <w:tcPr>
            <w:tcW w:w="357" w:type="pct"/>
            <w:tcBorders>
              <w:top w:val="single" w:sz="4" w:space="0" w:color="auto"/>
              <w:left w:val="nil"/>
              <w:bottom w:val="nil"/>
              <w:right w:val="nil"/>
            </w:tcBorders>
          </w:tcPr>
          <w:p w14:paraId="290F2A3A" w14:textId="77777777" w:rsidR="00323BB2" w:rsidRPr="0061063C" w:rsidRDefault="00323BB2" w:rsidP="00453AFA">
            <w:pPr>
              <w:jc w:val="right"/>
              <w:rPr>
                <w:rFonts w:asciiTheme="minorHAnsi" w:hAnsiTheme="minorHAnsi"/>
                <w:bCs/>
                <w:sz w:val="20"/>
              </w:rPr>
            </w:pPr>
          </w:p>
        </w:tc>
      </w:tr>
      <w:tr w:rsidR="00323BB2" w:rsidRPr="0061063C" w14:paraId="2E6793D4" w14:textId="77777777" w:rsidTr="00453AFA">
        <w:tc>
          <w:tcPr>
            <w:tcW w:w="3358" w:type="pct"/>
            <w:gridSpan w:val="2"/>
            <w:tcBorders>
              <w:top w:val="nil"/>
              <w:left w:val="nil"/>
              <w:bottom w:val="nil"/>
              <w:right w:val="nil"/>
            </w:tcBorders>
          </w:tcPr>
          <w:p w14:paraId="66FED41F"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Purchase of property, plant and equipment</w:t>
            </w:r>
          </w:p>
        </w:tc>
        <w:tc>
          <w:tcPr>
            <w:tcW w:w="357" w:type="pct"/>
            <w:tcBorders>
              <w:top w:val="nil"/>
              <w:left w:val="nil"/>
              <w:bottom w:val="nil"/>
              <w:right w:val="nil"/>
            </w:tcBorders>
          </w:tcPr>
          <w:p w14:paraId="591C8652" w14:textId="77777777" w:rsidR="00323BB2" w:rsidRPr="0061063C" w:rsidRDefault="00323BB2" w:rsidP="00453AFA">
            <w:pPr>
              <w:jc w:val="center"/>
              <w:rPr>
                <w:rFonts w:asciiTheme="minorHAnsi" w:hAnsiTheme="minorHAnsi"/>
                <w:iCs/>
                <w:sz w:val="20"/>
              </w:rPr>
            </w:pPr>
          </w:p>
        </w:tc>
        <w:tc>
          <w:tcPr>
            <w:tcW w:w="643" w:type="pct"/>
            <w:tcBorders>
              <w:top w:val="nil"/>
              <w:left w:val="nil"/>
              <w:bottom w:val="nil"/>
              <w:right w:val="nil"/>
            </w:tcBorders>
          </w:tcPr>
          <w:p w14:paraId="3659E88F"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(21.8)</w:t>
            </w:r>
          </w:p>
        </w:tc>
        <w:tc>
          <w:tcPr>
            <w:tcW w:w="642" w:type="pct"/>
            <w:tcBorders>
              <w:top w:val="nil"/>
              <w:left w:val="nil"/>
              <w:bottom w:val="nil"/>
              <w:right w:val="nil"/>
            </w:tcBorders>
          </w:tcPr>
          <w:p w14:paraId="323B779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(9.9)</w:t>
            </w:r>
          </w:p>
        </w:tc>
      </w:tr>
      <w:tr w:rsidR="00323BB2" w:rsidRPr="0061063C" w14:paraId="593BC115" w14:textId="77777777" w:rsidTr="00453AFA">
        <w:tc>
          <w:tcPr>
            <w:tcW w:w="3358" w:type="pct"/>
            <w:gridSpan w:val="2"/>
            <w:tcBorders>
              <w:top w:val="nil"/>
              <w:left w:val="nil"/>
              <w:bottom w:val="nil"/>
              <w:right w:val="nil"/>
            </w:tcBorders>
          </w:tcPr>
          <w:p w14:paraId="569EF9CA"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Purchase of intangible assets</w:t>
            </w:r>
          </w:p>
        </w:tc>
        <w:tc>
          <w:tcPr>
            <w:tcW w:w="357" w:type="pct"/>
            <w:tcBorders>
              <w:top w:val="nil"/>
              <w:left w:val="nil"/>
              <w:bottom w:val="nil"/>
              <w:right w:val="nil"/>
            </w:tcBorders>
          </w:tcPr>
          <w:p w14:paraId="2BE1A90E" w14:textId="77777777" w:rsidR="00323BB2" w:rsidRPr="0061063C" w:rsidRDefault="00323BB2" w:rsidP="00453AFA">
            <w:pPr>
              <w:jc w:val="center"/>
              <w:rPr>
                <w:rFonts w:asciiTheme="minorHAnsi" w:hAnsiTheme="minorHAnsi"/>
                <w:iCs/>
                <w:sz w:val="20"/>
              </w:rPr>
            </w:pPr>
          </w:p>
        </w:tc>
        <w:tc>
          <w:tcPr>
            <w:tcW w:w="643" w:type="pct"/>
            <w:tcBorders>
              <w:top w:val="nil"/>
              <w:left w:val="nil"/>
              <w:bottom w:val="nil"/>
              <w:right w:val="nil"/>
            </w:tcBorders>
          </w:tcPr>
          <w:p w14:paraId="0B1F3C6E"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(2</w:t>
            </w:r>
            <w:r>
              <w:rPr>
                <w:rFonts w:asciiTheme="minorHAnsi" w:hAnsiTheme="minorHAnsi"/>
                <w:b/>
                <w:bCs/>
                <w:sz w:val="20"/>
              </w:rPr>
              <w:t>1.5</w:t>
            </w:r>
            <w:r w:rsidRPr="0061063C">
              <w:rPr>
                <w:rFonts w:asciiTheme="minorHAnsi" w:hAnsiTheme="minorHAnsi"/>
                <w:b/>
                <w:bCs/>
                <w:sz w:val="20"/>
              </w:rPr>
              <w:t>)</w:t>
            </w:r>
          </w:p>
        </w:tc>
        <w:tc>
          <w:tcPr>
            <w:tcW w:w="642" w:type="pct"/>
            <w:tcBorders>
              <w:top w:val="nil"/>
              <w:left w:val="nil"/>
              <w:bottom w:val="nil"/>
              <w:right w:val="nil"/>
            </w:tcBorders>
          </w:tcPr>
          <w:p w14:paraId="485E003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(18.6)</w:t>
            </w:r>
          </w:p>
        </w:tc>
      </w:tr>
      <w:tr w:rsidR="00323BB2" w:rsidRPr="0061063C" w14:paraId="3FAE7FF0" w14:textId="77777777" w:rsidTr="00453AFA">
        <w:tc>
          <w:tcPr>
            <w:tcW w:w="3358" w:type="pct"/>
            <w:gridSpan w:val="2"/>
            <w:tcBorders>
              <w:top w:val="nil"/>
              <w:left w:val="nil"/>
              <w:bottom w:val="nil"/>
              <w:right w:val="nil"/>
            </w:tcBorders>
          </w:tcPr>
          <w:p w14:paraId="646B20D0"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Proceeds from disposal of assets</w:t>
            </w:r>
          </w:p>
        </w:tc>
        <w:tc>
          <w:tcPr>
            <w:tcW w:w="357" w:type="pct"/>
            <w:tcBorders>
              <w:top w:val="nil"/>
              <w:left w:val="nil"/>
              <w:bottom w:val="nil"/>
              <w:right w:val="nil"/>
            </w:tcBorders>
          </w:tcPr>
          <w:p w14:paraId="7CD6B1C3" w14:textId="77777777" w:rsidR="00323BB2" w:rsidRPr="0061063C" w:rsidRDefault="00323BB2" w:rsidP="00453AFA">
            <w:pPr>
              <w:jc w:val="center"/>
              <w:rPr>
                <w:rFonts w:asciiTheme="minorHAnsi" w:hAnsiTheme="minorHAnsi"/>
                <w:iCs/>
                <w:sz w:val="20"/>
              </w:rPr>
            </w:pPr>
          </w:p>
        </w:tc>
        <w:tc>
          <w:tcPr>
            <w:tcW w:w="643" w:type="pct"/>
            <w:tcBorders>
              <w:top w:val="nil"/>
              <w:left w:val="nil"/>
              <w:bottom w:val="nil"/>
              <w:right w:val="nil"/>
            </w:tcBorders>
          </w:tcPr>
          <w:p w14:paraId="536E7CC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0.2</w:t>
            </w:r>
          </w:p>
        </w:tc>
        <w:tc>
          <w:tcPr>
            <w:tcW w:w="642" w:type="pct"/>
            <w:tcBorders>
              <w:top w:val="nil"/>
              <w:left w:val="nil"/>
              <w:bottom w:val="nil"/>
              <w:right w:val="nil"/>
            </w:tcBorders>
          </w:tcPr>
          <w:p w14:paraId="50B4B5C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355B8F00" w14:textId="77777777" w:rsidTr="00453AFA">
        <w:tc>
          <w:tcPr>
            <w:tcW w:w="3358" w:type="pct"/>
            <w:gridSpan w:val="2"/>
            <w:tcBorders>
              <w:top w:val="nil"/>
              <w:left w:val="nil"/>
              <w:bottom w:val="nil"/>
              <w:right w:val="nil"/>
            </w:tcBorders>
          </w:tcPr>
          <w:p w14:paraId="246F0291"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Proceeds from disposal of investment</w:t>
            </w:r>
          </w:p>
        </w:tc>
        <w:tc>
          <w:tcPr>
            <w:tcW w:w="357" w:type="pct"/>
            <w:tcBorders>
              <w:top w:val="nil"/>
              <w:left w:val="nil"/>
              <w:bottom w:val="nil"/>
              <w:right w:val="nil"/>
            </w:tcBorders>
          </w:tcPr>
          <w:p w14:paraId="51C22920" w14:textId="77777777" w:rsidR="00323BB2" w:rsidRPr="0061063C" w:rsidRDefault="00323BB2" w:rsidP="00453AFA">
            <w:pPr>
              <w:jc w:val="center"/>
              <w:rPr>
                <w:rFonts w:asciiTheme="minorHAnsi" w:hAnsiTheme="minorHAnsi"/>
                <w:iCs/>
                <w:sz w:val="20"/>
              </w:rPr>
            </w:pPr>
          </w:p>
        </w:tc>
        <w:tc>
          <w:tcPr>
            <w:tcW w:w="643" w:type="pct"/>
            <w:tcBorders>
              <w:top w:val="nil"/>
              <w:left w:val="nil"/>
              <w:bottom w:val="nil"/>
              <w:right w:val="nil"/>
            </w:tcBorders>
          </w:tcPr>
          <w:p w14:paraId="20B09029"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w:t>
            </w:r>
          </w:p>
        </w:tc>
        <w:tc>
          <w:tcPr>
            <w:tcW w:w="642" w:type="pct"/>
            <w:tcBorders>
              <w:top w:val="nil"/>
              <w:left w:val="nil"/>
              <w:bottom w:val="nil"/>
              <w:right w:val="nil"/>
            </w:tcBorders>
          </w:tcPr>
          <w:p w14:paraId="30973F1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2.3</w:t>
            </w:r>
          </w:p>
        </w:tc>
      </w:tr>
      <w:tr w:rsidR="00323BB2" w:rsidRPr="0061063C" w14:paraId="164DAF54" w14:textId="77777777" w:rsidTr="00453AFA">
        <w:tc>
          <w:tcPr>
            <w:tcW w:w="3358" w:type="pct"/>
            <w:gridSpan w:val="2"/>
            <w:tcBorders>
              <w:top w:val="nil"/>
              <w:left w:val="nil"/>
              <w:bottom w:val="nil"/>
              <w:right w:val="nil"/>
            </w:tcBorders>
          </w:tcPr>
          <w:p w14:paraId="1489B756"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Purchase of businesses</w:t>
            </w:r>
          </w:p>
        </w:tc>
        <w:tc>
          <w:tcPr>
            <w:tcW w:w="357" w:type="pct"/>
            <w:tcBorders>
              <w:top w:val="nil"/>
              <w:left w:val="nil"/>
              <w:bottom w:val="nil"/>
              <w:right w:val="nil"/>
            </w:tcBorders>
          </w:tcPr>
          <w:p w14:paraId="024B2AE6"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10</w:t>
            </w:r>
          </w:p>
        </w:tc>
        <w:tc>
          <w:tcPr>
            <w:tcW w:w="643" w:type="pct"/>
            <w:tcBorders>
              <w:top w:val="nil"/>
              <w:left w:val="nil"/>
              <w:bottom w:val="nil"/>
              <w:right w:val="nil"/>
            </w:tcBorders>
          </w:tcPr>
          <w:p w14:paraId="18B96611"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w:t>
            </w:r>
          </w:p>
        </w:tc>
        <w:tc>
          <w:tcPr>
            <w:tcW w:w="642" w:type="pct"/>
            <w:tcBorders>
              <w:top w:val="nil"/>
              <w:left w:val="nil"/>
              <w:bottom w:val="nil"/>
              <w:right w:val="nil"/>
            </w:tcBorders>
          </w:tcPr>
          <w:p w14:paraId="1B8D499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(102.0)</w:t>
            </w:r>
          </w:p>
        </w:tc>
      </w:tr>
      <w:tr w:rsidR="00323BB2" w:rsidRPr="0061063C" w14:paraId="73BC017D" w14:textId="77777777" w:rsidTr="00453AFA">
        <w:tc>
          <w:tcPr>
            <w:tcW w:w="3358" w:type="pct"/>
            <w:gridSpan w:val="2"/>
            <w:tcBorders>
              <w:top w:val="nil"/>
              <w:left w:val="nil"/>
              <w:bottom w:val="nil"/>
              <w:right w:val="nil"/>
            </w:tcBorders>
          </w:tcPr>
          <w:p w14:paraId="3D4BF232" w14:textId="77777777" w:rsidR="00323BB2" w:rsidRPr="0061063C" w:rsidRDefault="00323BB2" w:rsidP="00453AFA">
            <w:pPr>
              <w:ind w:left="-90"/>
              <w:rPr>
                <w:rFonts w:asciiTheme="minorHAnsi" w:hAnsiTheme="minorHAnsi"/>
                <w:sz w:val="20"/>
              </w:rPr>
            </w:pPr>
            <w:r w:rsidRPr="0061063C">
              <w:rPr>
                <w:rFonts w:asciiTheme="minorHAnsi" w:hAnsiTheme="minorHAnsi"/>
                <w:sz w:val="20"/>
              </w:rPr>
              <w:t>Capitalised internal development expenditure</w:t>
            </w:r>
          </w:p>
        </w:tc>
        <w:tc>
          <w:tcPr>
            <w:tcW w:w="357" w:type="pct"/>
            <w:tcBorders>
              <w:top w:val="nil"/>
              <w:left w:val="nil"/>
              <w:bottom w:val="nil"/>
              <w:right w:val="nil"/>
            </w:tcBorders>
          </w:tcPr>
          <w:p w14:paraId="25974959" w14:textId="77777777" w:rsidR="00323BB2" w:rsidRPr="0061063C" w:rsidRDefault="00323BB2" w:rsidP="00453AFA">
            <w:pPr>
              <w:jc w:val="center"/>
              <w:rPr>
                <w:rFonts w:asciiTheme="minorHAnsi" w:hAnsiTheme="minorHAnsi"/>
                <w:iCs/>
                <w:sz w:val="20"/>
              </w:rPr>
            </w:pPr>
          </w:p>
        </w:tc>
        <w:tc>
          <w:tcPr>
            <w:tcW w:w="643" w:type="pct"/>
            <w:tcBorders>
              <w:top w:val="nil"/>
              <w:left w:val="nil"/>
              <w:bottom w:val="nil"/>
              <w:right w:val="nil"/>
            </w:tcBorders>
          </w:tcPr>
          <w:p w14:paraId="37E5A55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(37.1)</w:t>
            </w:r>
          </w:p>
        </w:tc>
        <w:tc>
          <w:tcPr>
            <w:tcW w:w="642" w:type="pct"/>
            <w:tcBorders>
              <w:top w:val="nil"/>
              <w:left w:val="nil"/>
              <w:bottom w:val="nil"/>
              <w:right w:val="nil"/>
            </w:tcBorders>
          </w:tcPr>
          <w:p w14:paraId="0005A5F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(24.1)</w:t>
            </w:r>
          </w:p>
        </w:tc>
      </w:tr>
      <w:tr w:rsidR="00323BB2" w:rsidRPr="0061063C" w14:paraId="78EB0CD3" w14:textId="77777777" w:rsidTr="00453AFA">
        <w:tc>
          <w:tcPr>
            <w:tcW w:w="3358" w:type="pct"/>
            <w:gridSpan w:val="2"/>
            <w:tcBorders>
              <w:top w:val="nil"/>
              <w:left w:val="nil"/>
              <w:bottom w:val="nil"/>
              <w:right w:val="nil"/>
            </w:tcBorders>
          </w:tcPr>
          <w:p w14:paraId="0E920AAE" w14:textId="77777777" w:rsidR="00323BB2" w:rsidRPr="0061063C" w:rsidRDefault="00323BB2" w:rsidP="00453AFA">
            <w:pPr>
              <w:ind w:left="-90"/>
              <w:rPr>
                <w:rFonts w:asciiTheme="minorHAnsi" w:hAnsiTheme="minorHAnsi"/>
                <w:sz w:val="20"/>
              </w:rPr>
            </w:pPr>
            <w:r w:rsidRPr="0061063C">
              <w:rPr>
                <w:rFonts w:asciiTheme="minorHAnsi" w:hAnsiTheme="minorHAnsi"/>
                <w:sz w:val="20"/>
              </w:rPr>
              <w:t xml:space="preserve">Cash acquired from acquisitions </w:t>
            </w:r>
          </w:p>
        </w:tc>
        <w:tc>
          <w:tcPr>
            <w:tcW w:w="357" w:type="pct"/>
            <w:tcBorders>
              <w:top w:val="nil"/>
              <w:left w:val="nil"/>
              <w:bottom w:val="nil"/>
              <w:right w:val="nil"/>
            </w:tcBorders>
          </w:tcPr>
          <w:p w14:paraId="13B076A0"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10</w:t>
            </w:r>
          </w:p>
        </w:tc>
        <w:tc>
          <w:tcPr>
            <w:tcW w:w="643" w:type="pct"/>
            <w:tcBorders>
              <w:top w:val="nil"/>
              <w:left w:val="nil"/>
              <w:bottom w:val="nil"/>
              <w:right w:val="nil"/>
            </w:tcBorders>
            <w:shd w:val="clear" w:color="auto" w:fill="auto"/>
          </w:tcPr>
          <w:p w14:paraId="73C3A18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445.2</w:t>
            </w:r>
          </w:p>
        </w:tc>
        <w:tc>
          <w:tcPr>
            <w:tcW w:w="642" w:type="pct"/>
            <w:tcBorders>
              <w:top w:val="nil"/>
              <w:left w:val="nil"/>
              <w:bottom w:val="nil"/>
              <w:right w:val="nil"/>
            </w:tcBorders>
          </w:tcPr>
          <w:p w14:paraId="33199EB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0.2</w:t>
            </w:r>
          </w:p>
        </w:tc>
      </w:tr>
      <w:tr w:rsidR="00323BB2" w:rsidRPr="0061063C" w14:paraId="4E455EB6" w14:textId="77777777" w:rsidTr="00453AFA">
        <w:tc>
          <w:tcPr>
            <w:tcW w:w="3358" w:type="pct"/>
            <w:gridSpan w:val="2"/>
            <w:tcBorders>
              <w:top w:val="nil"/>
              <w:left w:val="nil"/>
              <w:bottom w:val="nil"/>
              <w:right w:val="nil"/>
            </w:tcBorders>
          </w:tcPr>
          <w:p w14:paraId="6C57F0E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Payment of contingent deferred consideration</w:t>
            </w:r>
          </w:p>
        </w:tc>
        <w:tc>
          <w:tcPr>
            <w:tcW w:w="357" w:type="pct"/>
            <w:tcBorders>
              <w:top w:val="nil"/>
              <w:left w:val="nil"/>
              <w:bottom w:val="nil"/>
              <w:right w:val="nil"/>
            </w:tcBorders>
          </w:tcPr>
          <w:p w14:paraId="04C12696" w14:textId="77777777" w:rsidR="00323BB2" w:rsidRPr="0061063C" w:rsidRDefault="00323BB2" w:rsidP="00453AFA">
            <w:pPr>
              <w:jc w:val="center"/>
              <w:rPr>
                <w:rFonts w:asciiTheme="minorHAnsi" w:hAnsiTheme="minorHAnsi"/>
                <w:iCs/>
                <w:sz w:val="20"/>
              </w:rPr>
            </w:pPr>
            <w:r>
              <w:rPr>
                <w:rFonts w:asciiTheme="minorHAnsi" w:hAnsiTheme="minorHAnsi"/>
                <w:iCs/>
                <w:sz w:val="20"/>
              </w:rPr>
              <w:t>10</w:t>
            </w:r>
          </w:p>
        </w:tc>
        <w:tc>
          <w:tcPr>
            <w:tcW w:w="643" w:type="pct"/>
            <w:tcBorders>
              <w:top w:val="nil"/>
              <w:left w:val="nil"/>
              <w:bottom w:val="nil"/>
              <w:right w:val="nil"/>
            </w:tcBorders>
            <w:shd w:val="clear" w:color="auto" w:fill="auto"/>
          </w:tcPr>
          <w:p w14:paraId="00F1EE2F"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(4.6)</w:t>
            </w:r>
          </w:p>
        </w:tc>
        <w:tc>
          <w:tcPr>
            <w:tcW w:w="642" w:type="pct"/>
            <w:tcBorders>
              <w:top w:val="nil"/>
              <w:left w:val="nil"/>
              <w:bottom w:val="nil"/>
              <w:right w:val="nil"/>
            </w:tcBorders>
          </w:tcPr>
          <w:p w14:paraId="5C4B428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(2.8)</w:t>
            </w:r>
          </w:p>
        </w:tc>
      </w:tr>
      <w:tr w:rsidR="00323BB2" w:rsidRPr="0061063C" w14:paraId="5167CE5B" w14:textId="77777777" w:rsidTr="00453AFA">
        <w:tc>
          <w:tcPr>
            <w:tcW w:w="3358" w:type="pct"/>
            <w:gridSpan w:val="2"/>
            <w:tcBorders>
              <w:left w:val="nil"/>
              <w:bottom w:val="single" w:sz="4" w:space="0" w:color="auto"/>
              <w:right w:val="nil"/>
            </w:tcBorders>
          </w:tcPr>
          <w:p w14:paraId="564F4D99" w14:textId="77777777" w:rsidR="00323BB2" w:rsidRPr="0061063C" w:rsidRDefault="00323BB2" w:rsidP="00453AFA">
            <w:pPr>
              <w:ind w:left="-90"/>
              <w:rPr>
                <w:rFonts w:asciiTheme="minorHAnsi" w:hAnsiTheme="minorHAnsi"/>
                <w:sz w:val="20"/>
              </w:rPr>
            </w:pPr>
            <w:r w:rsidRPr="0061063C">
              <w:rPr>
                <w:rFonts w:asciiTheme="minorHAnsi" w:hAnsiTheme="minorHAnsi"/>
                <w:sz w:val="20"/>
              </w:rPr>
              <w:t>Interest received</w:t>
            </w:r>
          </w:p>
        </w:tc>
        <w:tc>
          <w:tcPr>
            <w:tcW w:w="357" w:type="pct"/>
            <w:tcBorders>
              <w:left w:val="nil"/>
              <w:bottom w:val="single" w:sz="4" w:space="0" w:color="auto"/>
              <w:right w:val="nil"/>
            </w:tcBorders>
          </w:tcPr>
          <w:p w14:paraId="3B60CC7C" w14:textId="77777777" w:rsidR="00323BB2" w:rsidRPr="0061063C" w:rsidRDefault="00323BB2" w:rsidP="00453AFA">
            <w:pPr>
              <w:jc w:val="center"/>
              <w:rPr>
                <w:rFonts w:asciiTheme="minorHAnsi" w:hAnsiTheme="minorHAnsi"/>
                <w:iCs/>
                <w:sz w:val="20"/>
              </w:rPr>
            </w:pPr>
          </w:p>
        </w:tc>
        <w:tc>
          <w:tcPr>
            <w:tcW w:w="643" w:type="pct"/>
            <w:tcBorders>
              <w:left w:val="nil"/>
              <w:bottom w:val="single" w:sz="4" w:space="0" w:color="auto"/>
              <w:right w:val="nil"/>
            </w:tcBorders>
          </w:tcPr>
          <w:p w14:paraId="0B918C17"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0.4</w:t>
            </w:r>
          </w:p>
        </w:tc>
        <w:tc>
          <w:tcPr>
            <w:tcW w:w="642" w:type="pct"/>
            <w:tcBorders>
              <w:left w:val="nil"/>
              <w:bottom w:val="single" w:sz="4" w:space="0" w:color="auto"/>
              <w:right w:val="nil"/>
            </w:tcBorders>
          </w:tcPr>
          <w:p w14:paraId="69B7F61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0.4</w:t>
            </w:r>
          </w:p>
        </w:tc>
      </w:tr>
      <w:tr w:rsidR="00323BB2" w:rsidRPr="0061063C" w14:paraId="34376DCC" w14:textId="77777777" w:rsidTr="00453AFA">
        <w:tc>
          <w:tcPr>
            <w:tcW w:w="3358" w:type="pct"/>
            <w:gridSpan w:val="2"/>
            <w:tcBorders>
              <w:top w:val="single" w:sz="4" w:space="0" w:color="auto"/>
              <w:left w:val="nil"/>
              <w:bottom w:val="single" w:sz="4" w:space="0" w:color="auto"/>
              <w:right w:val="nil"/>
            </w:tcBorders>
          </w:tcPr>
          <w:p w14:paraId="16644D48"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Net cash from / (used in) investing activities</w:t>
            </w:r>
          </w:p>
        </w:tc>
        <w:tc>
          <w:tcPr>
            <w:tcW w:w="357" w:type="pct"/>
            <w:tcBorders>
              <w:top w:val="single" w:sz="4" w:space="0" w:color="auto"/>
              <w:left w:val="nil"/>
              <w:bottom w:val="single" w:sz="4" w:space="0" w:color="auto"/>
              <w:right w:val="nil"/>
            </w:tcBorders>
          </w:tcPr>
          <w:p w14:paraId="20F57CEE"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bottom w:val="single" w:sz="4" w:space="0" w:color="auto"/>
              <w:right w:val="nil"/>
            </w:tcBorders>
          </w:tcPr>
          <w:p w14:paraId="04C66BAA" w14:textId="77777777" w:rsidR="00323BB2" w:rsidRPr="0061063C" w:rsidRDefault="00323BB2" w:rsidP="00453AFA">
            <w:pPr>
              <w:jc w:val="right"/>
              <w:rPr>
                <w:rFonts w:asciiTheme="minorHAnsi" w:hAnsiTheme="minorHAnsi"/>
                <w:b/>
                <w:bCs/>
                <w:sz w:val="20"/>
              </w:rPr>
            </w:pPr>
            <w:r>
              <w:rPr>
                <w:rFonts w:asciiTheme="minorHAnsi" w:hAnsiTheme="minorHAnsi"/>
                <w:b/>
                <w:bCs/>
                <w:sz w:val="20"/>
              </w:rPr>
              <w:t>360.8</w:t>
            </w:r>
          </w:p>
        </w:tc>
        <w:tc>
          <w:tcPr>
            <w:tcW w:w="642" w:type="pct"/>
            <w:tcBorders>
              <w:top w:val="single" w:sz="4" w:space="0" w:color="auto"/>
              <w:left w:val="nil"/>
              <w:bottom w:val="single" w:sz="4" w:space="0" w:color="auto"/>
              <w:right w:val="nil"/>
            </w:tcBorders>
          </w:tcPr>
          <w:p w14:paraId="4B1D0AE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(154.5)</w:t>
            </w:r>
          </w:p>
        </w:tc>
      </w:tr>
      <w:tr w:rsidR="00323BB2" w:rsidRPr="0061063C" w14:paraId="31D3A43D" w14:textId="77777777" w:rsidTr="00453AFA">
        <w:trPr>
          <w:gridAfter w:val="2"/>
          <w:wAfter w:w="1285" w:type="pct"/>
        </w:trPr>
        <w:tc>
          <w:tcPr>
            <w:tcW w:w="768" w:type="pct"/>
            <w:tcBorders>
              <w:top w:val="single" w:sz="4" w:space="0" w:color="auto"/>
              <w:left w:val="nil"/>
              <w:bottom w:val="nil"/>
              <w:right w:val="nil"/>
            </w:tcBorders>
          </w:tcPr>
          <w:p w14:paraId="4D7C01F3" w14:textId="77777777" w:rsidR="00323BB2" w:rsidRPr="0061063C" w:rsidRDefault="00323BB2" w:rsidP="00453AFA">
            <w:pPr>
              <w:jc w:val="right"/>
              <w:rPr>
                <w:rFonts w:asciiTheme="minorHAnsi" w:hAnsiTheme="minorHAnsi"/>
                <w:bCs/>
                <w:sz w:val="20"/>
              </w:rPr>
            </w:pPr>
          </w:p>
        </w:tc>
        <w:tc>
          <w:tcPr>
            <w:tcW w:w="2590" w:type="pct"/>
            <w:tcBorders>
              <w:top w:val="single" w:sz="4" w:space="0" w:color="auto"/>
              <w:left w:val="nil"/>
              <w:bottom w:val="nil"/>
              <w:right w:val="nil"/>
            </w:tcBorders>
          </w:tcPr>
          <w:p w14:paraId="2963B520" w14:textId="77777777" w:rsidR="00323BB2" w:rsidRPr="0061063C" w:rsidRDefault="00323BB2" w:rsidP="00453AFA">
            <w:pPr>
              <w:jc w:val="right"/>
              <w:rPr>
                <w:rFonts w:asciiTheme="minorHAnsi" w:hAnsiTheme="minorHAnsi"/>
                <w:bCs/>
                <w:sz w:val="20"/>
              </w:rPr>
            </w:pPr>
          </w:p>
        </w:tc>
        <w:tc>
          <w:tcPr>
            <w:tcW w:w="357" w:type="pct"/>
            <w:tcBorders>
              <w:top w:val="single" w:sz="4" w:space="0" w:color="auto"/>
              <w:left w:val="nil"/>
              <w:bottom w:val="nil"/>
              <w:right w:val="nil"/>
            </w:tcBorders>
          </w:tcPr>
          <w:p w14:paraId="71284B0A" w14:textId="77777777" w:rsidR="00323BB2" w:rsidRPr="0061063C" w:rsidRDefault="00323BB2" w:rsidP="00453AFA">
            <w:pPr>
              <w:jc w:val="right"/>
              <w:rPr>
                <w:rFonts w:asciiTheme="minorHAnsi" w:hAnsiTheme="minorHAnsi"/>
                <w:bCs/>
                <w:sz w:val="20"/>
              </w:rPr>
            </w:pPr>
          </w:p>
        </w:tc>
      </w:tr>
      <w:tr w:rsidR="00323BB2" w:rsidRPr="0061063C" w14:paraId="70BAD65A" w14:textId="77777777" w:rsidTr="00453AFA">
        <w:tc>
          <w:tcPr>
            <w:tcW w:w="3358" w:type="pct"/>
            <w:gridSpan w:val="2"/>
            <w:tcBorders>
              <w:top w:val="nil"/>
              <w:left w:val="nil"/>
              <w:bottom w:val="nil"/>
              <w:right w:val="nil"/>
            </w:tcBorders>
          </w:tcPr>
          <w:p w14:paraId="1F507754"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Proceeds from the issuance of new shares in respect of equity placement (net of issuance costs)</w:t>
            </w:r>
          </w:p>
        </w:tc>
        <w:tc>
          <w:tcPr>
            <w:tcW w:w="357" w:type="pct"/>
            <w:tcBorders>
              <w:top w:val="nil"/>
              <w:left w:val="nil"/>
              <w:bottom w:val="nil"/>
              <w:right w:val="nil"/>
            </w:tcBorders>
          </w:tcPr>
          <w:p w14:paraId="6CFE89B6" w14:textId="77777777" w:rsidR="00323BB2" w:rsidRPr="0061063C" w:rsidRDefault="00323BB2" w:rsidP="00453AFA">
            <w:pPr>
              <w:jc w:val="center"/>
              <w:rPr>
                <w:rFonts w:asciiTheme="minorHAnsi" w:hAnsiTheme="minorHAnsi"/>
                <w:iCs/>
                <w:sz w:val="20"/>
              </w:rPr>
            </w:pPr>
          </w:p>
          <w:p w14:paraId="7BF5EDCB"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18</w:t>
            </w:r>
          </w:p>
        </w:tc>
        <w:tc>
          <w:tcPr>
            <w:tcW w:w="643" w:type="pct"/>
            <w:tcBorders>
              <w:top w:val="nil"/>
              <w:left w:val="nil"/>
              <w:bottom w:val="nil"/>
              <w:right w:val="nil"/>
            </w:tcBorders>
          </w:tcPr>
          <w:p w14:paraId="24B08D7E" w14:textId="77777777" w:rsidR="00323BB2" w:rsidRPr="0061063C" w:rsidRDefault="00323BB2" w:rsidP="00453AFA">
            <w:pPr>
              <w:jc w:val="right"/>
              <w:rPr>
                <w:rFonts w:asciiTheme="minorHAnsi" w:hAnsiTheme="minorHAnsi"/>
                <w:b/>
                <w:bCs/>
                <w:sz w:val="20"/>
              </w:rPr>
            </w:pPr>
          </w:p>
          <w:p w14:paraId="2430E14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806.3</w:t>
            </w:r>
          </w:p>
        </w:tc>
        <w:tc>
          <w:tcPr>
            <w:tcW w:w="642" w:type="pct"/>
            <w:tcBorders>
              <w:top w:val="nil"/>
              <w:left w:val="nil"/>
              <w:bottom w:val="nil"/>
              <w:right w:val="nil"/>
            </w:tcBorders>
          </w:tcPr>
          <w:p w14:paraId="023F5E14" w14:textId="77777777" w:rsidR="00323BB2" w:rsidRPr="0061063C" w:rsidRDefault="00323BB2" w:rsidP="00453AFA">
            <w:pPr>
              <w:jc w:val="right"/>
              <w:rPr>
                <w:rFonts w:asciiTheme="minorHAnsi" w:hAnsiTheme="minorHAnsi"/>
                <w:bCs/>
                <w:sz w:val="20"/>
              </w:rPr>
            </w:pPr>
          </w:p>
          <w:p w14:paraId="5408CD5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72168158" w14:textId="77777777" w:rsidTr="00453AFA">
        <w:tc>
          <w:tcPr>
            <w:tcW w:w="3358" w:type="pct"/>
            <w:gridSpan w:val="2"/>
            <w:tcBorders>
              <w:top w:val="nil"/>
              <w:left w:val="nil"/>
              <w:bottom w:val="nil"/>
              <w:right w:val="nil"/>
            </w:tcBorders>
          </w:tcPr>
          <w:p w14:paraId="4ABE37AD"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Proceeds from the issue of shares on exercise of employee options</w:t>
            </w:r>
          </w:p>
        </w:tc>
        <w:tc>
          <w:tcPr>
            <w:tcW w:w="357" w:type="pct"/>
            <w:tcBorders>
              <w:top w:val="nil"/>
              <w:left w:val="nil"/>
              <w:bottom w:val="nil"/>
              <w:right w:val="nil"/>
            </w:tcBorders>
          </w:tcPr>
          <w:p w14:paraId="7E6AC0C9" w14:textId="77777777" w:rsidR="00323BB2" w:rsidRPr="0061063C" w:rsidRDefault="00323BB2" w:rsidP="00453AFA">
            <w:pPr>
              <w:jc w:val="center"/>
              <w:rPr>
                <w:rFonts w:asciiTheme="minorHAnsi" w:hAnsiTheme="minorHAnsi"/>
                <w:iCs/>
                <w:sz w:val="20"/>
              </w:rPr>
            </w:pPr>
          </w:p>
        </w:tc>
        <w:tc>
          <w:tcPr>
            <w:tcW w:w="643" w:type="pct"/>
            <w:tcBorders>
              <w:top w:val="nil"/>
              <w:left w:val="nil"/>
              <w:bottom w:val="nil"/>
              <w:right w:val="nil"/>
            </w:tcBorders>
          </w:tcPr>
          <w:p w14:paraId="6072D029"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8.9</w:t>
            </w:r>
          </w:p>
        </w:tc>
        <w:tc>
          <w:tcPr>
            <w:tcW w:w="642" w:type="pct"/>
            <w:tcBorders>
              <w:top w:val="nil"/>
              <w:left w:val="nil"/>
              <w:bottom w:val="nil"/>
              <w:right w:val="nil"/>
            </w:tcBorders>
          </w:tcPr>
          <w:p w14:paraId="2FA8998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0.3</w:t>
            </w:r>
          </w:p>
        </w:tc>
      </w:tr>
      <w:tr w:rsidR="00323BB2" w:rsidRPr="0061063C" w14:paraId="7DE61F0C" w14:textId="77777777" w:rsidTr="00453AFA">
        <w:tc>
          <w:tcPr>
            <w:tcW w:w="3358" w:type="pct"/>
            <w:gridSpan w:val="2"/>
            <w:tcBorders>
              <w:top w:val="nil"/>
              <w:left w:val="nil"/>
              <w:right w:val="nil"/>
            </w:tcBorders>
          </w:tcPr>
          <w:p w14:paraId="646CFABD" w14:textId="77777777" w:rsidR="00323BB2" w:rsidRPr="0061063C" w:rsidRDefault="00323BB2" w:rsidP="00453AFA">
            <w:pPr>
              <w:ind w:left="-90"/>
              <w:rPr>
                <w:rFonts w:asciiTheme="minorHAnsi" w:hAnsiTheme="minorHAnsi"/>
                <w:sz w:val="20"/>
              </w:rPr>
            </w:pPr>
            <w:r w:rsidRPr="0061063C">
              <w:rPr>
                <w:rFonts w:asciiTheme="minorHAnsi" w:hAnsiTheme="minorHAnsi"/>
                <w:sz w:val="20"/>
              </w:rPr>
              <w:t>Dividend paid to Non-controlling interest</w:t>
            </w:r>
          </w:p>
        </w:tc>
        <w:tc>
          <w:tcPr>
            <w:tcW w:w="357" w:type="pct"/>
            <w:tcBorders>
              <w:top w:val="nil"/>
              <w:left w:val="nil"/>
              <w:right w:val="nil"/>
            </w:tcBorders>
          </w:tcPr>
          <w:p w14:paraId="43DC028C"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18</w:t>
            </w:r>
          </w:p>
        </w:tc>
        <w:tc>
          <w:tcPr>
            <w:tcW w:w="643" w:type="pct"/>
            <w:tcBorders>
              <w:top w:val="nil"/>
              <w:left w:val="nil"/>
              <w:right w:val="nil"/>
            </w:tcBorders>
          </w:tcPr>
          <w:p w14:paraId="6A5A7F3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(7.0)</w:t>
            </w:r>
          </w:p>
        </w:tc>
        <w:tc>
          <w:tcPr>
            <w:tcW w:w="642" w:type="pct"/>
            <w:tcBorders>
              <w:top w:val="nil"/>
              <w:left w:val="nil"/>
              <w:right w:val="nil"/>
            </w:tcBorders>
          </w:tcPr>
          <w:p w14:paraId="2CCE357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5DAE8361" w14:textId="77777777" w:rsidTr="00453AFA">
        <w:tc>
          <w:tcPr>
            <w:tcW w:w="3358" w:type="pct"/>
            <w:gridSpan w:val="2"/>
            <w:tcBorders>
              <w:top w:val="nil"/>
              <w:left w:val="nil"/>
              <w:right w:val="nil"/>
            </w:tcBorders>
          </w:tcPr>
          <w:p w14:paraId="00420321" w14:textId="77777777" w:rsidR="00323BB2" w:rsidRPr="0061063C" w:rsidRDefault="00323BB2" w:rsidP="00453AFA">
            <w:pPr>
              <w:ind w:left="-90"/>
              <w:rPr>
                <w:rFonts w:asciiTheme="minorHAnsi" w:hAnsiTheme="minorHAnsi"/>
                <w:sz w:val="20"/>
              </w:rPr>
            </w:pPr>
            <w:r w:rsidRPr="0061063C">
              <w:rPr>
                <w:rFonts w:asciiTheme="minorHAnsi" w:hAnsiTheme="minorHAnsi"/>
                <w:sz w:val="20"/>
              </w:rPr>
              <w:t>Dividends paid</w:t>
            </w:r>
          </w:p>
        </w:tc>
        <w:tc>
          <w:tcPr>
            <w:tcW w:w="357" w:type="pct"/>
            <w:tcBorders>
              <w:top w:val="nil"/>
              <w:left w:val="nil"/>
              <w:right w:val="nil"/>
            </w:tcBorders>
          </w:tcPr>
          <w:p w14:paraId="7F7EAE86"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17</w:t>
            </w:r>
          </w:p>
        </w:tc>
        <w:tc>
          <w:tcPr>
            <w:tcW w:w="643" w:type="pct"/>
            <w:tcBorders>
              <w:top w:val="nil"/>
              <w:left w:val="nil"/>
              <w:right w:val="nil"/>
            </w:tcBorders>
          </w:tcPr>
          <w:p w14:paraId="39FA4AF6"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w:t>
            </w:r>
          </w:p>
        </w:tc>
        <w:tc>
          <w:tcPr>
            <w:tcW w:w="642" w:type="pct"/>
            <w:tcBorders>
              <w:top w:val="nil"/>
              <w:left w:val="nil"/>
              <w:right w:val="nil"/>
            </w:tcBorders>
          </w:tcPr>
          <w:p w14:paraId="521A800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(104.0)</w:t>
            </w:r>
          </w:p>
        </w:tc>
      </w:tr>
      <w:tr w:rsidR="00323BB2" w:rsidRPr="0061063C" w14:paraId="1633DA87" w14:textId="77777777" w:rsidTr="00453AFA">
        <w:tc>
          <w:tcPr>
            <w:tcW w:w="3358" w:type="pct"/>
            <w:gridSpan w:val="2"/>
            <w:tcBorders>
              <w:top w:val="nil"/>
              <w:left w:val="nil"/>
              <w:right w:val="nil"/>
            </w:tcBorders>
          </w:tcPr>
          <w:p w14:paraId="0AF2FD3A"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Payment of lease liabilities</w:t>
            </w:r>
          </w:p>
        </w:tc>
        <w:tc>
          <w:tcPr>
            <w:tcW w:w="357" w:type="pct"/>
            <w:tcBorders>
              <w:top w:val="nil"/>
              <w:left w:val="nil"/>
              <w:right w:val="nil"/>
            </w:tcBorders>
          </w:tcPr>
          <w:p w14:paraId="26E95D82"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tcPr>
          <w:p w14:paraId="61B509F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(21.7)</w:t>
            </w:r>
          </w:p>
        </w:tc>
        <w:tc>
          <w:tcPr>
            <w:tcW w:w="642" w:type="pct"/>
            <w:tcBorders>
              <w:top w:val="nil"/>
              <w:left w:val="nil"/>
              <w:right w:val="nil"/>
            </w:tcBorders>
          </w:tcPr>
          <w:p w14:paraId="794CE68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(20.0)</w:t>
            </w:r>
          </w:p>
        </w:tc>
      </w:tr>
      <w:tr w:rsidR="00323BB2" w:rsidRPr="0061063C" w14:paraId="75CAB3C6" w14:textId="77777777" w:rsidTr="00453AFA">
        <w:tc>
          <w:tcPr>
            <w:tcW w:w="3358" w:type="pct"/>
            <w:gridSpan w:val="2"/>
            <w:tcBorders>
              <w:top w:val="nil"/>
              <w:left w:val="nil"/>
              <w:right w:val="nil"/>
            </w:tcBorders>
          </w:tcPr>
          <w:p w14:paraId="5E5323AA"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Proceeds from GBP First Lien Term Loan A and previous GBP Term Loan</w:t>
            </w:r>
          </w:p>
        </w:tc>
        <w:tc>
          <w:tcPr>
            <w:tcW w:w="357" w:type="pct"/>
            <w:tcBorders>
              <w:top w:val="nil"/>
              <w:left w:val="nil"/>
              <w:right w:val="nil"/>
            </w:tcBorders>
          </w:tcPr>
          <w:p w14:paraId="368C1A8F"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15</w:t>
            </w:r>
          </w:p>
        </w:tc>
        <w:tc>
          <w:tcPr>
            <w:tcW w:w="643" w:type="pct"/>
            <w:tcBorders>
              <w:top w:val="nil"/>
              <w:left w:val="nil"/>
              <w:right w:val="nil"/>
            </w:tcBorders>
          </w:tcPr>
          <w:p w14:paraId="37E3A5B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950.0</w:t>
            </w:r>
          </w:p>
        </w:tc>
        <w:tc>
          <w:tcPr>
            <w:tcW w:w="642" w:type="pct"/>
            <w:tcBorders>
              <w:top w:val="nil"/>
              <w:left w:val="nil"/>
              <w:right w:val="nil"/>
            </w:tcBorders>
          </w:tcPr>
          <w:p w14:paraId="3358EEB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250.0</w:t>
            </w:r>
          </w:p>
        </w:tc>
      </w:tr>
      <w:tr w:rsidR="00323BB2" w:rsidRPr="0061063C" w14:paraId="4ED40358" w14:textId="77777777" w:rsidTr="00453AFA">
        <w:tc>
          <w:tcPr>
            <w:tcW w:w="3358" w:type="pct"/>
            <w:gridSpan w:val="2"/>
            <w:tcBorders>
              <w:top w:val="nil"/>
              <w:left w:val="nil"/>
              <w:right w:val="nil"/>
            </w:tcBorders>
          </w:tcPr>
          <w:p w14:paraId="7C5FB63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Net amounts drawn down previous GBP Revolving Credit facility</w:t>
            </w:r>
          </w:p>
        </w:tc>
        <w:tc>
          <w:tcPr>
            <w:tcW w:w="357" w:type="pct"/>
            <w:tcBorders>
              <w:top w:val="nil"/>
              <w:left w:val="nil"/>
              <w:right w:val="nil"/>
            </w:tcBorders>
          </w:tcPr>
          <w:p w14:paraId="7EDDCBB8"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15</w:t>
            </w:r>
          </w:p>
        </w:tc>
        <w:tc>
          <w:tcPr>
            <w:tcW w:w="643" w:type="pct"/>
            <w:tcBorders>
              <w:top w:val="nil"/>
              <w:left w:val="nil"/>
              <w:right w:val="nil"/>
            </w:tcBorders>
          </w:tcPr>
          <w:p w14:paraId="1DDD422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(117.</w:t>
            </w:r>
            <w:r>
              <w:rPr>
                <w:rFonts w:asciiTheme="minorHAnsi" w:hAnsiTheme="minorHAnsi"/>
                <w:b/>
                <w:bCs/>
                <w:sz w:val="20"/>
              </w:rPr>
              <w:t>2</w:t>
            </w:r>
            <w:r w:rsidRPr="0061063C">
              <w:rPr>
                <w:rFonts w:asciiTheme="minorHAnsi" w:hAnsiTheme="minorHAnsi"/>
                <w:b/>
                <w:bCs/>
                <w:sz w:val="20"/>
              </w:rPr>
              <w:t>)</w:t>
            </w:r>
          </w:p>
        </w:tc>
        <w:tc>
          <w:tcPr>
            <w:tcW w:w="642" w:type="pct"/>
            <w:tcBorders>
              <w:top w:val="nil"/>
              <w:left w:val="nil"/>
              <w:right w:val="nil"/>
            </w:tcBorders>
          </w:tcPr>
          <w:p w14:paraId="4C40038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(76.2)</w:t>
            </w:r>
          </w:p>
        </w:tc>
      </w:tr>
      <w:tr w:rsidR="00323BB2" w:rsidRPr="0061063C" w14:paraId="5D8608CA" w14:textId="77777777" w:rsidTr="00453AFA">
        <w:tc>
          <w:tcPr>
            <w:tcW w:w="3358" w:type="pct"/>
            <w:gridSpan w:val="2"/>
            <w:tcBorders>
              <w:left w:val="nil"/>
              <w:right w:val="nil"/>
            </w:tcBorders>
          </w:tcPr>
          <w:p w14:paraId="369134BD" w14:textId="77777777" w:rsidR="00323BB2" w:rsidRPr="0061063C" w:rsidRDefault="00323BB2" w:rsidP="00453AFA">
            <w:pPr>
              <w:ind w:left="-90"/>
              <w:rPr>
                <w:rFonts w:asciiTheme="minorHAnsi" w:hAnsiTheme="minorHAnsi"/>
                <w:sz w:val="20"/>
              </w:rPr>
            </w:pPr>
            <w:r w:rsidRPr="0061063C">
              <w:rPr>
                <w:rFonts w:asciiTheme="minorHAnsi" w:hAnsiTheme="minorHAnsi"/>
                <w:sz w:val="20"/>
              </w:rPr>
              <w:t>Repayment of USD</w:t>
            </w:r>
            <w:r>
              <w:rPr>
                <w:rFonts w:asciiTheme="minorHAnsi" w:hAnsiTheme="minorHAnsi"/>
                <w:sz w:val="20"/>
              </w:rPr>
              <w:t xml:space="preserve"> &amp; EUR</w:t>
            </w:r>
            <w:r w:rsidRPr="0061063C">
              <w:rPr>
                <w:rFonts w:asciiTheme="minorHAnsi" w:hAnsiTheme="minorHAnsi"/>
                <w:sz w:val="20"/>
              </w:rPr>
              <w:t xml:space="preserve"> First Lien Term Loan B and old GBP Term Loan facility</w:t>
            </w:r>
          </w:p>
        </w:tc>
        <w:tc>
          <w:tcPr>
            <w:tcW w:w="357" w:type="pct"/>
            <w:tcBorders>
              <w:left w:val="nil"/>
              <w:right w:val="nil"/>
            </w:tcBorders>
          </w:tcPr>
          <w:p w14:paraId="7BA11478" w14:textId="77777777" w:rsidR="00323BB2" w:rsidRPr="0061063C" w:rsidRDefault="00323BB2" w:rsidP="00453AFA">
            <w:pPr>
              <w:jc w:val="center"/>
              <w:rPr>
                <w:rFonts w:asciiTheme="minorHAnsi" w:hAnsiTheme="minorHAnsi"/>
                <w:iCs/>
                <w:sz w:val="20"/>
              </w:rPr>
            </w:pPr>
          </w:p>
        </w:tc>
        <w:tc>
          <w:tcPr>
            <w:tcW w:w="643" w:type="pct"/>
            <w:tcBorders>
              <w:left w:val="nil"/>
              <w:right w:val="nil"/>
            </w:tcBorders>
            <w:shd w:val="clear" w:color="auto" w:fill="auto"/>
          </w:tcPr>
          <w:p w14:paraId="6D9B2951"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(1,513.</w:t>
            </w:r>
            <w:r>
              <w:rPr>
                <w:rFonts w:asciiTheme="minorHAnsi" w:hAnsiTheme="minorHAnsi"/>
                <w:b/>
                <w:bCs/>
                <w:sz w:val="20"/>
              </w:rPr>
              <w:t>5</w:t>
            </w:r>
            <w:r w:rsidRPr="0061063C">
              <w:rPr>
                <w:rFonts w:asciiTheme="minorHAnsi" w:hAnsiTheme="minorHAnsi"/>
                <w:b/>
                <w:bCs/>
                <w:sz w:val="20"/>
              </w:rPr>
              <w:t>)</w:t>
            </w:r>
          </w:p>
        </w:tc>
        <w:tc>
          <w:tcPr>
            <w:tcW w:w="642" w:type="pct"/>
            <w:tcBorders>
              <w:left w:val="nil"/>
              <w:right w:val="nil"/>
            </w:tcBorders>
            <w:shd w:val="clear" w:color="auto" w:fill="auto"/>
          </w:tcPr>
          <w:p w14:paraId="748CEDA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2A6666D" w14:textId="77777777" w:rsidTr="00453AFA">
        <w:tc>
          <w:tcPr>
            <w:tcW w:w="3358" w:type="pct"/>
            <w:gridSpan w:val="2"/>
            <w:tcBorders>
              <w:left w:val="nil"/>
              <w:right w:val="nil"/>
            </w:tcBorders>
          </w:tcPr>
          <w:p w14:paraId="7A0C2796" w14:textId="77777777" w:rsidR="00323BB2" w:rsidRPr="0061063C" w:rsidRDefault="00323BB2" w:rsidP="00453AFA">
            <w:pPr>
              <w:ind w:left="-90"/>
              <w:rPr>
                <w:rFonts w:asciiTheme="minorHAnsi" w:hAnsiTheme="minorHAnsi"/>
                <w:sz w:val="20"/>
              </w:rPr>
            </w:pPr>
            <w:r w:rsidRPr="0061063C">
              <w:rPr>
                <w:rFonts w:asciiTheme="minorHAnsi" w:hAnsiTheme="minorHAnsi"/>
                <w:sz w:val="20"/>
              </w:rPr>
              <w:t>Amounts (repaid) / drawn down on overdraft facility</w:t>
            </w:r>
          </w:p>
        </w:tc>
        <w:tc>
          <w:tcPr>
            <w:tcW w:w="357" w:type="pct"/>
            <w:tcBorders>
              <w:left w:val="nil"/>
              <w:right w:val="nil"/>
            </w:tcBorders>
          </w:tcPr>
          <w:p w14:paraId="3F57AF83"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15</w:t>
            </w:r>
          </w:p>
        </w:tc>
        <w:tc>
          <w:tcPr>
            <w:tcW w:w="643" w:type="pct"/>
            <w:tcBorders>
              <w:left w:val="nil"/>
              <w:right w:val="nil"/>
            </w:tcBorders>
            <w:shd w:val="clear" w:color="auto" w:fill="auto"/>
          </w:tcPr>
          <w:p w14:paraId="21F4FE8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(5.0)</w:t>
            </w:r>
          </w:p>
        </w:tc>
        <w:tc>
          <w:tcPr>
            <w:tcW w:w="642" w:type="pct"/>
            <w:tcBorders>
              <w:left w:val="nil"/>
              <w:right w:val="nil"/>
            </w:tcBorders>
            <w:shd w:val="clear" w:color="auto" w:fill="auto"/>
          </w:tcPr>
          <w:p w14:paraId="4ED5FF0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2CF4172B" w14:textId="77777777" w:rsidTr="00453AFA">
        <w:tc>
          <w:tcPr>
            <w:tcW w:w="3358" w:type="pct"/>
            <w:gridSpan w:val="2"/>
            <w:tcBorders>
              <w:left w:val="nil"/>
              <w:right w:val="nil"/>
            </w:tcBorders>
          </w:tcPr>
          <w:p w14:paraId="44B408C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Interest paid</w:t>
            </w:r>
          </w:p>
        </w:tc>
        <w:tc>
          <w:tcPr>
            <w:tcW w:w="357" w:type="pct"/>
            <w:tcBorders>
              <w:left w:val="nil"/>
              <w:right w:val="nil"/>
            </w:tcBorders>
          </w:tcPr>
          <w:p w14:paraId="49C0FE47" w14:textId="77777777" w:rsidR="00323BB2" w:rsidRPr="0061063C" w:rsidRDefault="00323BB2" w:rsidP="00453AFA">
            <w:pPr>
              <w:jc w:val="center"/>
              <w:rPr>
                <w:rFonts w:asciiTheme="minorHAnsi" w:hAnsiTheme="minorHAnsi"/>
                <w:iCs/>
                <w:sz w:val="20"/>
              </w:rPr>
            </w:pPr>
          </w:p>
        </w:tc>
        <w:tc>
          <w:tcPr>
            <w:tcW w:w="643" w:type="pct"/>
            <w:tcBorders>
              <w:left w:val="nil"/>
              <w:right w:val="nil"/>
            </w:tcBorders>
            <w:shd w:val="clear" w:color="auto" w:fill="auto"/>
          </w:tcPr>
          <w:p w14:paraId="0BE7C7AE"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(37.5)</w:t>
            </w:r>
          </w:p>
        </w:tc>
        <w:tc>
          <w:tcPr>
            <w:tcW w:w="642" w:type="pct"/>
            <w:tcBorders>
              <w:left w:val="nil"/>
              <w:right w:val="nil"/>
            </w:tcBorders>
            <w:shd w:val="clear" w:color="auto" w:fill="auto"/>
          </w:tcPr>
          <w:p w14:paraId="55E4288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(3.4)</w:t>
            </w:r>
          </w:p>
        </w:tc>
      </w:tr>
      <w:tr w:rsidR="00323BB2" w:rsidRPr="0061063C" w14:paraId="71A0B19D" w14:textId="77777777" w:rsidTr="00453AFA">
        <w:tc>
          <w:tcPr>
            <w:tcW w:w="3358" w:type="pct"/>
            <w:gridSpan w:val="2"/>
            <w:tcBorders>
              <w:top w:val="nil"/>
              <w:left w:val="nil"/>
              <w:right w:val="nil"/>
            </w:tcBorders>
          </w:tcPr>
          <w:p w14:paraId="2B2988B7" w14:textId="77777777" w:rsidR="00323BB2" w:rsidRPr="0061063C" w:rsidRDefault="00323BB2" w:rsidP="00453AFA">
            <w:pPr>
              <w:ind w:left="-90"/>
              <w:rPr>
                <w:rFonts w:asciiTheme="minorHAnsi" w:hAnsiTheme="minorHAnsi"/>
                <w:sz w:val="20"/>
              </w:rPr>
            </w:pPr>
            <w:r w:rsidRPr="0061063C">
              <w:rPr>
                <w:rFonts w:asciiTheme="minorHAnsi" w:hAnsiTheme="minorHAnsi"/>
                <w:sz w:val="20"/>
              </w:rPr>
              <w:t>Settlement of derivatives</w:t>
            </w:r>
          </w:p>
        </w:tc>
        <w:tc>
          <w:tcPr>
            <w:tcW w:w="357" w:type="pct"/>
            <w:tcBorders>
              <w:top w:val="nil"/>
              <w:left w:val="nil"/>
              <w:right w:val="nil"/>
            </w:tcBorders>
          </w:tcPr>
          <w:p w14:paraId="736EA1E1"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shd w:val="clear" w:color="auto" w:fill="auto"/>
          </w:tcPr>
          <w:p w14:paraId="764526E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(27.</w:t>
            </w:r>
            <w:r>
              <w:rPr>
                <w:rFonts w:asciiTheme="minorHAnsi" w:hAnsiTheme="minorHAnsi"/>
                <w:b/>
                <w:bCs/>
                <w:sz w:val="20"/>
              </w:rPr>
              <w:t>6</w:t>
            </w:r>
            <w:r w:rsidRPr="0061063C">
              <w:rPr>
                <w:rFonts w:asciiTheme="minorHAnsi" w:hAnsiTheme="minorHAnsi"/>
                <w:b/>
                <w:bCs/>
                <w:sz w:val="20"/>
              </w:rPr>
              <w:t>)</w:t>
            </w:r>
          </w:p>
        </w:tc>
        <w:tc>
          <w:tcPr>
            <w:tcW w:w="642" w:type="pct"/>
            <w:tcBorders>
              <w:top w:val="nil"/>
              <w:left w:val="nil"/>
              <w:right w:val="nil"/>
            </w:tcBorders>
            <w:shd w:val="clear" w:color="auto" w:fill="auto"/>
          </w:tcPr>
          <w:p w14:paraId="55F34B6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74FF76F0" w14:textId="77777777" w:rsidTr="00453AFA">
        <w:tc>
          <w:tcPr>
            <w:tcW w:w="3358" w:type="pct"/>
            <w:gridSpan w:val="2"/>
            <w:tcBorders>
              <w:top w:val="nil"/>
              <w:left w:val="nil"/>
              <w:right w:val="nil"/>
            </w:tcBorders>
          </w:tcPr>
          <w:p w14:paraId="3CCAD64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Financing fees paid in respect of borrowing facilities</w:t>
            </w:r>
          </w:p>
        </w:tc>
        <w:tc>
          <w:tcPr>
            <w:tcW w:w="357" w:type="pct"/>
            <w:tcBorders>
              <w:top w:val="nil"/>
              <w:left w:val="nil"/>
              <w:right w:val="nil"/>
            </w:tcBorders>
          </w:tcPr>
          <w:p w14:paraId="4C8A967D"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shd w:val="clear" w:color="auto" w:fill="auto"/>
          </w:tcPr>
          <w:p w14:paraId="7BBC248E"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(21.5)</w:t>
            </w:r>
          </w:p>
        </w:tc>
        <w:tc>
          <w:tcPr>
            <w:tcW w:w="642" w:type="pct"/>
            <w:tcBorders>
              <w:top w:val="nil"/>
              <w:left w:val="nil"/>
              <w:right w:val="nil"/>
            </w:tcBorders>
            <w:shd w:val="clear" w:color="auto" w:fill="auto"/>
          </w:tcPr>
          <w:p w14:paraId="7BD3520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(0.3)</w:t>
            </w:r>
          </w:p>
        </w:tc>
      </w:tr>
      <w:tr w:rsidR="00323BB2" w:rsidRPr="0061063C" w14:paraId="77C6F55E" w14:textId="77777777" w:rsidTr="00453AFA">
        <w:tc>
          <w:tcPr>
            <w:tcW w:w="3358" w:type="pct"/>
            <w:gridSpan w:val="2"/>
            <w:tcBorders>
              <w:top w:val="nil"/>
              <w:left w:val="nil"/>
              <w:right w:val="nil"/>
            </w:tcBorders>
          </w:tcPr>
          <w:p w14:paraId="0782DAA3"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Purchase of own shares including direct purchase costs</w:t>
            </w:r>
          </w:p>
        </w:tc>
        <w:tc>
          <w:tcPr>
            <w:tcW w:w="357" w:type="pct"/>
            <w:tcBorders>
              <w:top w:val="nil"/>
              <w:left w:val="nil"/>
              <w:right w:val="nil"/>
            </w:tcBorders>
          </w:tcPr>
          <w:p w14:paraId="420A6606"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shd w:val="clear" w:color="auto" w:fill="auto"/>
          </w:tcPr>
          <w:p w14:paraId="23F8C09C"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w:t>
            </w:r>
          </w:p>
        </w:tc>
        <w:tc>
          <w:tcPr>
            <w:tcW w:w="642" w:type="pct"/>
            <w:tcBorders>
              <w:top w:val="nil"/>
              <w:left w:val="nil"/>
              <w:right w:val="nil"/>
            </w:tcBorders>
            <w:shd w:val="clear" w:color="auto" w:fill="auto"/>
          </w:tcPr>
          <w:p w14:paraId="1901DEA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(86.8)</w:t>
            </w:r>
          </w:p>
        </w:tc>
      </w:tr>
      <w:tr w:rsidR="00323BB2" w:rsidRPr="0061063C" w14:paraId="6BC305C8" w14:textId="77777777" w:rsidTr="00453AFA">
        <w:tc>
          <w:tcPr>
            <w:tcW w:w="3358" w:type="pct"/>
            <w:gridSpan w:val="2"/>
            <w:tcBorders>
              <w:top w:val="single" w:sz="4" w:space="0" w:color="auto"/>
              <w:left w:val="nil"/>
              <w:bottom w:val="single" w:sz="4" w:space="0" w:color="auto"/>
              <w:right w:val="nil"/>
            </w:tcBorders>
          </w:tcPr>
          <w:p w14:paraId="26C01568" w14:textId="77777777" w:rsidR="00323BB2" w:rsidRPr="0061063C" w:rsidRDefault="00323BB2" w:rsidP="00453AFA">
            <w:pPr>
              <w:ind w:left="-90"/>
              <w:rPr>
                <w:rFonts w:asciiTheme="minorHAnsi" w:hAnsiTheme="minorHAnsi"/>
                <w:sz w:val="20"/>
              </w:rPr>
            </w:pPr>
            <w:r w:rsidRPr="0061063C">
              <w:rPr>
                <w:rFonts w:asciiTheme="minorHAnsi" w:hAnsiTheme="minorHAnsi"/>
                <w:b/>
                <w:bCs/>
                <w:sz w:val="20"/>
              </w:rPr>
              <w:t>Net cash from / (used in) financing activities</w:t>
            </w:r>
          </w:p>
        </w:tc>
        <w:tc>
          <w:tcPr>
            <w:tcW w:w="357" w:type="pct"/>
            <w:tcBorders>
              <w:top w:val="single" w:sz="4" w:space="0" w:color="auto"/>
              <w:left w:val="nil"/>
              <w:bottom w:val="single" w:sz="4" w:space="0" w:color="auto"/>
              <w:right w:val="nil"/>
            </w:tcBorders>
          </w:tcPr>
          <w:p w14:paraId="3201ECCE"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bottom w:val="single" w:sz="4" w:space="0" w:color="auto"/>
              <w:right w:val="nil"/>
            </w:tcBorders>
          </w:tcPr>
          <w:p w14:paraId="0EE67341"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14.2</w:t>
            </w:r>
          </w:p>
        </w:tc>
        <w:tc>
          <w:tcPr>
            <w:tcW w:w="642" w:type="pct"/>
            <w:tcBorders>
              <w:top w:val="single" w:sz="4" w:space="0" w:color="auto"/>
              <w:left w:val="nil"/>
              <w:bottom w:val="single" w:sz="4" w:space="0" w:color="auto"/>
              <w:right w:val="nil"/>
            </w:tcBorders>
          </w:tcPr>
          <w:p w14:paraId="39E044F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(40.4)</w:t>
            </w:r>
          </w:p>
        </w:tc>
      </w:tr>
      <w:tr w:rsidR="00323BB2" w:rsidRPr="0061063C" w14:paraId="2D7B9D43" w14:textId="77777777" w:rsidTr="00453AFA">
        <w:trPr>
          <w:trHeight w:val="363"/>
        </w:trPr>
        <w:tc>
          <w:tcPr>
            <w:tcW w:w="3358" w:type="pct"/>
            <w:gridSpan w:val="2"/>
            <w:tcBorders>
              <w:top w:val="single" w:sz="4" w:space="0" w:color="auto"/>
              <w:left w:val="nil"/>
              <w:right w:val="nil"/>
            </w:tcBorders>
          </w:tcPr>
          <w:p w14:paraId="33C1B721"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Net increase / (decrease) in cash and cash equivalents</w:t>
            </w:r>
          </w:p>
        </w:tc>
        <w:tc>
          <w:tcPr>
            <w:tcW w:w="357" w:type="pct"/>
            <w:tcBorders>
              <w:top w:val="single" w:sz="4" w:space="0" w:color="auto"/>
              <w:left w:val="nil"/>
              <w:right w:val="nil"/>
            </w:tcBorders>
          </w:tcPr>
          <w:p w14:paraId="299B2F00" w14:textId="77777777" w:rsidR="00323BB2" w:rsidRPr="0061063C" w:rsidRDefault="00323BB2" w:rsidP="00453AFA">
            <w:pPr>
              <w:jc w:val="center"/>
              <w:rPr>
                <w:rFonts w:asciiTheme="minorHAnsi" w:hAnsiTheme="minorHAnsi"/>
                <w:iCs/>
                <w:sz w:val="20"/>
              </w:rPr>
            </w:pPr>
          </w:p>
        </w:tc>
        <w:tc>
          <w:tcPr>
            <w:tcW w:w="643" w:type="pct"/>
            <w:tcBorders>
              <w:top w:val="single" w:sz="4" w:space="0" w:color="auto"/>
              <w:left w:val="nil"/>
              <w:right w:val="nil"/>
            </w:tcBorders>
          </w:tcPr>
          <w:p w14:paraId="4166EDD0"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68</w:t>
            </w:r>
            <w:r>
              <w:rPr>
                <w:rFonts w:asciiTheme="minorHAnsi" w:hAnsiTheme="minorHAnsi"/>
                <w:b/>
                <w:bCs/>
                <w:sz w:val="20"/>
              </w:rPr>
              <w:t>6</w:t>
            </w:r>
            <w:r w:rsidRPr="0061063C">
              <w:rPr>
                <w:rFonts w:asciiTheme="minorHAnsi" w:hAnsiTheme="minorHAnsi"/>
                <w:b/>
                <w:bCs/>
                <w:sz w:val="20"/>
              </w:rPr>
              <w:t>.4</w:t>
            </w:r>
          </w:p>
        </w:tc>
        <w:tc>
          <w:tcPr>
            <w:tcW w:w="642" w:type="pct"/>
            <w:tcBorders>
              <w:top w:val="single" w:sz="4" w:space="0" w:color="auto"/>
              <w:left w:val="nil"/>
              <w:right w:val="nil"/>
            </w:tcBorders>
          </w:tcPr>
          <w:p w14:paraId="24BE241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(20.1)</w:t>
            </w:r>
          </w:p>
        </w:tc>
      </w:tr>
      <w:tr w:rsidR="00323BB2" w:rsidRPr="0061063C" w14:paraId="24C69BEA" w14:textId="77777777" w:rsidTr="00453AFA">
        <w:tc>
          <w:tcPr>
            <w:tcW w:w="3358" w:type="pct"/>
            <w:gridSpan w:val="2"/>
            <w:tcBorders>
              <w:top w:val="nil"/>
              <w:left w:val="nil"/>
              <w:right w:val="nil"/>
            </w:tcBorders>
          </w:tcPr>
          <w:p w14:paraId="7A4CE66F" w14:textId="77777777" w:rsidR="00323BB2" w:rsidRPr="0061063C" w:rsidRDefault="00323BB2" w:rsidP="00453AFA">
            <w:pPr>
              <w:ind w:left="-90"/>
              <w:rPr>
                <w:rFonts w:asciiTheme="minorHAnsi" w:hAnsiTheme="minorHAnsi"/>
                <w:b/>
                <w:bCs/>
                <w:sz w:val="20"/>
              </w:rPr>
            </w:pPr>
            <w:r w:rsidRPr="0061063C">
              <w:rPr>
                <w:rFonts w:asciiTheme="minorHAnsi" w:hAnsiTheme="minorHAnsi"/>
                <w:b/>
                <w:bCs/>
                <w:sz w:val="20"/>
              </w:rPr>
              <w:t>Cash and cash equivalents at start of period</w:t>
            </w:r>
          </w:p>
        </w:tc>
        <w:tc>
          <w:tcPr>
            <w:tcW w:w="357" w:type="pct"/>
            <w:tcBorders>
              <w:top w:val="nil"/>
              <w:left w:val="nil"/>
              <w:right w:val="nil"/>
            </w:tcBorders>
          </w:tcPr>
          <w:p w14:paraId="73311B05" w14:textId="77777777" w:rsidR="00323BB2" w:rsidRPr="0061063C" w:rsidRDefault="00323BB2" w:rsidP="00453AFA">
            <w:pPr>
              <w:jc w:val="center"/>
              <w:rPr>
                <w:rFonts w:asciiTheme="minorHAnsi" w:hAnsiTheme="minorHAnsi"/>
                <w:iCs/>
                <w:sz w:val="20"/>
              </w:rPr>
            </w:pPr>
          </w:p>
        </w:tc>
        <w:tc>
          <w:tcPr>
            <w:tcW w:w="643" w:type="pct"/>
            <w:tcBorders>
              <w:top w:val="nil"/>
              <w:left w:val="nil"/>
              <w:right w:val="nil"/>
            </w:tcBorders>
            <w:shd w:val="clear" w:color="auto" w:fill="auto"/>
          </w:tcPr>
          <w:p w14:paraId="3DE681D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108.1</w:t>
            </w:r>
          </w:p>
        </w:tc>
        <w:tc>
          <w:tcPr>
            <w:tcW w:w="642" w:type="pct"/>
            <w:tcBorders>
              <w:top w:val="nil"/>
              <w:left w:val="nil"/>
              <w:right w:val="nil"/>
            </w:tcBorders>
          </w:tcPr>
          <w:p w14:paraId="4F0F9B5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123.7</w:t>
            </w:r>
          </w:p>
        </w:tc>
      </w:tr>
      <w:tr w:rsidR="00323BB2" w:rsidRPr="0061063C" w14:paraId="43CA5181" w14:textId="77777777" w:rsidTr="00453AFA">
        <w:tc>
          <w:tcPr>
            <w:tcW w:w="3358" w:type="pct"/>
            <w:gridSpan w:val="2"/>
            <w:tcBorders>
              <w:left w:val="nil"/>
              <w:bottom w:val="single" w:sz="4" w:space="0" w:color="auto"/>
              <w:right w:val="nil"/>
            </w:tcBorders>
          </w:tcPr>
          <w:p w14:paraId="725834E6" w14:textId="77777777" w:rsidR="00323BB2" w:rsidRPr="0061063C" w:rsidRDefault="00323BB2" w:rsidP="00453AFA">
            <w:pPr>
              <w:ind w:left="-90"/>
              <w:rPr>
                <w:rFonts w:asciiTheme="minorHAnsi" w:hAnsiTheme="minorHAnsi"/>
                <w:sz w:val="20"/>
              </w:rPr>
            </w:pPr>
            <w:r w:rsidRPr="0061063C">
              <w:rPr>
                <w:rFonts w:asciiTheme="minorHAnsi" w:hAnsiTheme="minorHAnsi"/>
                <w:b/>
                <w:bCs/>
                <w:sz w:val="20"/>
              </w:rPr>
              <w:t>Foreign currency exchange (loss) / gain on cash and cash equivalents</w:t>
            </w:r>
          </w:p>
        </w:tc>
        <w:tc>
          <w:tcPr>
            <w:tcW w:w="357" w:type="pct"/>
            <w:tcBorders>
              <w:left w:val="nil"/>
              <w:bottom w:val="single" w:sz="4" w:space="0" w:color="auto"/>
              <w:right w:val="nil"/>
            </w:tcBorders>
          </w:tcPr>
          <w:p w14:paraId="3CF2540A" w14:textId="77777777" w:rsidR="00323BB2" w:rsidRPr="0061063C" w:rsidRDefault="00323BB2" w:rsidP="00453AFA">
            <w:pPr>
              <w:jc w:val="center"/>
              <w:rPr>
                <w:rFonts w:asciiTheme="minorHAnsi" w:hAnsiTheme="minorHAnsi"/>
                <w:iCs/>
                <w:sz w:val="20"/>
              </w:rPr>
            </w:pPr>
          </w:p>
        </w:tc>
        <w:tc>
          <w:tcPr>
            <w:tcW w:w="643" w:type="pct"/>
            <w:tcBorders>
              <w:left w:val="nil"/>
              <w:bottom w:val="single" w:sz="4" w:space="0" w:color="auto"/>
              <w:right w:val="nil"/>
            </w:tcBorders>
            <w:shd w:val="clear" w:color="auto" w:fill="auto"/>
          </w:tcPr>
          <w:p w14:paraId="378EE07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w:t>
            </w:r>
            <w:r>
              <w:rPr>
                <w:rFonts w:asciiTheme="minorHAnsi" w:hAnsiTheme="minorHAnsi"/>
                <w:b/>
                <w:bCs/>
                <w:sz w:val="20"/>
              </w:rPr>
              <w:t>8</w:t>
            </w:r>
            <w:r w:rsidRPr="0061063C">
              <w:rPr>
                <w:rFonts w:asciiTheme="minorHAnsi" w:hAnsiTheme="minorHAnsi"/>
                <w:b/>
                <w:bCs/>
                <w:sz w:val="20"/>
              </w:rPr>
              <w:t>.0)</w:t>
            </w:r>
          </w:p>
        </w:tc>
        <w:tc>
          <w:tcPr>
            <w:tcW w:w="642" w:type="pct"/>
            <w:tcBorders>
              <w:left w:val="nil"/>
              <w:bottom w:val="single" w:sz="4" w:space="0" w:color="auto"/>
              <w:right w:val="nil"/>
            </w:tcBorders>
            <w:shd w:val="clear" w:color="auto" w:fill="auto"/>
          </w:tcPr>
          <w:p w14:paraId="7F46377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0.4</w:t>
            </w:r>
          </w:p>
        </w:tc>
      </w:tr>
      <w:tr w:rsidR="00323BB2" w:rsidRPr="0061063C" w14:paraId="5D948BA0" w14:textId="77777777" w:rsidTr="00453AFA">
        <w:tc>
          <w:tcPr>
            <w:tcW w:w="3358" w:type="pct"/>
            <w:gridSpan w:val="2"/>
            <w:tcBorders>
              <w:top w:val="single" w:sz="4" w:space="0" w:color="auto"/>
              <w:left w:val="nil"/>
              <w:bottom w:val="single" w:sz="4" w:space="0" w:color="auto"/>
              <w:right w:val="nil"/>
            </w:tcBorders>
          </w:tcPr>
          <w:p w14:paraId="43A59F26" w14:textId="77777777" w:rsidR="00323BB2" w:rsidRPr="0061063C" w:rsidRDefault="00323BB2" w:rsidP="00453AFA">
            <w:pPr>
              <w:ind w:left="-90"/>
              <w:rPr>
                <w:rFonts w:asciiTheme="minorHAnsi" w:hAnsiTheme="minorHAnsi"/>
                <w:sz w:val="20"/>
              </w:rPr>
            </w:pPr>
            <w:r w:rsidRPr="0061063C">
              <w:rPr>
                <w:rFonts w:asciiTheme="minorHAnsi" w:hAnsiTheme="minorHAnsi"/>
                <w:b/>
                <w:bCs/>
                <w:sz w:val="20"/>
              </w:rPr>
              <w:t>Cash and cash equivalents at end of period</w:t>
            </w:r>
          </w:p>
        </w:tc>
        <w:tc>
          <w:tcPr>
            <w:tcW w:w="357" w:type="pct"/>
            <w:tcBorders>
              <w:top w:val="single" w:sz="4" w:space="0" w:color="auto"/>
              <w:left w:val="nil"/>
              <w:bottom w:val="single" w:sz="4" w:space="0" w:color="auto"/>
              <w:right w:val="nil"/>
            </w:tcBorders>
          </w:tcPr>
          <w:p w14:paraId="43D7541D" w14:textId="77777777" w:rsidR="00323BB2" w:rsidRPr="0061063C" w:rsidRDefault="00323BB2" w:rsidP="00453AFA">
            <w:pPr>
              <w:jc w:val="center"/>
              <w:rPr>
                <w:rFonts w:asciiTheme="minorHAnsi" w:hAnsiTheme="minorHAnsi"/>
                <w:iCs/>
                <w:sz w:val="20"/>
              </w:rPr>
            </w:pPr>
            <w:r w:rsidRPr="0061063C">
              <w:rPr>
                <w:rFonts w:asciiTheme="minorHAnsi" w:hAnsiTheme="minorHAnsi"/>
                <w:iCs/>
                <w:sz w:val="20"/>
              </w:rPr>
              <w:t>12</w:t>
            </w:r>
          </w:p>
        </w:tc>
        <w:tc>
          <w:tcPr>
            <w:tcW w:w="643" w:type="pct"/>
            <w:tcBorders>
              <w:top w:val="single" w:sz="4" w:space="0" w:color="auto"/>
              <w:left w:val="nil"/>
              <w:bottom w:val="single" w:sz="4" w:space="0" w:color="auto"/>
              <w:right w:val="nil"/>
            </w:tcBorders>
            <w:shd w:val="clear" w:color="auto" w:fill="auto"/>
          </w:tcPr>
          <w:p w14:paraId="36C2B82C"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786.5</w:t>
            </w:r>
          </w:p>
        </w:tc>
        <w:tc>
          <w:tcPr>
            <w:tcW w:w="642" w:type="pct"/>
            <w:tcBorders>
              <w:top w:val="single" w:sz="4" w:space="0" w:color="auto"/>
              <w:left w:val="nil"/>
              <w:bottom w:val="single" w:sz="4" w:space="0" w:color="auto"/>
              <w:right w:val="nil"/>
            </w:tcBorders>
            <w:shd w:val="clear" w:color="auto" w:fill="auto"/>
          </w:tcPr>
          <w:p w14:paraId="67204F7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104.0</w:t>
            </w:r>
          </w:p>
        </w:tc>
      </w:tr>
    </w:tbl>
    <w:p w14:paraId="26BD5058" w14:textId="77777777" w:rsidR="00323BB2" w:rsidRPr="0061063C" w:rsidRDefault="00323BB2" w:rsidP="00323BB2">
      <w:pPr>
        <w:pStyle w:val="BodyText"/>
        <w:spacing w:after="0"/>
        <w:rPr>
          <w:b/>
          <w:sz w:val="18"/>
          <w:szCs w:val="18"/>
          <w:lang w:val="en-IE"/>
        </w:rPr>
        <w:sectPr w:rsidR="00323BB2" w:rsidRPr="0061063C" w:rsidSect="00453AFA">
          <w:footnotePr>
            <w:numRestart w:val="eachPage"/>
          </w:footnotePr>
          <w:pgSz w:w="11907" w:h="16840" w:code="9"/>
          <w:pgMar w:top="851" w:right="1077" w:bottom="709" w:left="1260" w:header="720" w:footer="318" w:gutter="0"/>
          <w:cols w:space="720"/>
          <w:titlePg/>
          <w:docGrid w:linePitch="326"/>
        </w:sectPr>
      </w:pPr>
    </w:p>
    <w:p w14:paraId="47C003EE" w14:textId="77777777" w:rsidR="00323BB2" w:rsidRPr="0061063C" w:rsidRDefault="00323BB2" w:rsidP="00323BB2">
      <w:pPr>
        <w:pStyle w:val="BodyText"/>
        <w:spacing w:after="0"/>
        <w:ind w:left="-142" w:hanging="38"/>
        <w:rPr>
          <w:rFonts w:asciiTheme="minorHAnsi" w:hAnsiTheme="minorHAnsi"/>
          <w:b/>
          <w:sz w:val="20"/>
          <w:szCs w:val="22"/>
          <w:lang w:val="en-IE" w:eastAsia="en-IE"/>
        </w:rPr>
      </w:pPr>
      <w:r w:rsidRPr="0061063C">
        <w:rPr>
          <w:rFonts w:asciiTheme="minorHAnsi" w:hAnsiTheme="minorHAnsi"/>
          <w:b/>
          <w:sz w:val="20"/>
          <w:szCs w:val="22"/>
          <w:lang w:val="en-IE"/>
        </w:rPr>
        <w:lastRenderedPageBreak/>
        <w:t>CONDENSED CONSOLIDATED INTERIM STATEMENT OF CHANGES IN EQUITY</w:t>
      </w:r>
    </w:p>
    <w:p w14:paraId="2C6391A3" w14:textId="77777777" w:rsidR="00323BB2" w:rsidRPr="0061063C" w:rsidRDefault="00323BB2" w:rsidP="00323BB2">
      <w:pPr>
        <w:pStyle w:val="BodyText"/>
        <w:spacing w:after="0"/>
        <w:ind w:hanging="180"/>
        <w:rPr>
          <w:rFonts w:asciiTheme="minorHAnsi" w:hAnsiTheme="minorHAnsi"/>
          <w:b/>
          <w:szCs w:val="22"/>
          <w:lang w:val="en-IE"/>
        </w:rPr>
      </w:pPr>
      <w:r w:rsidRPr="0061063C">
        <w:rPr>
          <w:rFonts w:asciiTheme="minorHAnsi" w:hAnsiTheme="minorHAnsi"/>
          <w:b/>
          <w:sz w:val="20"/>
          <w:szCs w:val="22"/>
          <w:lang w:val="en-IE"/>
        </w:rPr>
        <w:t>For the six months ended 30 June 2020</w:t>
      </w:r>
    </w:p>
    <w:tbl>
      <w:tblPr>
        <w:tblW w:w="5000" w:type="pct"/>
        <w:tblLayout w:type="fixed"/>
        <w:tblLook w:val="0000" w:firstRow="0" w:lastRow="0" w:firstColumn="0" w:lastColumn="0" w:noHBand="0" w:noVBand="0"/>
      </w:tblPr>
      <w:tblGrid>
        <w:gridCol w:w="2694"/>
        <w:gridCol w:w="773"/>
        <w:gridCol w:w="76"/>
        <w:gridCol w:w="853"/>
        <w:gridCol w:w="850"/>
        <w:gridCol w:w="990"/>
        <w:gridCol w:w="819"/>
        <w:gridCol w:w="917"/>
        <w:gridCol w:w="917"/>
        <w:gridCol w:w="917"/>
        <w:gridCol w:w="917"/>
        <w:gridCol w:w="917"/>
        <w:gridCol w:w="917"/>
        <w:gridCol w:w="926"/>
        <w:gridCol w:w="975"/>
        <w:gridCol w:w="822"/>
      </w:tblGrid>
      <w:tr w:rsidR="00323BB2" w:rsidRPr="0061063C" w14:paraId="25F1E9F5" w14:textId="77777777" w:rsidTr="00453AFA">
        <w:trPr>
          <w:trHeight w:val="227"/>
        </w:trPr>
        <w:tc>
          <w:tcPr>
            <w:tcW w:w="882" w:type="pct"/>
            <w:tcBorders>
              <w:left w:val="nil"/>
            </w:tcBorders>
          </w:tcPr>
          <w:p w14:paraId="02D6DB55" w14:textId="77777777" w:rsidR="00323BB2" w:rsidRPr="0061063C" w:rsidRDefault="00323BB2" w:rsidP="00453AFA">
            <w:pPr>
              <w:ind w:left="-108"/>
              <w:rPr>
                <w:rFonts w:asciiTheme="minorHAnsi" w:hAnsiTheme="minorHAnsi"/>
                <w:sz w:val="16"/>
                <w:szCs w:val="16"/>
              </w:rPr>
            </w:pPr>
          </w:p>
        </w:tc>
        <w:tc>
          <w:tcPr>
            <w:tcW w:w="253" w:type="pct"/>
            <w:tcBorders>
              <w:right w:val="single" w:sz="4" w:space="0" w:color="auto"/>
            </w:tcBorders>
          </w:tcPr>
          <w:p w14:paraId="07A8F970" w14:textId="77777777" w:rsidR="00323BB2" w:rsidRPr="0061063C" w:rsidRDefault="00323BB2" w:rsidP="00453AFA">
            <w:pPr>
              <w:jc w:val="center"/>
              <w:rPr>
                <w:rFonts w:asciiTheme="minorHAnsi" w:hAnsiTheme="minorHAnsi"/>
                <w:b/>
                <w:bCs/>
                <w:sz w:val="16"/>
                <w:szCs w:val="16"/>
              </w:rPr>
            </w:pPr>
          </w:p>
        </w:tc>
        <w:tc>
          <w:tcPr>
            <w:tcW w:w="3277" w:type="pct"/>
            <w:gridSpan w:val="12"/>
            <w:tcBorders>
              <w:top w:val="single" w:sz="4" w:space="0" w:color="auto"/>
              <w:left w:val="single" w:sz="4" w:space="0" w:color="auto"/>
              <w:bottom w:val="single" w:sz="4" w:space="0" w:color="auto"/>
              <w:right w:val="single" w:sz="4" w:space="0" w:color="auto"/>
            </w:tcBorders>
          </w:tcPr>
          <w:p w14:paraId="787601F2" w14:textId="77777777" w:rsidR="00323BB2" w:rsidRPr="0061063C" w:rsidRDefault="00323BB2" w:rsidP="00453AFA">
            <w:pPr>
              <w:jc w:val="center"/>
              <w:rPr>
                <w:rFonts w:asciiTheme="minorHAnsi" w:hAnsiTheme="minorHAnsi"/>
                <w:b/>
                <w:bCs/>
                <w:sz w:val="16"/>
                <w:szCs w:val="16"/>
              </w:rPr>
            </w:pPr>
            <w:r w:rsidRPr="0061063C">
              <w:rPr>
                <w:rFonts w:asciiTheme="minorHAnsi" w:hAnsiTheme="minorHAnsi"/>
                <w:b/>
                <w:bCs/>
                <w:sz w:val="16"/>
                <w:szCs w:val="16"/>
              </w:rPr>
              <w:t>Attributable to equity holders of the Company</w:t>
            </w:r>
          </w:p>
        </w:tc>
        <w:tc>
          <w:tcPr>
            <w:tcW w:w="319" w:type="pct"/>
            <w:tcBorders>
              <w:left w:val="single" w:sz="4" w:space="0" w:color="auto"/>
            </w:tcBorders>
          </w:tcPr>
          <w:p w14:paraId="6235A3F4" w14:textId="77777777" w:rsidR="00323BB2" w:rsidRPr="0061063C" w:rsidRDefault="00323BB2" w:rsidP="00453AFA">
            <w:pPr>
              <w:jc w:val="center"/>
              <w:rPr>
                <w:rFonts w:asciiTheme="minorHAnsi" w:hAnsiTheme="minorHAnsi"/>
                <w:b/>
                <w:bCs/>
                <w:sz w:val="16"/>
                <w:szCs w:val="16"/>
              </w:rPr>
            </w:pPr>
          </w:p>
        </w:tc>
        <w:tc>
          <w:tcPr>
            <w:tcW w:w="269" w:type="pct"/>
          </w:tcPr>
          <w:p w14:paraId="3EDFACB8" w14:textId="77777777" w:rsidR="00323BB2" w:rsidRPr="0061063C" w:rsidRDefault="00323BB2" w:rsidP="00453AFA">
            <w:pPr>
              <w:jc w:val="center"/>
              <w:rPr>
                <w:rFonts w:asciiTheme="minorHAnsi" w:hAnsiTheme="minorHAnsi"/>
                <w:b/>
                <w:bCs/>
                <w:sz w:val="16"/>
                <w:szCs w:val="16"/>
              </w:rPr>
            </w:pPr>
          </w:p>
        </w:tc>
      </w:tr>
      <w:tr w:rsidR="00323BB2" w:rsidRPr="0061063C" w14:paraId="209C39E6" w14:textId="77777777" w:rsidTr="00453AFA">
        <w:trPr>
          <w:trHeight w:val="1385"/>
        </w:trPr>
        <w:tc>
          <w:tcPr>
            <w:tcW w:w="882" w:type="pct"/>
            <w:tcBorders>
              <w:top w:val="single" w:sz="4" w:space="0" w:color="auto"/>
              <w:left w:val="nil"/>
              <w:bottom w:val="single" w:sz="4" w:space="0" w:color="auto"/>
              <w:right w:val="nil"/>
            </w:tcBorders>
          </w:tcPr>
          <w:p w14:paraId="4CA9310C" w14:textId="77777777" w:rsidR="00323BB2" w:rsidRPr="0061063C" w:rsidRDefault="00323BB2" w:rsidP="00453AFA">
            <w:pPr>
              <w:ind w:left="-108"/>
              <w:rPr>
                <w:rFonts w:asciiTheme="minorHAnsi" w:hAnsiTheme="minorHAnsi"/>
                <w:sz w:val="16"/>
                <w:szCs w:val="16"/>
              </w:rPr>
            </w:pPr>
          </w:p>
          <w:p w14:paraId="11CB796C" w14:textId="77777777" w:rsidR="00323BB2" w:rsidRPr="0061063C" w:rsidRDefault="00323BB2" w:rsidP="00453AFA">
            <w:pPr>
              <w:ind w:left="-108"/>
              <w:rPr>
                <w:rFonts w:asciiTheme="minorHAnsi" w:hAnsiTheme="minorHAnsi"/>
                <w:sz w:val="16"/>
                <w:szCs w:val="16"/>
              </w:rPr>
            </w:pPr>
          </w:p>
          <w:p w14:paraId="45FDD277" w14:textId="77777777" w:rsidR="00323BB2" w:rsidRPr="0061063C" w:rsidRDefault="00323BB2" w:rsidP="00453AFA">
            <w:pPr>
              <w:ind w:left="-108"/>
              <w:rPr>
                <w:rFonts w:asciiTheme="minorHAnsi" w:hAnsiTheme="minorHAnsi"/>
                <w:sz w:val="16"/>
                <w:szCs w:val="16"/>
              </w:rPr>
            </w:pPr>
          </w:p>
          <w:p w14:paraId="357FFBD8" w14:textId="77777777" w:rsidR="00323BB2" w:rsidRPr="0061063C" w:rsidRDefault="00323BB2" w:rsidP="00453AFA">
            <w:pPr>
              <w:ind w:left="-108"/>
              <w:rPr>
                <w:rFonts w:asciiTheme="minorHAnsi" w:hAnsiTheme="minorHAnsi"/>
                <w:sz w:val="16"/>
                <w:szCs w:val="16"/>
              </w:rPr>
            </w:pPr>
          </w:p>
          <w:p w14:paraId="09ED546E" w14:textId="77777777" w:rsidR="00323BB2" w:rsidRPr="0061063C" w:rsidRDefault="00323BB2" w:rsidP="00453AFA">
            <w:pPr>
              <w:ind w:left="-108"/>
              <w:rPr>
                <w:rFonts w:asciiTheme="minorHAnsi" w:hAnsiTheme="minorHAnsi"/>
                <w:sz w:val="16"/>
                <w:szCs w:val="16"/>
              </w:rPr>
            </w:pPr>
          </w:p>
          <w:p w14:paraId="70CCB3F5"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(unaudited)</w:t>
            </w:r>
          </w:p>
        </w:tc>
        <w:tc>
          <w:tcPr>
            <w:tcW w:w="278" w:type="pct"/>
            <w:gridSpan w:val="2"/>
            <w:tcBorders>
              <w:top w:val="single" w:sz="4" w:space="0" w:color="auto"/>
              <w:left w:val="nil"/>
              <w:bottom w:val="single" w:sz="4" w:space="0" w:color="auto"/>
              <w:right w:val="nil"/>
            </w:tcBorders>
          </w:tcPr>
          <w:p w14:paraId="7820C073" w14:textId="77777777" w:rsidR="00323BB2" w:rsidRPr="0061063C" w:rsidRDefault="00323BB2" w:rsidP="00453AFA">
            <w:pPr>
              <w:jc w:val="right"/>
              <w:rPr>
                <w:rFonts w:asciiTheme="minorHAnsi" w:hAnsiTheme="minorHAnsi"/>
                <w:b/>
                <w:bCs/>
                <w:i/>
                <w:sz w:val="16"/>
                <w:szCs w:val="16"/>
              </w:rPr>
            </w:pPr>
            <w:r w:rsidRPr="0061063C">
              <w:rPr>
                <w:rFonts w:asciiTheme="minorHAnsi" w:hAnsiTheme="minorHAnsi"/>
                <w:b/>
                <w:bCs/>
                <w:i/>
                <w:sz w:val="16"/>
                <w:szCs w:val="16"/>
              </w:rPr>
              <w:t>Number of</w:t>
            </w:r>
          </w:p>
          <w:p w14:paraId="1B840520" w14:textId="77777777" w:rsidR="00323BB2" w:rsidRPr="0061063C" w:rsidRDefault="00323BB2" w:rsidP="00453AFA">
            <w:pPr>
              <w:jc w:val="right"/>
              <w:rPr>
                <w:rFonts w:asciiTheme="minorHAnsi" w:hAnsiTheme="minorHAnsi"/>
                <w:b/>
                <w:bCs/>
                <w:i/>
                <w:sz w:val="16"/>
                <w:szCs w:val="16"/>
              </w:rPr>
            </w:pPr>
            <w:r w:rsidRPr="0061063C">
              <w:rPr>
                <w:rFonts w:asciiTheme="minorHAnsi" w:hAnsiTheme="minorHAnsi"/>
                <w:b/>
                <w:bCs/>
                <w:i/>
                <w:sz w:val="16"/>
                <w:szCs w:val="16"/>
              </w:rPr>
              <w:t xml:space="preserve"> ordinary</w:t>
            </w:r>
          </w:p>
          <w:p w14:paraId="32C54E27" w14:textId="77777777" w:rsidR="00323BB2" w:rsidRPr="0061063C" w:rsidRDefault="00323BB2" w:rsidP="00453AFA">
            <w:pPr>
              <w:jc w:val="right"/>
              <w:rPr>
                <w:rFonts w:asciiTheme="minorHAnsi" w:hAnsiTheme="minorHAnsi"/>
                <w:b/>
                <w:bCs/>
                <w:i/>
                <w:sz w:val="16"/>
                <w:szCs w:val="16"/>
              </w:rPr>
            </w:pPr>
            <w:r w:rsidRPr="0061063C">
              <w:rPr>
                <w:rFonts w:asciiTheme="minorHAnsi" w:hAnsiTheme="minorHAnsi"/>
                <w:b/>
                <w:bCs/>
                <w:i/>
                <w:sz w:val="16"/>
                <w:szCs w:val="16"/>
              </w:rPr>
              <w:t xml:space="preserve"> shares in</w:t>
            </w:r>
          </w:p>
          <w:p w14:paraId="56540A7B"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i/>
                <w:sz w:val="16"/>
                <w:szCs w:val="16"/>
              </w:rPr>
              <w:t xml:space="preserve"> issu</w:t>
            </w:r>
            <w:r w:rsidRPr="0061063C">
              <w:rPr>
                <w:rFonts w:asciiTheme="minorHAnsi" w:hAnsiTheme="minorHAnsi"/>
                <w:b/>
                <w:bCs/>
                <w:sz w:val="16"/>
                <w:szCs w:val="16"/>
              </w:rPr>
              <w:t>e</w:t>
            </w:r>
          </w:p>
          <w:p w14:paraId="7122E221" w14:textId="77777777" w:rsidR="00323BB2" w:rsidRPr="0061063C" w:rsidRDefault="00323BB2" w:rsidP="00453AFA">
            <w:pPr>
              <w:jc w:val="right"/>
              <w:rPr>
                <w:rFonts w:asciiTheme="minorHAnsi" w:hAnsiTheme="minorHAnsi"/>
                <w:i/>
                <w:sz w:val="16"/>
                <w:szCs w:val="16"/>
              </w:rPr>
            </w:pPr>
            <w:r w:rsidRPr="0061063C">
              <w:rPr>
                <w:rFonts w:asciiTheme="minorHAnsi" w:hAnsiTheme="minorHAnsi"/>
                <w:b/>
                <w:bCs/>
                <w:i/>
                <w:sz w:val="16"/>
                <w:szCs w:val="16"/>
              </w:rPr>
              <w:t>millions</w:t>
            </w:r>
          </w:p>
        </w:tc>
        <w:tc>
          <w:tcPr>
            <w:tcW w:w="279" w:type="pct"/>
            <w:tcBorders>
              <w:top w:val="single" w:sz="4" w:space="0" w:color="auto"/>
              <w:left w:val="nil"/>
              <w:bottom w:val="single" w:sz="4" w:space="0" w:color="auto"/>
              <w:right w:val="nil"/>
            </w:tcBorders>
          </w:tcPr>
          <w:p w14:paraId="6249F6D6"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Issued</w:t>
            </w:r>
          </w:p>
          <w:p w14:paraId="4A8F4A7B"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share</w:t>
            </w:r>
          </w:p>
          <w:p w14:paraId="7629293F"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capital and share premium</w:t>
            </w:r>
          </w:p>
          <w:p w14:paraId="24204A8D"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278" w:type="pct"/>
            <w:tcBorders>
              <w:top w:val="single" w:sz="4" w:space="0" w:color="auto"/>
              <w:left w:val="nil"/>
              <w:bottom w:val="single" w:sz="4" w:space="0" w:color="auto"/>
              <w:right w:val="nil"/>
            </w:tcBorders>
          </w:tcPr>
          <w:p w14:paraId="05D8D606" w14:textId="77777777" w:rsidR="00323BB2" w:rsidRPr="0061063C" w:rsidRDefault="00323BB2" w:rsidP="00453AFA">
            <w:pPr>
              <w:jc w:val="right"/>
              <w:rPr>
                <w:rFonts w:asciiTheme="minorHAnsi" w:hAnsiTheme="minorHAnsi"/>
                <w:b/>
                <w:bCs/>
                <w:sz w:val="16"/>
                <w:szCs w:val="16"/>
              </w:rPr>
            </w:pPr>
          </w:p>
          <w:p w14:paraId="6A974CA4" w14:textId="77777777" w:rsidR="00323BB2" w:rsidRPr="0061063C" w:rsidRDefault="00323BB2" w:rsidP="00453AFA">
            <w:pPr>
              <w:jc w:val="right"/>
              <w:rPr>
                <w:rFonts w:asciiTheme="minorHAnsi" w:hAnsiTheme="minorHAnsi"/>
                <w:b/>
                <w:bCs/>
                <w:sz w:val="16"/>
                <w:szCs w:val="16"/>
              </w:rPr>
            </w:pPr>
          </w:p>
          <w:p w14:paraId="49640CB7" w14:textId="77777777" w:rsidR="00323BB2" w:rsidRPr="0061063C" w:rsidRDefault="00323BB2" w:rsidP="00453AFA">
            <w:pPr>
              <w:jc w:val="right"/>
              <w:rPr>
                <w:rFonts w:asciiTheme="minorHAnsi" w:hAnsiTheme="minorHAnsi"/>
                <w:b/>
                <w:bCs/>
                <w:sz w:val="16"/>
                <w:szCs w:val="16"/>
              </w:rPr>
            </w:pPr>
          </w:p>
          <w:p w14:paraId="1E4899DB" w14:textId="77777777" w:rsidR="00323BB2" w:rsidRPr="0061063C" w:rsidRDefault="00323BB2" w:rsidP="00453AFA">
            <w:pPr>
              <w:jc w:val="right"/>
              <w:rPr>
                <w:rFonts w:asciiTheme="minorHAnsi" w:hAnsiTheme="minorHAnsi"/>
                <w:b/>
                <w:bCs/>
                <w:sz w:val="16"/>
                <w:szCs w:val="16"/>
              </w:rPr>
            </w:pPr>
          </w:p>
          <w:p w14:paraId="62432413"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Merger</w:t>
            </w:r>
          </w:p>
          <w:p w14:paraId="44CBCB9D" w14:textId="77777777" w:rsidR="00323BB2" w:rsidRPr="0061063C" w:rsidRDefault="00323BB2" w:rsidP="00453AFA">
            <w:pPr>
              <w:jc w:val="right"/>
              <w:rPr>
                <w:rFonts w:asciiTheme="minorHAnsi" w:hAnsiTheme="minorHAnsi"/>
                <w:sz w:val="18"/>
                <w:szCs w:val="18"/>
              </w:rPr>
            </w:pPr>
            <w:r w:rsidRPr="0061063C">
              <w:rPr>
                <w:rFonts w:asciiTheme="minorHAnsi" w:hAnsiTheme="minorHAnsi"/>
                <w:b/>
                <w:bCs/>
                <w:sz w:val="16"/>
                <w:szCs w:val="16"/>
              </w:rPr>
              <w:t xml:space="preserve"> reserve</w:t>
            </w:r>
          </w:p>
          <w:p w14:paraId="594F104A"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324" w:type="pct"/>
            <w:tcBorders>
              <w:top w:val="single" w:sz="4" w:space="0" w:color="auto"/>
              <w:left w:val="nil"/>
              <w:bottom w:val="single" w:sz="4" w:space="0" w:color="auto"/>
              <w:right w:val="nil"/>
            </w:tcBorders>
          </w:tcPr>
          <w:p w14:paraId="4930C0F2" w14:textId="77777777" w:rsidR="00323BB2" w:rsidRPr="0061063C" w:rsidRDefault="00323BB2" w:rsidP="00453AFA">
            <w:pPr>
              <w:jc w:val="right"/>
              <w:rPr>
                <w:rFonts w:asciiTheme="minorHAnsi" w:hAnsiTheme="minorHAnsi"/>
                <w:b/>
                <w:bCs/>
                <w:sz w:val="16"/>
                <w:szCs w:val="16"/>
              </w:rPr>
            </w:pPr>
          </w:p>
          <w:p w14:paraId="6E66EA7D" w14:textId="77777777" w:rsidR="00323BB2" w:rsidRPr="0061063C" w:rsidRDefault="00323BB2" w:rsidP="00453AFA">
            <w:pPr>
              <w:jc w:val="right"/>
              <w:rPr>
                <w:rFonts w:asciiTheme="minorHAnsi" w:hAnsiTheme="minorHAnsi"/>
                <w:b/>
                <w:bCs/>
                <w:sz w:val="16"/>
                <w:szCs w:val="16"/>
              </w:rPr>
            </w:pPr>
          </w:p>
          <w:p w14:paraId="7D3EB0CC"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Foreign</w:t>
            </w:r>
          </w:p>
          <w:p w14:paraId="691177D2"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exchange</w:t>
            </w:r>
          </w:p>
          <w:p w14:paraId="5E2E9AEA"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translation</w:t>
            </w:r>
          </w:p>
          <w:p w14:paraId="3CF9E4DD" w14:textId="77777777" w:rsidR="00323BB2" w:rsidRPr="0061063C" w:rsidRDefault="00323BB2" w:rsidP="00453AFA">
            <w:pPr>
              <w:jc w:val="right"/>
              <w:rPr>
                <w:rFonts w:asciiTheme="minorHAnsi" w:hAnsiTheme="minorHAnsi"/>
                <w:sz w:val="18"/>
                <w:szCs w:val="18"/>
              </w:rPr>
            </w:pPr>
            <w:r w:rsidRPr="0061063C">
              <w:rPr>
                <w:rFonts w:asciiTheme="minorHAnsi" w:hAnsiTheme="minorHAnsi"/>
                <w:b/>
                <w:bCs/>
                <w:sz w:val="16"/>
                <w:szCs w:val="16"/>
              </w:rPr>
              <w:t xml:space="preserve"> reserve</w:t>
            </w:r>
          </w:p>
          <w:p w14:paraId="59CDD4AA"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w:t>
            </w:r>
          </w:p>
        </w:tc>
        <w:tc>
          <w:tcPr>
            <w:tcW w:w="268" w:type="pct"/>
            <w:tcBorders>
              <w:top w:val="single" w:sz="4" w:space="0" w:color="auto"/>
              <w:left w:val="nil"/>
              <w:bottom w:val="single" w:sz="4" w:space="0" w:color="auto"/>
              <w:right w:val="nil"/>
            </w:tcBorders>
          </w:tcPr>
          <w:p w14:paraId="48646A8E" w14:textId="77777777" w:rsidR="00323BB2" w:rsidRPr="0061063C" w:rsidRDefault="00323BB2" w:rsidP="00453AFA">
            <w:pPr>
              <w:jc w:val="right"/>
              <w:rPr>
                <w:rFonts w:asciiTheme="minorHAnsi" w:hAnsiTheme="minorHAnsi"/>
                <w:b/>
                <w:bCs/>
                <w:sz w:val="16"/>
                <w:szCs w:val="16"/>
              </w:rPr>
            </w:pPr>
          </w:p>
          <w:p w14:paraId="4F589989" w14:textId="77777777" w:rsidR="00323BB2" w:rsidRPr="0061063C" w:rsidRDefault="00323BB2" w:rsidP="00453AFA">
            <w:pPr>
              <w:jc w:val="right"/>
              <w:rPr>
                <w:rFonts w:asciiTheme="minorHAnsi" w:hAnsiTheme="minorHAnsi"/>
                <w:b/>
                <w:bCs/>
                <w:sz w:val="16"/>
                <w:szCs w:val="16"/>
              </w:rPr>
            </w:pPr>
          </w:p>
          <w:p w14:paraId="1506EF58"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Cash flow hedge</w:t>
            </w:r>
          </w:p>
          <w:p w14:paraId="4618BCE3"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reserve</w:t>
            </w:r>
          </w:p>
          <w:p w14:paraId="3E1339F7"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300" w:type="pct"/>
            <w:tcBorders>
              <w:top w:val="single" w:sz="4" w:space="0" w:color="auto"/>
              <w:left w:val="nil"/>
              <w:bottom w:val="single" w:sz="4" w:space="0" w:color="auto"/>
              <w:right w:val="nil"/>
            </w:tcBorders>
          </w:tcPr>
          <w:p w14:paraId="02A388FC" w14:textId="77777777" w:rsidR="00323BB2" w:rsidRPr="0061063C" w:rsidRDefault="00323BB2" w:rsidP="00453AFA">
            <w:pPr>
              <w:jc w:val="right"/>
              <w:rPr>
                <w:rFonts w:asciiTheme="minorHAnsi" w:hAnsiTheme="minorHAnsi"/>
                <w:b/>
                <w:bCs/>
                <w:sz w:val="16"/>
                <w:szCs w:val="16"/>
              </w:rPr>
            </w:pPr>
          </w:p>
          <w:p w14:paraId="56CACD43" w14:textId="77777777" w:rsidR="00323BB2" w:rsidRPr="0061063C" w:rsidRDefault="00323BB2" w:rsidP="00453AFA">
            <w:pPr>
              <w:jc w:val="right"/>
              <w:rPr>
                <w:rFonts w:asciiTheme="minorHAnsi" w:hAnsiTheme="minorHAnsi"/>
                <w:b/>
                <w:bCs/>
                <w:sz w:val="16"/>
                <w:szCs w:val="16"/>
              </w:rPr>
            </w:pPr>
          </w:p>
          <w:p w14:paraId="3D317981" w14:textId="77777777" w:rsidR="00323BB2" w:rsidRPr="0061063C" w:rsidRDefault="00323BB2" w:rsidP="00453AFA">
            <w:pPr>
              <w:jc w:val="right"/>
              <w:rPr>
                <w:rFonts w:asciiTheme="minorHAnsi" w:hAnsiTheme="minorHAnsi"/>
                <w:b/>
                <w:bCs/>
                <w:sz w:val="16"/>
                <w:szCs w:val="16"/>
              </w:rPr>
            </w:pPr>
          </w:p>
          <w:p w14:paraId="2E0F2581"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Financial assets at FVOCI</w:t>
            </w:r>
          </w:p>
          <w:p w14:paraId="161E7EF6"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w:t>
            </w:r>
          </w:p>
        </w:tc>
        <w:tc>
          <w:tcPr>
            <w:tcW w:w="300" w:type="pct"/>
            <w:tcBorders>
              <w:top w:val="single" w:sz="4" w:space="0" w:color="auto"/>
              <w:left w:val="nil"/>
              <w:bottom w:val="single" w:sz="4" w:space="0" w:color="auto"/>
              <w:right w:val="nil"/>
            </w:tcBorders>
          </w:tcPr>
          <w:p w14:paraId="2AF96694" w14:textId="77777777" w:rsidR="00323BB2" w:rsidRPr="0061063C" w:rsidRDefault="00323BB2" w:rsidP="00453AFA">
            <w:pPr>
              <w:jc w:val="right"/>
              <w:rPr>
                <w:rFonts w:asciiTheme="minorHAnsi" w:hAnsiTheme="minorHAnsi"/>
                <w:b/>
                <w:bCs/>
                <w:sz w:val="16"/>
                <w:szCs w:val="16"/>
              </w:rPr>
            </w:pPr>
          </w:p>
          <w:p w14:paraId="3CE112FC" w14:textId="77777777" w:rsidR="00323BB2" w:rsidRPr="0061063C" w:rsidRDefault="00323BB2" w:rsidP="00453AFA">
            <w:pPr>
              <w:jc w:val="right"/>
              <w:rPr>
                <w:rFonts w:asciiTheme="minorHAnsi" w:hAnsiTheme="minorHAnsi"/>
                <w:b/>
                <w:bCs/>
                <w:sz w:val="16"/>
                <w:szCs w:val="16"/>
              </w:rPr>
            </w:pPr>
          </w:p>
          <w:p w14:paraId="21A21182" w14:textId="77777777" w:rsidR="00323BB2" w:rsidRPr="0061063C" w:rsidRDefault="00323BB2" w:rsidP="00453AFA">
            <w:pPr>
              <w:jc w:val="right"/>
              <w:rPr>
                <w:rFonts w:asciiTheme="minorHAnsi" w:hAnsiTheme="minorHAnsi"/>
                <w:b/>
                <w:bCs/>
                <w:sz w:val="16"/>
                <w:szCs w:val="16"/>
              </w:rPr>
            </w:pPr>
          </w:p>
          <w:p w14:paraId="61867866" w14:textId="77777777" w:rsidR="00323BB2" w:rsidRPr="0061063C" w:rsidRDefault="00323BB2" w:rsidP="00453AFA">
            <w:pPr>
              <w:jc w:val="right"/>
              <w:rPr>
                <w:rFonts w:asciiTheme="minorHAnsi" w:hAnsiTheme="minorHAnsi"/>
                <w:b/>
                <w:bCs/>
                <w:sz w:val="16"/>
                <w:szCs w:val="16"/>
              </w:rPr>
            </w:pPr>
          </w:p>
          <w:p w14:paraId="7EC5C887"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Other</w:t>
            </w:r>
          </w:p>
          <w:p w14:paraId="04AADD54"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reserve</w:t>
            </w:r>
          </w:p>
          <w:p w14:paraId="29F9A3C7"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w:t>
            </w:r>
          </w:p>
        </w:tc>
        <w:tc>
          <w:tcPr>
            <w:tcW w:w="300" w:type="pct"/>
            <w:tcBorders>
              <w:top w:val="single" w:sz="4" w:space="0" w:color="auto"/>
              <w:left w:val="nil"/>
              <w:bottom w:val="single" w:sz="4" w:space="0" w:color="auto"/>
              <w:right w:val="nil"/>
            </w:tcBorders>
          </w:tcPr>
          <w:p w14:paraId="690CCEF9" w14:textId="77777777" w:rsidR="00323BB2" w:rsidRPr="0061063C" w:rsidRDefault="00323BB2" w:rsidP="00453AFA">
            <w:pPr>
              <w:jc w:val="right"/>
              <w:rPr>
                <w:rFonts w:asciiTheme="minorHAnsi" w:hAnsiTheme="minorHAnsi"/>
                <w:b/>
                <w:bCs/>
                <w:sz w:val="16"/>
                <w:szCs w:val="16"/>
              </w:rPr>
            </w:pPr>
          </w:p>
          <w:p w14:paraId="2B6D23D0" w14:textId="77777777" w:rsidR="00323BB2" w:rsidRPr="0061063C" w:rsidRDefault="00323BB2" w:rsidP="00453AFA">
            <w:pPr>
              <w:jc w:val="right"/>
              <w:rPr>
                <w:rFonts w:asciiTheme="minorHAnsi" w:hAnsiTheme="minorHAnsi"/>
                <w:b/>
                <w:bCs/>
                <w:sz w:val="16"/>
                <w:szCs w:val="16"/>
              </w:rPr>
            </w:pPr>
          </w:p>
          <w:p w14:paraId="1503B7FC" w14:textId="77777777" w:rsidR="00323BB2" w:rsidRPr="0061063C" w:rsidRDefault="00323BB2" w:rsidP="00453AFA">
            <w:pPr>
              <w:jc w:val="right"/>
              <w:rPr>
                <w:rFonts w:asciiTheme="minorHAnsi" w:hAnsiTheme="minorHAnsi"/>
                <w:b/>
                <w:bCs/>
                <w:sz w:val="16"/>
                <w:szCs w:val="16"/>
              </w:rPr>
            </w:pPr>
          </w:p>
          <w:p w14:paraId="4AB5F4B8" w14:textId="77777777" w:rsidR="00323BB2" w:rsidRPr="0061063C" w:rsidRDefault="00323BB2" w:rsidP="00453AFA">
            <w:pPr>
              <w:jc w:val="right"/>
              <w:rPr>
                <w:rFonts w:asciiTheme="minorHAnsi" w:hAnsiTheme="minorHAnsi"/>
                <w:b/>
                <w:bCs/>
                <w:sz w:val="16"/>
                <w:szCs w:val="16"/>
              </w:rPr>
            </w:pPr>
          </w:p>
          <w:p w14:paraId="417A1D32"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Treasury</w:t>
            </w:r>
          </w:p>
          <w:p w14:paraId="04BEE5A7"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shares</w:t>
            </w:r>
          </w:p>
          <w:p w14:paraId="2A7CED05"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300" w:type="pct"/>
            <w:tcBorders>
              <w:top w:val="single" w:sz="4" w:space="0" w:color="auto"/>
              <w:left w:val="nil"/>
              <w:bottom w:val="single" w:sz="4" w:space="0" w:color="auto"/>
              <w:right w:val="nil"/>
            </w:tcBorders>
          </w:tcPr>
          <w:p w14:paraId="159D98E2" w14:textId="77777777" w:rsidR="00323BB2" w:rsidRPr="0061063C" w:rsidRDefault="00323BB2" w:rsidP="00453AFA">
            <w:pPr>
              <w:jc w:val="right"/>
              <w:rPr>
                <w:rFonts w:asciiTheme="minorHAnsi" w:hAnsiTheme="minorHAnsi"/>
                <w:b/>
                <w:bCs/>
                <w:sz w:val="16"/>
                <w:szCs w:val="16"/>
              </w:rPr>
            </w:pPr>
          </w:p>
          <w:p w14:paraId="59FED531"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Shares</w:t>
            </w:r>
          </w:p>
          <w:p w14:paraId="20459065"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held by</w:t>
            </w:r>
          </w:p>
          <w:p w14:paraId="27C13322"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employee</w:t>
            </w:r>
          </w:p>
          <w:p w14:paraId="39D35AEC"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benefit</w:t>
            </w:r>
          </w:p>
          <w:p w14:paraId="7C53D2B8"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trust</w:t>
            </w:r>
          </w:p>
          <w:p w14:paraId="36C7C585"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300" w:type="pct"/>
            <w:tcBorders>
              <w:top w:val="single" w:sz="4" w:space="0" w:color="auto"/>
              <w:left w:val="nil"/>
              <w:bottom w:val="single" w:sz="4" w:space="0" w:color="auto"/>
              <w:right w:val="nil"/>
            </w:tcBorders>
          </w:tcPr>
          <w:p w14:paraId="28F14FB7" w14:textId="77777777" w:rsidR="00323BB2" w:rsidRPr="0061063C" w:rsidRDefault="00323BB2" w:rsidP="00453AFA">
            <w:pPr>
              <w:jc w:val="right"/>
              <w:rPr>
                <w:rFonts w:asciiTheme="minorHAnsi" w:hAnsiTheme="minorHAnsi"/>
                <w:b/>
                <w:bCs/>
                <w:sz w:val="16"/>
                <w:szCs w:val="16"/>
              </w:rPr>
            </w:pPr>
          </w:p>
          <w:p w14:paraId="4C8BF57F" w14:textId="77777777" w:rsidR="00323BB2" w:rsidRPr="0061063C" w:rsidRDefault="00323BB2" w:rsidP="00453AFA">
            <w:pPr>
              <w:jc w:val="right"/>
              <w:rPr>
                <w:rFonts w:asciiTheme="minorHAnsi" w:hAnsiTheme="minorHAnsi"/>
                <w:b/>
                <w:bCs/>
                <w:sz w:val="16"/>
                <w:szCs w:val="16"/>
              </w:rPr>
            </w:pPr>
          </w:p>
          <w:p w14:paraId="3055F70F"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Share-</w:t>
            </w:r>
          </w:p>
          <w:p w14:paraId="6CF3BFD5"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based</w:t>
            </w:r>
          </w:p>
          <w:p w14:paraId="5E132FDC"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payment</w:t>
            </w:r>
          </w:p>
          <w:p w14:paraId="211FF0E7"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reserve</w:t>
            </w:r>
          </w:p>
          <w:p w14:paraId="6169898F"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300" w:type="pct"/>
            <w:tcBorders>
              <w:top w:val="single" w:sz="4" w:space="0" w:color="auto"/>
              <w:left w:val="nil"/>
              <w:bottom w:val="single" w:sz="4" w:space="0" w:color="auto"/>
              <w:right w:val="nil"/>
            </w:tcBorders>
          </w:tcPr>
          <w:p w14:paraId="28CF2345" w14:textId="77777777" w:rsidR="00323BB2" w:rsidRPr="0061063C" w:rsidRDefault="00323BB2" w:rsidP="00453AFA">
            <w:pPr>
              <w:jc w:val="right"/>
              <w:rPr>
                <w:rFonts w:asciiTheme="minorHAnsi" w:hAnsiTheme="minorHAnsi"/>
                <w:b/>
                <w:bCs/>
                <w:sz w:val="16"/>
                <w:szCs w:val="16"/>
              </w:rPr>
            </w:pPr>
          </w:p>
          <w:p w14:paraId="2D88CC42" w14:textId="77777777" w:rsidR="00323BB2" w:rsidRPr="0061063C" w:rsidRDefault="00323BB2" w:rsidP="00453AFA">
            <w:pPr>
              <w:jc w:val="right"/>
              <w:rPr>
                <w:rFonts w:asciiTheme="minorHAnsi" w:hAnsiTheme="minorHAnsi"/>
                <w:b/>
                <w:bCs/>
                <w:sz w:val="16"/>
                <w:szCs w:val="16"/>
              </w:rPr>
            </w:pPr>
          </w:p>
          <w:p w14:paraId="7410D0AC" w14:textId="77777777" w:rsidR="00323BB2" w:rsidRPr="0061063C" w:rsidRDefault="00323BB2" w:rsidP="00453AFA">
            <w:pPr>
              <w:jc w:val="right"/>
              <w:rPr>
                <w:rFonts w:asciiTheme="minorHAnsi" w:hAnsiTheme="minorHAnsi"/>
                <w:b/>
                <w:bCs/>
                <w:sz w:val="16"/>
                <w:szCs w:val="16"/>
              </w:rPr>
            </w:pPr>
          </w:p>
          <w:p w14:paraId="44224860" w14:textId="77777777" w:rsidR="00323BB2" w:rsidRPr="0061063C" w:rsidRDefault="00323BB2" w:rsidP="00453AFA">
            <w:pPr>
              <w:jc w:val="right"/>
              <w:rPr>
                <w:rFonts w:asciiTheme="minorHAnsi" w:hAnsiTheme="minorHAnsi"/>
                <w:b/>
                <w:bCs/>
                <w:sz w:val="16"/>
                <w:szCs w:val="16"/>
              </w:rPr>
            </w:pPr>
          </w:p>
          <w:p w14:paraId="723F684F"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Retained</w:t>
            </w:r>
          </w:p>
          <w:p w14:paraId="05918BF3"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earnings</w:t>
            </w:r>
          </w:p>
          <w:p w14:paraId="3BB29676" w14:textId="77777777" w:rsidR="00323BB2" w:rsidRPr="0061063C" w:rsidRDefault="00323BB2" w:rsidP="00453AFA">
            <w:pPr>
              <w:jc w:val="right"/>
              <w:rPr>
                <w:rFonts w:asciiTheme="minorHAnsi" w:hAnsiTheme="minorHAnsi"/>
                <w:sz w:val="16"/>
                <w:szCs w:val="16"/>
              </w:rPr>
            </w:pPr>
            <w:r w:rsidRPr="0061063C">
              <w:rPr>
                <w:rFonts w:asciiTheme="minorHAnsi" w:hAnsiTheme="minorHAnsi"/>
                <w:b/>
                <w:bCs/>
                <w:sz w:val="16"/>
                <w:szCs w:val="16"/>
              </w:rPr>
              <w:t>£m</w:t>
            </w:r>
          </w:p>
        </w:tc>
        <w:tc>
          <w:tcPr>
            <w:tcW w:w="303" w:type="pct"/>
            <w:tcBorders>
              <w:top w:val="single" w:sz="4" w:space="0" w:color="auto"/>
              <w:left w:val="nil"/>
              <w:bottom w:val="single" w:sz="4" w:space="0" w:color="auto"/>
              <w:right w:val="nil"/>
            </w:tcBorders>
          </w:tcPr>
          <w:p w14:paraId="4D42F4A6" w14:textId="77777777" w:rsidR="00323BB2" w:rsidRPr="0061063C" w:rsidRDefault="00323BB2" w:rsidP="00453AFA">
            <w:pPr>
              <w:jc w:val="right"/>
              <w:rPr>
                <w:rFonts w:asciiTheme="minorHAnsi" w:hAnsiTheme="minorHAnsi"/>
                <w:b/>
                <w:bCs/>
                <w:sz w:val="16"/>
                <w:szCs w:val="16"/>
              </w:rPr>
            </w:pPr>
          </w:p>
          <w:p w14:paraId="1CB05E99" w14:textId="77777777" w:rsidR="00323BB2" w:rsidRPr="0061063C" w:rsidRDefault="00323BB2" w:rsidP="00453AFA">
            <w:pPr>
              <w:jc w:val="right"/>
              <w:rPr>
                <w:rFonts w:asciiTheme="minorHAnsi" w:hAnsiTheme="minorHAnsi"/>
                <w:b/>
                <w:bCs/>
                <w:sz w:val="16"/>
                <w:szCs w:val="16"/>
              </w:rPr>
            </w:pPr>
          </w:p>
          <w:p w14:paraId="3529C257" w14:textId="77777777" w:rsidR="00323BB2" w:rsidRPr="0061063C" w:rsidRDefault="00323BB2" w:rsidP="00453AFA">
            <w:pPr>
              <w:jc w:val="right"/>
              <w:rPr>
                <w:rFonts w:asciiTheme="minorHAnsi" w:hAnsiTheme="minorHAnsi"/>
                <w:b/>
                <w:bCs/>
                <w:sz w:val="16"/>
                <w:szCs w:val="16"/>
              </w:rPr>
            </w:pPr>
          </w:p>
          <w:p w14:paraId="1E114445" w14:textId="77777777" w:rsidR="00323BB2" w:rsidRPr="0061063C" w:rsidRDefault="00323BB2" w:rsidP="00453AFA">
            <w:pPr>
              <w:jc w:val="right"/>
              <w:rPr>
                <w:rFonts w:asciiTheme="minorHAnsi" w:hAnsiTheme="minorHAnsi"/>
                <w:b/>
                <w:bCs/>
                <w:sz w:val="16"/>
                <w:szCs w:val="16"/>
              </w:rPr>
            </w:pPr>
          </w:p>
          <w:p w14:paraId="1774DB8B"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Total</w:t>
            </w:r>
          </w:p>
          <w:p w14:paraId="79171A1E"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equity</w:t>
            </w:r>
          </w:p>
          <w:p w14:paraId="0651DAB3"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w:t>
            </w:r>
          </w:p>
        </w:tc>
        <w:tc>
          <w:tcPr>
            <w:tcW w:w="319" w:type="pct"/>
            <w:tcBorders>
              <w:left w:val="nil"/>
              <w:bottom w:val="single" w:sz="4" w:space="0" w:color="auto"/>
              <w:right w:val="nil"/>
            </w:tcBorders>
          </w:tcPr>
          <w:p w14:paraId="0D3FCACA" w14:textId="77777777" w:rsidR="00323BB2" w:rsidRPr="0061063C" w:rsidRDefault="00323BB2" w:rsidP="00453AFA">
            <w:pPr>
              <w:jc w:val="right"/>
              <w:rPr>
                <w:rFonts w:asciiTheme="minorHAnsi" w:hAnsiTheme="minorHAnsi"/>
                <w:b/>
                <w:bCs/>
                <w:sz w:val="16"/>
                <w:szCs w:val="16"/>
              </w:rPr>
            </w:pPr>
          </w:p>
          <w:p w14:paraId="63535EFA" w14:textId="77777777" w:rsidR="00323BB2" w:rsidRPr="0061063C" w:rsidRDefault="00323BB2" w:rsidP="00453AFA">
            <w:pPr>
              <w:jc w:val="right"/>
              <w:rPr>
                <w:rFonts w:asciiTheme="minorHAnsi" w:hAnsiTheme="minorHAnsi"/>
                <w:b/>
                <w:bCs/>
                <w:sz w:val="16"/>
                <w:szCs w:val="16"/>
              </w:rPr>
            </w:pPr>
          </w:p>
          <w:p w14:paraId="106F947C" w14:textId="77777777" w:rsidR="00323BB2" w:rsidRPr="0061063C" w:rsidRDefault="00323BB2" w:rsidP="00453AFA">
            <w:pPr>
              <w:jc w:val="right"/>
              <w:rPr>
                <w:rFonts w:asciiTheme="minorHAnsi" w:hAnsiTheme="minorHAnsi"/>
                <w:b/>
                <w:bCs/>
                <w:sz w:val="16"/>
                <w:szCs w:val="16"/>
              </w:rPr>
            </w:pPr>
          </w:p>
          <w:p w14:paraId="23A00F99"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Non-controlling interest</w:t>
            </w:r>
          </w:p>
          <w:p w14:paraId="4E831D0C"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w:t>
            </w:r>
          </w:p>
        </w:tc>
        <w:tc>
          <w:tcPr>
            <w:tcW w:w="269" w:type="pct"/>
            <w:tcBorders>
              <w:left w:val="nil"/>
              <w:bottom w:val="single" w:sz="4" w:space="0" w:color="auto"/>
              <w:right w:val="nil"/>
            </w:tcBorders>
          </w:tcPr>
          <w:p w14:paraId="16FE459B" w14:textId="77777777" w:rsidR="00323BB2" w:rsidRPr="0061063C" w:rsidRDefault="00323BB2" w:rsidP="00453AFA">
            <w:pPr>
              <w:jc w:val="right"/>
              <w:rPr>
                <w:rFonts w:asciiTheme="minorHAnsi" w:hAnsiTheme="minorHAnsi"/>
                <w:b/>
                <w:bCs/>
                <w:sz w:val="16"/>
                <w:szCs w:val="16"/>
              </w:rPr>
            </w:pPr>
          </w:p>
          <w:p w14:paraId="33C10288" w14:textId="77777777" w:rsidR="00323BB2" w:rsidRPr="0061063C" w:rsidRDefault="00323BB2" w:rsidP="00453AFA">
            <w:pPr>
              <w:jc w:val="right"/>
              <w:rPr>
                <w:rFonts w:asciiTheme="minorHAnsi" w:hAnsiTheme="minorHAnsi"/>
                <w:b/>
                <w:bCs/>
                <w:sz w:val="16"/>
                <w:szCs w:val="16"/>
              </w:rPr>
            </w:pPr>
          </w:p>
          <w:p w14:paraId="0E8AF03A" w14:textId="77777777" w:rsidR="00323BB2" w:rsidRPr="0061063C" w:rsidRDefault="00323BB2" w:rsidP="00453AFA">
            <w:pPr>
              <w:jc w:val="right"/>
              <w:rPr>
                <w:rFonts w:asciiTheme="minorHAnsi" w:hAnsiTheme="minorHAnsi"/>
                <w:b/>
                <w:bCs/>
                <w:sz w:val="16"/>
                <w:szCs w:val="16"/>
              </w:rPr>
            </w:pPr>
          </w:p>
          <w:p w14:paraId="032EAC3A" w14:textId="77777777" w:rsidR="00323BB2" w:rsidRPr="0061063C" w:rsidRDefault="00323BB2" w:rsidP="00453AFA">
            <w:pPr>
              <w:jc w:val="right"/>
              <w:rPr>
                <w:rFonts w:asciiTheme="minorHAnsi" w:hAnsiTheme="minorHAnsi"/>
                <w:b/>
                <w:bCs/>
                <w:sz w:val="16"/>
                <w:szCs w:val="16"/>
              </w:rPr>
            </w:pPr>
          </w:p>
          <w:p w14:paraId="3091E7AA"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Total</w:t>
            </w:r>
          </w:p>
          <w:p w14:paraId="6871403F"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 xml:space="preserve"> equity</w:t>
            </w:r>
          </w:p>
          <w:p w14:paraId="5BBA9969" w14:textId="77777777" w:rsidR="00323BB2" w:rsidRPr="0061063C" w:rsidRDefault="00323BB2" w:rsidP="00453AFA">
            <w:pPr>
              <w:jc w:val="right"/>
              <w:rPr>
                <w:rFonts w:asciiTheme="minorHAnsi" w:hAnsiTheme="minorHAnsi"/>
                <w:b/>
                <w:bCs/>
                <w:sz w:val="16"/>
                <w:szCs w:val="16"/>
              </w:rPr>
            </w:pPr>
            <w:r w:rsidRPr="0061063C">
              <w:rPr>
                <w:rFonts w:asciiTheme="minorHAnsi" w:hAnsiTheme="minorHAnsi"/>
                <w:b/>
                <w:bCs/>
                <w:sz w:val="16"/>
                <w:szCs w:val="16"/>
              </w:rPr>
              <w:t>£m</w:t>
            </w:r>
          </w:p>
        </w:tc>
      </w:tr>
      <w:tr w:rsidR="00323BB2" w:rsidRPr="0061063C" w14:paraId="56B9B5D7" w14:textId="77777777" w:rsidTr="00453AFA">
        <w:trPr>
          <w:trHeight w:val="84"/>
        </w:trPr>
        <w:tc>
          <w:tcPr>
            <w:tcW w:w="882" w:type="pct"/>
            <w:tcBorders>
              <w:top w:val="single" w:sz="4" w:space="0" w:color="auto"/>
              <w:left w:val="nil"/>
              <w:right w:val="nil"/>
            </w:tcBorders>
          </w:tcPr>
          <w:p w14:paraId="2465DD7C" w14:textId="77777777" w:rsidR="00323BB2" w:rsidRPr="0061063C" w:rsidRDefault="00323BB2" w:rsidP="00453AFA">
            <w:pPr>
              <w:ind w:left="-108"/>
              <w:rPr>
                <w:rFonts w:asciiTheme="minorHAnsi" w:hAnsiTheme="minorHAnsi"/>
                <w:sz w:val="16"/>
                <w:szCs w:val="16"/>
              </w:rPr>
            </w:pPr>
          </w:p>
          <w:p w14:paraId="72EEA8F9"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Balance at 1 January 2020</w:t>
            </w:r>
          </w:p>
        </w:tc>
        <w:tc>
          <w:tcPr>
            <w:tcW w:w="278" w:type="pct"/>
            <w:gridSpan w:val="2"/>
            <w:tcBorders>
              <w:top w:val="single" w:sz="4" w:space="0" w:color="auto"/>
              <w:left w:val="nil"/>
              <w:right w:val="nil"/>
            </w:tcBorders>
          </w:tcPr>
          <w:p w14:paraId="48D54ADF" w14:textId="77777777" w:rsidR="00323BB2" w:rsidRPr="0061063C" w:rsidRDefault="00323BB2" w:rsidP="00453AFA">
            <w:pPr>
              <w:jc w:val="right"/>
              <w:rPr>
                <w:rFonts w:asciiTheme="minorHAnsi" w:hAnsiTheme="minorHAnsi"/>
                <w:b/>
                <w:sz w:val="16"/>
                <w:szCs w:val="16"/>
              </w:rPr>
            </w:pPr>
          </w:p>
          <w:p w14:paraId="39A634F0"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80.3</w:t>
            </w:r>
          </w:p>
        </w:tc>
        <w:tc>
          <w:tcPr>
            <w:tcW w:w="279" w:type="pct"/>
            <w:tcBorders>
              <w:top w:val="single" w:sz="4" w:space="0" w:color="auto"/>
              <w:left w:val="nil"/>
              <w:right w:val="nil"/>
            </w:tcBorders>
          </w:tcPr>
          <w:p w14:paraId="3849B28E" w14:textId="77777777" w:rsidR="00323BB2" w:rsidRPr="0061063C" w:rsidRDefault="00323BB2" w:rsidP="00453AFA">
            <w:pPr>
              <w:jc w:val="right"/>
              <w:rPr>
                <w:rFonts w:asciiTheme="minorHAnsi" w:hAnsiTheme="minorHAnsi"/>
                <w:b/>
                <w:sz w:val="16"/>
                <w:szCs w:val="16"/>
              </w:rPr>
            </w:pPr>
          </w:p>
          <w:p w14:paraId="7E53C37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428.3</w:t>
            </w:r>
          </w:p>
        </w:tc>
        <w:tc>
          <w:tcPr>
            <w:tcW w:w="278" w:type="pct"/>
            <w:tcBorders>
              <w:top w:val="single" w:sz="4" w:space="0" w:color="auto"/>
              <w:left w:val="nil"/>
              <w:right w:val="nil"/>
            </w:tcBorders>
          </w:tcPr>
          <w:p w14:paraId="6E7F33FA" w14:textId="77777777" w:rsidR="00323BB2" w:rsidRPr="0061063C" w:rsidRDefault="00323BB2" w:rsidP="00453AFA">
            <w:pPr>
              <w:jc w:val="right"/>
              <w:rPr>
                <w:rFonts w:asciiTheme="minorHAnsi" w:hAnsiTheme="minorHAnsi"/>
                <w:b/>
                <w:sz w:val="16"/>
                <w:szCs w:val="16"/>
              </w:rPr>
            </w:pPr>
          </w:p>
          <w:p w14:paraId="20F9E60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single" w:sz="4" w:space="0" w:color="auto"/>
              <w:left w:val="nil"/>
              <w:right w:val="nil"/>
            </w:tcBorders>
          </w:tcPr>
          <w:p w14:paraId="2DFB2750" w14:textId="77777777" w:rsidR="00323BB2" w:rsidRPr="0061063C" w:rsidRDefault="00323BB2" w:rsidP="00453AFA">
            <w:pPr>
              <w:jc w:val="right"/>
              <w:rPr>
                <w:rFonts w:asciiTheme="minorHAnsi" w:hAnsiTheme="minorHAnsi"/>
                <w:b/>
                <w:sz w:val="16"/>
                <w:szCs w:val="16"/>
              </w:rPr>
            </w:pPr>
          </w:p>
          <w:p w14:paraId="171FF07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(21.5)</w:t>
            </w:r>
          </w:p>
        </w:tc>
        <w:tc>
          <w:tcPr>
            <w:tcW w:w="268" w:type="pct"/>
            <w:tcBorders>
              <w:top w:val="single" w:sz="4" w:space="0" w:color="auto"/>
              <w:left w:val="nil"/>
              <w:right w:val="nil"/>
            </w:tcBorders>
          </w:tcPr>
          <w:p w14:paraId="3F580AB9" w14:textId="77777777" w:rsidR="00323BB2" w:rsidRPr="0061063C" w:rsidRDefault="00323BB2" w:rsidP="00453AFA">
            <w:pPr>
              <w:jc w:val="right"/>
              <w:rPr>
                <w:rFonts w:asciiTheme="minorHAnsi" w:hAnsiTheme="minorHAnsi"/>
                <w:b/>
                <w:sz w:val="16"/>
                <w:szCs w:val="16"/>
              </w:rPr>
            </w:pPr>
          </w:p>
          <w:p w14:paraId="2FA035B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2.3</w:t>
            </w:r>
          </w:p>
        </w:tc>
        <w:tc>
          <w:tcPr>
            <w:tcW w:w="300" w:type="pct"/>
            <w:tcBorders>
              <w:top w:val="single" w:sz="4" w:space="0" w:color="auto"/>
              <w:left w:val="nil"/>
              <w:right w:val="nil"/>
            </w:tcBorders>
          </w:tcPr>
          <w:p w14:paraId="3039BDDE" w14:textId="77777777" w:rsidR="00323BB2" w:rsidRPr="0061063C" w:rsidRDefault="00323BB2" w:rsidP="00453AFA">
            <w:pPr>
              <w:jc w:val="right"/>
              <w:rPr>
                <w:rFonts w:asciiTheme="minorHAnsi" w:hAnsiTheme="minorHAnsi"/>
                <w:b/>
                <w:sz w:val="16"/>
                <w:szCs w:val="16"/>
              </w:rPr>
            </w:pPr>
          </w:p>
          <w:p w14:paraId="3235C85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right w:val="nil"/>
            </w:tcBorders>
          </w:tcPr>
          <w:p w14:paraId="545276A9" w14:textId="77777777" w:rsidR="00323BB2" w:rsidRPr="0061063C" w:rsidRDefault="00323BB2" w:rsidP="00453AFA">
            <w:pPr>
              <w:jc w:val="right"/>
              <w:rPr>
                <w:rFonts w:asciiTheme="minorHAnsi" w:hAnsiTheme="minorHAnsi"/>
                <w:b/>
                <w:sz w:val="16"/>
                <w:szCs w:val="16"/>
              </w:rPr>
            </w:pPr>
          </w:p>
          <w:p w14:paraId="7A9F03D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2.3</w:t>
            </w:r>
          </w:p>
        </w:tc>
        <w:tc>
          <w:tcPr>
            <w:tcW w:w="300" w:type="pct"/>
            <w:tcBorders>
              <w:top w:val="single" w:sz="4" w:space="0" w:color="auto"/>
              <w:left w:val="nil"/>
              <w:right w:val="nil"/>
            </w:tcBorders>
          </w:tcPr>
          <w:p w14:paraId="41623B46" w14:textId="77777777" w:rsidR="00323BB2" w:rsidRPr="0061063C" w:rsidRDefault="00323BB2" w:rsidP="00453AFA">
            <w:pPr>
              <w:jc w:val="right"/>
              <w:rPr>
                <w:rFonts w:asciiTheme="minorHAnsi" w:hAnsiTheme="minorHAnsi"/>
                <w:b/>
                <w:sz w:val="16"/>
                <w:szCs w:val="16"/>
              </w:rPr>
            </w:pPr>
          </w:p>
          <w:p w14:paraId="7088B7E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(40.7)</w:t>
            </w:r>
          </w:p>
        </w:tc>
        <w:tc>
          <w:tcPr>
            <w:tcW w:w="300" w:type="pct"/>
            <w:tcBorders>
              <w:top w:val="single" w:sz="4" w:space="0" w:color="auto"/>
              <w:left w:val="nil"/>
              <w:right w:val="nil"/>
            </w:tcBorders>
          </w:tcPr>
          <w:p w14:paraId="48032F92" w14:textId="77777777" w:rsidR="00323BB2" w:rsidRPr="0061063C" w:rsidRDefault="00323BB2" w:rsidP="00453AFA">
            <w:pPr>
              <w:jc w:val="right"/>
              <w:rPr>
                <w:rFonts w:asciiTheme="minorHAnsi" w:hAnsiTheme="minorHAnsi"/>
                <w:b/>
                <w:sz w:val="16"/>
                <w:szCs w:val="16"/>
              </w:rPr>
            </w:pPr>
          </w:p>
          <w:p w14:paraId="3D44BF3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(6.1)</w:t>
            </w:r>
          </w:p>
        </w:tc>
        <w:tc>
          <w:tcPr>
            <w:tcW w:w="300" w:type="pct"/>
            <w:tcBorders>
              <w:top w:val="single" w:sz="4" w:space="0" w:color="auto"/>
              <w:left w:val="nil"/>
              <w:right w:val="nil"/>
            </w:tcBorders>
          </w:tcPr>
          <w:p w14:paraId="11679BC3" w14:textId="77777777" w:rsidR="00323BB2" w:rsidRPr="0061063C" w:rsidRDefault="00323BB2" w:rsidP="00453AFA">
            <w:pPr>
              <w:jc w:val="right"/>
              <w:rPr>
                <w:rFonts w:asciiTheme="minorHAnsi" w:hAnsiTheme="minorHAnsi"/>
                <w:b/>
                <w:sz w:val="16"/>
                <w:szCs w:val="16"/>
              </w:rPr>
            </w:pPr>
          </w:p>
          <w:p w14:paraId="4ECF3CF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80.6</w:t>
            </w:r>
          </w:p>
        </w:tc>
        <w:tc>
          <w:tcPr>
            <w:tcW w:w="300" w:type="pct"/>
            <w:tcBorders>
              <w:top w:val="single" w:sz="4" w:space="0" w:color="auto"/>
              <w:left w:val="nil"/>
              <w:right w:val="nil"/>
            </w:tcBorders>
            <w:shd w:val="clear" w:color="auto" w:fill="auto"/>
          </w:tcPr>
          <w:p w14:paraId="7F62A140" w14:textId="77777777" w:rsidR="00323BB2" w:rsidRPr="0061063C" w:rsidRDefault="00323BB2" w:rsidP="00453AFA">
            <w:pPr>
              <w:jc w:val="right"/>
              <w:rPr>
                <w:rFonts w:asciiTheme="minorHAnsi" w:hAnsiTheme="minorHAnsi"/>
                <w:b/>
                <w:sz w:val="16"/>
                <w:szCs w:val="16"/>
              </w:rPr>
            </w:pPr>
          </w:p>
          <w:p w14:paraId="05D1061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3,539.5</w:t>
            </w:r>
          </w:p>
        </w:tc>
        <w:tc>
          <w:tcPr>
            <w:tcW w:w="303" w:type="pct"/>
            <w:tcBorders>
              <w:top w:val="single" w:sz="4" w:space="0" w:color="auto"/>
              <w:left w:val="nil"/>
              <w:right w:val="nil"/>
            </w:tcBorders>
            <w:shd w:val="clear" w:color="auto" w:fill="auto"/>
          </w:tcPr>
          <w:p w14:paraId="3EE290B8" w14:textId="77777777" w:rsidR="00323BB2" w:rsidRPr="0061063C" w:rsidRDefault="00323BB2" w:rsidP="00453AFA">
            <w:pPr>
              <w:jc w:val="right"/>
              <w:rPr>
                <w:rFonts w:asciiTheme="minorHAnsi" w:hAnsiTheme="minorHAnsi"/>
                <w:b/>
                <w:sz w:val="16"/>
                <w:szCs w:val="16"/>
              </w:rPr>
            </w:pPr>
          </w:p>
          <w:p w14:paraId="14D6B4D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3,984.7</w:t>
            </w:r>
          </w:p>
        </w:tc>
        <w:tc>
          <w:tcPr>
            <w:tcW w:w="319" w:type="pct"/>
            <w:tcBorders>
              <w:top w:val="single" w:sz="4" w:space="0" w:color="auto"/>
              <w:left w:val="nil"/>
              <w:right w:val="nil"/>
            </w:tcBorders>
            <w:shd w:val="clear" w:color="auto" w:fill="auto"/>
          </w:tcPr>
          <w:p w14:paraId="0BE384D4" w14:textId="77777777" w:rsidR="00323BB2" w:rsidRPr="0061063C" w:rsidRDefault="00323BB2" w:rsidP="00453AFA">
            <w:pPr>
              <w:jc w:val="right"/>
              <w:rPr>
                <w:rFonts w:asciiTheme="minorHAnsi" w:hAnsiTheme="minorHAnsi"/>
                <w:b/>
                <w:sz w:val="16"/>
                <w:szCs w:val="16"/>
              </w:rPr>
            </w:pPr>
          </w:p>
          <w:p w14:paraId="326B76C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204.9</w:t>
            </w:r>
          </w:p>
        </w:tc>
        <w:tc>
          <w:tcPr>
            <w:tcW w:w="269" w:type="pct"/>
            <w:tcBorders>
              <w:top w:val="single" w:sz="4" w:space="0" w:color="auto"/>
              <w:left w:val="nil"/>
              <w:right w:val="nil"/>
            </w:tcBorders>
          </w:tcPr>
          <w:p w14:paraId="5FB7BDBA" w14:textId="77777777" w:rsidR="00323BB2" w:rsidRPr="0061063C" w:rsidRDefault="00323BB2" w:rsidP="00453AFA">
            <w:pPr>
              <w:jc w:val="right"/>
              <w:rPr>
                <w:rFonts w:asciiTheme="minorHAnsi" w:hAnsiTheme="minorHAnsi"/>
                <w:b/>
                <w:sz w:val="16"/>
                <w:szCs w:val="16"/>
              </w:rPr>
            </w:pPr>
          </w:p>
          <w:p w14:paraId="26F66CD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4,189.6</w:t>
            </w:r>
          </w:p>
        </w:tc>
      </w:tr>
      <w:tr w:rsidR="00323BB2" w:rsidRPr="0061063C" w14:paraId="1BAD68BF" w14:textId="77777777" w:rsidTr="00453AFA">
        <w:trPr>
          <w:trHeight w:val="177"/>
        </w:trPr>
        <w:tc>
          <w:tcPr>
            <w:tcW w:w="1159" w:type="pct"/>
            <w:gridSpan w:val="3"/>
            <w:tcBorders>
              <w:top w:val="nil"/>
              <w:left w:val="nil"/>
              <w:bottom w:val="nil"/>
              <w:right w:val="nil"/>
            </w:tcBorders>
          </w:tcPr>
          <w:p w14:paraId="2D81D51E" w14:textId="77777777" w:rsidR="00323BB2" w:rsidRPr="0061063C" w:rsidRDefault="00323BB2" w:rsidP="00453AFA">
            <w:pPr>
              <w:ind w:left="-108"/>
              <w:rPr>
                <w:rFonts w:asciiTheme="minorHAnsi" w:hAnsiTheme="minorHAnsi"/>
                <w:b/>
                <w:i/>
                <w:sz w:val="16"/>
                <w:szCs w:val="16"/>
              </w:rPr>
            </w:pPr>
            <w:r w:rsidRPr="0061063C">
              <w:rPr>
                <w:rFonts w:asciiTheme="minorHAnsi" w:hAnsiTheme="minorHAnsi"/>
                <w:b/>
                <w:sz w:val="16"/>
                <w:szCs w:val="16"/>
              </w:rPr>
              <w:t>Total comprehensive income for the period</w:t>
            </w:r>
          </w:p>
        </w:tc>
        <w:tc>
          <w:tcPr>
            <w:tcW w:w="279" w:type="pct"/>
            <w:tcBorders>
              <w:top w:val="nil"/>
              <w:left w:val="nil"/>
              <w:bottom w:val="nil"/>
              <w:right w:val="nil"/>
            </w:tcBorders>
          </w:tcPr>
          <w:p w14:paraId="68D9BBD5" w14:textId="77777777" w:rsidR="00323BB2" w:rsidRPr="0061063C" w:rsidRDefault="00323BB2" w:rsidP="00453AFA">
            <w:pPr>
              <w:jc w:val="right"/>
              <w:rPr>
                <w:rFonts w:asciiTheme="minorHAnsi" w:hAnsiTheme="minorHAnsi"/>
                <w:b/>
                <w:sz w:val="16"/>
                <w:szCs w:val="16"/>
              </w:rPr>
            </w:pPr>
          </w:p>
        </w:tc>
        <w:tc>
          <w:tcPr>
            <w:tcW w:w="278" w:type="pct"/>
            <w:tcBorders>
              <w:top w:val="nil"/>
              <w:left w:val="nil"/>
              <w:bottom w:val="nil"/>
              <w:right w:val="nil"/>
            </w:tcBorders>
          </w:tcPr>
          <w:p w14:paraId="0407D5B7" w14:textId="77777777" w:rsidR="00323BB2" w:rsidRPr="0061063C" w:rsidRDefault="00323BB2" w:rsidP="00453AFA">
            <w:pPr>
              <w:jc w:val="right"/>
              <w:rPr>
                <w:rFonts w:asciiTheme="minorHAnsi" w:hAnsiTheme="minorHAnsi"/>
                <w:b/>
                <w:sz w:val="16"/>
                <w:szCs w:val="16"/>
              </w:rPr>
            </w:pPr>
          </w:p>
        </w:tc>
        <w:tc>
          <w:tcPr>
            <w:tcW w:w="324" w:type="pct"/>
            <w:tcBorders>
              <w:top w:val="nil"/>
              <w:left w:val="nil"/>
              <w:bottom w:val="nil"/>
              <w:right w:val="nil"/>
            </w:tcBorders>
          </w:tcPr>
          <w:p w14:paraId="3B9E8035" w14:textId="77777777" w:rsidR="00323BB2" w:rsidRPr="0061063C" w:rsidRDefault="00323BB2" w:rsidP="00453AFA">
            <w:pPr>
              <w:jc w:val="right"/>
              <w:rPr>
                <w:rFonts w:asciiTheme="minorHAnsi" w:hAnsiTheme="minorHAnsi"/>
                <w:b/>
                <w:sz w:val="16"/>
                <w:szCs w:val="16"/>
              </w:rPr>
            </w:pPr>
          </w:p>
        </w:tc>
        <w:tc>
          <w:tcPr>
            <w:tcW w:w="268" w:type="pct"/>
            <w:tcBorders>
              <w:top w:val="nil"/>
              <w:left w:val="nil"/>
              <w:bottom w:val="nil"/>
              <w:right w:val="nil"/>
            </w:tcBorders>
          </w:tcPr>
          <w:p w14:paraId="4AA949F8" w14:textId="77777777" w:rsidR="00323BB2" w:rsidRPr="0061063C" w:rsidRDefault="00323BB2" w:rsidP="00453AFA">
            <w:pPr>
              <w:jc w:val="right"/>
              <w:rPr>
                <w:rFonts w:asciiTheme="minorHAnsi" w:hAnsiTheme="minorHAnsi"/>
                <w:b/>
                <w:sz w:val="16"/>
                <w:szCs w:val="16"/>
              </w:rPr>
            </w:pPr>
          </w:p>
        </w:tc>
        <w:tc>
          <w:tcPr>
            <w:tcW w:w="300" w:type="pct"/>
            <w:tcBorders>
              <w:top w:val="nil"/>
              <w:left w:val="nil"/>
              <w:bottom w:val="nil"/>
              <w:right w:val="nil"/>
            </w:tcBorders>
          </w:tcPr>
          <w:p w14:paraId="5B878B54" w14:textId="77777777" w:rsidR="00323BB2" w:rsidRPr="0061063C" w:rsidRDefault="00323BB2" w:rsidP="00453AFA">
            <w:pPr>
              <w:jc w:val="right"/>
              <w:rPr>
                <w:rFonts w:asciiTheme="minorHAnsi" w:hAnsiTheme="minorHAnsi"/>
                <w:b/>
                <w:sz w:val="16"/>
                <w:szCs w:val="16"/>
              </w:rPr>
            </w:pPr>
          </w:p>
        </w:tc>
        <w:tc>
          <w:tcPr>
            <w:tcW w:w="300" w:type="pct"/>
            <w:tcBorders>
              <w:top w:val="nil"/>
              <w:left w:val="nil"/>
              <w:bottom w:val="nil"/>
              <w:right w:val="nil"/>
            </w:tcBorders>
          </w:tcPr>
          <w:p w14:paraId="79F9065B" w14:textId="77777777" w:rsidR="00323BB2" w:rsidRPr="0061063C" w:rsidRDefault="00323BB2" w:rsidP="00453AFA">
            <w:pPr>
              <w:jc w:val="right"/>
              <w:rPr>
                <w:rFonts w:asciiTheme="minorHAnsi" w:hAnsiTheme="minorHAnsi"/>
                <w:b/>
                <w:sz w:val="16"/>
                <w:szCs w:val="16"/>
              </w:rPr>
            </w:pPr>
          </w:p>
        </w:tc>
        <w:tc>
          <w:tcPr>
            <w:tcW w:w="300" w:type="pct"/>
            <w:tcBorders>
              <w:top w:val="nil"/>
              <w:left w:val="nil"/>
              <w:bottom w:val="nil"/>
              <w:right w:val="nil"/>
            </w:tcBorders>
          </w:tcPr>
          <w:p w14:paraId="6175C007" w14:textId="77777777" w:rsidR="00323BB2" w:rsidRPr="0061063C" w:rsidRDefault="00323BB2" w:rsidP="00453AFA">
            <w:pPr>
              <w:jc w:val="right"/>
              <w:rPr>
                <w:rFonts w:asciiTheme="minorHAnsi" w:hAnsiTheme="minorHAnsi"/>
                <w:b/>
                <w:sz w:val="16"/>
                <w:szCs w:val="16"/>
              </w:rPr>
            </w:pPr>
          </w:p>
        </w:tc>
        <w:tc>
          <w:tcPr>
            <w:tcW w:w="300" w:type="pct"/>
            <w:tcBorders>
              <w:top w:val="nil"/>
              <w:left w:val="nil"/>
              <w:bottom w:val="nil"/>
              <w:right w:val="nil"/>
            </w:tcBorders>
          </w:tcPr>
          <w:p w14:paraId="7D54A6D4" w14:textId="77777777" w:rsidR="00323BB2" w:rsidRPr="0061063C" w:rsidRDefault="00323BB2" w:rsidP="00453AFA">
            <w:pPr>
              <w:jc w:val="right"/>
              <w:rPr>
                <w:rFonts w:asciiTheme="minorHAnsi" w:hAnsiTheme="minorHAnsi"/>
                <w:b/>
                <w:sz w:val="16"/>
                <w:szCs w:val="16"/>
              </w:rPr>
            </w:pPr>
          </w:p>
        </w:tc>
        <w:tc>
          <w:tcPr>
            <w:tcW w:w="300" w:type="pct"/>
            <w:tcBorders>
              <w:top w:val="nil"/>
              <w:left w:val="nil"/>
              <w:bottom w:val="nil"/>
              <w:right w:val="nil"/>
            </w:tcBorders>
          </w:tcPr>
          <w:p w14:paraId="33910E80" w14:textId="77777777" w:rsidR="00323BB2" w:rsidRPr="0061063C" w:rsidRDefault="00323BB2" w:rsidP="00453AFA">
            <w:pPr>
              <w:jc w:val="right"/>
              <w:rPr>
                <w:rFonts w:asciiTheme="minorHAnsi" w:hAnsiTheme="minorHAnsi"/>
                <w:b/>
                <w:sz w:val="16"/>
                <w:szCs w:val="16"/>
              </w:rPr>
            </w:pPr>
          </w:p>
        </w:tc>
        <w:tc>
          <w:tcPr>
            <w:tcW w:w="300" w:type="pct"/>
            <w:tcBorders>
              <w:top w:val="nil"/>
              <w:left w:val="nil"/>
              <w:bottom w:val="nil"/>
              <w:right w:val="nil"/>
            </w:tcBorders>
          </w:tcPr>
          <w:p w14:paraId="5EE60529" w14:textId="77777777" w:rsidR="00323BB2" w:rsidRPr="0061063C" w:rsidRDefault="00323BB2" w:rsidP="00453AFA">
            <w:pPr>
              <w:jc w:val="right"/>
              <w:rPr>
                <w:rFonts w:asciiTheme="minorHAnsi" w:hAnsiTheme="minorHAnsi"/>
                <w:b/>
                <w:sz w:val="16"/>
                <w:szCs w:val="16"/>
              </w:rPr>
            </w:pPr>
          </w:p>
        </w:tc>
        <w:tc>
          <w:tcPr>
            <w:tcW w:w="303" w:type="pct"/>
            <w:tcBorders>
              <w:top w:val="nil"/>
              <w:left w:val="nil"/>
              <w:bottom w:val="nil"/>
              <w:right w:val="nil"/>
            </w:tcBorders>
          </w:tcPr>
          <w:p w14:paraId="3960ECBB" w14:textId="77777777" w:rsidR="00323BB2" w:rsidRPr="0061063C" w:rsidRDefault="00323BB2" w:rsidP="00453AFA">
            <w:pPr>
              <w:jc w:val="right"/>
              <w:rPr>
                <w:rFonts w:asciiTheme="minorHAnsi" w:hAnsiTheme="minorHAnsi"/>
                <w:b/>
                <w:sz w:val="16"/>
                <w:szCs w:val="16"/>
              </w:rPr>
            </w:pPr>
          </w:p>
        </w:tc>
        <w:tc>
          <w:tcPr>
            <w:tcW w:w="319" w:type="pct"/>
            <w:tcBorders>
              <w:top w:val="nil"/>
              <w:left w:val="nil"/>
              <w:bottom w:val="nil"/>
              <w:right w:val="nil"/>
            </w:tcBorders>
            <w:shd w:val="clear" w:color="auto" w:fill="auto"/>
          </w:tcPr>
          <w:p w14:paraId="56669EEB" w14:textId="77777777" w:rsidR="00323BB2" w:rsidRPr="0061063C" w:rsidRDefault="00323BB2" w:rsidP="00453AFA">
            <w:pPr>
              <w:jc w:val="right"/>
              <w:rPr>
                <w:rFonts w:asciiTheme="minorHAnsi" w:hAnsiTheme="minorHAnsi"/>
                <w:b/>
                <w:sz w:val="16"/>
                <w:szCs w:val="16"/>
              </w:rPr>
            </w:pPr>
          </w:p>
        </w:tc>
        <w:tc>
          <w:tcPr>
            <w:tcW w:w="269" w:type="pct"/>
            <w:tcBorders>
              <w:top w:val="nil"/>
              <w:left w:val="nil"/>
              <w:bottom w:val="nil"/>
              <w:right w:val="nil"/>
            </w:tcBorders>
          </w:tcPr>
          <w:p w14:paraId="39EB872C" w14:textId="77777777" w:rsidR="00323BB2" w:rsidRPr="0061063C" w:rsidRDefault="00323BB2" w:rsidP="00453AFA">
            <w:pPr>
              <w:jc w:val="right"/>
              <w:rPr>
                <w:rFonts w:asciiTheme="minorHAnsi" w:hAnsiTheme="minorHAnsi"/>
                <w:b/>
                <w:sz w:val="16"/>
                <w:szCs w:val="16"/>
              </w:rPr>
            </w:pPr>
          </w:p>
        </w:tc>
      </w:tr>
      <w:tr w:rsidR="00323BB2" w:rsidRPr="0061063C" w14:paraId="20F82CCB" w14:textId="77777777" w:rsidTr="00453AFA">
        <w:trPr>
          <w:trHeight w:val="162"/>
        </w:trPr>
        <w:tc>
          <w:tcPr>
            <w:tcW w:w="882" w:type="pct"/>
            <w:tcBorders>
              <w:top w:val="nil"/>
              <w:left w:val="nil"/>
              <w:bottom w:val="nil"/>
              <w:right w:val="nil"/>
            </w:tcBorders>
          </w:tcPr>
          <w:p w14:paraId="66981EFB"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Profit for the period</w:t>
            </w:r>
          </w:p>
        </w:tc>
        <w:tc>
          <w:tcPr>
            <w:tcW w:w="278" w:type="pct"/>
            <w:gridSpan w:val="2"/>
            <w:tcBorders>
              <w:top w:val="nil"/>
              <w:left w:val="nil"/>
              <w:bottom w:val="nil"/>
              <w:right w:val="nil"/>
            </w:tcBorders>
          </w:tcPr>
          <w:p w14:paraId="74E97AD7"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top w:val="nil"/>
              <w:left w:val="nil"/>
              <w:bottom w:val="nil"/>
              <w:right w:val="nil"/>
            </w:tcBorders>
          </w:tcPr>
          <w:p w14:paraId="3C1A8D6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top w:val="nil"/>
              <w:left w:val="nil"/>
              <w:bottom w:val="nil"/>
              <w:right w:val="nil"/>
            </w:tcBorders>
          </w:tcPr>
          <w:p w14:paraId="61AEA51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nil"/>
              <w:left w:val="nil"/>
              <w:bottom w:val="nil"/>
              <w:right w:val="nil"/>
            </w:tcBorders>
          </w:tcPr>
          <w:p w14:paraId="03FF6D6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top w:val="nil"/>
              <w:left w:val="nil"/>
              <w:bottom w:val="nil"/>
              <w:right w:val="nil"/>
            </w:tcBorders>
          </w:tcPr>
          <w:p w14:paraId="79157F7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8C7805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2892BB4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2028804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CCE98B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2CC635D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B0B84B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18.5</w:t>
            </w:r>
          </w:p>
        </w:tc>
        <w:tc>
          <w:tcPr>
            <w:tcW w:w="303" w:type="pct"/>
            <w:tcBorders>
              <w:top w:val="nil"/>
              <w:left w:val="nil"/>
              <w:bottom w:val="nil"/>
              <w:right w:val="nil"/>
            </w:tcBorders>
          </w:tcPr>
          <w:p w14:paraId="13F0437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18.5</w:t>
            </w:r>
          </w:p>
        </w:tc>
        <w:tc>
          <w:tcPr>
            <w:tcW w:w="319" w:type="pct"/>
            <w:tcBorders>
              <w:top w:val="nil"/>
              <w:left w:val="nil"/>
              <w:bottom w:val="nil"/>
              <w:right w:val="nil"/>
            </w:tcBorders>
            <w:shd w:val="clear" w:color="auto" w:fill="auto"/>
          </w:tcPr>
          <w:p w14:paraId="035A03C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(9.5)</w:t>
            </w:r>
          </w:p>
        </w:tc>
        <w:tc>
          <w:tcPr>
            <w:tcW w:w="269" w:type="pct"/>
            <w:tcBorders>
              <w:top w:val="nil"/>
              <w:left w:val="nil"/>
              <w:bottom w:val="nil"/>
              <w:right w:val="nil"/>
            </w:tcBorders>
          </w:tcPr>
          <w:p w14:paraId="2F4FBC5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9.0</w:t>
            </w:r>
          </w:p>
        </w:tc>
      </w:tr>
      <w:tr w:rsidR="00323BB2" w:rsidRPr="0061063C" w14:paraId="10691522" w14:textId="77777777" w:rsidTr="00453AFA">
        <w:trPr>
          <w:trHeight w:val="162"/>
        </w:trPr>
        <w:tc>
          <w:tcPr>
            <w:tcW w:w="882" w:type="pct"/>
            <w:tcBorders>
              <w:top w:val="nil"/>
              <w:left w:val="nil"/>
              <w:bottom w:val="nil"/>
              <w:right w:val="nil"/>
            </w:tcBorders>
          </w:tcPr>
          <w:p w14:paraId="6BDB3884"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Foreign exchange translation</w:t>
            </w:r>
          </w:p>
        </w:tc>
        <w:tc>
          <w:tcPr>
            <w:tcW w:w="278" w:type="pct"/>
            <w:gridSpan w:val="2"/>
            <w:tcBorders>
              <w:top w:val="nil"/>
              <w:left w:val="nil"/>
              <w:bottom w:val="nil"/>
              <w:right w:val="nil"/>
            </w:tcBorders>
          </w:tcPr>
          <w:p w14:paraId="541418D0"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top w:val="nil"/>
              <w:left w:val="nil"/>
              <w:bottom w:val="nil"/>
              <w:right w:val="nil"/>
            </w:tcBorders>
          </w:tcPr>
          <w:p w14:paraId="2208BCF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top w:val="nil"/>
              <w:left w:val="nil"/>
              <w:bottom w:val="nil"/>
              <w:right w:val="nil"/>
            </w:tcBorders>
          </w:tcPr>
          <w:p w14:paraId="4445AAD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nil"/>
              <w:left w:val="nil"/>
              <w:bottom w:val="nil"/>
              <w:right w:val="nil"/>
            </w:tcBorders>
          </w:tcPr>
          <w:p w14:paraId="3FB8D26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157.9</w:t>
            </w:r>
          </w:p>
        </w:tc>
        <w:tc>
          <w:tcPr>
            <w:tcW w:w="268" w:type="pct"/>
            <w:tcBorders>
              <w:top w:val="nil"/>
              <w:left w:val="nil"/>
              <w:bottom w:val="nil"/>
              <w:right w:val="nil"/>
            </w:tcBorders>
          </w:tcPr>
          <w:p w14:paraId="306C856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E46549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7B275FE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3097B66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73C726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74FD474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33A4970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top w:val="nil"/>
              <w:left w:val="nil"/>
              <w:bottom w:val="nil"/>
              <w:right w:val="nil"/>
            </w:tcBorders>
          </w:tcPr>
          <w:p w14:paraId="4C41F95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157.9</w:t>
            </w:r>
          </w:p>
        </w:tc>
        <w:tc>
          <w:tcPr>
            <w:tcW w:w="319" w:type="pct"/>
            <w:tcBorders>
              <w:top w:val="nil"/>
              <w:left w:val="nil"/>
              <w:bottom w:val="nil"/>
              <w:right w:val="nil"/>
            </w:tcBorders>
            <w:shd w:val="clear" w:color="auto" w:fill="auto"/>
          </w:tcPr>
          <w:p w14:paraId="1A06B79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10.6</w:t>
            </w:r>
          </w:p>
        </w:tc>
        <w:tc>
          <w:tcPr>
            <w:tcW w:w="269" w:type="pct"/>
            <w:tcBorders>
              <w:top w:val="nil"/>
              <w:left w:val="nil"/>
              <w:bottom w:val="nil"/>
              <w:right w:val="nil"/>
            </w:tcBorders>
          </w:tcPr>
          <w:p w14:paraId="0EBD54C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168.5</w:t>
            </w:r>
          </w:p>
        </w:tc>
      </w:tr>
      <w:tr w:rsidR="00323BB2" w:rsidRPr="0061063C" w14:paraId="4AB4F004" w14:textId="77777777" w:rsidTr="00453AFA">
        <w:trPr>
          <w:trHeight w:val="162"/>
        </w:trPr>
        <w:tc>
          <w:tcPr>
            <w:tcW w:w="882" w:type="pct"/>
            <w:tcBorders>
              <w:top w:val="nil"/>
              <w:left w:val="nil"/>
              <w:bottom w:val="nil"/>
              <w:right w:val="nil"/>
            </w:tcBorders>
          </w:tcPr>
          <w:p w14:paraId="2A5C627D"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Tax credit on foreign exchange hedging</w:t>
            </w:r>
          </w:p>
        </w:tc>
        <w:tc>
          <w:tcPr>
            <w:tcW w:w="278" w:type="pct"/>
            <w:gridSpan w:val="2"/>
            <w:tcBorders>
              <w:top w:val="nil"/>
              <w:left w:val="nil"/>
              <w:bottom w:val="nil"/>
              <w:right w:val="nil"/>
            </w:tcBorders>
          </w:tcPr>
          <w:p w14:paraId="353B2489"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top w:val="nil"/>
              <w:left w:val="nil"/>
              <w:bottom w:val="nil"/>
              <w:right w:val="nil"/>
            </w:tcBorders>
          </w:tcPr>
          <w:p w14:paraId="38F56E6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top w:val="nil"/>
              <w:left w:val="nil"/>
              <w:bottom w:val="nil"/>
              <w:right w:val="nil"/>
            </w:tcBorders>
          </w:tcPr>
          <w:p w14:paraId="3A99BFC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nil"/>
              <w:left w:val="nil"/>
              <w:bottom w:val="nil"/>
              <w:right w:val="nil"/>
            </w:tcBorders>
          </w:tcPr>
          <w:p w14:paraId="375E5AD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6.2</w:t>
            </w:r>
          </w:p>
        </w:tc>
        <w:tc>
          <w:tcPr>
            <w:tcW w:w="268" w:type="pct"/>
            <w:tcBorders>
              <w:top w:val="nil"/>
              <w:left w:val="nil"/>
              <w:bottom w:val="nil"/>
              <w:right w:val="nil"/>
            </w:tcBorders>
          </w:tcPr>
          <w:p w14:paraId="39D0542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083A53A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0A74F6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6D9E35A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697D1E9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000B2EF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tcPr>
          <w:p w14:paraId="4814B43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top w:val="nil"/>
              <w:left w:val="nil"/>
              <w:bottom w:val="nil"/>
              <w:right w:val="nil"/>
            </w:tcBorders>
          </w:tcPr>
          <w:p w14:paraId="5D523B3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6.2</w:t>
            </w:r>
          </w:p>
        </w:tc>
        <w:tc>
          <w:tcPr>
            <w:tcW w:w="319" w:type="pct"/>
            <w:tcBorders>
              <w:top w:val="nil"/>
              <w:left w:val="nil"/>
              <w:bottom w:val="nil"/>
              <w:right w:val="nil"/>
            </w:tcBorders>
            <w:shd w:val="clear" w:color="auto" w:fill="auto"/>
          </w:tcPr>
          <w:p w14:paraId="36B7361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top w:val="nil"/>
              <w:left w:val="nil"/>
              <w:bottom w:val="nil"/>
              <w:right w:val="nil"/>
            </w:tcBorders>
          </w:tcPr>
          <w:p w14:paraId="2DA2697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6.2</w:t>
            </w:r>
          </w:p>
        </w:tc>
      </w:tr>
      <w:tr w:rsidR="00323BB2" w:rsidRPr="0061063C" w14:paraId="44E706A0" w14:textId="77777777" w:rsidTr="00453AFA">
        <w:trPr>
          <w:trHeight w:val="162"/>
        </w:trPr>
        <w:tc>
          <w:tcPr>
            <w:tcW w:w="882" w:type="pct"/>
            <w:tcBorders>
              <w:top w:val="nil"/>
              <w:left w:val="nil"/>
              <w:bottom w:val="nil"/>
              <w:right w:val="nil"/>
            </w:tcBorders>
          </w:tcPr>
          <w:p w14:paraId="1A68B7FA"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Effective portion of changes in fair value of cash flow hedges</w:t>
            </w:r>
          </w:p>
        </w:tc>
        <w:tc>
          <w:tcPr>
            <w:tcW w:w="278" w:type="pct"/>
            <w:gridSpan w:val="2"/>
            <w:tcBorders>
              <w:top w:val="nil"/>
              <w:left w:val="nil"/>
              <w:bottom w:val="nil"/>
              <w:right w:val="nil"/>
            </w:tcBorders>
            <w:vAlign w:val="bottom"/>
          </w:tcPr>
          <w:p w14:paraId="3E66A239"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top w:val="nil"/>
              <w:left w:val="nil"/>
              <w:bottom w:val="nil"/>
              <w:right w:val="nil"/>
            </w:tcBorders>
            <w:vAlign w:val="bottom"/>
          </w:tcPr>
          <w:p w14:paraId="026A4B9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top w:val="nil"/>
              <w:left w:val="nil"/>
              <w:bottom w:val="nil"/>
              <w:right w:val="nil"/>
            </w:tcBorders>
            <w:vAlign w:val="bottom"/>
          </w:tcPr>
          <w:p w14:paraId="42E27C0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nil"/>
              <w:left w:val="nil"/>
              <w:bottom w:val="nil"/>
              <w:right w:val="nil"/>
            </w:tcBorders>
            <w:vAlign w:val="bottom"/>
          </w:tcPr>
          <w:p w14:paraId="05BCFDC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top w:val="nil"/>
              <w:left w:val="nil"/>
              <w:bottom w:val="nil"/>
              <w:right w:val="nil"/>
            </w:tcBorders>
            <w:vAlign w:val="bottom"/>
          </w:tcPr>
          <w:p w14:paraId="3E606E9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(88.2)</w:t>
            </w:r>
          </w:p>
        </w:tc>
        <w:tc>
          <w:tcPr>
            <w:tcW w:w="300" w:type="pct"/>
            <w:tcBorders>
              <w:top w:val="nil"/>
              <w:left w:val="nil"/>
              <w:bottom w:val="nil"/>
              <w:right w:val="nil"/>
            </w:tcBorders>
            <w:vAlign w:val="bottom"/>
          </w:tcPr>
          <w:p w14:paraId="14808D8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22C122C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665FAD0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7F7E51C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2C14A79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2F6D692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top w:val="nil"/>
              <w:left w:val="nil"/>
              <w:bottom w:val="nil"/>
              <w:right w:val="nil"/>
            </w:tcBorders>
            <w:vAlign w:val="bottom"/>
          </w:tcPr>
          <w:p w14:paraId="1368B4B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(88.2)</w:t>
            </w:r>
          </w:p>
        </w:tc>
        <w:tc>
          <w:tcPr>
            <w:tcW w:w="319" w:type="pct"/>
            <w:tcBorders>
              <w:top w:val="nil"/>
              <w:left w:val="nil"/>
              <w:bottom w:val="nil"/>
              <w:right w:val="nil"/>
            </w:tcBorders>
            <w:shd w:val="clear" w:color="auto" w:fill="auto"/>
            <w:vAlign w:val="bottom"/>
          </w:tcPr>
          <w:p w14:paraId="32E9DAB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top w:val="nil"/>
              <w:left w:val="nil"/>
              <w:bottom w:val="nil"/>
              <w:right w:val="nil"/>
            </w:tcBorders>
            <w:vAlign w:val="bottom"/>
          </w:tcPr>
          <w:p w14:paraId="5078C9E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(88.2)</w:t>
            </w:r>
          </w:p>
        </w:tc>
      </w:tr>
      <w:tr w:rsidR="00323BB2" w:rsidRPr="0061063C" w14:paraId="25308E4E" w14:textId="77777777" w:rsidTr="00453AFA">
        <w:trPr>
          <w:trHeight w:val="162"/>
        </w:trPr>
        <w:tc>
          <w:tcPr>
            <w:tcW w:w="882" w:type="pct"/>
            <w:tcBorders>
              <w:top w:val="nil"/>
              <w:left w:val="nil"/>
              <w:bottom w:val="nil"/>
              <w:right w:val="nil"/>
            </w:tcBorders>
          </w:tcPr>
          <w:p w14:paraId="6DF60230"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Fair value of cash flow hedges transferred to the income</w:t>
            </w:r>
          </w:p>
        </w:tc>
        <w:tc>
          <w:tcPr>
            <w:tcW w:w="278" w:type="pct"/>
            <w:gridSpan w:val="2"/>
            <w:tcBorders>
              <w:top w:val="nil"/>
              <w:left w:val="nil"/>
              <w:bottom w:val="nil"/>
              <w:right w:val="nil"/>
            </w:tcBorders>
            <w:vAlign w:val="bottom"/>
          </w:tcPr>
          <w:p w14:paraId="11BED204"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top w:val="nil"/>
              <w:left w:val="nil"/>
              <w:bottom w:val="nil"/>
              <w:right w:val="nil"/>
            </w:tcBorders>
            <w:vAlign w:val="bottom"/>
          </w:tcPr>
          <w:p w14:paraId="608BB08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top w:val="nil"/>
              <w:left w:val="nil"/>
              <w:bottom w:val="nil"/>
              <w:right w:val="nil"/>
            </w:tcBorders>
            <w:vAlign w:val="bottom"/>
          </w:tcPr>
          <w:p w14:paraId="6A010DE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nil"/>
              <w:left w:val="nil"/>
              <w:bottom w:val="nil"/>
              <w:right w:val="nil"/>
            </w:tcBorders>
            <w:vAlign w:val="bottom"/>
          </w:tcPr>
          <w:p w14:paraId="457F3A5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top w:val="nil"/>
              <w:left w:val="nil"/>
              <w:bottom w:val="nil"/>
              <w:right w:val="nil"/>
            </w:tcBorders>
            <w:vAlign w:val="bottom"/>
          </w:tcPr>
          <w:p w14:paraId="3CEE439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86.5</w:t>
            </w:r>
          </w:p>
        </w:tc>
        <w:tc>
          <w:tcPr>
            <w:tcW w:w="300" w:type="pct"/>
            <w:tcBorders>
              <w:top w:val="nil"/>
              <w:left w:val="nil"/>
              <w:bottom w:val="nil"/>
              <w:right w:val="nil"/>
            </w:tcBorders>
            <w:vAlign w:val="bottom"/>
          </w:tcPr>
          <w:p w14:paraId="1BA4013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0.1</w:t>
            </w:r>
          </w:p>
        </w:tc>
        <w:tc>
          <w:tcPr>
            <w:tcW w:w="300" w:type="pct"/>
            <w:tcBorders>
              <w:top w:val="nil"/>
              <w:left w:val="nil"/>
              <w:bottom w:val="nil"/>
              <w:right w:val="nil"/>
            </w:tcBorders>
            <w:vAlign w:val="bottom"/>
          </w:tcPr>
          <w:p w14:paraId="7DCED95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0374DA5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34E804B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44095ED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nil"/>
              <w:left w:val="nil"/>
              <w:bottom w:val="nil"/>
              <w:right w:val="nil"/>
            </w:tcBorders>
            <w:vAlign w:val="bottom"/>
          </w:tcPr>
          <w:p w14:paraId="3687EB5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top w:val="nil"/>
              <w:left w:val="nil"/>
              <w:bottom w:val="nil"/>
              <w:right w:val="nil"/>
            </w:tcBorders>
            <w:vAlign w:val="bottom"/>
          </w:tcPr>
          <w:p w14:paraId="175D54C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86.6</w:t>
            </w:r>
          </w:p>
        </w:tc>
        <w:tc>
          <w:tcPr>
            <w:tcW w:w="319" w:type="pct"/>
            <w:tcBorders>
              <w:top w:val="nil"/>
              <w:left w:val="nil"/>
              <w:bottom w:val="nil"/>
              <w:right w:val="nil"/>
            </w:tcBorders>
            <w:shd w:val="clear" w:color="auto" w:fill="auto"/>
            <w:vAlign w:val="bottom"/>
          </w:tcPr>
          <w:p w14:paraId="7289679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top w:val="nil"/>
              <w:left w:val="nil"/>
              <w:bottom w:val="nil"/>
              <w:right w:val="nil"/>
            </w:tcBorders>
            <w:vAlign w:val="bottom"/>
          </w:tcPr>
          <w:p w14:paraId="1C59341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86.6</w:t>
            </w:r>
          </w:p>
        </w:tc>
      </w:tr>
      <w:tr w:rsidR="00323BB2" w:rsidRPr="0061063C" w14:paraId="60054ED9" w14:textId="77777777" w:rsidTr="00453AFA">
        <w:trPr>
          <w:trHeight w:val="153"/>
        </w:trPr>
        <w:tc>
          <w:tcPr>
            <w:tcW w:w="882" w:type="pct"/>
            <w:tcBorders>
              <w:top w:val="nil"/>
              <w:left w:val="nil"/>
              <w:right w:val="nil"/>
            </w:tcBorders>
          </w:tcPr>
          <w:p w14:paraId="52D01D67"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Total comprehensive income for the period</w:t>
            </w:r>
          </w:p>
        </w:tc>
        <w:tc>
          <w:tcPr>
            <w:tcW w:w="278" w:type="pct"/>
            <w:gridSpan w:val="2"/>
            <w:tcBorders>
              <w:top w:val="single" w:sz="4" w:space="0" w:color="auto"/>
              <w:left w:val="nil"/>
              <w:bottom w:val="single" w:sz="4" w:space="0" w:color="auto"/>
              <w:right w:val="nil"/>
            </w:tcBorders>
            <w:vAlign w:val="bottom"/>
          </w:tcPr>
          <w:p w14:paraId="1504D4CF"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top w:val="single" w:sz="4" w:space="0" w:color="auto"/>
              <w:left w:val="nil"/>
              <w:bottom w:val="single" w:sz="4" w:space="0" w:color="auto"/>
              <w:right w:val="nil"/>
            </w:tcBorders>
            <w:vAlign w:val="bottom"/>
          </w:tcPr>
          <w:p w14:paraId="7564BB4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top w:val="single" w:sz="4" w:space="0" w:color="auto"/>
              <w:left w:val="nil"/>
              <w:bottom w:val="single" w:sz="4" w:space="0" w:color="auto"/>
              <w:right w:val="nil"/>
            </w:tcBorders>
            <w:vAlign w:val="bottom"/>
          </w:tcPr>
          <w:p w14:paraId="34706CF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top w:val="single" w:sz="4" w:space="0" w:color="auto"/>
              <w:left w:val="nil"/>
              <w:bottom w:val="single" w:sz="4" w:space="0" w:color="auto"/>
              <w:right w:val="nil"/>
            </w:tcBorders>
            <w:vAlign w:val="bottom"/>
          </w:tcPr>
          <w:p w14:paraId="58118DD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164.1</w:t>
            </w:r>
          </w:p>
        </w:tc>
        <w:tc>
          <w:tcPr>
            <w:tcW w:w="268" w:type="pct"/>
            <w:tcBorders>
              <w:top w:val="single" w:sz="4" w:space="0" w:color="auto"/>
              <w:left w:val="nil"/>
              <w:bottom w:val="single" w:sz="4" w:space="0" w:color="auto"/>
              <w:right w:val="nil"/>
            </w:tcBorders>
            <w:vAlign w:val="bottom"/>
          </w:tcPr>
          <w:p w14:paraId="347BFF0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(1.7)</w:t>
            </w:r>
          </w:p>
        </w:tc>
        <w:tc>
          <w:tcPr>
            <w:tcW w:w="300" w:type="pct"/>
            <w:tcBorders>
              <w:top w:val="single" w:sz="4" w:space="0" w:color="auto"/>
              <w:left w:val="nil"/>
              <w:bottom w:val="single" w:sz="4" w:space="0" w:color="auto"/>
              <w:right w:val="nil"/>
            </w:tcBorders>
            <w:vAlign w:val="bottom"/>
          </w:tcPr>
          <w:p w14:paraId="13F260D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0.1</w:t>
            </w:r>
          </w:p>
        </w:tc>
        <w:tc>
          <w:tcPr>
            <w:tcW w:w="300" w:type="pct"/>
            <w:tcBorders>
              <w:top w:val="single" w:sz="4" w:space="0" w:color="auto"/>
              <w:left w:val="nil"/>
              <w:bottom w:val="single" w:sz="4" w:space="0" w:color="auto"/>
              <w:right w:val="nil"/>
            </w:tcBorders>
            <w:vAlign w:val="bottom"/>
          </w:tcPr>
          <w:p w14:paraId="5479062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vAlign w:val="bottom"/>
          </w:tcPr>
          <w:p w14:paraId="41ED999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vAlign w:val="bottom"/>
          </w:tcPr>
          <w:p w14:paraId="532977F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vAlign w:val="bottom"/>
          </w:tcPr>
          <w:p w14:paraId="78EC173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vAlign w:val="bottom"/>
          </w:tcPr>
          <w:p w14:paraId="1443AD0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18.5</w:t>
            </w:r>
          </w:p>
        </w:tc>
        <w:tc>
          <w:tcPr>
            <w:tcW w:w="303" w:type="pct"/>
            <w:tcBorders>
              <w:top w:val="single" w:sz="4" w:space="0" w:color="auto"/>
              <w:left w:val="nil"/>
              <w:bottom w:val="single" w:sz="4" w:space="0" w:color="auto"/>
              <w:right w:val="nil"/>
            </w:tcBorders>
            <w:vAlign w:val="bottom"/>
          </w:tcPr>
          <w:p w14:paraId="03522F7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181.0</w:t>
            </w:r>
          </w:p>
        </w:tc>
        <w:tc>
          <w:tcPr>
            <w:tcW w:w="319" w:type="pct"/>
            <w:tcBorders>
              <w:top w:val="single" w:sz="4" w:space="0" w:color="auto"/>
              <w:left w:val="nil"/>
              <w:bottom w:val="single" w:sz="4" w:space="0" w:color="auto"/>
              <w:right w:val="nil"/>
            </w:tcBorders>
            <w:shd w:val="clear" w:color="auto" w:fill="auto"/>
            <w:vAlign w:val="bottom"/>
          </w:tcPr>
          <w:p w14:paraId="02F422C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1.1</w:t>
            </w:r>
          </w:p>
        </w:tc>
        <w:tc>
          <w:tcPr>
            <w:tcW w:w="269" w:type="pct"/>
            <w:tcBorders>
              <w:top w:val="single" w:sz="4" w:space="0" w:color="auto"/>
              <w:left w:val="nil"/>
              <w:bottom w:val="single" w:sz="4" w:space="0" w:color="auto"/>
              <w:right w:val="nil"/>
            </w:tcBorders>
            <w:vAlign w:val="bottom"/>
          </w:tcPr>
          <w:p w14:paraId="6AE7F74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182.1</w:t>
            </w:r>
          </w:p>
        </w:tc>
      </w:tr>
      <w:tr w:rsidR="00323BB2" w:rsidRPr="0061063C" w14:paraId="2F88DFDE" w14:textId="77777777" w:rsidTr="00453AFA">
        <w:trPr>
          <w:trHeight w:val="156"/>
        </w:trPr>
        <w:tc>
          <w:tcPr>
            <w:tcW w:w="2041" w:type="pct"/>
            <w:gridSpan w:val="6"/>
          </w:tcPr>
          <w:p w14:paraId="46AED617" w14:textId="77777777" w:rsidR="00323BB2" w:rsidRPr="0061063C" w:rsidRDefault="00323BB2" w:rsidP="00453AFA">
            <w:pPr>
              <w:ind w:hanging="111"/>
              <w:rPr>
                <w:rFonts w:asciiTheme="minorHAnsi" w:hAnsiTheme="minorHAnsi"/>
                <w:b/>
                <w:sz w:val="16"/>
                <w:szCs w:val="16"/>
              </w:rPr>
            </w:pPr>
            <w:r w:rsidRPr="0061063C">
              <w:rPr>
                <w:rFonts w:asciiTheme="minorHAnsi" w:hAnsiTheme="minorHAnsi"/>
                <w:b/>
                <w:sz w:val="16"/>
                <w:szCs w:val="16"/>
              </w:rPr>
              <w:t>Transactions with owners of the Company, recognised directly in equity</w:t>
            </w:r>
          </w:p>
        </w:tc>
        <w:tc>
          <w:tcPr>
            <w:tcW w:w="268" w:type="pct"/>
            <w:tcBorders>
              <w:left w:val="nil"/>
              <w:bottom w:val="nil"/>
              <w:right w:val="nil"/>
            </w:tcBorders>
          </w:tcPr>
          <w:p w14:paraId="3C58027A" w14:textId="77777777" w:rsidR="00323BB2" w:rsidRPr="0061063C" w:rsidRDefault="00323BB2" w:rsidP="00453AFA">
            <w:pPr>
              <w:jc w:val="right"/>
              <w:rPr>
                <w:rFonts w:asciiTheme="minorHAnsi" w:hAnsiTheme="minorHAnsi"/>
                <w:b/>
                <w:sz w:val="16"/>
                <w:szCs w:val="16"/>
              </w:rPr>
            </w:pPr>
          </w:p>
        </w:tc>
        <w:tc>
          <w:tcPr>
            <w:tcW w:w="300" w:type="pct"/>
            <w:tcBorders>
              <w:left w:val="nil"/>
              <w:bottom w:val="nil"/>
              <w:right w:val="nil"/>
            </w:tcBorders>
          </w:tcPr>
          <w:p w14:paraId="1763DF29" w14:textId="77777777" w:rsidR="00323BB2" w:rsidRPr="0061063C" w:rsidRDefault="00323BB2" w:rsidP="00453AFA">
            <w:pPr>
              <w:jc w:val="right"/>
              <w:rPr>
                <w:rFonts w:asciiTheme="minorHAnsi" w:hAnsiTheme="minorHAnsi"/>
                <w:b/>
                <w:sz w:val="16"/>
                <w:szCs w:val="16"/>
              </w:rPr>
            </w:pPr>
          </w:p>
        </w:tc>
        <w:tc>
          <w:tcPr>
            <w:tcW w:w="300" w:type="pct"/>
            <w:tcBorders>
              <w:left w:val="nil"/>
              <w:bottom w:val="nil"/>
              <w:right w:val="nil"/>
            </w:tcBorders>
          </w:tcPr>
          <w:p w14:paraId="6D74DD64" w14:textId="77777777" w:rsidR="00323BB2" w:rsidRPr="0061063C" w:rsidRDefault="00323BB2" w:rsidP="00453AFA">
            <w:pPr>
              <w:jc w:val="right"/>
              <w:rPr>
                <w:rFonts w:asciiTheme="minorHAnsi" w:hAnsiTheme="minorHAnsi"/>
                <w:b/>
                <w:sz w:val="16"/>
                <w:szCs w:val="16"/>
              </w:rPr>
            </w:pPr>
          </w:p>
        </w:tc>
        <w:tc>
          <w:tcPr>
            <w:tcW w:w="300" w:type="pct"/>
            <w:tcBorders>
              <w:left w:val="nil"/>
              <w:bottom w:val="nil"/>
              <w:right w:val="nil"/>
            </w:tcBorders>
          </w:tcPr>
          <w:p w14:paraId="375E39B1" w14:textId="77777777" w:rsidR="00323BB2" w:rsidRPr="0061063C" w:rsidRDefault="00323BB2" w:rsidP="00453AFA">
            <w:pPr>
              <w:jc w:val="right"/>
              <w:rPr>
                <w:rFonts w:asciiTheme="minorHAnsi" w:hAnsiTheme="minorHAnsi"/>
                <w:b/>
                <w:sz w:val="16"/>
                <w:szCs w:val="16"/>
              </w:rPr>
            </w:pPr>
          </w:p>
        </w:tc>
        <w:tc>
          <w:tcPr>
            <w:tcW w:w="300" w:type="pct"/>
            <w:tcBorders>
              <w:left w:val="nil"/>
              <w:bottom w:val="nil"/>
              <w:right w:val="nil"/>
            </w:tcBorders>
          </w:tcPr>
          <w:p w14:paraId="34D81896" w14:textId="77777777" w:rsidR="00323BB2" w:rsidRPr="0061063C" w:rsidRDefault="00323BB2" w:rsidP="00453AFA">
            <w:pPr>
              <w:jc w:val="right"/>
              <w:rPr>
                <w:rFonts w:asciiTheme="minorHAnsi" w:hAnsiTheme="minorHAnsi"/>
                <w:b/>
                <w:sz w:val="16"/>
                <w:szCs w:val="16"/>
              </w:rPr>
            </w:pPr>
          </w:p>
        </w:tc>
        <w:tc>
          <w:tcPr>
            <w:tcW w:w="300" w:type="pct"/>
            <w:tcBorders>
              <w:left w:val="nil"/>
              <w:bottom w:val="nil"/>
              <w:right w:val="nil"/>
            </w:tcBorders>
          </w:tcPr>
          <w:p w14:paraId="613411CD" w14:textId="77777777" w:rsidR="00323BB2" w:rsidRPr="0061063C" w:rsidRDefault="00323BB2" w:rsidP="00453AFA">
            <w:pPr>
              <w:jc w:val="right"/>
              <w:rPr>
                <w:rFonts w:asciiTheme="minorHAnsi" w:hAnsiTheme="minorHAnsi"/>
                <w:b/>
                <w:sz w:val="16"/>
                <w:szCs w:val="16"/>
              </w:rPr>
            </w:pPr>
          </w:p>
        </w:tc>
        <w:tc>
          <w:tcPr>
            <w:tcW w:w="300" w:type="pct"/>
            <w:tcBorders>
              <w:left w:val="nil"/>
              <w:bottom w:val="nil"/>
              <w:right w:val="nil"/>
            </w:tcBorders>
          </w:tcPr>
          <w:p w14:paraId="259BC11D" w14:textId="77777777" w:rsidR="00323BB2" w:rsidRPr="0061063C" w:rsidRDefault="00323BB2" w:rsidP="00453AFA">
            <w:pPr>
              <w:jc w:val="right"/>
              <w:rPr>
                <w:rFonts w:asciiTheme="minorHAnsi" w:hAnsiTheme="minorHAnsi"/>
                <w:b/>
                <w:sz w:val="16"/>
                <w:szCs w:val="16"/>
              </w:rPr>
            </w:pPr>
          </w:p>
        </w:tc>
        <w:tc>
          <w:tcPr>
            <w:tcW w:w="303" w:type="pct"/>
            <w:tcBorders>
              <w:left w:val="nil"/>
              <w:bottom w:val="nil"/>
              <w:right w:val="nil"/>
            </w:tcBorders>
          </w:tcPr>
          <w:p w14:paraId="634C2EA1" w14:textId="77777777" w:rsidR="00323BB2" w:rsidRPr="0061063C" w:rsidRDefault="00323BB2" w:rsidP="00453AFA">
            <w:pPr>
              <w:jc w:val="right"/>
              <w:rPr>
                <w:rFonts w:asciiTheme="minorHAnsi" w:hAnsiTheme="minorHAnsi"/>
                <w:b/>
                <w:sz w:val="16"/>
                <w:szCs w:val="16"/>
              </w:rPr>
            </w:pPr>
          </w:p>
        </w:tc>
        <w:tc>
          <w:tcPr>
            <w:tcW w:w="319" w:type="pct"/>
            <w:tcBorders>
              <w:left w:val="nil"/>
              <w:bottom w:val="nil"/>
              <w:right w:val="nil"/>
            </w:tcBorders>
            <w:shd w:val="clear" w:color="auto" w:fill="auto"/>
          </w:tcPr>
          <w:p w14:paraId="7CA5C00F" w14:textId="77777777" w:rsidR="00323BB2" w:rsidRPr="0061063C" w:rsidRDefault="00323BB2" w:rsidP="00453AFA">
            <w:pPr>
              <w:jc w:val="right"/>
              <w:rPr>
                <w:rFonts w:asciiTheme="minorHAnsi" w:hAnsiTheme="minorHAnsi"/>
                <w:b/>
                <w:sz w:val="16"/>
                <w:szCs w:val="16"/>
              </w:rPr>
            </w:pPr>
          </w:p>
        </w:tc>
        <w:tc>
          <w:tcPr>
            <w:tcW w:w="269" w:type="pct"/>
            <w:tcBorders>
              <w:left w:val="nil"/>
              <w:bottom w:val="nil"/>
              <w:right w:val="nil"/>
            </w:tcBorders>
          </w:tcPr>
          <w:p w14:paraId="7DC5FD07" w14:textId="77777777" w:rsidR="00323BB2" w:rsidRPr="0061063C" w:rsidRDefault="00323BB2" w:rsidP="00453AFA">
            <w:pPr>
              <w:jc w:val="right"/>
              <w:rPr>
                <w:rFonts w:asciiTheme="minorHAnsi" w:hAnsiTheme="minorHAnsi"/>
                <w:b/>
                <w:sz w:val="16"/>
                <w:szCs w:val="16"/>
              </w:rPr>
            </w:pPr>
          </w:p>
        </w:tc>
      </w:tr>
      <w:tr w:rsidR="00323BB2" w:rsidRPr="0061063C" w14:paraId="176B72F4" w14:textId="77777777" w:rsidTr="00453AFA">
        <w:trPr>
          <w:trHeight w:val="188"/>
        </w:trPr>
        <w:tc>
          <w:tcPr>
            <w:tcW w:w="882" w:type="pct"/>
          </w:tcPr>
          <w:p w14:paraId="310117E6"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Shares issued on equity placement  (net of issuance costs) (Note 18)</w:t>
            </w:r>
          </w:p>
        </w:tc>
        <w:tc>
          <w:tcPr>
            <w:tcW w:w="278" w:type="pct"/>
            <w:gridSpan w:val="2"/>
            <w:tcBorders>
              <w:left w:val="nil"/>
              <w:bottom w:val="nil"/>
              <w:right w:val="nil"/>
            </w:tcBorders>
            <w:vAlign w:val="bottom"/>
          </w:tcPr>
          <w:p w14:paraId="11FE9AA4"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8.0</w:t>
            </w:r>
          </w:p>
        </w:tc>
        <w:tc>
          <w:tcPr>
            <w:tcW w:w="279" w:type="pct"/>
            <w:tcBorders>
              <w:left w:val="nil"/>
              <w:bottom w:val="nil"/>
              <w:right w:val="nil"/>
            </w:tcBorders>
            <w:vAlign w:val="bottom"/>
          </w:tcPr>
          <w:p w14:paraId="6F7F2F0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812.6</w:t>
            </w:r>
          </w:p>
        </w:tc>
        <w:tc>
          <w:tcPr>
            <w:tcW w:w="278" w:type="pct"/>
            <w:tcBorders>
              <w:left w:val="nil"/>
              <w:bottom w:val="nil"/>
              <w:right w:val="nil"/>
            </w:tcBorders>
            <w:vAlign w:val="bottom"/>
          </w:tcPr>
          <w:p w14:paraId="7D3B7116" w14:textId="77777777" w:rsidR="00323BB2" w:rsidRPr="0061063C" w:rsidRDefault="00323BB2" w:rsidP="00453AFA">
            <w:pPr>
              <w:jc w:val="right"/>
              <w:rPr>
                <w:rFonts w:asciiTheme="minorHAnsi" w:hAnsiTheme="minorHAnsi"/>
                <w:b/>
                <w:sz w:val="16"/>
                <w:szCs w:val="16"/>
              </w:rPr>
            </w:pPr>
          </w:p>
        </w:tc>
        <w:tc>
          <w:tcPr>
            <w:tcW w:w="324" w:type="pct"/>
            <w:tcBorders>
              <w:left w:val="nil"/>
              <w:bottom w:val="nil"/>
              <w:right w:val="nil"/>
            </w:tcBorders>
            <w:vAlign w:val="bottom"/>
          </w:tcPr>
          <w:p w14:paraId="6C6E418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bottom w:val="nil"/>
              <w:right w:val="nil"/>
            </w:tcBorders>
            <w:vAlign w:val="bottom"/>
          </w:tcPr>
          <w:p w14:paraId="5CD44DC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57B8A9A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6250534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3E97200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46B3D16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7B76479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03A57BD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(6.3)</w:t>
            </w:r>
          </w:p>
        </w:tc>
        <w:tc>
          <w:tcPr>
            <w:tcW w:w="303" w:type="pct"/>
            <w:tcBorders>
              <w:left w:val="nil"/>
              <w:bottom w:val="nil"/>
              <w:right w:val="nil"/>
            </w:tcBorders>
            <w:vAlign w:val="bottom"/>
          </w:tcPr>
          <w:p w14:paraId="7E8DD1F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806.3</w:t>
            </w:r>
          </w:p>
        </w:tc>
        <w:tc>
          <w:tcPr>
            <w:tcW w:w="319" w:type="pct"/>
            <w:tcBorders>
              <w:left w:val="nil"/>
              <w:bottom w:val="nil"/>
              <w:right w:val="nil"/>
            </w:tcBorders>
            <w:shd w:val="clear" w:color="auto" w:fill="auto"/>
            <w:vAlign w:val="bottom"/>
          </w:tcPr>
          <w:p w14:paraId="21BD7E5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bottom w:val="nil"/>
              <w:right w:val="nil"/>
            </w:tcBorders>
            <w:vAlign w:val="bottom"/>
          </w:tcPr>
          <w:p w14:paraId="7DA3FE9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806.3</w:t>
            </w:r>
          </w:p>
        </w:tc>
      </w:tr>
      <w:tr w:rsidR="00323BB2" w:rsidRPr="0061063C" w14:paraId="257F09DE" w14:textId="77777777" w:rsidTr="00453AFA">
        <w:trPr>
          <w:trHeight w:val="188"/>
        </w:trPr>
        <w:tc>
          <w:tcPr>
            <w:tcW w:w="882" w:type="pct"/>
          </w:tcPr>
          <w:p w14:paraId="1025AAD3"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Shares issued on exercise of employee share options (Note 18)</w:t>
            </w:r>
          </w:p>
        </w:tc>
        <w:tc>
          <w:tcPr>
            <w:tcW w:w="278" w:type="pct"/>
            <w:gridSpan w:val="2"/>
            <w:tcBorders>
              <w:left w:val="nil"/>
              <w:bottom w:val="nil"/>
              <w:right w:val="nil"/>
            </w:tcBorders>
            <w:vAlign w:val="bottom"/>
          </w:tcPr>
          <w:p w14:paraId="10170C44" w14:textId="77777777" w:rsidR="00323BB2" w:rsidRPr="0061063C" w:rsidRDefault="00323BB2">
            <w:pPr>
              <w:jc w:val="right"/>
              <w:rPr>
                <w:rFonts w:asciiTheme="minorHAnsi" w:hAnsiTheme="minorHAnsi"/>
                <w:b/>
                <w:i/>
                <w:sz w:val="16"/>
                <w:szCs w:val="16"/>
              </w:rPr>
            </w:pPr>
            <w:r w:rsidRPr="0061063C">
              <w:rPr>
                <w:rFonts w:asciiTheme="minorHAnsi" w:hAnsiTheme="minorHAnsi"/>
                <w:b/>
                <w:i/>
                <w:sz w:val="16"/>
                <w:szCs w:val="16"/>
              </w:rPr>
              <w:t>0.</w:t>
            </w:r>
            <w:r w:rsidR="00FC40E6">
              <w:rPr>
                <w:rFonts w:asciiTheme="minorHAnsi" w:hAnsiTheme="minorHAnsi"/>
                <w:b/>
                <w:i/>
                <w:sz w:val="16"/>
                <w:szCs w:val="16"/>
              </w:rPr>
              <w:t>8</w:t>
            </w:r>
          </w:p>
        </w:tc>
        <w:tc>
          <w:tcPr>
            <w:tcW w:w="279" w:type="pct"/>
            <w:tcBorders>
              <w:left w:val="nil"/>
              <w:bottom w:val="nil"/>
              <w:right w:val="nil"/>
            </w:tcBorders>
            <w:vAlign w:val="bottom"/>
          </w:tcPr>
          <w:p w14:paraId="5F3E353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8.9</w:t>
            </w:r>
          </w:p>
        </w:tc>
        <w:tc>
          <w:tcPr>
            <w:tcW w:w="278" w:type="pct"/>
            <w:tcBorders>
              <w:left w:val="nil"/>
              <w:bottom w:val="nil"/>
              <w:right w:val="nil"/>
            </w:tcBorders>
            <w:vAlign w:val="bottom"/>
          </w:tcPr>
          <w:p w14:paraId="708D494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bottom w:val="nil"/>
              <w:right w:val="nil"/>
            </w:tcBorders>
            <w:vAlign w:val="bottom"/>
          </w:tcPr>
          <w:p w14:paraId="774082F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bottom w:val="nil"/>
              <w:right w:val="nil"/>
            </w:tcBorders>
            <w:vAlign w:val="bottom"/>
          </w:tcPr>
          <w:p w14:paraId="00ECAEF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1301425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325A490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4CAFDBC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118F682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459A7B5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bottom w:val="nil"/>
              <w:right w:val="nil"/>
            </w:tcBorders>
            <w:vAlign w:val="bottom"/>
          </w:tcPr>
          <w:p w14:paraId="527A07F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left w:val="nil"/>
              <w:bottom w:val="nil"/>
              <w:right w:val="nil"/>
            </w:tcBorders>
            <w:vAlign w:val="bottom"/>
          </w:tcPr>
          <w:p w14:paraId="2E90E01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8.9</w:t>
            </w:r>
          </w:p>
        </w:tc>
        <w:tc>
          <w:tcPr>
            <w:tcW w:w="319" w:type="pct"/>
            <w:tcBorders>
              <w:left w:val="nil"/>
              <w:bottom w:val="nil"/>
              <w:right w:val="nil"/>
            </w:tcBorders>
            <w:shd w:val="clear" w:color="auto" w:fill="auto"/>
            <w:vAlign w:val="bottom"/>
          </w:tcPr>
          <w:p w14:paraId="06F14C7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bottom w:val="nil"/>
              <w:right w:val="nil"/>
            </w:tcBorders>
            <w:vAlign w:val="bottom"/>
          </w:tcPr>
          <w:p w14:paraId="720E311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8.9</w:t>
            </w:r>
          </w:p>
        </w:tc>
      </w:tr>
      <w:tr w:rsidR="00323BB2" w:rsidRPr="0061063C" w14:paraId="3127B724" w14:textId="77777777" w:rsidTr="00453AFA">
        <w:trPr>
          <w:trHeight w:val="154"/>
        </w:trPr>
        <w:tc>
          <w:tcPr>
            <w:tcW w:w="882" w:type="pct"/>
          </w:tcPr>
          <w:p w14:paraId="15AA4585"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 xml:space="preserve">Shares issued as consideration for the acquisition of </w:t>
            </w:r>
            <w:r>
              <w:rPr>
                <w:rFonts w:asciiTheme="minorHAnsi" w:hAnsiTheme="minorHAnsi"/>
                <w:sz w:val="16"/>
                <w:szCs w:val="16"/>
              </w:rPr>
              <w:t>TSG</w:t>
            </w:r>
            <w:r w:rsidRPr="0061063C">
              <w:rPr>
                <w:rFonts w:asciiTheme="minorHAnsi" w:hAnsiTheme="minorHAnsi"/>
                <w:sz w:val="16"/>
                <w:szCs w:val="16"/>
              </w:rPr>
              <w:t xml:space="preserve"> (Note</w:t>
            </w:r>
            <w:r>
              <w:rPr>
                <w:rFonts w:asciiTheme="minorHAnsi" w:hAnsiTheme="minorHAnsi"/>
                <w:sz w:val="16"/>
                <w:szCs w:val="16"/>
              </w:rPr>
              <w:t xml:space="preserve"> 10)</w:t>
            </w:r>
          </w:p>
        </w:tc>
        <w:tc>
          <w:tcPr>
            <w:tcW w:w="278" w:type="pct"/>
            <w:gridSpan w:val="2"/>
            <w:tcBorders>
              <w:left w:val="nil"/>
              <w:right w:val="nil"/>
            </w:tcBorders>
            <w:vAlign w:val="bottom"/>
          </w:tcPr>
          <w:p w14:paraId="4039B7D0"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65.3</w:t>
            </w:r>
          </w:p>
        </w:tc>
        <w:tc>
          <w:tcPr>
            <w:tcW w:w="279" w:type="pct"/>
            <w:tcBorders>
              <w:left w:val="nil"/>
              <w:right w:val="nil"/>
            </w:tcBorders>
            <w:vAlign w:val="bottom"/>
          </w:tcPr>
          <w:p w14:paraId="014D7EC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5.1</w:t>
            </w:r>
          </w:p>
        </w:tc>
        <w:tc>
          <w:tcPr>
            <w:tcW w:w="278" w:type="pct"/>
            <w:tcBorders>
              <w:left w:val="nil"/>
              <w:right w:val="nil"/>
            </w:tcBorders>
            <w:vAlign w:val="bottom"/>
          </w:tcPr>
          <w:p w14:paraId="150483F0" w14:textId="77777777" w:rsidR="00323BB2" w:rsidRPr="0061063C" w:rsidRDefault="00323BB2" w:rsidP="00453AFA">
            <w:pPr>
              <w:tabs>
                <w:tab w:val="center" w:pos="431"/>
                <w:tab w:val="right" w:pos="863"/>
              </w:tabs>
              <w:jc w:val="right"/>
              <w:rPr>
                <w:rFonts w:asciiTheme="minorHAnsi" w:hAnsiTheme="minorHAnsi"/>
                <w:b/>
                <w:sz w:val="16"/>
                <w:szCs w:val="16"/>
              </w:rPr>
            </w:pPr>
            <w:r w:rsidRPr="0061063C">
              <w:rPr>
                <w:rFonts w:asciiTheme="minorHAnsi" w:hAnsiTheme="minorHAnsi"/>
                <w:b/>
                <w:sz w:val="16"/>
                <w:szCs w:val="16"/>
              </w:rPr>
              <w:tab/>
              <w:t>6,189.5</w:t>
            </w:r>
          </w:p>
        </w:tc>
        <w:tc>
          <w:tcPr>
            <w:tcW w:w="324" w:type="pct"/>
            <w:tcBorders>
              <w:left w:val="nil"/>
              <w:right w:val="nil"/>
            </w:tcBorders>
            <w:vAlign w:val="bottom"/>
          </w:tcPr>
          <w:p w14:paraId="69464F2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vAlign w:val="bottom"/>
          </w:tcPr>
          <w:p w14:paraId="49575CA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378A4DC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4FD6C6B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7D91A11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56DD9D9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0EF3602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29BD92A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left w:val="nil"/>
              <w:right w:val="nil"/>
            </w:tcBorders>
            <w:vAlign w:val="bottom"/>
          </w:tcPr>
          <w:p w14:paraId="68AF4D7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6,194.6</w:t>
            </w:r>
          </w:p>
        </w:tc>
        <w:tc>
          <w:tcPr>
            <w:tcW w:w="319" w:type="pct"/>
            <w:tcBorders>
              <w:left w:val="nil"/>
              <w:right w:val="nil"/>
            </w:tcBorders>
            <w:shd w:val="clear" w:color="auto" w:fill="auto"/>
            <w:vAlign w:val="bottom"/>
          </w:tcPr>
          <w:p w14:paraId="283B5DF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vAlign w:val="bottom"/>
          </w:tcPr>
          <w:p w14:paraId="0890AC1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6,194.6</w:t>
            </w:r>
          </w:p>
        </w:tc>
      </w:tr>
      <w:tr w:rsidR="00323BB2" w:rsidRPr="0061063C" w14:paraId="4789CAED" w14:textId="77777777" w:rsidTr="00453AFA">
        <w:trPr>
          <w:trHeight w:val="232"/>
        </w:trPr>
        <w:tc>
          <w:tcPr>
            <w:tcW w:w="882" w:type="pct"/>
          </w:tcPr>
          <w:p w14:paraId="5BA9BB6A"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Issue of replacement options (Note 10)</w:t>
            </w:r>
          </w:p>
        </w:tc>
        <w:tc>
          <w:tcPr>
            <w:tcW w:w="278" w:type="pct"/>
            <w:gridSpan w:val="2"/>
            <w:tcBorders>
              <w:left w:val="nil"/>
              <w:right w:val="nil"/>
            </w:tcBorders>
          </w:tcPr>
          <w:p w14:paraId="1987BB76"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left w:val="nil"/>
              <w:right w:val="nil"/>
            </w:tcBorders>
          </w:tcPr>
          <w:p w14:paraId="072F4B3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left w:val="nil"/>
              <w:right w:val="nil"/>
            </w:tcBorders>
          </w:tcPr>
          <w:p w14:paraId="3C64B93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tcPr>
          <w:p w14:paraId="7F2377E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tcPr>
          <w:p w14:paraId="0EBCE1B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F2B236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4FB34E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2428C11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4A84FE1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6B1413D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58.8</w:t>
            </w:r>
          </w:p>
        </w:tc>
        <w:tc>
          <w:tcPr>
            <w:tcW w:w="300" w:type="pct"/>
            <w:tcBorders>
              <w:left w:val="nil"/>
              <w:right w:val="nil"/>
            </w:tcBorders>
          </w:tcPr>
          <w:p w14:paraId="7C4AF3E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left w:val="nil"/>
              <w:right w:val="nil"/>
            </w:tcBorders>
          </w:tcPr>
          <w:p w14:paraId="627ADC7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58.8</w:t>
            </w:r>
          </w:p>
        </w:tc>
        <w:tc>
          <w:tcPr>
            <w:tcW w:w="319" w:type="pct"/>
            <w:tcBorders>
              <w:left w:val="nil"/>
              <w:right w:val="nil"/>
            </w:tcBorders>
            <w:shd w:val="clear" w:color="auto" w:fill="auto"/>
          </w:tcPr>
          <w:p w14:paraId="1E68F0C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tcPr>
          <w:p w14:paraId="3AEA3F4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58.8</w:t>
            </w:r>
          </w:p>
        </w:tc>
      </w:tr>
      <w:tr w:rsidR="00323BB2" w:rsidRPr="0061063C" w14:paraId="5DB4FF7F" w14:textId="77777777" w:rsidTr="00453AFA">
        <w:trPr>
          <w:trHeight w:val="333"/>
        </w:trPr>
        <w:tc>
          <w:tcPr>
            <w:tcW w:w="882" w:type="pct"/>
          </w:tcPr>
          <w:p w14:paraId="0C3ABAEC"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Shares issued as consideration for acquisition of TSG Australia (Note 10)</w:t>
            </w:r>
          </w:p>
        </w:tc>
        <w:tc>
          <w:tcPr>
            <w:tcW w:w="278" w:type="pct"/>
            <w:gridSpan w:val="2"/>
            <w:tcBorders>
              <w:left w:val="nil"/>
              <w:right w:val="nil"/>
            </w:tcBorders>
          </w:tcPr>
          <w:p w14:paraId="44219486" w14:textId="77777777" w:rsidR="00323BB2" w:rsidRPr="0061063C" w:rsidRDefault="00323BB2" w:rsidP="00453AFA">
            <w:pPr>
              <w:jc w:val="right"/>
              <w:rPr>
                <w:rFonts w:asciiTheme="minorHAnsi" w:hAnsiTheme="minorHAnsi"/>
                <w:b/>
                <w:i/>
                <w:sz w:val="16"/>
                <w:szCs w:val="16"/>
              </w:rPr>
            </w:pPr>
          </w:p>
          <w:p w14:paraId="574BB9A3"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0.8</w:t>
            </w:r>
          </w:p>
        </w:tc>
        <w:tc>
          <w:tcPr>
            <w:tcW w:w="279" w:type="pct"/>
            <w:tcBorders>
              <w:left w:val="nil"/>
              <w:right w:val="nil"/>
            </w:tcBorders>
          </w:tcPr>
          <w:p w14:paraId="0F1D7DB5" w14:textId="77777777" w:rsidR="00323BB2" w:rsidRPr="0061063C" w:rsidRDefault="00323BB2" w:rsidP="00453AFA">
            <w:pPr>
              <w:jc w:val="right"/>
              <w:rPr>
                <w:rFonts w:asciiTheme="minorHAnsi" w:hAnsiTheme="minorHAnsi"/>
                <w:b/>
                <w:sz w:val="16"/>
                <w:szCs w:val="16"/>
              </w:rPr>
            </w:pPr>
          </w:p>
          <w:p w14:paraId="796C33E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79.7</w:t>
            </w:r>
          </w:p>
        </w:tc>
        <w:tc>
          <w:tcPr>
            <w:tcW w:w="278" w:type="pct"/>
            <w:tcBorders>
              <w:left w:val="nil"/>
              <w:right w:val="nil"/>
            </w:tcBorders>
          </w:tcPr>
          <w:p w14:paraId="47106376" w14:textId="77777777" w:rsidR="00323BB2" w:rsidRPr="0061063C" w:rsidRDefault="00323BB2" w:rsidP="00453AFA">
            <w:pPr>
              <w:jc w:val="right"/>
              <w:rPr>
                <w:rFonts w:asciiTheme="minorHAnsi" w:hAnsiTheme="minorHAnsi"/>
                <w:b/>
                <w:sz w:val="16"/>
                <w:szCs w:val="16"/>
              </w:rPr>
            </w:pPr>
          </w:p>
          <w:p w14:paraId="5AC47C6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tcPr>
          <w:p w14:paraId="3EE59A1E" w14:textId="77777777" w:rsidR="00323BB2" w:rsidRPr="0061063C" w:rsidRDefault="00323BB2" w:rsidP="00453AFA">
            <w:pPr>
              <w:jc w:val="right"/>
              <w:rPr>
                <w:rFonts w:asciiTheme="minorHAnsi" w:hAnsiTheme="minorHAnsi"/>
                <w:b/>
                <w:sz w:val="16"/>
                <w:szCs w:val="16"/>
              </w:rPr>
            </w:pPr>
          </w:p>
          <w:p w14:paraId="09563FC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tcPr>
          <w:p w14:paraId="4CDA5937" w14:textId="77777777" w:rsidR="00323BB2" w:rsidRPr="0061063C" w:rsidRDefault="00323BB2" w:rsidP="00453AFA">
            <w:pPr>
              <w:jc w:val="right"/>
              <w:rPr>
                <w:rFonts w:asciiTheme="minorHAnsi" w:hAnsiTheme="minorHAnsi"/>
                <w:b/>
                <w:sz w:val="16"/>
                <w:szCs w:val="16"/>
              </w:rPr>
            </w:pPr>
          </w:p>
          <w:p w14:paraId="6F9D603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03819BB1" w14:textId="77777777" w:rsidR="00323BB2" w:rsidRPr="0061063C" w:rsidRDefault="00323BB2" w:rsidP="00453AFA">
            <w:pPr>
              <w:jc w:val="right"/>
              <w:rPr>
                <w:rFonts w:asciiTheme="minorHAnsi" w:hAnsiTheme="minorHAnsi"/>
                <w:b/>
                <w:sz w:val="16"/>
                <w:szCs w:val="16"/>
              </w:rPr>
            </w:pPr>
          </w:p>
          <w:p w14:paraId="1E3E8A4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604B8960" w14:textId="77777777" w:rsidR="00323BB2" w:rsidRPr="0061063C" w:rsidRDefault="00323BB2" w:rsidP="00453AFA">
            <w:pPr>
              <w:jc w:val="right"/>
              <w:rPr>
                <w:rFonts w:asciiTheme="minorHAnsi" w:hAnsiTheme="minorHAnsi"/>
                <w:b/>
                <w:sz w:val="16"/>
                <w:szCs w:val="16"/>
              </w:rPr>
            </w:pPr>
          </w:p>
          <w:p w14:paraId="4CE221E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1A3CA38B" w14:textId="77777777" w:rsidR="00323BB2" w:rsidRPr="0061063C" w:rsidRDefault="00323BB2" w:rsidP="00453AFA">
            <w:pPr>
              <w:jc w:val="right"/>
              <w:rPr>
                <w:rFonts w:asciiTheme="minorHAnsi" w:hAnsiTheme="minorHAnsi"/>
                <w:b/>
                <w:sz w:val="16"/>
                <w:szCs w:val="16"/>
              </w:rPr>
            </w:pPr>
          </w:p>
          <w:p w14:paraId="235ADD8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6FF1F35C" w14:textId="77777777" w:rsidR="00323BB2" w:rsidRPr="0061063C" w:rsidRDefault="00323BB2" w:rsidP="00453AFA">
            <w:pPr>
              <w:jc w:val="right"/>
              <w:rPr>
                <w:rFonts w:asciiTheme="minorHAnsi" w:hAnsiTheme="minorHAnsi"/>
                <w:b/>
                <w:sz w:val="16"/>
                <w:szCs w:val="16"/>
              </w:rPr>
            </w:pPr>
          </w:p>
          <w:p w14:paraId="301216C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41005144" w14:textId="77777777" w:rsidR="00323BB2" w:rsidRPr="0061063C" w:rsidRDefault="00323BB2" w:rsidP="00453AFA">
            <w:pPr>
              <w:jc w:val="right"/>
              <w:rPr>
                <w:rFonts w:asciiTheme="minorHAnsi" w:hAnsiTheme="minorHAnsi"/>
                <w:b/>
                <w:sz w:val="16"/>
                <w:szCs w:val="16"/>
              </w:rPr>
            </w:pPr>
          </w:p>
          <w:p w14:paraId="443A856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141CA93F" w14:textId="77777777" w:rsidR="00323BB2" w:rsidRPr="0061063C" w:rsidRDefault="00323BB2" w:rsidP="00453AFA">
            <w:pPr>
              <w:jc w:val="right"/>
              <w:rPr>
                <w:rFonts w:asciiTheme="minorHAnsi" w:hAnsiTheme="minorHAnsi"/>
                <w:b/>
                <w:sz w:val="16"/>
                <w:szCs w:val="16"/>
              </w:rPr>
            </w:pPr>
          </w:p>
          <w:p w14:paraId="2A958DC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left w:val="nil"/>
              <w:right w:val="nil"/>
            </w:tcBorders>
          </w:tcPr>
          <w:p w14:paraId="466D1ED4" w14:textId="77777777" w:rsidR="00323BB2" w:rsidRPr="0061063C" w:rsidRDefault="00323BB2" w:rsidP="00453AFA">
            <w:pPr>
              <w:jc w:val="right"/>
              <w:rPr>
                <w:rFonts w:asciiTheme="minorHAnsi" w:hAnsiTheme="minorHAnsi"/>
                <w:b/>
                <w:sz w:val="16"/>
                <w:szCs w:val="16"/>
              </w:rPr>
            </w:pPr>
          </w:p>
          <w:p w14:paraId="6344777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79.7</w:t>
            </w:r>
          </w:p>
        </w:tc>
        <w:tc>
          <w:tcPr>
            <w:tcW w:w="319" w:type="pct"/>
            <w:tcBorders>
              <w:left w:val="nil"/>
              <w:right w:val="nil"/>
            </w:tcBorders>
            <w:shd w:val="clear" w:color="auto" w:fill="auto"/>
          </w:tcPr>
          <w:p w14:paraId="54A70E61" w14:textId="77777777" w:rsidR="00323BB2" w:rsidRPr="0061063C" w:rsidRDefault="00323BB2" w:rsidP="00453AFA">
            <w:pPr>
              <w:jc w:val="right"/>
              <w:rPr>
                <w:rFonts w:asciiTheme="minorHAnsi" w:hAnsiTheme="minorHAnsi"/>
                <w:b/>
                <w:sz w:val="16"/>
                <w:szCs w:val="16"/>
              </w:rPr>
            </w:pPr>
          </w:p>
          <w:p w14:paraId="27DF816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tcPr>
          <w:p w14:paraId="4473D795" w14:textId="77777777" w:rsidR="00323BB2" w:rsidRPr="0061063C" w:rsidRDefault="00323BB2" w:rsidP="00453AFA">
            <w:pPr>
              <w:jc w:val="right"/>
              <w:rPr>
                <w:rFonts w:asciiTheme="minorHAnsi" w:hAnsiTheme="minorHAnsi"/>
                <w:b/>
                <w:sz w:val="16"/>
                <w:szCs w:val="16"/>
              </w:rPr>
            </w:pPr>
          </w:p>
          <w:p w14:paraId="2B224B7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79.7</w:t>
            </w:r>
          </w:p>
        </w:tc>
      </w:tr>
      <w:tr w:rsidR="00323BB2" w:rsidRPr="0061063C" w14:paraId="1A473878" w14:textId="77777777" w:rsidTr="00453AFA">
        <w:trPr>
          <w:trHeight w:val="333"/>
        </w:trPr>
        <w:tc>
          <w:tcPr>
            <w:tcW w:w="882" w:type="pct"/>
          </w:tcPr>
          <w:p w14:paraId="03BA95FD"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 xml:space="preserve">Equity-settled transactions – expense </w:t>
            </w:r>
          </w:p>
          <w:p w14:paraId="2818BF23"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recorded in income statement</w:t>
            </w:r>
          </w:p>
        </w:tc>
        <w:tc>
          <w:tcPr>
            <w:tcW w:w="278" w:type="pct"/>
            <w:gridSpan w:val="2"/>
            <w:tcBorders>
              <w:left w:val="nil"/>
              <w:right w:val="nil"/>
            </w:tcBorders>
            <w:vAlign w:val="bottom"/>
          </w:tcPr>
          <w:p w14:paraId="58696C58" w14:textId="77777777" w:rsidR="00323BB2" w:rsidRPr="0061063C" w:rsidRDefault="00323BB2" w:rsidP="00453AFA">
            <w:pPr>
              <w:jc w:val="right"/>
              <w:rPr>
                <w:rFonts w:asciiTheme="minorHAnsi" w:hAnsiTheme="minorHAnsi"/>
                <w:b/>
                <w:i/>
                <w:sz w:val="16"/>
                <w:szCs w:val="16"/>
              </w:rPr>
            </w:pPr>
          </w:p>
          <w:p w14:paraId="5F6E4282"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left w:val="nil"/>
              <w:right w:val="nil"/>
            </w:tcBorders>
            <w:vAlign w:val="bottom"/>
          </w:tcPr>
          <w:p w14:paraId="23FA6D90" w14:textId="77777777" w:rsidR="00323BB2" w:rsidRPr="0061063C" w:rsidRDefault="00323BB2" w:rsidP="00453AFA">
            <w:pPr>
              <w:jc w:val="right"/>
              <w:rPr>
                <w:rFonts w:asciiTheme="minorHAnsi" w:hAnsiTheme="minorHAnsi"/>
                <w:b/>
                <w:sz w:val="16"/>
                <w:szCs w:val="16"/>
              </w:rPr>
            </w:pPr>
          </w:p>
          <w:p w14:paraId="5949FC3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left w:val="nil"/>
              <w:right w:val="nil"/>
            </w:tcBorders>
            <w:vAlign w:val="bottom"/>
          </w:tcPr>
          <w:p w14:paraId="065D87BA" w14:textId="77777777" w:rsidR="00323BB2" w:rsidRPr="0061063C" w:rsidRDefault="00323BB2" w:rsidP="00453AFA">
            <w:pPr>
              <w:jc w:val="right"/>
              <w:rPr>
                <w:rFonts w:asciiTheme="minorHAnsi" w:hAnsiTheme="minorHAnsi"/>
                <w:b/>
                <w:sz w:val="16"/>
                <w:szCs w:val="16"/>
              </w:rPr>
            </w:pPr>
          </w:p>
          <w:p w14:paraId="4D2C917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vAlign w:val="bottom"/>
          </w:tcPr>
          <w:p w14:paraId="41D519C2" w14:textId="77777777" w:rsidR="00323BB2" w:rsidRPr="0061063C" w:rsidRDefault="00323BB2" w:rsidP="00453AFA">
            <w:pPr>
              <w:jc w:val="right"/>
              <w:rPr>
                <w:rFonts w:asciiTheme="minorHAnsi" w:hAnsiTheme="minorHAnsi"/>
                <w:b/>
                <w:sz w:val="16"/>
                <w:szCs w:val="16"/>
              </w:rPr>
            </w:pPr>
          </w:p>
          <w:p w14:paraId="274A02A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vAlign w:val="bottom"/>
          </w:tcPr>
          <w:p w14:paraId="5D550FC5" w14:textId="77777777" w:rsidR="00323BB2" w:rsidRPr="0061063C" w:rsidRDefault="00323BB2" w:rsidP="00453AFA">
            <w:pPr>
              <w:jc w:val="right"/>
              <w:rPr>
                <w:rFonts w:asciiTheme="minorHAnsi" w:hAnsiTheme="minorHAnsi"/>
                <w:b/>
                <w:sz w:val="16"/>
                <w:szCs w:val="16"/>
              </w:rPr>
            </w:pPr>
          </w:p>
          <w:p w14:paraId="234AD48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08C72DD6" w14:textId="77777777" w:rsidR="00323BB2" w:rsidRPr="0061063C" w:rsidRDefault="00323BB2" w:rsidP="00453AFA">
            <w:pPr>
              <w:jc w:val="right"/>
              <w:rPr>
                <w:rFonts w:asciiTheme="minorHAnsi" w:hAnsiTheme="minorHAnsi"/>
                <w:b/>
                <w:sz w:val="16"/>
                <w:szCs w:val="16"/>
              </w:rPr>
            </w:pPr>
          </w:p>
          <w:p w14:paraId="5C361D7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23155D50" w14:textId="77777777" w:rsidR="00323BB2" w:rsidRPr="0061063C" w:rsidRDefault="00323BB2" w:rsidP="00453AFA">
            <w:pPr>
              <w:jc w:val="right"/>
              <w:rPr>
                <w:rFonts w:asciiTheme="minorHAnsi" w:hAnsiTheme="minorHAnsi"/>
                <w:b/>
                <w:sz w:val="16"/>
                <w:szCs w:val="16"/>
              </w:rPr>
            </w:pPr>
          </w:p>
          <w:p w14:paraId="05A97BF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520470AA" w14:textId="77777777" w:rsidR="00323BB2" w:rsidRPr="0061063C" w:rsidRDefault="00323BB2" w:rsidP="00453AFA">
            <w:pPr>
              <w:jc w:val="right"/>
              <w:rPr>
                <w:rFonts w:asciiTheme="minorHAnsi" w:hAnsiTheme="minorHAnsi"/>
                <w:b/>
                <w:sz w:val="16"/>
                <w:szCs w:val="16"/>
              </w:rPr>
            </w:pPr>
          </w:p>
          <w:p w14:paraId="0F6318B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67B871C8" w14:textId="77777777" w:rsidR="00323BB2" w:rsidRPr="0061063C" w:rsidRDefault="00323BB2" w:rsidP="00453AFA">
            <w:pPr>
              <w:jc w:val="right"/>
              <w:rPr>
                <w:rFonts w:asciiTheme="minorHAnsi" w:hAnsiTheme="minorHAnsi"/>
                <w:b/>
                <w:sz w:val="16"/>
                <w:szCs w:val="16"/>
              </w:rPr>
            </w:pPr>
          </w:p>
          <w:p w14:paraId="29F1FA2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43172EC5" w14:textId="77777777" w:rsidR="00323BB2" w:rsidRPr="0061063C" w:rsidRDefault="00323BB2" w:rsidP="00453AFA">
            <w:pPr>
              <w:jc w:val="right"/>
              <w:rPr>
                <w:rFonts w:asciiTheme="minorHAnsi" w:hAnsiTheme="minorHAnsi"/>
                <w:b/>
                <w:sz w:val="16"/>
                <w:szCs w:val="16"/>
              </w:rPr>
            </w:pPr>
          </w:p>
          <w:p w14:paraId="6B6A0BA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27.6</w:t>
            </w:r>
          </w:p>
        </w:tc>
        <w:tc>
          <w:tcPr>
            <w:tcW w:w="300" w:type="pct"/>
            <w:tcBorders>
              <w:left w:val="nil"/>
              <w:right w:val="nil"/>
            </w:tcBorders>
            <w:vAlign w:val="bottom"/>
          </w:tcPr>
          <w:p w14:paraId="5E4E5944" w14:textId="77777777" w:rsidR="00323BB2" w:rsidRPr="0061063C" w:rsidRDefault="00323BB2" w:rsidP="00453AFA">
            <w:pPr>
              <w:jc w:val="right"/>
              <w:rPr>
                <w:rFonts w:asciiTheme="minorHAnsi" w:hAnsiTheme="minorHAnsi"/>
                <w:b/>
                <w:sz w:val="16"/>
                <w:szCs w:val="16"/>
              </w:rPr>
            </w:pPr>
          </w:p>
          <w:p w14:paraId="7EC35DB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left w:val="nil"/>
              <w:right w:val="nil"/>
            </w:tcBorders>
            <w:vAlign w:val="bottom"/>
          </w:tcPr>
          <w:p w14:paraId="27F02C46" w14:textId="77777777" w:rsidR="00323BB2" w:rsidRPr="0061063C" w:rsidRDefault="00323BB2" w:rsidP="00453AFA">
            <w:pPr>
              <w:jc w:val="right"/>
              <w:rPr>
                <w:rFonts w:asciiTheme="minorHAnsi" w:hAnsiTheme="minorHAnsi"/>
                <w:b/>
                <w:sz w:val="16"/>
                <w:szCs w:val="16"/>
              </w:rPr>
            </w:pPr>
          </w:p>
          <w:p w14:paraId="43DF42C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27.6</w:t>
            </w:r>
          </w:p>
        </w:tc>
        <w:tc>
          <w:tcPr>
            <w:tcW w:w="319" w:type="pct"/>
            <w:tcBorders>
              <w:left w:val="nil"/>
              <w:right w:val="nil"/>
            </w:tcBorders>
            <w:shd w:val="clear" w:color="auto" w:fill="auto"/>
            <w:vAlign w:val="bottom"/>
          </w:tcPr>
          <w:p w14:paraId="6711EC30" w14:textId="77777777" w:rsidR="00323BB2" w:rsidRPr="0061063C" w:rsidRDefault="00323BB2" w:rsidP="00453AFA">
            <w:pPr>
              <w:jc w:val="right"/>
              <w:rPr>
                <w:rFonts w:asciiTheme="minorHAnsi" w:hAnsiTheme="minorHAnsi"/>
                <w:b/>
                <w:sz w:val="16"/>
                <w:szCs w:val="16"/>
              </w:rPr>
            </w:pPr>
          </w:p>
          <w:p w14:paraId="359EDF1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vAlign w:val="bottom"/>
          </w:tcPr>
          <w:p w14:paraId="2AE1D757" w14:textId="77777777" w:rsidR="00323BB2" w:rsidRPr="0061063C" w:rsidRDefault="00323BB2" w:rsidP="00453AFA">
            <w:pPr>
              <w:jc w:val="right"/>
              <w:rPr>
                <w:rFonts w:asciiTheme="minorHAnsi" w:hAnsiTheme="minorHAnsi"/>
                <w:b/>
                <w:sz w:val="16"/>
                <w:szCs w:val="16"/>
              </w:rPr>
            </w:pPr>
          </w:p>
          <w:p w14:paraId="350EF7D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27.6</w:t>
            </w:r>
          </w:p>
        </w:tc>
      </w:tr>
      <w:tr w:rsidR="00323BB2" w:rsidRPr="0061063C" w14:paraId="42BB6243" w14:textId="77777777" w:rsidTr="00453AFA">
        <w:trPr>
          <w:trHeight w:val="208"/>
        </w:trPr>
        <w:tc>
          <w:tcPr>
            <w:tcW w:w="882" w:type="pct"/>
          </w:tcPr>
          <w:p w14:paraId="394E1801"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 xml:space="preserve">Equity-settled transactions – </w:t>
            </w:r>
            <w:proofErr w:type="spellStart"/>
            <w:r w:rsidRPr="0061063C">
              <w:rPr>
                <w:rFonts w:asciiTheme="minorHAnsi" w:hAnsiTheme="minorHAnsi"/>
                <w:sz w:val="16"/>
                <w:szCs w:val="16"/>
              </w:rPr>
              <w:t>vestings</w:t>
            </w:r>
            <w:proofErr w:type="spellEnd"/>
            <w:r w:rsidRPr="0061063C">
              <w:rPr>
                <w:rFonts w:asciiTheme="minorHAnsi" w:hAnsiTheme="minorHAnsi"/>
                <w:sz w:val="16"/>
                <w:szCs w:val="16"/>
              </w:rPr>
              <w:t xml:space="preserve"> </w:t>
            </w:r>
          </w:p>
        </w:tc>
        <w:tc>
          <w:tcPr>
            <w:tcW w:w="278" w:type="pct"/>
            <w:gridSpan w:val="2"/>
            <w:tcBorders>
              <w:left w:val="nil"/>
              <w:right w:val="nil"/>
            </w:tcBorders>
          </w:tcPr>
          <w:p w14:paraId="03FBB1FD"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left w:val="nil"/>
              <w:right w:val="nil"/>
            </w:tcBorders>
          </w:tcPr>
          <w:p w14:paraId="69E7DF4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left w:val="nil"/>
              <w:right w:val="nil"/>
            </w:tcBorders>
          </w:tcPr>
          <w:p w14:paraId="7F6E3CC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tcPr>
          <w:p w14:paraId="431E73C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tcPr>
          <w:p w14:paraId="024CC99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56DEDBC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EA2626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6A5AC4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4CCE4B9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0.3</w:t>
            </w:r>
          </w:p>
        </w:tc>
        <w:tc>
          <w:tcPr>
            <w:tcW w:w="300" w:type="pct"/>
            <w:tcBorders>
              <w:left w:val="nil"/>
              <w:right w:val="nil"/>
            </w:tcBorders>
          </w:tcPr>
          <w:p w14:paraId="213619F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(0.2)</w:t>
            </w:r>
          </w:p>
        </w:tc>
        <w:tc>
          <w:tcPr>
            <w:tcW w:w="300" w:type="pct"/>
            <w:tcBorders>
              <w:left w:val="nil"/>
              <w:right w:val="nil"/>
            </w:tcBorders>
          </w:tcPr>
          <w:p w14:paraId="338E470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(0.1)</w:t>
            </w:r>
          </w:p>
        </w:tc>
        <w:tc>
          <w:tcPr>
            <w:tcW w:w="303" w:type="pct"/>
            <w:tcBorders>
              <w:left w:val="nil"/>
              <w:right w:val="nil"/>
            </w:tcBorders>
          </w:tcPr>
          <w:p w14:paraId="7448E4B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19" w:type="pct"/>
            <w:tcBorders>
              <w:left w:val="nil"/>
              <w:right w:val="nil"/>
            </w:tcBorders>
            <w:shd w:val="clear" w:color="auto" w:fill="auto"/>
          </w:tcPr>
          <w:p w14:paraId="2B7BFBC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tcPr>
          <w:p w14:paraId="4E76E85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r>
      <w:tr w:rsidR="00323BB2" w:rsidRPr="0061063C" w14:paraId="4CCFD47C" w14:textId="77777777" w:rsidTr="00453AFA">
        <w:trPr>
          <w:trHeight w:val="172"/>
        </w:trPr>
        <w:tc>
          <w:tcPr>
            <w:tcW w:w="882" w:type="pct"/>
          </w:tcPr>
          <w:p w14:paraId="29B58154"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Tax on share-based payments</w:t>
            </w:r>
          </w:p>
        </w:tc>
        <w:tc>
          <w:tcPr>
            <w:tcW w:w="278" w:type="pct"/>
            <w:gridSpan w:val="2"/>
            <w:tcBorders>
              <w:left w:val="nil"/>
              <w:right w:val="nil"/>
            </w:tcBorders>
          </w:tcPr>
          <w:p w14:paraId="332F36F4"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left w:val="nil"/>
              <w:right w:val="nil"/>
            </w:tcBorders>
          </w:tcPr>
          <w:p w14:paraId="355BF46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left w:val="nil"/>
              <w:right w:val="nil"/>
            </w:tcBorders>
          </w:tcPr>
          <w:p w14:paraId="23BBCB0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tcPr>
          <w:p w14:paraId="766829B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tcPr>
          <w:p w14:paraId="151687A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1C5F413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0D5617F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AE1A2D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D31CD1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A964FF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386716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3.7</w:t>
            </w:r>
          </w:p>
        </w:tc>
        <w:tc>
          <w:tcPr>
            <w:tcW w:w="303" w:type="pct"/>
            <w:tcBorders>
              <w:left w:val="nil"/>
              <w:right w:val="nil"/>
            </w:tcBorders>
          </w:tcPr>
          <w:p w14:paraId="07B93897"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3.7</w:t>
            </w:r>
          </w:p>
        </w:tc>
        <w:tc>
          <w:tcPr>
            <w:tcW w:w="319" w:type="pct"/>
            <w:tcBorders>
              <w:left w:val="nil"/>
              <w:right w:val="nil"/>
            </w:tcBorders>
            <w:shd w:val="clear" w:color="auto" w:fill="auto"/>
          </w:tcPr>
          <w:p w14:paraId="67BCA6E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tcPr>
          <w:p w14:paraId="4B5D13D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3.7</w:t>
            </w:r>
          </w:p>
        </w:tc>
      </w:tr>
      <w:tr w:rsidR="00323BB2" w:rsidRPr="0061063C" w14:paraId="406B0484" w14:textId="77777777" w:rsidTr="00453AFA">
        <w:trPr>
          <w:trHeight w:val="360"/>
        </w:trPr>
        <w:tc>
          <w:tcPr>
            <w:tcW w:w="882" w:type="pct"/>
          </w:tcPr>
          <w:p w14:paraId="5C1772A9"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Transfer to retained earnings on exercise of share options and vesting of share awards</w:t>
            </w:r>
          </w:p>
        </w:tc>
        <w:tc>
          <w:tcPr>
            <w:tcW w:w="278" w:type="pct"/>
            <w:gridSpan w:val="2"/>
            <w:tcBorders>
              <w:left w:val="nil"/>
              <w:right w:val="nil"/>
            </w:tcBorders>
            <w:vAlign w:val="bottom"/>
          </w:tcPr>
          <w:p w14:paraId="0A96A087" w14:textId="77777777" w:rsidR="00323BB2" w:rsidRPr="0061063C" w:rsidRDefault="00323BB2" w:rsidP="00453AFA">
            <w:pPr>
              <w:jc w:val="right"/>
              <w:rPr>
                <w:rFonts w:asciiTheme="minorHAnsi" w:hAnsiTheme="minorHAnsi"/>
                <w:b/>
                <w:i/>
                <w:sz w:val="16"/>
                <w:szCs w:val="16"/>
              </w:rPr>
            </w:pPr>
          </w:p>
          <w:p w14:paraId="4F991A6F"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left w:val="nil"/>
              <w:right w:val="nil"/>
            </w:tcBorders>
            <w:vAlign w:val="bottom"/>
          </w:tcPr>
          <w:p w14:paraId="3F97E16D" w14:textId="77777777" w:rsidR="00323BB2" w:rsidRPr="0061063C" w:rsidRDefault="00323BB2" w:rsidP="00453AFA">
            <w:pPr>
              <w:jc w:val="right"/>
              <w:rPr>
                <w:rFonts w:asciiTheme="minorHAnsi" w:hAnsiTheme="minorHAnsi"/>
                <w:b/>
                <w:sz w:val="16"/>
                <w:szCs w:val="16"/>
              </w:rPr>
            </w:pPr>
          </w:p>
          <w:p w14:paraId="40AFE8E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left w:val="nil"/>
              <w:right w:val="nil"/>
            </w:tcBorders>
            <w:vAlign w:val="bottom"/>
          </w:tcPr>
          <w:p w14:paraId="37873C70" w14:textId="77777777" w:rsidR="00323BB2" w:rsidRPr="0061063C" w:rsidRDefault="00323BB2" w:rsidP="00453AFA">
            <w:pPr>
              <w:jc w:val="right"/>
              <w:rPr>
                <w:rFonts w:asciiTheme="minorHAnsi" w:hAnsiTheme="minorHAnsi"/>
                <w:b/>
                <w:sz w:val="16"/>
                <w:szCs w:val="16"/>
              </w:rPr>
            </w:pPr>
          </w:p>
          <w:p w14:paraId="5A266FF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vAlign w:val="bottom"/>
          </w:tcPr>
          <w:p w14:paraId="0FA1A043" w14:textId="77777777" w:rsidR="00323BB2" w:rsidRPr="0061063C" w:rsidRDefault="00323BB2" w:rsidP="00453AFA">
            <w:pPr>
              <w:jc w:val="right"/>
              <w:rPr>
                <w:rFonts w:asciiTheme="minorHAnsi" w:hAnsiTheme="minorHAnsi"/>
                <w:b/>
                <w:sz w:val="16"/>
                <w:szCs w:val="16"/>
              </w:rPr>
            </w:pPr>
          </w:p>
          <w:p w14:paraId="468DDBC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vAlign w:val="bottom"/>
          </w:tcPr>
          <w:p w14:paraId="4B35D017" w14:textId="77777777" w:rsidR="00323BB2" w:rsidRPr="0061063C" w:rsidRDefault="00323BB2" w:rsidP="00453AFA">
            <w:pPr>
              <w:jc w:val="right"/>
              <w:rPr>
                <w:rFonts w:asciiTheme="minorHAnsi" w:hAnsiTheme="minorHAnsi"/>
                <w:b/>
                <w:sz w:val="16"/>
                <w:szCs w:val="16"/>
              </w:rPr>
            </w:pPr>
          </w:p>
          <w:p w14:paraId="6A7CD7E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52746335" w14:textId="77777777" w:rsidR="00323BB2" w:rsidRPr="0061063C" w:rsidRDefault="00323BB2" w:rsidP="00453AFA">
            <w:pPr>
              <w:jc w:val="right"/>
              <w:rPr>
                <w:rFonts w:asciiTheme="minorHAnsi" w:hAnsiTheme="minorHAnsi"/>
                <w:b/>
                <w:sz w:val="16"/>
                <w:szCs w:val="16"/>
              </w:rPr>
            </w:pPr>
          </w:p>
          <w:p w14:paraId="560EC65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0FDCBD06" w14:textId="77777777" w:rsidR="00323BB2" w:rsidRPr="0061063C" w:rsidRDefault="00323BB2" w:rsidP="00453AFA">
            <w:pPr>
              <w:jc w:val="right"/>
              <w:rPr>
                <w:rFonts w:asciiTheme="minorHAnsi" w:hAnsiTheme="minorHAnsi"/>
                <w:b/>
                <w:sz w:val="16"/>
                <w:szCs w:val="16"/>
              </w:rPr>
            </w:pPr>
          </w:p>
          <w:p w14:paraId="224C3D7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61DFA1A0" w14:textId="77777777" w:rsidR="00323BB2" w:rsidRPr="0061063C" w:rsidRDefault="00323BB2" w:rsidP="00453AFA">
            <w:pPr>
              <w:jc w:val="right"/>
              <w:rPr>
                <w:rFonts w:asciiTheme="minorHAnsi" w:hAnsiTheme="minorHAnsi"/>
                <w:b/>
                <w:sz w:val="16"/>
                <w:szCs w:val="16"/>
              </w:rPr>
            </w:pPr>
          </w:p>
          <w:p w14:paraId="5B48605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02A42AE5" w14:textId="77777777" w:rsidR="00323BB2" w:rsidRPr="0061063C" w:rsidRDefault="00323BB2" w:rsidP="00453AFA">
            <w:pPr>
              <w:jc w:val="right"/>
              <w:rPr>
                <w:rFonts w:asciiTheme="minorHAnsi" w:hAnsiTheme="minorHAnsi"/>
                <w:b/>
                <w:sz w:val="16"/>
                <w:szCs w:val="16"/>
              </w:rPr>
            </w:pPr>
          </w:p>
          <w:p w14:paraId="6F0E456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vAlign w:val="bottom"/>
          </w:tcPr>
          <w:p w14:paraId="118901FF" w14:textId="77777777" w:rsidR="00323BB2" w:rsidRPr="0061063C" w:rsidRDefault="00323BB2" w:rsidP="00453AFA">
            <w:pPr>
              <w:jc w:val="right"/>
              <w:rPr>
                <w:rFonts w:asciiTheme="minorHAnsi" w:hAnsiTheme="minorHAnsi"/>
                <w:b/>
                <w:sz w:val="16"/>
                <w:szCs w:val="16"/>
              </w:rPr>
            </w:pPr>
          </w:p>
          <w:p w14:paraId="501E56F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(69.4)</w:t>
            </w:r>
          </w:p>
        </w:tc>
        <w:tc>
          <w:tcPr>
            <w:tcW w:w="300" w:type="pct"/>
            <w:tcBorders>
              <w:left w:val="nil"/>
              <w:right w:val="nil"/>
            </w:tcBorders>
            <w:vAlign w:val="bottom"/>
          </w:tcPr>
          <w:p w14:paraId="36FC59CA" w14:textId="77777777" w:rsidR="00323BB2" w:rsidRPr="0061063C" w:rsidRDefault="00323BB2" w:rsidP="00453AFA">
            <w:pPr>
              <w:jc w:val="right"/>
              <w:rPr>
                <w:rFonts w:asciiTheme="minorHAnsi" w:hAnsiTheme="minorHAnsi"/>
                <w:b/>
                <w:sz w:val="16"/>
                <w:szCs w:val="16"/>
              </w:rPr>
            </w:pPr>
          </w:p>
          <w:p w14:paraId="0A0D7C7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69.4</w:t>
            </w:r>
          </w:p>
        </w:tc>
        <w:tc>
          <w:tcPr>
            <w:tcW w:w="303" w:type="pct"/>
            <w:tcBorders>
              <w:left w:val="nil"/>
              <w:right w:val="nil"/>
            </w:tcBorders>
            <w:vAlign w:val="bottom"/>
          </w:tcPr>
          <w:p w14:paraId="426CB227" w14:textId="77777777" w:rsidR="00323BB2" w:rsidRPr="0061063C" w:rsidRDefault="00323BB2" w:rsidP="00453AFA">
            <w:pPr>
              <w:jc w:val="right"/>
              <w:rPr>
                <w:rFonts w:asciiTheme="minorHAnsi" w:hAnsiTheme="minorHAnsi"/>
                <w:b/>
                <w:sz w:val="16"/>
                <w:szCs w:val="16"/>
              </w:rPr>
            </w:pPr>
          </w:p>
          <w:p w14:paraId="5EFB629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19" w:type="pct"/>
            <w:tcBorders>
              <w:left w:val="nil"/>
              <w:right w:val="nil"/>
            </w:tcBorders>
            <w:shd w:val="clear" w:color="auto" w:fill="auto"/>
            <w:vAlign w:val="bottom"/>
          </w:tcPr>
          <w:p w14:paraId="6D027F04" w14:textId="77777777" w:rsidR="00323BB2" w:rsidRPr="0061063C" w:rsidRDefault="00323BB2" w:rsidP="00453AFA">
            <w:pPr>
              <w:jc w:val="right"/>
              <w:rPr>
                <w:rFonts w:asciiTheme="minorHAnsi" w:hAnsiTheme="minorHAnsi"/>
                <w:b/>
                <w:sz w:val="16"/>
                <w:szCs w:val="16"/>
              </w:rPr>
            </w:pPr>
          </w:p>
          <w:p w14:paraId="13CFAAD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vAlign w:val="bottom"/>
          </w:tcPr>
          <w:p w14:paraId="20D9298F" w14:textId="77777777" w:rsidR="00323BB2" w:rsidRPr="0061063C" w:rsidRDefault="00323BB2" w:rsidP="00453AFA">
            <w:pPr>
              <w:jc w:val="right"/>
              <w:rPr>
                <w:rFonts w:asciiTheme="minorHAnsi" w:hAnsiTheme="minorHAnsi"/>
                <w:b/>
                <w:sz w:val="16"/>
                <w:szCs w:val="16"/>
              </w:rPr>
            </w:pPr>
          </w:p>
          <w:p w14:paraId="461C22A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r>
      <w:tr w:rsidR="00323BB2" w:rsidRPr="0061063C" w14:paraId="1FD0DA25" w14:textId="77777777" w:rsidTr="00453AFA">
        <w:trPr>
          <w:trHeight w:val="360"/>
        </w:trPr>
        <w:tc>
          <w:tcPr>
            <w:tcW w:w="882" w:type="pct"/>
          </w:tcPr>
          <w:p w14:paraId="6499023C"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Dividend paid to Non-controlling interest (Note 18)</w:t>
            </w:r>
          </w:p>
        </w:tc>
        <w:tc>
          <w:tcPr>
            <w:tcW w:w="278" w:type="pct"/>
            <w:gridSpan w:val="2"/>
            <w:tcBorders>
              <w:left w:val="nil"/>
              <w:right w:val="nil"/>
            </w:tcBorders>
          </w:tcPr>
          <w:p w14:paraId="5CF7A02C" w14:textId="77777777" w:rsidR="00323BB2" w:rsidRPr="0061063C" w:rsidRDefault="00323BB2" w:rsidP="00453AFA">
            <w:pPr>
              <w:jc w:val="right"/>
              <w:rPr>
                <w:rFonts w:asciiTheme="minorHAnsi" w:hAnsiTheme="minorHAnsi"/>
                <w:b/>
                <w:i/>
                <w:sz w:val="16"/>
                <w:szCs w:val="16"/>
              </w:rPr>
            </w:pPr>
          </w:p>
          <w:p w14:paraId="22C892CD"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w:t>
            </w:r>
          </w:p>
        </w:tc>
        <w:tc>
          <w:tcPr>
            <w:tcW w:w="279" w:type="pct"/>
            <w:tcBorders>
              <w:left w:val="nil"/>
              <w:right w:val="nil"/>
            </w:tcBorders>
          </w:tcPr>
          <w:p w14:paraId="03B47BA6" w14:textId="77777777" w:rsidR="00323BB2" w:rsidRPr="0061063C" w:rsidRDefault="00323BB2" w:rsidP="00453AFA">
            <w:pPr>
              <w:jc w:val="right"/>
              <w:rPr>
                <w:rFonts w:asciiTheme="minorHAnsi" w:hAnsiTheme="minorHAnsi"/>
                <w:b/>
                <w:sz w:val="16"/>
                <w:szCs w:val="16"/>
              </w:rPr>
            </w:pPr>
          </w:p>
          <w:p w14:paraId="3DF8331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78" w:type="pct"/>
            <w:tcBorders>
              <w:left w:val="nil"/>
              <w:right w:val="nil"/>
            </w:tcBorders>
          </w:tcPr>
          <w:p w14:paraId="75CDFF5B" w14:textId="77777777" w:rsidR="00323BB2" w:rsidRPr="0061063C" w:rsidRDefault="00323BB2" w:rsidP="00453AFA">
            <w:pPr>
              <w:jc w:val="right"/>
              <w:rPr>
                <w:rFonts w:asciiTheme="minorHAnsi" w:hAnsiTheme="minorHAnsi"/>
                <w:b/>
                <w:sz w:val="16"/>
                <w:szCs w:val="16"/>
              </w:rPr>
            </w:pPr>
          </w:p>
          <w:p w14:paraId="7ACA30C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tcPr>
          <w:p w14:paraId="39BD4F21" w14:textId="77777777" w:rsidR="00323BB2" w:rsidRPr="0061063C" w:rsidRDefault="00323BB2" w:rsidP="00453AFA">
            <w:pPr>
              <w:jc w:val="right"/>
              <w:rPr>
                <w:rFonts w:asciiTheme="minorHAnsi" w:hAnsiTheme="minorHAnsi"/>
                <w:b/>
                <w:sz w:val="16"/>
                <w:szCs w:val="16"/>
              </w:rPr>
            </w:pPr>
          </w:p>
          <w:p w14:paraId="2E9177E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tcPr>
          <w:p w14:paraId="1DB2E896" w14:textId="77777777" w:rsidR="00323BB2" w:rsidRPr="0061063C" w:rsidRDefault="00323BB2" w:rsidP="00453AFA">
            <w:pPr>
              <w:jc w:val="right"/>
              <w:rPr>
                <w:rFonts w:asciiTheme="minorHAnsi" w:hAnsiTheme="minorHAnsi"/>
                <w:b/>
                <w:sz w:val="16"/>
                <w:szCs w:val="16"/>
              </w:rPr>
            </w:pPr>
          </w:p>
          <w:p w14:paraId="7391976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3698316" w14:textId="77777777" w:rsidR="00323BB2" w:rsidRPr="0061063C" w:rsidRDefault="00323BB2" w:rsidP="00453AFA">
            <w:pPr>
              <w:jc w:val="right"/>
              <w:rPr>
                <w:rFonts w:asciiTheme="minorHAnsi" w:hAnsiTheme="minorHAnsi"/>
                <w:b/>
                <w:sz w:val="16"/>
                <w:szCs w:val="16"/>
              </w:rPr>
            </w:pPr>
          </w:p>
          <w:p w14:paraId="71D6BFD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568A03E0" w14:textId="77777777" w:rsidR="00323BB2" w:rsidRPr="0061063C" w:rsidRDefault="00323BB2" w:rsidP="00453AFA">
            <w:pPr>
              <w:jc w:val="right"/>
              <w:rPr>
                <w:rFonts w:asciiTheme="minorHAnsi" w:hAnsiTheme="minorHAnsi"/>
                <w:b/>
                <w:sz w:val="16"/>
                <w:szCs w:val="16"/>
              </w:rPr>
            </w:pPr>
          </w:p>
          <w:p w14:paraId="07C39CE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6669B9C" w14:textId="77777777" w:rsidR="00323BB2" w:rsidRPr="0061063C" w:rsidRDefault="00323BB2" w:rsidP="00453AFA">
            <w:pPr>
              <w:jc w:val="right"/>
              <w:rPr>
                <w:rFonts w:asciiTheme="minorHAnsi" w:hAnsiTheme="minorHAnsi"/>
                <w:b/>
                <w:sz w:val="16"/>
                <w:szCs w:val="16"/>
              </w:rPr>
            </w:pPr>
          </w:p>
          <w:p w14:paraId="596CA62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82E46EF" w14:textId="77777777" w:rsidR="00323BB2" w:rsidRPr="0061063C" w:rsidRDefault="00323BB2" w:rsidP="00453AFA">
            <w:pPr>
              <w:jc w:val="right"/>
              <w:rPr>
                <w:rFonts w:asciiTheme="minorHAnsi" w:hAnsiTheme="minorHAnsi"/>
                <w:b/>
                <w:sz w:val="16"/>
                <w:szCs w:val="16"/>
              </w:rPr>
            </w:pPr>
          </w:p>
          <w:p w14:paraId="62641DD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5D95A82" w14:textId="77777777" w:rsidR="00323BB2" w:rsidRPr="0061063C" w:rsidRDefault="00323BB2" w:rsidP="00453AFA">
            <w:pPr>
              <w:jc w:val="right"/>
              <w:rPr>
                <w:rFonts w:asciiTheme="minorHAnsi" w:hAnsiTheme="minorHAnsi"/>
                <w:b/>
                <w:sz w:val="16"/>
                <w:szCs w:val="16"/>
              </w:rPr>
            </w:pPr>
          </w:p>
          <w:p w14:paraId="6E71F6C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251624EA" w14:textId="77777777" w:rsidR="00323BB2" w:rsidRPr="0061063C" w:rsidRDefault="00323BB2" w:rsidP="00453AFA">
            <w:pPr>
              <w:jc w:val="right"/>
              <w:rPr>
                <w:rFonts w:asciiTheme="minorHAnsi" w:hAnsiTheme="minorHAnsi"/>
                <w:b/>
                <w:sz w:val="16"/>
                <w:szCs w:val="16"/>
              </w:rPr>
            </w:pPr>
          </w:p>
          <w:p w14:paraId="5D92E40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3" w:type="pct"/>
            <w:tcBorders>
              <w:left w:val="nil"/>
              <w:right w:val="nil"/>
            </w:tcBorders>
          </w:tcPr>
          <w:p w14:paraId="67428ACD" w14:textId="77777777" w:rsidR="00323BB2" w:rsidRPr="0061063C" w:rsidRDefault="00323BB2" w:rsidP="00453AFA">
            <w:pPr>
              <w:jc w:val="right"/>
              <w:rPr>
                <w:rFonts w:asciiTheme="minorHAnsi" w:hAnsiTheme="minorHAnsi"/>
                <w:b/>
                <w:sz w:val="16"/>
                <w:szCs w:val="16"/>
              </w:rPr>
            </w:pPr>
          </w:p>
          <w:p w14:paraId="7ED3C564"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19" w:type="pct"/>
            <w:tcBorders>
              <w:left w:val="nil"/>
              <w:right w:val="nil"/>
            </w:tcBorders>
            <w:shd w:val="clear" w:color="auto" w:fill="auto"/>
          </w:tcPr>
          <w:p w14:paraId="1D489540" w14:textId="77777777" w:rsidR="00323BB2" w:rsidRPr="0061063C" w:rsidRDefault="00323BB2" w:rsidP="00453AFA">
            <w:pPr>
              <w:jc w:val="right"/>
              <w:rPr>
                <w:rFonts w:asciiTheme="minorHAnsi" w:hAnsiTheme="minorHAnsi"/>
                <w:b/>
                <w:sz w:val="16"/>
                <w:szCs w:val="16"/>
              </w:rPr>
            </w:pPr>
          </w:p>
          <w:p w14:paraId="04927EE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(7.0)</w:t>
            </w:r>
          </w:p>
        </w:tc>
        <w:tc>
          <w:tcPr>
            <w:tcW w:w="269" w:type="pct"/>
            <w:tcBorders>
              <w:left w:val="nil"/>
              <w:right w:val="nil"/>
            </w:tcBorders>
          </w:tcPr>
          <w:p w14:paraId="031B6F24" w14:textId="77777777" w:rsidR="00323BB2" w:rsidRPr="0061063C" w:rsidRDefault="00323BB2" w:rsidP="00453AFA">
            <w:pPr>
              <w:jc w:val="right"/>
              <w:rPr>
                <w:rFonts w:asciiTheme="minorHAnsi" w:hAnsiTheme="minorHAnsi"/>
                <w:b/>
                <w:sz w:val="16"/>
                <w:szCs w:val="16"/>
              </w:rPr>
            </w:pPr>
          </w:p>
          <w:p w14:paraId="4E8357EC"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(7.0)</w:t>
            </w:r>
          </w:p>
        </w:tc>
      </w:tr>
      <w:tr w:rsidR="00323BB2" w:rsidRPr="0061063C" w14:paraId="10F00FA4" w14:textId="77777777" w:rsidTr="00453AFA">
        <w:trPr>
          <w:trHeight w:val="70"/>
        </w:trPr>
        <w:tc>
          <w:tcPr>
            <w:tcW w:w="882" w:type="pct"/>
            <w:tcBorders>
              <w:left w:val="nil"/>
              <w:right w:val="nil"/>
            </w:tcBorders>
          </w:tcPr>
          <w:p w14:paraId="2A4D8D04"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Dividends to shareholders (Note 17)</w:t>
            </w:r>
          </w:p>
        </w:tc>
        <w:tc>
          <w:tcPr>
            <w:tcW w:w="278" w:type="pct"/>
            <w:gridSpan w:val="2"/>
            <w:tcBorders>
              <w:left w:val="nil"/>
              <w:right w:val="nil"/>
            </w:tcBorders>
          </w:tcPr>
          <w:p w14:paraId="7C27A88B"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1.3</w:t>
            </w:r>
          </w:p>
        </w:tc>
        <w:tc>
          <w:tcPr>
            <w:tcW w:w="279" w:type="pct"/>
            <w:tcBorders>
              <w:left w:val="nil"/>
              <w:right w:val="nil"/>
            </w:tcBorders>
          </w:tcPr>
          <w:p w14:paraId="1879D163" w14:textId="77777777" w:rsidR="00323BB2" w:rsidRPr="0061063C" w:rsidRDefault="00323BB2" w:rsidP="00453AFA">
            <w:pPr>
              <w:jc w:val="right"/>
              <w:rPr>
                <w:rFonts w:asciiTheme="minorHAnsi" w:hAnsiTheme="minorHAnsi"/>
                <w:b/>
                <w:sz w:val="16"/>
                <w:szCs w:val="16"/>
              </w:rPr>
            </w:pPr>
            <w:r>
              <w:rPr>
                <w:rFonts w:asciiTheme="minorHAnsi" w:hAnsiTheme="minorHAnsi"/>
                <w:b/>
                <w:sz w:val="16"/>
                <w:szCs w:val="16"/>
              </w:rPr>
              <w:t>0.1</w:t>
            </w:r>
          </w:p>
        </w:tc>
        <w:tc>
          <w:tcPr>
            <w:tcW w:w="278" w:type="pct"/>
            <w:tcBorders>
              <w:left w:val="nil"/>
              <w:right w:val="nil"/>
            </w:tcBorders>
          </w:tcPr>
          <w:p w14:paraId="1462843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24" w:type="pct"/>
            <w:tcBorders>
              <w:left w:val="nil"/>
              <w:right w:val="nil"/>
            </w:tcBorders>
          </w:tcPr>
          <w:p w14:paraId="227786E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left w:val="nil"/>
              <w:right w:val="nil"/>
            </w:tcBorders>
          </w:tcPr>
          <w:p w14:paraId="5E80147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729E791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449943D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46CCAE7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354E659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tcPr>
          <w:p w14:paraId="1B9B776B"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left w:val="nil"/>
              <w:right w:val="nil"/>
            </w:tcBorders>
            <w:shd w:val="clear" w:color="auto" w:fill="auto"/>
          </w:tcPr>
          <w:p w14:paraId="3641147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r>
              <w:rPr>
                <w:rFonts w:asciiTheme="minorHAnsi" w:hAnsiTheme="minorHAnsi"/>
                <w:b/>
                <w:sz w:val="16"/>
                <w:szCs w:val="16"/>
              </w:rPr>
              <w:t>0.1</w:t>
            </w:r>
            <w:r w:rsidRPr="0061063C">
              <w:rPr>
                <w:rFonts w:asciiTheme="minorHAnsi" w:hAnsiTheme="minorHAnsi"/>
                <w:b/>
                <w:sz w:val="16"/>
                <w:szCs w:val="16"/>
              </w:rPr>
              <w:t>)</w:t>
            </w:r>
          </w:p>
        </w:tc>
        <w:tc>
          <w:tcPr>
            <w:tcW w:w="303" w:type="pct"/>
            <w:tcBorders>
              <w:left w:val="nil"/>
              <w:right w:val="nil"/>
            </w:tcBorders>
            <w:shd w:val="clear" w:color="auto" w:fill="auto"/>
          </w:tcPr>
          <w:p w14:paraId="79BC10B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19" w:type="pct"/>
            <w:tcBorders>
              <w:left w:val="nil"/>
              <w:right w:val="nil"/>
            </w:tcBorders>
            <w:shd w:val="clear" w:color="auto" w:fill="auto"/>
          </w:tcPr>
          <w:p w14:paraId="3ED95E3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9" w:type="pct"/>
            <w:tcBorders>
              <w:left w:val="nil"/>
              <w:right w:val="nil"/>
            </w:tcBorders>
            <w:shd w:val="clear" w:color="auto" w:fill="auto"/>
          </w:tcPr>
          <w:p w14:paraId="3400775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r>
      <w:tr w:rsidR="00323BB2" w:rsidRPr="0061063C" w14:paraId="0CD6803B" w14:textId="77777777" w:rsidTr="00453AFA">
        <w:trPr>
          <w:trHeight w:val="406"/>
        </w:trPr>
        <w:tc>
          <w:tcPr>
            <w:tcW w:w="882" w:type="pct"/>
            <w:tcBorders>
              <w:top w:val="single" w:sz="4" w:space="0" w:color="auto"/>
              <w:left w:val="nil"/>
              <w:bottom w:val="single" w:sz="4" w:space="0" w:color="auto"/>
              <w:right w:val="nil"/>
            </w:tcBorders>
          </w:tcPr>
          <w:p w14:paraId="6494CCC9"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Total contributions by and distributions to owners of the Company</w:t>
            </w:r>
          </w:p>
        </w:tc>
        <w:tc>
          <w:tcPr>
            <w:tcW w:w="278" w:type="pct"/>
            <w:gridSpan w:val="2"/>
            <w:tcBorders>
              <w:top w:val="single" w:sz="4" w:space="0" w:color="auto"/>
              <w:left w:val="nil"/>
              <w:bottom w:val="single" w:sz="4" w:space="0" w:color="auto"/>
              <w:right w:val="nil"/>
            </w:tcBorders>
          </w:tcPr>
          <w:p w14:paraId="3B811C6D" w14:textId="77777777" w:rsidR="00323BB2" w:rsidRPr="0061063C" w:rsidRDefault="00323BB2" w:rsidP="00453AFA">
            <w:pPr>
              <w:jc w:val="right"/>
              <w:rPr>
                <w:rFonts w:asciiTheme="minorHAnsi" w:hAnsiTheme="minorHAnsi"/>
                <w:b/>
                <w:i/>
                <w:sz w:val="16"/>
                <w:szCs w:val="16"/>
              </w:rPr>
            </w:pPr>
          </w:p>
          <w:p w14:paraId="632C6088"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76.3</w:t>
            </w:r>
          </w:p>
        </w:tc>
        <w:tc>
          <w:tcPr>
            <w:tcW w:w="279" w:type="pct"/>
            <w:tcBorders>
              <w:top w:val="single" w:sz="4" w:space="0" w:color="auto"/>
              <w:left w:val="nil"/>
              <w:bottom w:val="single" w:sz="4" w:space="0" w:color="auto"/>
              <w:right w:val="nil"/>
            </w:tcBorders>
          </w:tcPr>
          <w:p w14:paraId="38802091" w14:textId="77777777" w:rsidR="00323BB2" w:rsidRPr="0061063C" w:rsidRDefault="00323BB2" w:rsidP="00453AFA">
            <w:pPr>
              <w:jc w:val="right"/>
              <w:rPr>
                <w:rFonts w:asciiTheme="minorHAnsi" w:hAnsiTheme="minorHAnsi"/>
                <w:b/>
                <w:sz w:val="16"/>
                <w:szCs w:val="16"/>
              </w:rPr>
            </w:pPr>
          </w:p>
          <w:p w14:paraId="266E2861" w14:textId="77777777" w:rsidR="00323BB2" w:rsidRPr="0061063C" w:rsidRDefault="00323BB2" w:rsidP="00453AFA">
            <w:pPr>
              <w:jc w:val="right"/>
              <w:rPr>
                <w:rFonts w:asciiTheme="minorHAnsi" w:hAnsiTheme="minorHAnsi"/>
                <w:b/>
                <w:sz w:val="16"/>
                <w:szCs w:val="16"/>
              </w:rPr>
            </w:pPr>
            <w:r>
              <w:rPr>
                <w:rFonts w:asciiTheme="minorHAnsi" w:hAnsiTheme="minorHAnsi"/>
                <w:b/>
                <w:sz w:val="16"/>
                <w:szCs w:val="16"/>
              </w:rPr>
              <w:t>906.4</w:t>
            </w:r>
          </w:p>
        </w:tc>
        <w:tc>
          <w:tcPr>
            <w:tcW w:w="278" w:type="pct"/>
            <w:tcBorders>
              <w:top w:val="single" w:sz="4" w:space="0" w:color="auto"/>
              <w:left w:val="nil"/>
              <w:bottom w:val="single" w:sz="4" w:space="0" w:color="auto"/>
              <w:right w:val="nil"/>
            </w:tcBorders>
          </w:tcPr>
          <w:p w14:paraId="6B0FD293" w14:textId="77777777" w:rsidR="00323BB2" w:rsidRPr="0061063C" w:rsidRDefault="00323BB2" w:rsidP="00453AFA">
            <w:pPr>
              <w:jc w:val="right"/>
              <w:rPr>
                <w:rFonts w:asciiTheme="minorHAnsi" w:hAnsiTheme="minorHAnsi"/>
                <w:b/>
                <w:sz w:val="16"/>
                <w:szCs w:val="16"/>
              </w:rPr>
            </w:pPr>
          </w:p>
          <w:p w14:paraId="590E3A3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6,189.5</w:t>
            </w:r>
          </w:p>
        </w:tc>
        <w:tc>
          <w:tcPr>
            <w:tcW w:w="324" w:type="pct"/>
            <w:tcBorders>
              <w:top w:val="single" w:sz="4" w:space="0" w:color="auto"/>
              <w:left w:val="nil"/>
              <w:bottom w:val="single" w:sz="4" w:space="0" w:color="auto"/>
              <w:right w:val="nil"/>
            </w:tcBorders>
          </w:tcPr>
          <w:p w14:paraId="11DCA168" w14:textId="77777777" w:rsidR="00323BB2" w:rsidRPr="0061063C" w:rsidRDefault="00323BB2" w:rsidP="00453AFA">
            <w:pPr>
              <w:jc w:val="right"/>
              <w:rPr>
                <w:rFonts w:asciiTheme="minorHAnsi" w:hAnsiTheme="minorHAnsi"/>
                <w:b/>
                <w:sz w:val="16"/>
                <w:szCs w:val="16"/>
              </w:rPr>
            </w:pPr>
          </w:p>
          <w:p w14:paraId="5828E08E"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268" w:type="pct"/>
            <w:tcBorders>
              <w:top w:val="single" w:sz="4" w:space="0" w:color="auto"/>
              <w:left w:val="nil"/>
              <w:bottom w:val="single" w:sz="4" w:space="0" w:color="auto"/>
              <w:right w:val="nil"/>
            </w:tcBorders>
          </w:tcPr>
          <w:p w14:paraId="333B9642" w14:textId="77777777" w:rsidR="00323BB2" w:rsidRPr="0061063C" w:rsidRDefault="00323BB2" w:rsidP="00453AFA">
            <w:pPr>
              <w:jc w:val="right"/>
              <w:rPr>
                <w:rFonts w:asciiTheme="minorHAnsi" w:hAnsiTheme="minorHAnsi"/>
                <w:b/>
                <w:sz w:val="16"/>
                <w:szCs w:val="16"/>
              </w:rPr>
            </w:pPr>
          </w:p>
          <w:p w14:paraId="1000205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tcPr>
          <w:p w14:paraId="6FE4A20F" w14:textId="77777777" w:rsidR="00323BB2" w:rsidRPr="0061063C" w:rsidRDefault="00323BB2" w:rsidP="00453AFA">
            <w:pPr>
              <w:jc w:val="right"/>
              <w:rPr>
                <w:rFonts w:asciiTheme="minorHAnsi" w:hAnsiTheme="minorHAnsi"/>
                <w:b/>
                <w:sz w:val="16"/>
                <w:szCs w:val="16"/>
              </w:rPr>
            </w:pPr>
          </w:p>
          <w:p w14:paraId="312A031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tcPr>
          <w:p w14:paraId="33C5B46B" w14:textId="77777777" w:rsidR="00323BB2" w:rsidRPr="0061063C" w:rsidRDefault="00323BB2" w:rsidP="00453AFA">
            <w:pPr>
              <w:jc w:val="right"/>
              <w:rPr>
                <w:rFonts w:asciiTheme="minorHAnsi" w:hAnsiTheme="minorHAnsi"/>
                <w:b/>
                <w:sz w:val="16"/>
                <w:szCs w:val="16"/>
              </w:rPr>
            </w:pPr>
          </w:p>
          <w:p w14:paraId="42A73AA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tcPr>
          <w:p w14:paraId="2481BA9D" w14:textId="77777777" w:rsidR="00323BB2" w:rsidRPr="0061063C" w:rsidRDefault="00323BB2" w:rsidP="00453AFA">
            <w:pPr>
              <w:jc w:val="right"/>
              <w:rPr>
                <w:rFonts w:asciiTheme="minorHAnsi" w:hAnsiTheme="minorHAnsi"/>
                <w:b/>
                <w:sz w:val="16"/>
                <w:szCs w:val="16"/>
              </w:rPr>
            </w:pPr>
          </w:p>
          <w:p w14:paraId="1FE0D76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w:t>
            </w:r>
          </w:p>
        </w:tc>
        <w:tc>
          <w:tcPr>
            <w:tcW w:w="300" w:type="pct"/>
            <w:tcBorders>
              <w:top w:val="single" w:sz="4" w:space="0" w:color="auto"/>
              <w:left w:val="nil"/>
              <w:bottom w:val="single" w:sz="4" w:space="0" w:color="auto"/>
              <w:right w:val="nil"/>
            </w:tcBorders>
          </w:tcPr>
          <w:p w14:paraId="0FB35C83" w14:textId="77777777" w:rsidR="00323BB2" w:rsidRPr="0061063C" w:rsidRDefault="00323BB2" w:rsidP="00453AFA">
            <w:pPr>
              <w:jc w:val="right"/>
              <w:rPr>
                <w:rFonts w:asciiTheme="minorHAnsi" w:hAnsiTheme="minorHAnsi"/>
                <w:b/>
                <w:sz w:val="16"/>
                <w:szCs w:val="16"/>
              </w:rPr>
            </w:pPr>
          </w:p>
          <w:p w14:paraId="6EF0D0D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0.3</w:t>
            </w:r>
          </w:p>
        </w:tc>
        <w:tc>
          <w:tcPr>
            <w:tcW w:w="300" w:type="pct"/>
            <w:tcBorders>
              <w:top w:val="single" w:sz="4" w:space="0" w:color="auto"/>
              <w:left w:val="nil"/>
              <w:bottom w:val="single" w:sz="4" w:space="0" w:color="auto"/>
              <w:right w:val="nil"/>
            </w:tcBorders>
          </w:tcPr>
          <w:p w14:paraId="2789FF90" w14:textId="77777777" w:rsidR="00323BB2" w:rsidRPr="0061063C" w:rsidRDefault="00323BB2" w:rsidP="00453AFA">
            <w:pPr>
              <w:jc w:val="right"/>
              <w:rPr>
                <w:rFonts w:asciiTheme="minorHAnsi" w:hAnsiTheme="minorHAnsi"/>
                <w:b/>
                <w:sz w:val="16"/>
                <w:szCs w:val="16"/>
              </w:rPr>
            </w:pPr>
          </w:p>
          <w:p w14:paraId="741DF73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16.8</w:t>
            </w:r>
          </w:p>
        </w:tc>
        <w:tc>
          <w:tcPr>
            <w:tcW w:w="300" w:type="pct"/>
            <w:tcBorders>
              <w:top w:val="single" w:sz="4" w:space="0" w:color="auto"/>
              <w:left w:val="nil"/>
              <w:bottom w:val="single" w:sz="4" w:space="0" w:color="auto"/>
              <w:right w:val="nil"/>
            </w:tcBorders>
          </w:tcPr>
          <w:p w14:paraId="3CA24396" w14:textId="77777777" w:rsidR="00323BB2" w:rsidRPr="0061063C" w:rsidRDefault="00323BB2" w:rsidP="00453AFA">
            <w:pPr>
              <w:jc w:val="right"/>
              <w:rPr>
                <w:rFonts w:asciiTheme="minorHAnsi" w:hAnsiTheme="minorHAnsi"/>
                <w:b/>
                <w:sz w:val="16"/>
                <w:szCs w:val="16"/>
              </w:rPr>
            </w:pPr>
          </w:p>
          <w:p w14:paraId="3807B154" w14:textId="77777777" w:rsidR="00323BB2" w:rsidRPr="0061063C" w:rsidRDefault="00323BB2" w:rsidP="00453AFA">
            <w:pPr>
              <w:jc w:val="right"/>
              <w:rPr>
                <w:rFonts w:asciiTheme="minorHAnsi" w:hAnsiTheme="minorHAnsi"/>
                <w:b/>
                <w:sz w:val="16"/>
                <w:szCs w:val="16"/>
              </w:rPr>
            </w:pPr>
            <w:r>
              <w:rPr>
                <w:rFonts w:asciiTheme="minorHAnsi" w:hAnsiTheme="minorHAnsi"/>
                <w:b/>
                <w:sz w:val="16"/>
                <w:szCs w:val="16"/>
              </w:rPr>
              <w:t>66.6</w:t>
            </w:r>
          </w:p>
        </w:tc>
        <w:tc>
          <w:tcPr>
            <w:tcW w:w="303" w:type="pct"/>
            <w:tcBorders>
              <w:top w:val="single" w:sz="4" w:space="0" w:color="auto"/>
              <w:left w:val="nil"/>
              <w:bottom w:val="single" w:sz="4" w:space="0" w:color="auto"/>
              <w:right w:val="nil"/>
            </w:tcBorders>
          </w:tcPr>
          <w:p w14:paraId="1A2AA335" w14:textId="77777777" w:rsidR="00323BB2" w:rsidRPr="0061063C" w:rsidRDefault="00323BB2" w:rsidP="00453AFA">
            <w:pPr>
              <w:jc w:val="right"/>
              <w:rPr>
                <w:rFonts w:asciiTheme="minorHAnsi" w:hAnsiTheme="minorHAnsi"/>
                <w:b/>
                <w:sz w:val="16"/>
                <w:szCs w:val="16"/>
              </w:rPr>
            </w:pPr>
          </w:p>
          <w:p w14:paraId="70C3EAD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7,179.6</w:t>
            </w:r>
          </w:p>
        </w:tc>
        <w:tc>
          <w:tcPr>
            <w:tcW w:w="319" w:type="pct"/>
            <w:tcBorders>
              <w:top w:val="single" w:sz="4" w:space="0" w:color="auto"/>
              <w:left w:val="nil"/>
              <w:bottom w:val="single" w:sz="4" w:space="0" w:color="auto"/>
              <w:right w:val="nil"/>
            </w:tcBorders>
            <w:shd w:val="clear" w:color="auto" w:fill="auto"/>
          </w:tcPr>
          <w:p w14:paraId="27160C7C" w14:textId="77777777" w:rsidR="00323BB2" w:rsidRPr="0061063C" w:rsidRDefault="00323BB2" w:rsidP="00453AFA">
            <w:pPr>
              <w:jc w:val="right"/>
              <w:rPr>
                <w:rFonts w:asciiTheme="minorHAnsi" w:hAnsiTheme="minorHAnsi"/>
                <w:b/>
                <w:sz w:val="16"/>
                <w:szCs w:val="16"/>
              </w:rPr>
            </w:pPr>
          </w:p>
          <w:p w14:paraId="13E9AF9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(7.0)</w:t>
            </w:r>
          </w:p>
        </w:tc>
        <w:tc>
          <w:tcPr>
            <w:tcW w:w="269" w:type="pct"/>
            <w:tcBorders>
              <w:top w:val="single" w:sz="4" w:space="0" w:color="auto"/>
              <w:left w:val="nil"/>
              <w:bottom w:val="single" w:sz="4" w:space="0" w:color="auto"/>
              <w:right w:val="nil"/>
            </w:tcBorders>
          </w:tcPr>
          <w:p w14:paraId="0702E737" w14:textId="77777777" w:rsidR="00323BB2" w:rsidRPr="0061063C" w:rsidRDefault="00323BB2" w:rsidP="00453AFA">
            <w:pPr>
              <w:jc w:val="right"/>
              <w:rPr>
                <w:rFonts w:asciiTheme="minorHAnsi" w:hAnsiTheme="minorHAnsi"/>
                <w:b/>
                <w:sz w:val="16"/>
                <w:szCs w:val="16"/>
              </w:rPr>
            </w:pPr>
          </w:p>
          <w:p w14:paraId="156CDFE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7,172.6</w:t>
            </w:r>
          </w:p>
        </w:tc>
      </w:tr>
      <w:tr w:rsidR="00323BB2" w:rsidRPr="0061063C" w14:paraId="29D9B5C1" w14:textId="77777777" w:rsidTr="00453AFA">
        <w:trPr>
          <w:trHeight w:val="305"/>
        </w:trPr>
        <w:tc>
          <w:tcPr>
            <w:tcW w:w="882" w:type="pct"/>
            <w:tcBorders>
              <w:top w:val="single" w:sz="4" w:space="0" w:color="auto"/>
              <w:left w:val="nil"/>
              <w:bottom w:val="single" w:sz="4" w:space="0" w:color="auto"/>
              <w:right w:val="nil"/>
            </w:tcBorders>
          </w:tcPr>
          <w:p w14:paraId="1C020CB6" w14:textId="77777777" w:rsidR="00323BB2" w:rsidRPr="0061063C" w:rsidRDefault="00323BB2" w:rsidP="00453AFA">
            <w:pPr>
              <w:spacing w:after="20"/>
              <w:ind w:left="-108"/>
              <w:rPr>
                <w:rFonts w:asciiTheme="minorHAnsi" w:hAnsiTheme="minorHAnsi"/>
                <w:sz w:val="16"/>
                <w:szCs w:val="16"/>
              </w:rPr>
            </w:pPr>
          </w:p>
          <w:p w14:paraId="15AE5B37" w14:textId="77777777" w:rsidR="00323BB2" w:rsidRPr="0061063C" w:rsidRDefault="00323BB2" w:rsidP="00453AFA">
            <w:pPr>
              <w:spacing w:after="20"/>
              <w:ind w:left="-108"/>
              <w:rPr>
                <w:rFonts w:asciiTheme="minorHAnsi" w:hAnsiTheme="minorHAnsi"/>
                <w:b/>
                <w:sz w:val="16"/>
                <w:szCs w:val="16"/>
              </w:rPr>
            </w:pPr>
            <w:r w:rsidRPr="0061063C">
              <w:rPr>
                <w:rFonts w:asciiTheme="minorHAnsi" w:hAnsiTheme="minorHAnsi"/>
                <w:b/>
                <w:sz w:val="16"/>
                <w:szCs w:val="16"/>
              </w:rPr>
              <w:t>Balance at 30 June 2020</w:t>
            </w:r>
          </w:p>
        </w:tc>
        <w:tc>
          <w:tcPr>
            <w:tcW w:w="278" w:type="pct"/>
            <w:gridSpan w:val="2"/>
            <w:tcBorders>
              <w:top w:val="single" w:sz="4" w:space="0" w:color="auto"/>
              <w:left w:val="nil"/>
              <w:bottom w:val="single" w:sz="4" w:space="0" w:color="auto"/>
              <w:right w:val="nil"/>
            </w:tcBorders>
          </w:tcPr>
          <w:p w14:paraId="5CEE1031" w14:textId="77777777" w:rsidR="00323BB2" w:rsidRPr="0061063C" w:rsidRDefault="00323BB2" w:rsidP="00453AFA">
            <w:pPr>
              <w:jc w:val="right"/>
              <w:rPr>
                <w:rFonts w:asciiTheme="minorHAnsi" w:hAnsiTheme="minorHAnsi"/>
                <w:b/>
                <w:sz w:val="16"/>
                <w:szCs w:val="16"/>
              </w:rPr>
            </w:pPr>
          </w:p>
          <w:p w14:paraId="33EFFF05" w14:textId="77777777" w:rsidR="00323BB2" w:rsidRPr="0061063C" w:rsidRDefault="00323BB2" w:rsidP="00453AFA">
            <w:pPr>
              <w:jc w:val="right"/>
              <w:rPr>
                <w:rFonts w:asciiTheme="minorHAnsi" w:hAnsiTheme="minorHAnsi"/>
                <w:b/>
                <w:i/>
                <w:sz w:val="16"/>
                <w:szCs w:val="16"/>
              </w:rPr>
            </w:pPr>
            <w:r w:rsidRPr="0061063C">
              <w:rPr>
                <w:rFonts w:asciiTheme="minorHAnsi" w:hAnsiTheme="minorHAnsi"/>
                <w:b/>
                <w:i/>
                <w:sz w:val="16"/>
                <w:szCs w:val="16"/>
              </w:rPr>
              <w:t>156.6</w:t>
            </w:r>
          </w:p>
        </w:tc>
        <w:tc>
          <w:tcPr>
            <w:tcW w:w="279" w:type="pct"/>
            <w:tcBorders>
              <w:top w:val="single" w:sz="4" w:space="0" w:color="auto"/>
              <w:left w:val="nil"/>
              <w:bottom w:val="single" w:sz="4" w:space="0" w:color="auto"/>
              <w:right w:val="nil"/>
            </w:tcBorders>
          </w:tcPr>
          <w:p w14:paraId="191726C7" w14:textId="77777777" w:rsidR="00323BB2" w:rsidRPr="0061063C" w:rsidRDefault="00323BB2" w:rsidP="00453AFA">
            <w:pPr>
              <w:jc w:val="right"/>
              <w:rPr>
                <w:rFonts w:asciiTheme="minorHAnsi" w:hAnsiTheme="minorHAnsi"/>
                <w:b/>
                <w:sz w:val="16"/>
                <w:szCs w:val="16"/>
              </w:rPr>
            </w:pPr>
          </w:p>
          <w:p w14:paraId="2837707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w:t>
            </w:r>
            <w:r>
              <w:rPr>
                <w:rFonts w:asciiTheme="minorHAnsi" w:hAnsiTheme="minorHAnsi"/>
                <w:b/>
                <w:sz w:val="16"/>
                <w:szCs w:val="16"/>
              </w:rPr>
              <w:t>334.7</w:t>
            </w:r>
          </w:p>
        </w:tc>
        <w:tc>
          <w:tcPr>
            <w:tcW w:w="278" w:type="pct"/>
            <w:tcBorders>
              <w:top w:val="single" w:sz="4" w:space="0" w:color="auto"/>
              <w:left w:val="nil"/>
              <w:bottom w:val="single" w:sz="4" w:space="0" w:color="auto"/>
              <w:right w:val="nil"/>
            </w:tcBorders>
          </w:tcPr>
          <w:p w14:paraId="71E26CB4" w14:textId="77777777" w:rsidR="00323BB2" w:rsidRPr="0061063C" w:rsidRDefault="00323BB2" w:rsidP="00453AFA">
            <w:pPr>
              <w:jc w:val="right"/>
              <w:rPr>
                <w:rFonts w:asciiTheme="minorHAnsi" w:hAnsiTheme="minorHAnsi"/>
                <w:b/>
                <w:sz w:val="16"/>
                <w:szCs w:val="16"/>
              </w:rPr>
            </w:pPr>
          </w:p>
          <w:p w14:paraId="16712FAD"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6,189.5</w:t>
            </w:r>
          </w:p>
        </w:tc>
        <w:tc>
          <w:tcPr>
            <w:tcW w:w="324" w:type="pct"/>
            <w:tcBorders>
              <w:top w:val="single" w:sz="4" w:space="0" w:color="auto"/>
              <w:left w:val="nil"/>
              <w:bottom w:val="single" w:sz="4" w:space="0" w:color="auto"/>
              <w:right w:val="nil"/>
            </w:tcBorders>
          </w:tcPr>
          <w:p w14:paraId="0F3EC41C" w14:textId="77777777" w:rsidR="00323BB2" w:rsidRPr="0061063C" w:rsidRDefault="00323BB2" w:rsidP="00453AFA">
            <w:pPr>
              <w:jc w:val="right"/>
              <w:rPr>
                <w:rFonts w:asciiTheme="minorHAnsi" w:hAnsiTheme="minorHAnsi"/>
                <w:b/>
                <w:sz w:val="16"/>
                <w:szCs w:val="16"/>
              </w:rPr>
            </w:pPr>
          </w:p>
          <w:p w14:paraId="75F62BDA"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142.6</w:t>
            </w:r>
          </w:p>
        </w:tc>
        <w:tc>
          <w:tcPr>
            <w:tcW w:w="268" w:type="pct"/>
            <w:tcBorders>
              <w:top w:val="single" w:sz="4" w:space="0" w:color="auto"/>
              <w:left w:val="nil"/>
              <w:bottom w:val="single" w:sz="4" w:space="0" w:color="auto"/>
              <w:right w:val="nil"/>
            </w:tcBorders>
          </w:tcPr>
          <w:p w14:paraId="7FFD478C" w14:textId="77777777" w:rsidR="00323BB2" w:rsidRPr="0061063C" w:rsidRDefault="00323BB2" w:rsidP="00453AFA">
            <w:pPr>
              <w:jc w:val="right"/>
              <w:rPr>
                <w:rFonts w:asciiTheme="minorHAnsi" w:hAnsiTheme="minorHAnsi"/>
                <w:b/>
                <w:sz w:val="16"/>
                <w:szCs w:val="16"/>
              </w:rPr>
            </w:pPr>
          </w:p>
          <w:p w14:paraId="32AEC1B8"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0.6</w:t>
            </w:r>
          </w:p>
        </w:tc>
        <w:tc>
          <w:tcPr>
            <w:tcW w:w="300" w:type="pct"/>
            <w:tcBorders>
              <w:top w:val="single" w:sz="4" w:space="0" w:color="auto"/>
              <w:left w:val="nil"/>
              <w:bottom w:val="single" w:sz="4" w:space="0" w:color="auto"/>
              <w:right w:val="nil"/>
            </w:tcBorders>
          </w:tcPr>
          <w:p w14:paraId="754A6D0F" w14:textId="77777777" w:rsidR="00323BB2" w:rsidRPr="0061063C" w:rsidRDefault="00323BB2" w:rsidP="00453AFA">
            <w:pPr>
              <w:jc w:val="right"/>
              <w:rPr>
                <w:rFonts w:asciiTheme="minorHAnsi" w:hAnsiTheme="minorHAnsi"/>
                <w:b/>
                <w:sz w:val="16"/>
                <w:szCs w:val="16"/>
              </w:rPr>
            </w:pPr>
          </w:p>
          <w:p w14:paraId="4346C1A6"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0.1</w:t>
            </w:r>
          </w:p>
        </w:tc>
        <w:tc>
          <w:tcPr>
            <w:tcW w:w="300" w:type="pct"/>
            <w:tcBorders>
              <w:top w:val="single" w:sz="4" w:space="0" w:color="auto"/>
              <w:left w:val="nil"/>
              <w:bottom w:val="single" w:sz="4" w:space="0" w:color="auto"/>
              <w:right w:val="nil"/>
            </w:tcBorders>
          </w:tcPr>
          <w:p w14:paraId="0C7FD80C" w14:textId="77777777" w:rsidR="00323BB2" w:rsidRPr="0061063C" w:rsidRDefault="00323BB2" w:rsidP="00453AFA">
            <w:pPr>
              <w:jc w:val="right"/>
              <w:rPr>
                <w:rFonts w:asciiTheme="minorHAnsi" w:hAnsiTheme="minorHAnsi"/>
                <w:b/>
                <w:sz w:val="16"/>
                <w:szCs w:val="16"/>
              </w:rPr>
            </w:pPr>
          </w:p>
          <w:p w14:paraId="1F8FF690"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2.3</w:t>
            </w:r>
          </w:p>
        </w:tc>
        <w:tc>
          <w:tcPr>
            <w:tcW w:w="300" w:type="pct"/>
            <w:tcBorders>
              <w:top w:val="single" w:sz="4" w:space="0" w:color="auto"/>
              <w:left w:val="nil"/>
              <w:bottom w:val="single" w:sz="4" w:space="0" w:color="auto"/>
              <w:right w:val="nil"/>
            </w:tcBorders>
          </w:tcPr>
          <w:p w14:paraId="70F2C09C" w14:textId="77777777" w:rsidR="00323BB2" w:rsidRPr="0061063C" w:rsidRDefault="00323BB2" w:rsidP="00453AFA">
            <w:pPr>
              <w:jc w:val="right"/>
              <w:rPr>
                <w:rFonts w:asciiTheme="minorHAnsi" w:hAnsiTheme="minorHAnsi"/>
                <w:b/>
                <w:sz w:val="16"/>
                <w:szCs w:val="16"/>
              </w:rPr>
            </w:pPr>
          </w:p>
          <w:p w14:paraId="2BD419C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(40.7)</w:t>
            </w:r>
          </w:p>
        </w:tc>
        <w:tc>
          <w:tcPr>
            <w:tcW w:w="300" w:type="pct"/>
            <w:tcBorders>
              <w:top w:val="single" w:sz="4" w:space="0" w:color="auto"/>
              <w:left w:val="nil"/>
              <w:bottom w:val="single" w:sz="4" w:space="0" w:color="auto"/>
              <w:right w:val="nil"/>
            </w:tcBorders>
          </w:tcPr>
          <w:p w14:paraId="02ECEF56" w14:textId="77777777" w:rsidR="00323BB2" w:rsidRPr="0061063C" w:rsidRDefault="00323BB2" w:rsidP="00453AFA">
            <w:pPr>
              <w:jc w:val="right"/>
              <w:rPr>
                <w:rFonts w:asciiTheme="minorHAnsi" w:hAnsiTheme="minorHAnsi"/>
                <w:b/>
                <w:sz w:val="16"/>
                <w:szCs w:val="16"/>
              </w:rPr>
            </w:pPr>
          </w:p>
          <w:p w14:paraId="56A67123"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(5.8)</w:t>
            </w:r>
          </w:p>
        </w:tc>
        <w:tc>
          <w:tcPr>
            <w:tcW w:w="300" w:type="pct"/>
            <w:tcBorders>
              <w:top w:val="single" w:sz="4" w:space="0" w:color="auto"/>
              <w:left w:val="nil"/>
              <w:bottom w:val="single" w:sz="4" w:space="0" w:color="auto"/>
              <w:right w:val="nil"/>
            </w:tcBorders>
          </w:tcPr>
          <w:p w14:paraId="4A4F1CB7" w14:textId="77777777" w:rsidR="00323BB2" w:rsidRPr="0061063C" w:rsidRDefault="00323BB2" w:rsidP="00453AFA">
            <w:pPr>
              <w:jc w:val="right"/>
              <w:rPr>
                <w:rFonts w:asciiTheme="minorHAnsi" w:hAnsiTheme="minorHAnsi"/>
                <w:b/>
                <w:sz w:val="16"/>
                <w:szCs w:val="16"/>
              </w:rPr>
            </w:pPr>
          </w:p>
          <w:p w14:paraId="580D7085"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97.4</w:t>
            </w:r>
          </w:p>
        </w:tc>
        <w:tc>
          <w:tcPr>
            <w:tcW w:w="300" w:type="pct"/>
            <w:tcBorders>
              <w:top w:val="single" w:sz="4" w:space="0" w:color="auto"/>
              <w:left w:val="nil"/>
              <w:bottom w:val="single" w:sz="4" w:space="0" w:color="auto"/>
              <w:right w:val="nil"/>
            </w:tcBorders>
          </w:tcPr>
          <w:p w14:paraId="16A28891" w14:textId="77777777" w:rsidR="00323BB2" w:rsidRPr="0061063C" w:rsidRDefault="00323BB2" w:rsidP="00453AFA">
            <w:pPr>
              <w:jc w:val="right"/>
              <w:rPr>
                <w:rFonts w:asciiTheme="minorHAnsi" w:hAnsiTheme="minorHAnsi"/>
                <w:b/>
                <w:sz w:val="16"/>
                <w:szCs w:val="16"/>
              </w:rPr>
            </w:pPr>
          </w:p>
          <w:p w14:paraId="745DEBE1"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3,</w:t>
            </w:r>
            <w:r>
              <w:rPr>
                <w:rFonts w:asciiTheme="minorHAnsi" w:hAnsiTheme="minorHAnsi"/>
                <w:b/>
                <w:sz w:val="16"/>
                <w:szCs w:val="16"/>
              </w:rPr>
              <w:t>624</w:t>
            </w:r>
            <w:r w:rsidRPr="0061063C">
              <w:rPr>
                <w:rFonts w:asciiTheme="minorHAnsi" w:hAnsiTheme="minorHAnsi"/>
                <w:b/>
                <w:sz w:val="16"/>
                <w:szCs w:val="16"/>
              </w:rPr>
              <w:t>.</w:t>
            </w:r>
            <w:r>
              <w:rPr>
                <w:rFonts w:asciiTheme="minorHAnsi" w:hAnsiTheme="minorHAnsi"/>
                <w:b/>
                <w:sz w:val="16"/>
                <w:szCs w:val="16"/>
              </w:rPr>
              <w:t>6</w:t>
            </w:r>
          </w:p>
        </w:tc>
        <w:tc>
          <w:tcPr>
            <w:tcW w:w="303" w:type="pct"/>
            <w:tcBorders>
              <w:top w:val="single" w:sz="4" w:space="0" w:color="auto"/>
              <w:left w:val="nil"/>
              <w:bottom w:val="single" w:sz="4" w:space="0" w:color="auto"/>
              <w:right w:val="nil"/>
            </w:tcBorders>
          </w:tcPr>
          <w:p w14:paraId="522F0256" w14:textId="77777777" w:rsidR="00323BB2" w:rsidRPr="0061063C" w:rsidRDefault="00323BB2" w:rsidP="00453AFA">
            <w:pPr>
              <w:jc w:val="right"/>
              <w:rPr>
                <w:rFonts w:asciiTheme="minorHAnsi" w:hAnsiTheme="minorHAnsi"/>
                <w:b/>
                <w:sz w:val="16"/>
                <w:szCs w:val="16"/>
              </w:rPr>
            </w:pPr>
          </w:p>
          <w:p w14:paraId="707970C9"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11,345.3</w:t>
            </w:r>
          </w:p>
        </w:tc>
        <w:tc>
          <w:tcPr>
            <w:tcW w:w="319" w:type="pct"/>
            <w:tcBorders>
              <w:top w:val="single" w:sz="4" w:space="0" w:color="auto"/>
              <w:left w:val="nil"/>
              <w:bottom w:val="single" w:sz="4" w:space="0" w:color="auto"/>
              <w:right w:val="nil"/>
            </w:tcBorders>
            <w:shd w:val="clear" w:color="auto" w:fill="auto"/>
          </w:tcPr>
          <w:p w14:paraId="7DE8BD29" w14:textId="77777777" w:rsidR="00323BB2" w:rsidRPr="0061063C" w:rsidRDefault="00323BB2" w:rsidP="00453AFA">
            <w:pPr>
              <w:jc w:val="right"/>
              <w:rPr>
                <w:rFonts w:asciiTheme="minorHAnsi" w:hAnsiTheme="minorHAnsi"/>
                <w:b/>
                <w:sz w:val="16"/>
                <w:szCs w:val="16"/>
              </w:rPr>
            </w:pPr>
          </w:p>
          <w:p w14:paraId="64ADCEB2"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199.0</w:t>
            </w:r>
          </w:p>
        </w:tc>
        <w:tc>
          <w:tcPr>
            <w:tcW w:w="269" w:type="pct"/>
            <w:tcBorders>
              <w:top w:val="single" w:sz="4" w:space="0" w:color="auto"/>
              <w:left w:val="nil"/>
              <w:bottom w:val="single" w:sz="4" w:space="0" w:color="auto"/>
              <w:right w:val="nil"/>
            </w:tcBorders>
          </w:tcPr>
          <w:p w14:paraId="7ADF65CA" w14:textId="77777777" w:rsidR="00323BB2" w:rsidRPr="0061063C" w:rsidRDefault="00323BB2" w:rsidP="00453AFA">
            <w:pPr>
              <w:jc w:val="right"/>
              <w:rPr>
                <w:rFonts w:asciiTheme="minorHAnsi" w:hAnsiTheme="minorHAnsi"/>
                <w:b/>
                <w:sz w:val="16"/>
                <w:szCs w:val="16"/>
              </w:rPr>
            </w:pPr>
          </w:p>
          <w:p w14:paraId="6751027F" w14:textId="77777777" w:rsidR="00323BB2" w:rsidRPr="0061063C" w:rsidRDefault="00323BB2" w:rsidP="00453AFA">
            <w:pPr>
              <w:jc w:val="right"/>
              <w:rPr>
                <w:rFonts w:asciiTheme="minorHAnsi" w:hAnsiTheme="minorHAnsi"/>
                <w:b/>
                <w:sz w:val="16"/>
                <w:szCs w:val="16"/>
              </w:rPr>
            </w:pPr>
            <w:r w:rsidRPr="0061063C">
              <w:rPr>
                <w:rFonts w:asciiTheme="minorHAnsi" w:hAnsiTheme="minorHAnsi"/>
                <w:b/>
                <w:sz w:val="16"/>
                <w:szCs w:val="16"/>
              </w:rPr>
              <w:t>11,544.3</w:t>
            </w:r>
          </w:p>
        </w:tc>
      </w:tr>
    </w:tbl>
    <w:p w14:paraId="201E6B02" w14:textId="77777777" w:rsidR="00323BB2" w:rsidRDefault="00323BB2" w:rsidP="00323BB2">
      <w:pPr>
        <w:pStyle w:val="BodyText"/>
        <w:spacing w:after="0"/>
        <w:rPr>
          <w:rFonts w:asciiTheme="minorHAnsi" w:hAnsiTheme="minorHAnsi"/>
          <w:b/>
          <w:sz w:val="20"/>
          <w:szCs w:val="22"/>
          <w:lang w:val="en-IE"/>
        </w:rPr>
      </w:pPr>
    </w:p>
    <w:p w14:paraId="49FBE08D" w14:textId="77777777" w:rsidR="00323BB2" w:rsidRPr="0061063C" w:rsidRDefault="00323BB2" w:rsidP="00323BB2">
      <w:pPr>
        <w:pStyle w:val="BodyText"/>
        <w:spacing w:after="0"/>
        <w:rPr>
          <w:rFonts w:asciiTheme="minorHAnsi" w:hAnsiTheme="minorHAnsi"/>
          <w:b/>
          <w:sz w:val="20"/>
          <w:szCs w:val="22"/>
          <w:lang w:val="en-IE" w:eastAsia="en-IE"/>
        </w:rPr>
      </w:pPr>
      <w:r w:rsidRPr="0061063C">
        <w:rPr>
          <w:rFonts w:asciiTheme="minorHAnsi" w:hAnsiTheme="minorHAnsi"/>
          <w:b/>
          <w:sz w:val="20"/>
          <w:szCs w:val="22"/>
          <w:lang w:val="en-IE"/>
        </w:rPr>
        <w:lastRenderedPageBreak/>
        <w:t>CONDENSED CONSOLIDATED INTERIM STATEMENT OF CHANGES IN EQUITY</w:t>
      </w:r>
    </w:p>
    <w:p w14:paraId="5EE25D3C" w14:textId="77777777" w:rsidR="00323BB2" w:rsidRPr="0061063C" w:rsidRDefault="00323BB2" w:rsidP="00323BB2">
      <w:pPr>
        <w:pStyle w:val="BodyText"/>
        <w:spacing w:after="0"/>
        <w:rPr>
          <w:rFonts w:asciiTheme="minorHAnsi" w:hAnsiTheme="minorHAnsi"/>
          <w:szCs w:val="22"/>
          <w:lang w:val="en-IE"/>
        </w:rPr>
      </w:pPr>
      <w:r w:rsidRPr="0061063C">
        <w:rPr>
          <w:rFonts w:asciiTheme="minorHAnsi" w:hAnsiTheme="minorHAnsi"/>
          <w:sz w:val="20"/>
          <w:szCs w:val="22"/>
          <w:lang w:val="en-IE"/>
        </w:rPr>
        <w:t>For the six months ended 30 June 2019</w:t>
      </w:r>
    </w:p>
    <w:p w14:paraId="2D1FA2BC" w14:textId="77777777" w:rsidR="00323BB2" w:rsidRPr="0061063C" w:rsidRDefault="00323BB2" w:rsidP="00323BB2">
      <w:pPr>
        <w:pStyle w:val="BodyText"/>
        <w:spacing w:after="0"/>
        <w:rPr>
          <w:rFonts w:asciiTheme="minorHAnsi" w:hAnsiTheme="minorHAnsi"/>
          <w:b/>
          <w:sz w:val="18"/>
          <w:szCs w:val="18"/>
          <w:lang w:val="en-IE"/>
        </w:rPr>
      </w:pPr>
    </w:p>
    <w:p w14:paraId="31B2DB44" w14:textId="77777777" w:rsidR="00323BB2" w:rsidRPr="0061063C" w:rsidRDefault="00323BB2" w:rsidP="00323BB2">
      <w:pPr>
        <w:pStyle w:val="BodyText"/>
        <w:spacing w:after="0"/>
        <w:rPr>
          <w:rFonts w:asciiTheme="minorHAnsi" w:hAnsiTheme="minorHAnsi"/>
          <w:b/>
          <w:sz w:val="18"/>
          <w:szCs w:val="18"/>
          <w:lang w:val="en-IE"/>
        </w:rPr>
      </w:pPr>
    </w:p>
    <w:tbl>
      <w:tblPr>
        <w:tblW w:w="4802" w:type="pct"/>
        <w:tblLayout w:type="fixed"/>
        <w:tblLook w:val="0000" w:firstRow="0" w:lastRow="0" w:firstColumn="0" w:lastColumn="0" w:noHBand="0" w:noVBand="0"/>
      </w:tblPr>
      <w:tblGrid>
        <w:gridCol w:w="2974"/>
        <w:gridCol w:w="983"/>
        <w:gridCol w:w="12"/>
        <w:gridCol w:w="1059"/>
        <w:gridCol w:w="1074"/>
        <w:gridCol w:w="1074"/>
        <w:gridCol w:w="1074"/>
        <w:gridCol w:w="1074"/>
        <w:gridCol w:w="1074"/>
        <w:gridCol w:w="1074"/>
        <w:gridCol w:w="1077"/>
        <w:gridCol w:w="67"/>
        <w:gridCol w:w="995"/>
        <w:gridCol w:w="1059"/>
      </w:tblGrid>
      <w:tr w:rsidR="00323BB2" w:rsidRPr="0061063C" w14:paraId="183F971B" w14:textId="77777777" w:rsidTr="00453AFA">
        <w:trPr>
          <w:gridAfter w:val="2"/>
          <w:wAfter w:w="700" w:type="pct"/>
          <w:trHeight w:val="244"/>
        </w:trPr>
        <w:tc>
          <w:tcPr>
            <w:tcW w:w="1353" w:type="pct"/>
            <w:gridSpan w:val="3"/>
            <w:tcBorders>
              <w:left w:val="nil"/>
              <w:bottom w:val="single" w:sz="4" w:space="0" w:color="auto"/>
              <w:right w:val="single" w:sz="4" w:space="0" w:color="auto"/>
            </w:tcBorders>
          </w:tcPr>
          <w:p w14:paraId="359298CB" w14:textId="77777777" w:rsidR="00323BB2" w:rsidRPr="0061063C" w:rsidRDefault="00323BB2" w:rsidP="00453AFA">
            <w:pPr>
              <w:ind w:left="-108"/>
              <w:rPr>
                <w:rFonts w:asciiTheme="minorHAnsi" w:hAnsiTheme="minorHAnsi"/>
                <w:sz w:val="16"/>
                <w:szCs w:val="16"/>
              </w:rPr>
            </w:pPr>
          </w:p>
        </w:tc>
        <w:tc>
          <w:tcPr>
            <w:tcW w:w="2947" w:type="pct"/>
            <w:gridSpan w:val="9"/>
            <w:tcBorders>
              <w:top w:val="single" w:sz="4" w:space="0" w:color="auto"/>
              <w:left w:val="single" w:sz="4" w:space="0" w:color="auto"/>
              <w:bottom w:val="single" w:sz="4" w:space="0" w:color="auto"/>
              <w:right w:val="single" w:sz="4" w:space="0" w:color="auto"/>
            </w:tcBorders>
          </w:tcPr>
          <w:p w14:paraId="53FC7C76" w14:textId="77777777" w:rsidR="00323BB2" w:rsidRPr="0061063C" w:rsidRDefault="00323BB2" w:rsidP="00453AFA">
            <w:pPr>
              <w:jc w:val="center"/>
              <w:rPr>
                <w:rFonts w:asciiTheme="minorHAnsi" w:hAnsiTheme="minorHAnsi"/>
                <w:b/>
                <w:bCs/>
                <w:sz w:val="16"/>
                <w:szCs w:val="16"/>
              </w:rPr>
            </w:pPr>
            <w:r w:rsidRPr="0061063C">
              <w:rPr>
                <w:rFonts w:asciiTheme="minorHAnsi" w:hAnsiTheme="minorHAnsi"/>
                <w:b/>
                <w:bCs/>
                <w:sz w:val="16"/>
                <w:szCs w:val="16"/>
              </w:rPr>
              <w:t>Attributable to equity holders of the Company</w:t>
            </w:r>
          </w:p>
        </w:tc>
      </w:tr>
      <w:tr w:rsidR="00323BB2" w:rsidRPr="0061063C" w14:paraId="2BDC4D6B" w14:textId="77777777" w:rsidTr="00453AFA">
        <w:trPr>
          <w:trHeight w:val="1070"/>
        </w:trPr>
        <w:tc>
          <w:tcPr>
            <w:tcW w:w="1014" w:type="pct"/>
            <w:tcBorders>
              <w:top w:val="single" w:sz="4" w:space="0" w:color="auto"/>
              <w:left w:val="nil"/>
              <w:bottom w:val="single" w:sz="4" w:space="0" w:color="auto"/>
              <w:right w:val="nil"/>
            </w:tcBorders>
          </w:tcPr>
          <w:p w14:paraId="5A94B149" w14:textId="77777777" w:rsidR="00323BB2" w:rsidRPr="0061063C" w:rsidRDefault="00323BB2" w:rsidP="00453AFA">
            <w:pPr>
              <w:ind w:left="-108"/>
              <w:rPr>
                <w:rFonts w:asciiTheme="minorHAnsi" w:hAnsiTheme="minorHAnsi"/>
                <w:sz w:val="16"/>
                <w:szCs w:val="16"/>
              </w:rPr>
            </w:pPr>
          </w:p>
          <w:p w14:paraId="15622C7E" w14:textId="77777777" w:rsidR="00323BB2" w:rsidRPr="0061063C" w:rsidRDefault="00323BB2" w:rsidP="00453AFA">
            <w:pPr>
              <w:ind w:left="-108"/>
              <w:rPr>
                <w:rFonts w:asciiTheme="minorHAnsi" w:hAnsiTheme="minorHAnsi"/>
                <w:sz w:val="16"/>
                <w:szCs w:val="16"/>
              </w:rPr>
            </w:pPr>
          </w:p>
          <w:p w14:paraId="7251919F" w14:textId="77777777" w:rsidR="00323BB2" w:rsidRPr="0061063C" w:rsidRDefault="00323BB2" w:rsidP="00453AFA">
            <w:pPr>
              <w:ind w:left="-108"/>
              <w:rPr>
                <w:rFonts w:asciiTheme="minorHAnsi" w:hAnsiTheme="minorHAnsi"/>
                <w:sz w:val="16"/>
                <w:szCs w:val="16"/>
              </w:rPr>
            </w:pPr>
          </w:p>
          <w:p w14:paraId="3E4C7547" w14:textId="77777777" w:rsidR="00323BB2" w:rsidRPr="0061063C" w:rsidRDefault="00323BB2" w:rsidP="00453AFA">
            <w:pPr>
              <w:ind w:left="-108"/>
              <w:rPr>
                <w:rFonts w:asciiTheme="minorHAnsi" w:hAnsiTheme="minorHAnsi"/>
                <w:sz w:val="16"/>
                <w:szCs w:val="16"/>
              </w:rPr>
            </w:pPr>
          </w:p>
          <w:p w14:paraId="163BE9A8" w14:textId="77777777" w:rsidR="00323BB2" w:rsidRPr="0061063C" w:rsidRDefault="00323BB2" w:rsidP="00453AFA">
            <w:pPr>
              <w:ind w:left="-108"/>
              <w:rPr>
                <w:rFonts w:asciiTheme="minorHAnsi" w:hAnsiTheme="minorHAnsi"/>
                <w:sz w:val="16"/>
                <w:szCs w:val="16"/>
              </w:rPr>
            </w:pPr>
          </w:p>
          <w:p w14:paraId="137F82BD"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(unaudited)</w:t>
            </w:r>
          </w:p>
        </w:tc>
        <w:tc>
          <w:tcPr>
            <w:tcW w:w="335" w:type="pct"/>
            <w:tcBorders>
              <w:top w:val="single" w:sz="4" w:space="0" w:color="auto"/>
              <w:left w:val="nil"/>
              <w:bottom w:val="single" w:sz="4" w:space="0" w:color="auto"/>
              <w:right w:val="nil"/>
            </w:tcBorders>
          </w:tcPr>
          <w:p w14:paraId="1DC742B0" w14:textId="77777777" w:rsidR="00323BB2" w:rsidRPr="0061063C" w:rsidRDefault="00323BB2" w:rsidP="00453AFA">
            <w:pPr>
              <w:jc w:val="right"/>
              <w:rPr>
                <w:rFonts w:asciiTheme="minorHAnsi" w:hAnsiTheme="minorHAnsi"/>
                <w:bCs/>
                <w:sz w:val="16"/>
                <w:szCs w:val="16"/>
              </w:rPr>
            </w:pPr>
          </w:p>
          <w:p w14:paraId="00560BFE" w14:textId="77777777" w:rsidR="00323BB2" w:rsidRPr="0061063C" w:rsidRDefault="00323BB2" w:rsidP="00453AFA">
            <w:pPr>
              <w:jc w:val="right"/>
              <w:rPr>
                <w:rFonts w:asciiTheme="minorHAnsi" w:hAnsiTheme="minorHAnsi"/>
                <w:bCs/>
                <w:i/>
                <w:sz w:val="16"/>
                <w:szCs w:val="16"/>
              </w:rPr>
            </w:pPr>
            <w:r w:rsidRPr="0061063C">
              <w:rPr>
                <w:rFonts w:asciiTheme="minorHAnsi" w:hAnsiTheme="minorHAnsi"/>
                <w:bCs/>
                <w:i/>
                <w:sz w:val="16"/>
                <w:szCs w:val="16"/>
              </w:rPr>
              <w:t>Number of</w:t>
            </w:r>
          </w:p>
          <w:p w14:paraId="0016CFA4" w14:textId="77777777" w:rsidR="00323BB2" w:rsidRPr="0061063C" w:rsidRDefault="00323BB2" w:rsidP="00453AFA">
            <w:pPr>
              <w:jc w:val="right"/>
              <w:rPr>
                <w:rFonts w:asciiTheme="minorHAnsi" w:hAnsiTheme="minorHAnsi"/>
                <w:bCs/>
                <w:i/>
                <w:sz w:val="16"/>
                <w:szCs w:val="16"/>
              </w:rPr>
            </w:pPr>
            <w:r w:rsidRPr="0061063C">
              <w:rPr>
                <w:rFonts w:asciiTheme="minorHAnsi" w:hAnsiTheme="minorHAnsi"/>
                <w:bCs/>
                <w:i/>
                <w:sz w:val="16"/>
                <w:szCs w:val="16"/>
              </w:rPr>
              <w:t xml:space="preserve"> ordinary</w:t>
            </w:r>
          </w:p>
          <w:p w14:paraId="06287B2F" w14:textId="77777777" w:rsidR="00323BB2" w:rsidRPr="0061063C" w:rsidRDefault="00323BB2" w:rsidP="00453AFA">
            <w:pPr>
              <w:jc w:val="right"/>
              <w:rPr>
                <w:rFonts w:asciiTheme="minorHAnsi" w:hAnsiTheme="minorHAnsi"/>
                <w:bCs/>
                <w:i/>
                <w:sz w:val="16"/>
                <w:szCs w:val="16"/>
              </w:rPr>
            </w:pPr>
            <w:r w:rsidRPr="0061063C">
              <w:rPr>
                <w:rFonts w:asciiTheme="minorHAnsi" w:hAnsiTheme="minorHAnsi"/>
                <w:bCs/>
                <w:i/>
                <w:sz w:val="16"/>
                <w:szCs w:val="16"/>
              </w:rPr>
              <w:t xml:space="preserve"> shares in</w:t>
            </w:r>
          </w:p>
          <w:p w14:paraId="5A0A6931"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i/>
                <w:sz w:val="16"/>
                <w:szCs w:val="16"/>
              </w:rPr>
              <w:t xml:space="preserve"> issu</w:t>
            </w:r>
            <w:r w:rsidRPr="0061063C">
              <w:rPr>
                <w:rFonts w:asciiTheme="minorHAnsi" w:hAnsiTheme="minorHAnsi"/>
                <w:bCs/>
                <w:sz w:val="16"/>
                <w:szCs w:val="16"/>
              </w:rPr>
              <w:t>e</w:t>
            </w:r>
          </w:p>
          <w:p w14:paraId="5C7259F2" w14:textId="77777777" w:rsidR="00323BB2" w:rsidRPr="0061063C" w:rsidRDefault="00323BB2" w:rsidP="00453AFA">
            <w:pPr>
              <w:jc w:val="right"/>
              <w:rPr>
                <w:rFonts w:asciiTheme="minorHAnsi" w:hAnsiTheme="minorHAnsi"/>
                <w:i/>
                <w:sz w:val="16"/>
                <w:szCs w:val="16"/>
              </w:rPr>
            </w:pPr>
            <w:r w:rsidRPr="0061063C">
              <w:rPr>
                <w:rFonts w:asciiTheme="minorHAnsi" w:hAnsiTheme="minorHAnsi"/>
                <w:bCs/>
                <w:i/>
                <w:sz w:val="16"/>
                <w:szCs w:val="16"/>
              </w:rPr>
              <w:t>millions</w:t>
            </w:r>
          </w:p>
        </w:tc>
        <w:tc>
          <w:tcPr>
            <w:tcW w:w="365" w:type="pct"/>
            <w:gridSpan w:val="2"/>
            <w:tcBorders>
              <w:top w:val="single" w:sz="4" w:space="0" w:color="auto"/>
              <w:left w:val="nil"/>
              <w:bottom w:val="single" w:sz="4" w:space="0" w:color="auto"/>
              <w:right w:val="nil"/>
            </w:tcBorders>
          </w:tcPr>
          <w:p w14:paraId="29F17993"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Issued</w:t>
            </w:r>
          </w:p>
          <w:p w14:paraId="2FD1BC05"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share</w:t>
            </w:r>
          </w:p>
          <w:p w14:paraId="1C26C776"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capital and share premium</w:t>
            </w:r>
          </w:p>
          <w:p w14:paraId="16BEC3D3"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6" w:type="pct"/>
            <w:tcBorders>
              <w:top w:val="single" w:sz="4" w:space="0" w:color="auto"/>
              <w:left w:val="nil"/>
              <w:bottom w:val="single" w:sz="4" w:space="0" w:color="auto"/>
              <w:right w:val="nil"/>
            </w:tcBorders>
          </w:tcPr>
          <w:p w14:paraId="2F6B33D8" w14:textId="77777777" w:rsidR="00323BB2" w:rsidRPr="0061063C" w:rsidRDefault="00323BB2" w:rsidP="00453AFA">
            <w:pPr>
              <w:jc w:val="right"/>
              <w:rPr>
                <w:rFonts w:asciiTheme="minorHAnsi" w:hAnsiTheme="minorHAnsi"/>
                <w:bCs/>
                <w:sz w:val="16"/>
                <w:szCs w:val="16"/>
              </w:rPr>
            </w:pPr>
          </w:p>
          <w:p w14:paraId="3EB0B62B"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Foreign</w:t>
            </w:r>
          </w:p>
          <w:p w14:paraId="1C495B27"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exchange</w:t>
            </w:r>
          </w:p>
          <w:p w14:paraId="453A9E3E"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translation</w:t>
            </w:r>
          </w:p>
          <w:p w14:paraId="74D57767" w14:textId="77777777" w:rsidR="00323BB2" w:rsidRPr="0061063C" w:rsidRDefault="00323BB2" w:rsidP="00453AFA">
            <w:pPr>
              <w:jc w:val="right"/>
              <w:rPr>
                <w:rFonts w:asciiTheme="minorHAnsi" w:hAnsiTheme="minorHAnsi"/>
                <w:sz w:val="18"/>
                <w:szCs w:val="18"/>
              </w:rPr>
            </w:pPr>
            <w:r w:rsidRPr="0061063C">
              <w:rPr>
                <w:rFonts w:asciiTheme="minorHAnsi" w:hAnsiTheme="minorHAnsi"/>
                <w:bCs/>
                <w:sz w:val="16"/>
                <w:szCs w:val="16"/>
              </w:rPr>
              <w:t xml:space="preserve"> reserve</w:t>
            </w:r>
          </w:p>
          <w:p w14:paraId="3C52A42D"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6" w:type="pct"/>
            <w:tcBorders>
              <w:top w:val="single" w:sz="4" w:space="0" w:color="auto"/>
              <w:left w:val="nil"/>
              <w:bottom w:val="single" w:sz="4" w:space="0" w:color="auto"/>
              <w:right w:val="nil"/>
            </w:tcBorders>
          </w:tcPr>
          <w:p w14:paraId="497132A1" w14:textId="77777777" w:rsidR="00323BB2" w:rsidRPr="0061063C" w:rsidRDefault="00323BB2" w:rsidP="00453AFA">
            <w:pPr>
              <w:jc w:val="right"/>
              <w:rPr>
                <w:rFonts w:asciiTheme="minorHAnsi" w:hAnsiTheme="minorHAnsi"/>
                <w:bCs/>
                <w:sz w:val="16"/>
                <w:szCs w:val="16"/>
              </w:rPr>
            </w:pPr>
          </w:p>
          <w:p w14:paraId="16B033FD" w14:textId="77777777" w:rsidR="00323BB2" w:rsidRPr="0061063C" w:rsidRDefault="00323BB2" w:rsidP="00453AFA">
            <w:pPr>
              <w:jc w:val="right"/>
              <w:rPr>
                <w:rFonts w:asciiTheme="minorHAnsi" w:hAnsiTheme="minorHAnsi"/>
                <w:bCs/>
                <w:sz w:val="16"/>
                <w:szCs w:val="16"/>
              </w:rPr>
            </w:pPr>
          </w:p>
          <w:p w14:paraId="00C7412A" w14:textId="77777777" w:rsidR="00323BB2" w:rsidRPr="0061063C" w:rsidRDefault="00323BB2" w:rsidP="00453AFA">
            <w:pPr>
              <w:jc w:val="right"/>
              <w:rPr>
                <w:rFonts w:asciiTheme="minorHAnsi" w:hAnsiTheme="minorHAnsi"/>
                <w:bCs/>
                <w:sz w:val="16"/>
                <w:szCs w:val="16"/>
              </w:rPr>
            </w:pPr>
          </w:p>
          <w:p w14:paraId="771B89F9"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Other</w:t>
            </w:r>
          </w:p>
          <w:p w14:paraId="76890B9E"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reserves</w:t>
            </w:r>
          </w:p>
          <w:p w14:paraId="028FA304"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6" w:type="pct"/>
            <w:tcBorders>
              <w:top w:val="single" w:sz="4" w:space="0" w:color="auto"/>
              <w:left w:val="nil"/>
              <w:bottom w:val="single" w:sz="4" w:space="0" w:color="auto"/>
              <w:right w:val="nil"/>
            </w:tcBorders>
          </w:tcPr>
          <w:p w14:paraId="5B6D723F" w14:textId="77777777" w:rsidR="00323BB2" w:rsidRPr="0061063C" w:rsidRDefault="00323BB2" w:rsidP="00453AFA">
            <w:pPr>
              <w:jc w:val="right"/>
              <w:rPr>
                <w:rFonts w:asciiTheme="minorHAnsi" w:hAnsiTheme="minorHAnsi"/>
                <w:bCs/>
                <w:sz w:val="16"/>
                <w:szCs w:val="16"/>
              </w:rPr>
            </w:pPr>
          </w:p>
          <w:p w14:paraId="10C4B1A9" w14:textId="77777777" w:rsidR="00323BB2" w:rsidRPr="0061063C" w:rsidRDefault="00323BB2" w:rsidP="00453AFA">
            <w:pPr>
              <w:jc w:val="right"/>
              <w:rPr>
                <w:rFonts w:asciiTheme="minorHAnsi" w:hAnsiTheme="minorHAnsi"/>
                <w:bCs/>
                <w:sz w:val="16"/>
                <w:szCs w:val="16"/>
              </w:rPr>
            </w:pPr>
          </w:p>
          <w:p w14:paraId="64E0518C" w14:textId="77777777" w:rsidR="00323BB2" w:rsidRPr="0061063C" w:rsidRDefault="00323BB2" w:rsidP="00453AFA">
            <w:pPr>
              <w:jc w:val="right"/>
              <w:rPr>
                <w:rFonts w:asciiTheme="minorHAnsi" w:hAnsiTheme="minorHAnsi"/>
                <w:bCs/>
                <w:sz w:val="16"/>
                <w:szCs w:val="16"/>
              </w:rPr>
            </w:pPr>
          </w:p>
          <w:p w14:paraId="0CA547B2"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Treasury</w:t>
            </w:r>
          </w:p>
          <w:p w14:paraId="3BBC375B"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shares</w:t>
            </w:r>
          </w:p>
          <w:p w14:paraId="3EA460AC"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6" w:type="pct"/>
            <w:tcBorders>
              <w:top w:val="single" w:sz="4" w:space="0" w:color="auto"/>
              <w:left w:val="nil"/>
              <w:bottom w:val="single" w:sz="4" w:space="0" w:color="auto"/>
              <w:right w:val="nil"/>
            </w:tcBorders>
          </w:tcPr>
          <w:p w14:paraId="431D6C51"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Shares</w:t>
            </w:r>
          </w:p>
          <w:p w14:paraId="5AD1445A"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held by</w:t>
            </w:r>
          </w:p>
          <w:p w14:paraId="2938243D"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employee</w:t>
            </w:r>
          </w:p>
          <w:p w14:paraId="69D2EF15"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benefit</w:t>
            </w:r>
          </w:p>
          <w:p w14:paraId="5C2AD7F0"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trust</w:t>
            </w:r>
          </w:p>
          <w:p w14:paraId="72AAEDD2"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6" w:type="pct"/>
            <w:tcBorders>
              <w:top w:val="single" w:sz="4" w:space="0" w:color="auto"/>
              <w:left w:val="nil"/>
              <w:bottom w:val="single" w:sz="4" w:space="0" w:color="auto"/>
              <w:right w:val="nil"/>
            </w:tcBorders>
          </w:tcPr>
          <w:p w14:paraId="2272971D" w14:textId="77777777" w:rsidR="00323BB2" w:rsidRPr="0061063C" w:rsidRDefault="00323BB2" w:rsidP="00453AFA">
            <w:pPr>
              <w:jc w:val="right"/>
              <w:rPr>
                <w:rFonts w:asciiTheme="minorHAnsi" w:hAnsiTheme="minorHAnsi"/>
                <w:bCs/>
                <w:sz w:val="16"/>
                <w:szCs w:val="16"/>
              </w:rPr>
            </w:pPr>
          </w:p>
          <w:p w14:paraId="211BF6E6"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Share-</w:t>
            </w:r>
          </w:p>
          <w:p w14:paraId="48DB9458"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based</w:t>
            </w:r>
          </w:p>
          <w:p w14:paraId="2AD6D60D"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payment</w:t>
            </w:r>
          </w:p>
          <w:p w14:paraId="0EDE81A6"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reserve</w:t>
            </w:r>
          </w:p>
          <w:p w14:paraId="09207761"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6" w:type="pct"/>
            <w:tcBorders>
              <w:top w:val="single" w:sz="4" w:space="0" w:color="auto"/>
              <w:left w:val="nil"/>
              <w:bottom w:val="single" w:sz="4" w:space="0" w:color="auto"/>
              <w:right w:val="nil"/>
            </w:tcBorders>
          </w:tcPr>
          <w:p w14:paraId="3D906EF3" w14:textId="77777777" w:rsidR="00323BB2" w:rsidRPr="0061063C" w:rsidRDefault="00323BB2" w:rsidP="00453AFA">
            <w:pPr>
              <w:jc w:val="right"/>
              <w:rPr>
                <w:rFonts w:asciiTheme="minorHAnsi" w:hAnsiTheme="minorHAnsi"/>
                <w:bCs/>
                <w:sz w:val="16"/>
                <w:szCs w:val="16"/>
              </w:rPr>
            </w:pPr>
          </w:p>
          <w:p w14:paraId="68FD2848" w14:textId="77777777" w:rsidR="00323BB2" w:rsidRPr="0061063C" w:rsidRDefault="00323BB2" w:rsidP="00453AFA">
            <w:pPr>
              <w:jc w:val="right"/>
              <w:rPr>
                <w:rFonts w:asciiTheme="minorHAnsi" w:hAnsiTheme="minorHAnsi"/>
                <w:bCs/>
                <w:sz w:val="16"/>
                <w:szCs w:val="16"/>
              </w:rPr>
            </w:pPr>
          </w:p>
          <w:p w14:paraId="52FF4159" w14:textId="77777777" w:rsidR="00323BB2" w:rsidRPr="0061063C" w:rsidRDefault="00323BB2" w:rsidP="00453AFA">
            <w:pPr>
              <w:jc w:val="right"/>
              <w:rPr>
                <w:rFonts w:asciiTheme="minorHAnsi" w:hAnsiTheme="minorHAnsi"/>
                <w:bCs/>
                <w:sz w:val="16"/>
                <w:szCs w:val="16"/>
              </w:rPr>
            </w:pPr>
          </w:p>
          <w:p w14:paraId="257AE274"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Retained</w:t>
            </w:r>
          </w:p>
          <w:p w14:paraId="764E3DED"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earnings</w:t>
            </w:r>
          </w:p>
          <w:p w14:paraId="32AA995F" w14:textId="77777777" w:rsidR="00323BB2" w:rsidRPr="0061063C" w:rsidRDefault="00323BB2" w:rsidP="00453AFA">
            <w:pPr>
              <w:jc w:val="right"/>
              <w:rPr>
                <w:rFonts w:asciiTheme="minorHAnsi" w:hAnsiTheme="minorHAnsi"/>
                <w:sz w:val="16"/>
                <w:szCs w:val="16"/>
              </w:rPr>
            </w:pPr>
            <w:r w:rsidRPr="0061063C">
              <w:rPr>
                <w:rFonts w:asciiTheme="minorHAnsi" w:hAnsiTheme="minorHAnsi"/>
                <w:bCs/>
                <w:sz w:val="16"/>
                <w:szCs w:val="16"/>
              </w:rPr>
              <w:t>£m</w:t>
            </w:r>
          </w:p>
        </w:tc>
        <w:tc>
          <w:tcPr>
            <w:tcW w:w="367" w:type="pct"/>
            <w:tcBorders>
              <w:top w:val="single" w:sz="4" w:space="0" w:color="auto"/>
              <w:left w:val="nil"/>
              <w:bottom w:val="single" w:sz="4" w:space="0" w:color="auto"/>
              <w:right w:val="nil"/>
            </w:tcBorders>
          </w:tcPr>
          <w:p w14:paraId="55CA971E" w14:textId="77777777" w:rsidR="00323BB2" w:rsidRPr="0061063C" w:rsidRDefault="00323BB2" w:rsidP="00453AFA">
            <w:pPr>
              <w:jc w:val="right"/>
              <w:rPr>
                <w:rFonts w:asciiTheme="minorHAnsi" w:hAnsiTheme="minorHAnsi"/>
                <w:bCs/>
                <w:sz w:val="16"/>
                <w:szCs w:val="16"/>
              </w:rPr>
            </w:pPr>
          </w:p>
          <w:p w14:paraId="58145049" w14:textId="77777777" w:rsidR="00323BB2" w:rsidRPr="0061063C" w:rsidRDefault="00323BB2" w:rsidP="00453AFA">
            <w:pPr>
              <w:jc w:val="right"/>
              <w:rPr>
                <w:rFonts w:asciiTheme="minorHAnsi" w:hAnsiTheme="minorHAnsi"/>
                <w:bCs/>
                <w:sz w:val="16"/>
                <w:szCs w:val="16"/>
              </w:rPr>
            </w:pPr>
          </w:p>
          <w:p w14:paraId="1E58DA10" w14:textId="77777777" w:rsidR="00323BB2" w:rsidRPr="0061063C" w:rsidRDefault="00323BB2" w:rsidP="00453AFA">
            <w:pPr>
              <w:jc w:val="right"/>
              <w:rPr>
                <w:rFonts w:asciiTheme="minorHAnsi" w:hAnsiTheme="minorHAnsi"/>
                <w:bCs/>
                <w:sz w:val="16"/>
                <w:szCs w:val="16"/>
              </w:rPr>
            </w:pPr>
          </w:p>
          <w:p w14:paraId="51B24D9C"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Total</w:t>
            </w:r>
          </w:p>
          <w:p w14:paraId="4058438C"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equity</w:t>
            </w:r>
          </w:p>
          <w:p w14:paraId="15241E97"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£m</w:t>
            </w:r>
          </w:p>
        </w:tc>
        <w:tc>
          <w:tcPr>
            <w:tcW w:w="362" w:type="pct"/>
            <w:gridSpan w:val="2"/>
            <w:tcBorders>
              <w:left w:val="nil"/>
              <w:bottom w:val="single" w:sz="4" w:space="0" w:color="auto"/>
              <w:right w:val="nil"/>
            </w:tcBorders>
          </w:tcPr>
          <w:p w14:paraId="25B63A55" w14:textId="77777777" w:rsidR="00323BB2" w:rsidRPr="0061063C" w:rsidRDefault="00323BB2" w:rsidP="00453AFA">
            <w:pPr>
              <w:jc w:val="right"/>
              <w:rPr>
                <w:rFonts w:asciiTheme="minorHAnsi" w:hAnsiTheme="minorHAnsi"/>
                <w:bCs/>
                <w:sz w:val="16"/>
                <w:szCs w:val="16"/>
              </w:rPr>
            </w:pPr>
          </w:p>
          <w:p w14:paraId="5AE8A08D" w14:textId="77777777" w:rsidR="00323BB2" w:rsidRPr="0061063C" w:rsidRDefault="00323BB2" w:rsidP="00453AFA">
            <w:pPr>
              <w:jc w:val="right"/>
              <w:rPr>
                <w:rFonts w:asciiTheme="minorHAnsi" w:hAnsiTheme="minorHAnsi"/>
                <w:bCs/>
                <w:sz w:val="16"/>
                <w:szCs w:val="16"/>
              </w:rPr>
            </w:pPr>
          </w:p>
          <w:p w14:paraId="29641A9D"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Non-controlling interest</w:t>
            </w:r>
          </w:p>
          <w:p w14:paraId="005DC744"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£m</w:t>
            </w:r>
          </w:p>
        </w:tc>
        <w:tc>
          <w:tcPr>
            <w:tcW w:w="361" w:type="pct"/>
            <w:tcBorders>
              <w:left w:val="nil"/>
              <w:bottom w:val="single" w:sz="4" w:space="0" w:color="auto"/>
              <w:right w:val="nil"/>
            </w:tcBorders>
          </w:tcPr>
          <w:p w14:paraId="28B22118" w14:textId="77777777" w:rsidR="00323BB2" w:rsidRPr="0061063C" w:rsidRDefault="00323BB2" w:rsidP="00453AFA">
            <w:pPr>
              <w:jc w:val="right"/>
              <w:rPr>
                <w:rFonts w:asciiTheme="minorHAnsi" w:hAnsiTheme="minorHAnsi"/>
                <w:bCs/>
                <w:sz w:val="16"/>
                <w:szCs w:val="16"/>
              </w:rPr>
            </w:pPr>
          </w:p>
          <w:p w14:paraId="54AC61B2" w14:textId="77777777" w:rsidR="00323BB2" w:rsidRPr="0061063C" w:rsidRDefault="00323BB2" w:rsidP="00453AFA">
            <w:pPr>
              <w:jc w:val="right"/>
              <w:rPr>
                <w:rFonts w:asciiTheme="minorHAnsi" w:hAnsiTheme="minorHAnsi"/>
                <w:bCs/>
                <w:sz w:val="16"/>
                <w:szCs w:val="16"/>
              </w:rPr>
            </w:pPr>
          </w:p>
          <w:p w14:paraId="742CD8EE" w14:textId="77777777" w:rsidR="00323BB2" w:rsidRPr="0061063C" w:rsidRDefault="00323BB2" w:rsidP="00453AFA">
            <w:pPr>
              <w:jc w:val="right"/>
              <w:rPr>
                <w:rFonts w:asciiTheme="minorHAnsi" w:hAnsiTheme="minorHAnsi"/>
                <w:bCs/>
                <w:sz w:val="16"/>
                <w:szCs w:val="16"/>
              </w:rPr>
            </w:pPr>
          </w:p>
          <w:p w14:paraId="778B188B"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Total</w:t>
            </w:r>
          </w:p>
          <w:p w14:paraId="2E3996E4"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 xml:space="preserve"> equity</w:t>
            </w:r>
          </w:p>
          <w:p w14:paraId="725E6F2F" w14:textId="77777777" w:rsidR="00323BB2" w:rsidRPr="0061063C" w:rsidRDefault="00323BB2" w:rsidP="00453AFA">
            <w:pPr>
              <w:jc w:val="right"/>
              <w:rPr>
                <w:rFonts w:asciiTheme="minorHAnsi" w:hAnsiTheme="minorHAnsi"/>
                <w:bCs/>
                <w:sz w:val="16"/>
                <w:szCs w:val="16"/>
              </w:rPr>
            </w:pPr>
            <w:r w:rsidRPr="0061063C">
              <w:rPr>
                <w:rFonts w:asciiTheme="minorHAnsi" w:hAnsiTheme="minorHAnsi"/>
                <w:bCs/>
                <w:sz w:val="16"/>
                <w:szCs w:val="16"/>
              </w:rPr>
              <w:t>£m</w:t>
            </w:r>
          </w:p>
        </w:tc>
      </w:tr>
      <w:tr w:rsidR="00323BB2" w:rsidRPr="0061063C" w14:paraId="0CE2B95C" w14:textId="77777777" w:rsidTr="00453AFA">
        <w:trPr>
          <w:trHeight w:val="380"/>
        </w:trPr>
        <w:tc>
          <w:tcPr>
            <w:tcW w:w="1014" w:type="pct"/>
            <w:tcBorders>
              <w:top w:val="single" w:sz="4" w:space="0" w:color="auto"/>
              <w:left w:val="nil"/>
              <w:right w:val="nil"/>
            </w:tcBorders>
          </w:tcPr>
          <w:p w14:paraId="3D92D8B7" w14:textId="77777777" w:rsidR="00323BB2" w:rsidRPr="0061063C" w:rsidRDefault="00323BB2" w:rsidP="00453AFA">
            <w:pPr>
              <w:ind w:left="-108"/>
              <w:rPr>
                <w:rFonts w:asciiTheme="minorHAnsi" w:hAnsiTheme="minorHAnsi"/>
                <w:sz w:val="16"/>
                <w:szCs w:val="16"/>
              </w:rPr>
            </w:pPr>
          </w:p>
          <w:p w14:paraId="4590ABF6"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Balance at 1 January 2019</w:t>
            </w:r>
          </w:p>
        </w:tc>
        <w:tc>
          <w:tcPr>
            <w:tcW w:w="335" w:type="pct"/>
            <w:tcBorders>
              <w:top w:val="single" w:sz="4" w:space="0" w:color="auto"/>
              <w:left w:val="nil"/>
              <w:right w:val="nil"/>
            </w:tcBorders>
          </w:tcPr>
          <w:p w14:paraId="5A21E125" w14:textId="77777777" w:rsidR="00323BB2" w:rsidRPr="0061063C" w:rsidRDefault="00323BB2" w:rsidP="00453AFA">
            <w:pPr>
              <w:jc w:val="right"/>
              <w:rPr>
                <w:rFonts w:asciiTheme="minorHAnsi" w:hAnsiTheme="minorHAnsi"/>
                <w:sz w:val="16"/>
                <w:szCs w:val="16"/>
              </w:rPr>
            </w:pPr>
          </w:p>
          <w:p w14:paraId="60C72E0B"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81.4</w:t>
            </w:r>
          </w:p>
        </w:tc>
        <w:tc>
          <w:tcPr>
            <w:tcW w:w="365" w:type="pct"/>
            <w:gridSpan w:val="2"/>
            <w:tcBorders>
              <w:top w:val="single" w:sz="4" w:space="0" w:color="auto"/>
              <w:left w:val="nil"/>
              <w:right w:val="nil"/>
            </w:tcBorders>
          </w:tcPr>
          <w:p w14:paraId="543E4186" w14:textId="77777777" w:rsidR="00323BB2" w:rsidRPr="0061063C" w:rsidRDefault="00323BB2" w:rsidP="00453AFA">
            <w:pPr>
              <w:jc w:val="right"/>
              <w:rPr>
                <w:rFonts w:asciiTheme="minorHAnsi" w:hAnsiTheme="minorHAnsi"/>
                <w:sz w:val="16"/>
                <w:szCs w:val="16"/>
              </w:rPr>
            </w:pPr>
          </w:p>
          <w:p w14:paraId="7364903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424.8</w:t>
            </w:r>
          </w:p>
        </w:tc>
        <w:tc>
          <w:tcPr>
            <w:tcW w:w="366" w:type="pct"/>
            <w:tcBorders>
              <w:top w:val="single" w:sz="4" w:space="0" w:color="auto"/>
              <w:left w:val="nil"/>
              <w:right w:val="nil"/>
            </w:tcBorders>
          </w:tcPr>
          <w:p w14:paraId="73FE56D6" w14:textId="77777777" w:rsidR="00323BB2" w:rsidRPr="0061063C" w:rsidRDefault="00323BB2" w:rsidP="00453AFA">
            <w:pPr>
              <w:jc w:val="right"/>
              <w:rPr>
                <w:rFonts w:asciiTheme="minorHAnsi" w:hAnsiTheme="minorHAnsi"/>
                <w:sz w:val="16"/>
                <w:szCs w:val="16"/>
              </w:rPr>
            </w:pPr>
          </w:p>
          <w:p w14:paraId="7F56587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4.1</w:t>
            </w:r>
          </w:p>
        </w:tc>
        <w:tc>
          <w:tcPr>
            <w:tcW w:w="366" w:type="pct"/>
            <w:tcBorders>
              <w:top w:val="single" w:sz="4" w:space="0" w:color="auto"/>
              <w:left w:val="nil"/>
              <w:right w:val="nil"/>
            </w:tcBorders>
          </w:tcPr>
          <w:p w14:paraId="2E8D79EB" w14:textId="77777777" w:rsidR="00323BB2" w:rsidRPr="0061063C" w:rsidRDefault="00323BB2" w:rsidP="00453AFA">
            <w:pPr>
              <w:jc w:val="right"/>
              <w:rPr>
                <w:rFonts w:asciiTheme="minorHAnsi" w:hAnsiTheme="minorHAnsi"/>
                <w:sz w:val="16"/>
                <w:szCs w:val="16"/>
              </w:rPr>
            </w:pPr>
          </w:p>
          <w:p w14:paraId="048B035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2.2</w:t>
            </w:r>
          </w:p>
        </w:tc>
        <w:tc>
          <w:tcPr>
            <w:tcW w:w="366" w:type="pct"/>
            <w:tcBorders>
              <w:top w:val="single" w:sz="4" w:space="0" w:color="auto"/>
              <w:left w:val="nil"/>
              <w:right w:val="nil"/>
            </w:tcBorders>
          </w:tcPr>
          <w:p w14:paraId="640CDC34" w14:textId="77777777" w:rsidR="00323BB2" w:rsidRPr="0061063C" w:rsidRDefault="00323BB2" w:rsidP="00453AFA">
            <w:pPr>
              <w:jc w:val="right"/>
              <w:rPr>
                <w:rFonts w:asciiTheme="minorHAnsi" w:hAnsiTheme="minorHAnsi"/>
                <w:sz w:val="16"/>
                <w:szCs w:val="16"/>
              </w:rPr>
            </w:pPr>
          </w:p>
          <w:p w14:paraId="5C68936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(40.7)</w:t>
            </w:r>
          </w:p>
        </w:tc>
        <w:tc>
          <w:tcPr>
            <w:tcW w:w="366" w:type="pct"/>
            <w:tcBorders>
              <w:top w:val="single" w:sz="4" w:space="0" w:color="auto"/>
              <w:left w:val="nil"/>
              <w:right w:val="nil"/>
            </w:tcBorders>
          </w:tcPr>
          <w:p w14:paraId="32ECA2F3" w14:textId="77777777" w:rsidR="00323BB2" w:rsidRPr="0061063C" w:rsidRDefault="00323BB2" w:rsidP="00453AFA">
            <w:pPr>
              <w:jc w:val="right"/>
              <w:rPr>
                <w:rFonts w:asciiTheme="minorHAnsi" w:hAnsiTheme="minorHAnsi"/>
                <w:sz w:val="16"/>
                <w:szCs w:val="16"/>
              </w:rPr>
            </w:pPr>
          </w:p>
          <w:p w14:paraId="3B3422C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(8.6)</w:t>
            </w:r>
          </w:p>
        </w:tc>
        <w:tc>
          <w:tcPr>
            <w:tcW w:w="366" w:type="pct"/>
            <w:tcBorders>
              <w:top w:val="single" w:sz="4" w:space="0" w:color="auto"/>
              <w:left w:val="nil"/>
              <w:right w:val="nil"/>
            </w:tcBorders>
          </w:tcPr>
          <w:p w14:paraId="5A266E8D" w14:textId="77777777" w:rsidR="00323BB2" w:rsidRPr="0061063C" w:rsidRDefault="00323BB2" w:rsidP="00453AFA">
            <w:pPr>
              <w:jc w:val="right"/>
              <w:rPr>
                <w:rFonts w:asciiTheme="minorHAnsi" w:hAnsiTheme="minorHAnsi"/>
                <w:sz w:val="16"/>
                <w:szCs w:val="16"/>
              </w:rPr>
            </w:pPr>
          </w:p>
          <w:p w14:paraId="0F6BFDA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86.1</w:t>
            </w:r>
          </w:p>
        </w:tc>
        <w:tc>
          <w:tcPr>
            <w:tcW w:w="366" w:type="pct"/>
            <w:tcBorders>
              <w:top w:val="single" w:sz="4" w:space="0" w:color="auto"/>
              <w:left w:val="nil"/>
              <w:right w:val="nil"/>
            </w:tcBorders>
            <w:shd w:val="clear" w:color="auto" w:fill="auto"/>
          </w:tcPr>
          <w:p w14:paraId="3CEEAEC2" w14:textId="77777777" w:rsidR="00323BB2" w:rsidRPr="0061063C" w:rsidRDefault="00323BB2" w:rsidP="00453AFA">
            <w:pPr>
              <w:jc w:val="right"/>
              <w:rPr>
                <w:rFonts w:asciiTheme="minorHAnsi" w:hAnsiTheme="minorHAnsi"/>
                <w:sz w:val="16"/>
                <w:szCs w:val="16"/>
              </w:rPr>
            </w:pPr>
          </w:p>
          <w:p w14:paraId="2BB3201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3,530.1</w:t>
            </w:r>
          </w:p>
        </w:tc>
        <w:tc>
          <w:tcPr>
            <w:tcW w:w="367" w:type="pct"/>
            <w:tcBorders>
              <w:top w:val="single" w:sz="4" w:space="0" w:color="auto"/>
              <w:left w:val="nil"/>
              <w:right w:val="nil"/>
            </w:tcBorders>
            <w:shd w:val="clear" w:color="auto" w:fill="auto"/>
          </w:tcPr>
          <w:p w14:paraId="11E212FB" w14:textId="77777777" w:rsidR="00323BB2" w:rsidRPr="0061063C" w:rsidRDefault="00323BB2" w:rsidP="00453AFA">
            <w:pPr>
              <w:jc w:val="right"/>
              <w:rPr>
                <w:rFonts w:asciiTheme="minorHAnsi" w:hAnsiTheme="minorHAnsi"/>
                <w:sz w:val="16"/>
                <w:szCs w:val="16"/>
              </w:rPr>
            </w:pPr>
          </w:p>
          <w:p w14:paraId="28FEE2C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3,998.0</w:t>
            </w:r>
          </w:p>
        </w:tc>
        <w:tc>
          <w:tcPr>
            <w:tcW w:w="362" w:type="pct"/>
            <w:gridSpan w:val="2"/>
            <w:tcBorders>
              <w:top w:val="single" w:sz="4" w:space="0" w:color="auto"/>
              <w:left w:val="nil"/>
              <w:right w:val="nil"/>
            </w:tcBorders>
          </w:tcPr>
          <w:p w14:paraId="554DC919" w14:textId="77777777" w:rsidR="00323BB2" w:rsidRPr="0061063C" w:rsidRDefault="00323BB2" w:rsidP="00453AFA">
            <w:pPr>
              <w:jc w:val="right"/>
              <w:rPr>
                <w:rFonts w:asciiTheme="minorHAnsi" w:hAnsiTheme="minorHAnsi"/>
                <w:sz w:val="16"/>
                <w:szCs w:val="16"/>
              </w:rPr>
            </w:pPr>
          </w:p>
          <w:p w14:paraId="2428ACC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213.3</w:t>
            </w:r>
          </w:p>
        </w:tc>
        <w:tc>
          <w:tcPr>
            <w:tcW w:w="361" w:type="pct"/>
            <w:tcBorders>
              <w:top w:val="single" w:sz="4" w:space="0" w:color="auto"/>
              <w:left w:val="nil"/>
              <w:right w:val="nil"/>
            </w:tcBorders>
          </w:tcPr>
          <w:p w14:paraId="47785ECD" w14:textId="77777777" w:rsidR="00323BB2" w:rsidRPr="0061063C" w:rsidRDefault="00323BB2" w:rsidP="00453AFA">
            <w:pPr>
              <w:jc w:val="right"/>
              <w:rPr>
                <w:rFonts w:asciiTheme="minorHAnsi" w:hAnsiTheme="minorHAnsi"/>
                <w:sz w:val="16"/>
                <w:szCs w:val="16"/>
              </w:rPr>
            </w:pPr>
          </w:p>
          <w:p w14:paraId="6FD9AD8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4,211.3</w:t>
            </w:r>
          </w:p>
        </w:tc>
      </w:tr>
      <w:tr w:rsidR="00323BB2" w:rsidRPr="0061063C" w14:paraId="6D2DB137" w14:textId="77777777" w:rsidTr="00453AFA">
        <w:trPr>
          <w:trHeight w:val="301"/>
        </w:trPr>
        <w:tc>
          <w:tcPr>
            <w:tcW w:w="1348" w:type="pct"/>
            <w:gridSpan w:val="2"/>
            <w:tcBorders>
              <w:top w:val="nil"/>
              <w:left w:val="nil"/>
              <w:bottom w:val="nil"/>
              <w:right w:val="nil"/>
            </w:tcBorders>
          </w:tcPr>
          <w:p w14:paraId="70EDC394" w14:textId="77777777" w:rsidR="00323BB2" w:rsidRPr="0061063C" w:rsidRDefault="00323BB2" w:rsidP="00453AFA">
            <w:pPr>
              <w:ind w:left="-108"/>
              <w:rPr>
                <w:rFonts w:asciiTheme="minorHAnsi" w:hAnsiTheme="minorHAnsi"/>
                <w:b/>
                <w:i/>
                <w:sz w:val="16"/>
                <w:szCs w:val="16"/>
              </w:rPr>
            </w:pPr>
            <w:r w:rsidRPr="0061063C">
              <w:rPr>
                <w:rFonts w:asciiTheme="minorHAnsi" w:hAnsiTheme="minorHAnsi"/>
                <w:b/>
                <w:sz w:val="16"/>
                <w:szCs w:val="16"/>
              </w:rPr>
              <w:t>Total comprehensive income for the period</w:t>
            </w:r>
          </w:p>
        </w:tc>
        <w:tc>
          <w:tcPr>
            <w:tcW w:w="365" w:type="pct"/>
            <w:gridSpan w:val="2"/>
            <w:tcBorders>
              <w:top w:val="nil"/>
              <w:left w:val="nil"/>
              <w:bottom w:val="nil"/>
              <w:right w:val="nil"/>
            </w:tcBorders>
          </w:tcPr>
          <w:p w14:paraId="6C74F7B4" w14:textId="77777777" w:rsidR="00323BB2" w:rsidRPr="0061063C" w:rsidRDefault="00323BB2" w:rsidP="00453AFA">
            <w:pPr>
              <w:jc w:val="right"/>
              <w:rPr>
                <w:rFonts w:asciiTheme="minorHAnsi" w:hAnsiTheme="minorHAnsi"/>
                <w:b/>
                <w:sz w:val="16"/>
                <w:szCs w:val="16"/>
              </w:rPr>
            </w:pPr>
          </w:p>
        </w:tc>
        <w:tc>
          <w:tcPr>
            <w:tcW w:w="366" w:type="pct"/>
            <w:tcBorders>
              <w:top w:val="nil"/>
              <w:left w:val="nil"/>
              <w:bottom w:val="nil"/>
              <w:right w:val="nil"/>
            </w:tcBorders>
          </w:tcPr>
          <w:p w14:paraId="5E4FA6CE" w14:textId="77777777" w:rsidR="00323BB2" w:rsidRPr="0061063C" w:rsidRDefault="00323BB2" w:rsidP="00453AFA">
            <w:pPr>
              <w:jc w:val="right"/>
              <w:rPr>
                <w:rFonts w:asciiTheme="minorHAnsi" w:hAnsiTheme="minorHAnsi"/>
                <w:b/>
                <w:sz w:val="16"/>
                <w:szCs w:val="16"/>
              </w:rPr>
            </w:pPr>
          </w:p>
        </w:tc>
        <w:tc>
          <w:tcPr>
            <w:tcW w:w="366" w:type="pct"/>
            <w:tcBorders>
              <w:top w:val="nil"/>
              <w:left w:val="nil"/>
              <w:bottom w:val="nil"/>
              <w:right w:val="nil"/>
            </w:tcBorders>
          </w:tcPr>
          <w:p w14:paraId="30BF14C3" w14:textId="77777777" w:rsidR="00323BB2" w:rsidRPr="0061063C" w:rsidRDefault="00323BB2" w:rsidP="00453AFA">
            <w:pPr>
              <w:jc w:val="right"/>
              <w:rPr>
                <w:rFonts w:asciiTheme="minorHAnsi" w:hAnsiTheme="minorHAnsi"/>
                <w:b/>
                <w:sz w:val="16"/>
                <w:szCs w:val="16"/>
              </w:rPr>
            </w:pPr>
          </w:p>
        </w:tc>
        <w:tc>
          <w:tcPr>
            <w:tcW w:w="366" w:type="pct"/>
            <w:tcBorders>
              <w:top w:val="nil"/>
              <w:left w:val="nil"/>
              <w:bottom w:val="nil"/>
              <w:right w:val="nil"/>
            </w:tcBorders>
          </w:tcPr>
          <w:p w14:paraId="2D8C5435" w14:textId="77777777" w:rsidR="00323BB2" w:rsidRPr="0061063C" w:rsidRDefault="00323BB2" w:rsidP="00453AFA">
            <w:pPr>
              <w:jc w:val="right"/>
              <w:rPr>
                <w:rFonts w:asciiTheme="minorHAnsi" w:hAnsiTheme="minorHAnsi"/>
                <w:b/>
                <w:sz w:val="16"/>
                <w:szCs w:val="16"/>
              </w:rPr>
            </w:pPr>
          </w:p>
        </w:tc>
        <w:tc>
          <w:tcPr>
            <w:tcW w:w="366" w:type="pct"/>
            <w:tcBorders>
              <w:top w:val="nil"/>
              <w:left w:val="nil"/>
              <w:bottom w:val="nil"/>
              <w:right w:val="nil"/>
            </w:tcBorders>
          </w:tcPr>
          <w:p w14:paraId="7B874726" w14:textId="77777777" w:rsidR="00323BB2" w:rsidRPr="0061063C" w:rsidRDefault="00323BB2" w:rsidP="00453AFA">
            <w:pPr>
              <w:jc w:val="right"/>
              <w:rPr>
                <w:rFonts w:asciiTheme="minorHAnsi" w:hAnsiTheme="minorHAnsi"/>
                <w:b/>
                <w:sz w:val="16"/>
                <w:szCs w:val="16"/>
              </w:rPr>
            </w:pPr>
          </w:p>
        </w:tc>
        <w:tc>
          <w:tcPr>
            <w:tcW w:w="366" w:type="pct"/>
            <w:tcBorders>
              <w:top w:val="nil"/>
              <w:left w:val="nil"/>
              <w:bottom w:val="nil"/>
              <w:right w:val="nil"/>
            </w:tcBorders>
          </w:tcPr>
          <w:p w14:paraId="0FC16B1A" w14:textId="77777777" w:rsidR="00323BB2" w:rsidRPr="0061063C" w:rsidRDefault="00323BB2" w:rsidP="00453AFA">
            <w:pPr>
              <w:jc w:val="right"/>
              <w:rPr>
                <w:rFonts w:asciiTheme="minorHAnsi" w:hAnsiTheme="minorHAnsi"/>
                <w:b/>
                <w:sz w:val="16"/>
                <w:szCs w:val="16"/>
              </w:rPr>
            </w:pPr>
          </w:p>
        </w:tc>
        <w:tc>
          <w:tcPr>
            <w:tcW w:w="366" w:type="pct"/>
            <w:tcBorders>
              <w:top w:val="nil"/>
              <w:left w:val="nil"/>
              <w:bottom w:val="nil"/>
              <w:right w:val="nil"/>
            </w:tcBorders>
          </w:tcPr>
          <w:p w14:paraId="0A368650" w14:textId="77777777" w:rsidR="00323BB2" w:rsidRPr="0061063C" w:rsidRDefault="00323BB2" w:rsidP="00453AFA">
            <w:pPr>
              <w:jc w:val="right"/>
              <w:rPr>
                <w:rFonts w:asciiTheme="minorHAnsi" w:hAnsiTheme="minorHAnsi"/>
                <w:b/>
                <w:sz w:val="16"/>
                <w:szCs w:val="16"/>
              </w:rPr>
            </w:pPr>
          </w:p>
        </w:tc>
        <w:tc>
          <w:tcPr>
            <w:tcW w:w="367" w:type="pct"/>
            <w:tcBorders>
              <w:top w:val="nil"/>
              <w:left w:val="nil"/>
              <w:bottom w:val="nil"/>
              <w:right w:val="nil"/>
            </w:tcBorders>
          </w:tcPr>
          <w:p w14:paraId="68CB5193" w14:textId="77777777" w:rsidR="00323BB2" w:rsidRPr="0061063C" w:rsidRDefault="00323BB2" w:rsidP="00453AFA">
            <w:pPr>
              <w:jc w:val="right"/>
              <w:rPr>
                <w:rFonts w:asciiTheme="minorHAnsi" w:hAnsiTheme="minorHAnsi"/>
                <w:b/>
                <w:sz w:val="16"/>
                <w:szCs w:val="16"/>
              </w:rPr>
            </w:pPr>
          </w:p>
        </w:tc>
        <w:tc>
          <w:tcPr>
            <w:tcW w:w="362" w:type="pct"/>
            <w:gridSpan w:val="2"/>
            <w:tcBorders>
              <w:top w:val="nil"/>
              <w:left w:val="nil"/>
              <w:bottom w:val="nil"/>
              <w:right w:val="nil"/>
            </w:tcBorders>
          </w:tcPr>
          <w:p w14:paraId="5B055C2D" w14:textId="77777777" w:rsidR="00323BB2" w:rsidRPr="0061063C" w:rsidRDefault="00323BB2" w:rsidP="00453AFA">
            <w:pPr>
              <w:jc w:val="right"/>
              <w:rPr>
                <w:rFonts w:asciiTheme="minorHAnsi" w:hAnsiTheme="minorHAnsi"/>
                <w:b/>
                <w:sz w:val="16"/>
                <w:szCs w:val="16"/>
              </w:rPr>
            </w:pPr>
          </w:p>
        </w:tc>
        <w:tc>
          <w:tcPr>
            <w:tcW w:w="361" w:type="pct"/>
            <w:tcBorders>
              <w:top w:val="nil"/>
              <w:left w:val="nil"/>
              <w:bottom w:val="nil"/>
              <w:right w:val="nil"/>
            </w:tcBorders>
          </w:tcPr>
          <w:p w14:paraId="77AE1A23" w14:textId="77777777" w:rsidR="00323BB2" w:rsidRPr="0061063C" w:rsidRDefault="00323BB2" w:rsidP="00453AFA">
            <w:pPr>
              <w:jc w:val="right"/>
              <w:rPr>
                <w:rFonts w:asciiTheme="minorHAnsi" w:hAnsiTheme="minorHAnsi"/>
                <w:b/>
                <w:sz w:val="16"/>
                <w:szCs w:val="16"/>
              </w:rPr>
            </w:pPr>
          </w:p>
        </w:tc>
      </w:tr>
      <w:tr w:rsidR="00323BB2" w:rsidRPr="0061063C" w14:paraId="552E7C52" w14:textId="77777777" w:rsidTr="00453AFA">
        <w:trPr>
          <w:trHeight w:val="162"/>
        </w:trPr>
        <w:tc>
          <w:tcPr>
            <w:tcW w:w="1014" w:type="pct"/>
            <w:tcBorders>
              <w:top w:val="nil"/>
              <w:left w:val="nil"/>
              <w:bottom w:val="nil"/>
              <w:right w:val="nil"/>
            </w:tcBorders>
          </w:tcPr>
          <w:p w14:paraId="0CF4789B"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Profit for the period</w:t>
            </w:r>
          </w:p>
        </w:tc>
        <w:tc>
          <w:tcPr>
            <w:tcW w:w="335" w:type="pct"/>
            <w:tcBorders>
              <w:top w:val="nil"/>
              <w:left w:val="nil"/>
              <w:bottom w:val="nil"/>
              <w:right w:val="nil"/>
            </w:tcBorders>
          </w:tcPr>
          <w:p w14:paraId="19C37BE5"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top w:val="nil"/>
              <w:left w:val="nil"/>
              <w:bottom w:val="nil"/>
              <w:right w:val="nil"/>
            </w:tcBorders>
          </w:tcPr>
          <w:p w14:paraId="7B74D2C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4BC6631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14D585D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5E7C39F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5EC8565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46A4A4B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354EDB6A"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76.9</w:t>
            </w:r>
          </w:p>
        </w:tc>
        <w:tc>
          <w:tcPr>
            <w:tcW w:w="367" w:type="pct"/>
            <w:tcBorders>
              <w:top w:val="nil"/>
              <w:left w:val="nil"/>
              <w:bottom w:val="nil"/>
              <w:right w:val="nil"/>
            </w:tcBorders>
          </w:tcPr>
          <w:p w14:paraId="2D44456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76.9</w:t>
            </w:r>
          </w:p>
        </w:tc>
        <w:tc>
          <w:tcPr>
            <w:tcW w:w="362" w:type="pct"/>
            <w:gridSpan w:val="2"/>
            <w:tcBorders>
              <w:top w:val="nil"/>
              <w:left w:val="nil"/>
              <w:bottom w:val="nil"/>
              <w:right w:val="nil"/>
            </w:tcBorders>
          </w:tcPr>
          <w:p w14:paraId="2F28513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(9.3)</w:t>
            </w:r>
          </w:p>
        </w:tc>
        <w:tc>
          <w:tcPr>
            <w:tcW w:w="361" w:type="pct"/>
            <w:tcBorders>
              <w:top w:val="nil"/>
              <w:left w:val="nil"/>
              <w:bottom w:val="nil"/>
              <w:right w:val="nil"/>
            </w:tcBorders>
          </w:tcPr>
          <w:p w14:paraId="38C0BD6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67.6</w:t>
            </w:r>
          </w:p>
        </w:tc>
      </w:tr>
      <w:tr w:rsidR="00323BB2" w:rsidRPr="0061063C" w14:paraId="2D563940" w14:textId="77777777" w:rsidTr="00453AFA">
        <w:trPr>
          <w:trHeight w:val="162"/>
        </w:trPr>
        <w:tc>
          <w:tcPr>
            <w:tcW w:w="1014" w:type="pct"/>
            <w:tcBorders>
              <w:top w:val="nil"/>
              <w:left w:val="nil"/>
              <w:bottom w:val="nil"/>
              <w:right w:val="nil"/>
            </w:tcBorders>
          </w:tcPr>
          <w:p w14:paraId="73642B34"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Foreign exchange translation</w:t>
            </w:r>
          </w:p>
        </w:tc>
        <w:tc>
          <w:tcPr>
            <w:tcW w:w="335" w:type="pct"/>
            <w:tcBorders>
              <w:top w:val="nil"/>
              <w:left w:val="nil"/>
              <w:bottom w:val="nil"/>
              <w:right w:val="nil"/>
            </w:tcBorders>
          </w:tcPr>
          <w:p w14:paraId="64DA6CCA"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top w:val="nil"/>
              <w:left w:val="nil"/>
              <w:bottom w:val="nil"/>
              <w:right w:val="nil"/>
            </w:tcBorders>
          </w:tcPr>
          <w:p w14:paraId="2A8C67D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677755A6"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1.5</w:t>
            </w:r>
          </w:p>
        </w:tc>
        <w:tc>
          <w:tcPr>
            <w:tcW w:w="366" w:type="pct"/>
            <w:tcBorders>
              <w:top w:val="nil"/>
              <w:left w:val="nil"/>
              <w:bottom w:val="nil"/>
              <w:right w:val="nil"/>
            </w:tcBorders>
          </w:tcPr>
          <w:p w14:paraId="681DBF4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583F2DC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0ACC0D3A"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51242D0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nil"/>
              <w:left w:val="nil"/>
              <w:bottom w:val="nil"/>
              <w:right w:val="nil"/>
            </w:tcBorders>
          </w:tcPr>
          <w:p w14:paraId="73E15AC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7" w:type="pct"/>
            <w:tcBorders>
              <w:top w:val="nil"/>
              <w:left w:val="nil"/>
              <w:bottom w:val="nil"/>
              <w:right w:val="nil"/>
            </w:tcBorders>
          </w:tcPr>
          <w:p w14:paraId="2763BB2A"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1.5</w:t>
            </w:r>
          </w:p>
        </w:tc>
        <w:tc>
          <w:tcPr>
            <w:tcW w:w="362" w:type="pct"/>
            <w:gridSpan w:val="2"/>
            <w:tcBorders>
              <w:top w:val="nil"/>
              <w:left w:val="nil"/>
              <w:bottom w:val="nil"/>
              <w:right w:val="nil"/>
            </w:tcBorders>
          </w:tcPr>
          <w:p w14:paraId="3810094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0.5</w:t>
            </w:r>
          </w:p>
        </w:tc>
        <w:tc>
          <w:tcPr>
            <w:tcW w:w="361" w:type="pct"/>
            <w:tcBorders>
              <w:top w:val="nil"/>
              <w:left w:val="nil"/>
              <w:bottom w:val="nil"/>
              <w:right w:val="nil"/>
            </w:tcBorders>
          </w:tcPr>
          <w:p w14:paraId="5A41E76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2.0</w:t>
            </w:r>
          </w:p>
        </w:tc>
      </w:tr>
      <w:tr w:rsidR="00323BB2" w:rsidRPr="0061063C" w14:paraId="19DE7E32" w14:textId="77777777" w:rsidTr="00453AFA">
        <w:trPr>
          <w:trHeight w:val="153"/>
        </w:trPr>
        <w:tc>
          <w:tcPr>
            <w:tcW w:w="1014" w:type="pct"/>
            <w:tcBorders>
              <w:top w:val="nil"/>
              <w:left w:val="nil"/>
              <w:right w:val="nil"/>
            </w:tcBorders>
          </w:tcPr>
          <w:p w14:paraId="5FDF0AE3"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Total comprehensive income for the period</w:t>
            </w:r>
          </w:p>
        </w:tc>
        <w:tc>
          <w:tcPr>
            <w:tcW w:w="335" w:type="pct"/>
            <w:tcBorders>
              <w:top w:val="single" w:sz="4" w:space="0" w:color="auto"/>
              <w:left w:val="nil"/>
              <w:bottom w:val="single" w:sz="4" w:space="0" w:color="auto"/>
              <w:right w:val="nil"/>
            </w:tcBorders>
          </w:tcPr>
          <w:p w14:paraId="0AB1A0FA"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top w:val="single" w:sz="4" w:space="0" w:color="auto"/>
              <w:left w:val="nil"/>
              <w:bottom w:val="single" w:sz="4" w:space="0" w:color="auto"/>
              <w:right w:val="nil"/>
            </w:tcBorders>
          </w:tcPr>
          <w:p w14:paraId="5B79499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570A387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1.5</w:t>
            </w:r>
          </w:p>
        </w:tc>
        <w:tc>
          <w:tcPr>
            <w:tcW w:w="366" w:type="pct"/>
            <w:tcBorders>
              <w:top w:val="single" w:sz="4" w:space="0" w:color="auto"/>
              <w:left w:val="nil"/>
              <w:bottom w:val="single" w:sz="4" w:space="0" w:color="auto"/>
              <w:right w:val="nil"/>
            </w:tcBorders>
          </w:tcPr>
          <w:p w14:paraId="3E244588"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108C3D4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6F16F86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5F45333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7CCA485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76.9</w:t>
            </w:r>
          </w:p>
        </w:tc>
        <w:tc>
          <w:tcPr>
            <w:tcW w:w="367" w:type="pct"/>
            <w:tcBorders>
              <w:top w:val="single" w:sz="4" w:space="0" w:color="auto"/>
              <w:left w:val="nil"/>
              <w:bottom w:val="single" w:sz="4" w:space="0" w:color="auto"/>
              <w:right w:val="nil"/>
            </w:tcBorders>
          </w:tcPr>
          <w:p w14:paraId="7746853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78.4</w:t>
            </w:r>
          </w:p>
        </w:tc>
        <w:tc>
          <w:tcPr>
            <w:tcW w:w="362" w:type="pct"/>
            <w:gridSpan w:val="2"/>
            <w:tcBorders>
              <w:top w:val="single" w:sz="4" w:space="0" w:color="auto"/>
              <w:left w:val="nil"/>
              <w:bottom w:val="single" w:sz="4" w:space="0" w:color="auto"/>
              <w:right w:val="nil"/>
            </w:tcBorders>
          </w:tcPr>
          <w:p w14:paraId="6770F3E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(8.8)</w:t>
            </w:r>
          </w:p>
        </w:tc>
        <w:tc>
          <w:tcPr>
            <w:tcW w:w="361" w:type="pct"/>
            <w:tcBorders>
              <w:top w:val="single" w:sz="4" w:space="0" w:color="auto"/>
              <w:left w:val="nil"/>
              <w:bottom w:val="single" w:sz="4" w:space="0" w:color="auto"/>
              <w:right w:val="nil"/>
            </w:tcBorders>
          </w:tcPr>
          <w:p w14:paraId="734ADBC8"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69.6</w:t>
            </w:r>
          </w:p>
        </w:tc>
      </w:tr>
      <w:tr w:rsidR="00323BB2" w:rsidRPr="0061063C" w14:paraId="2ECE091E" w14:textId="77777777" w:rsidTr="00453AFA">
        <w:trPr>
          <w:trHeight w:val="286"/>
        </w:trPr>
        <w:tc>
          <w:tcPr>
            <w:tcW w:w="1713" w:type="pct"/>
            <w:gridSpan w:val="4"/>
          </w:tcPr>
          <w:p w14:paraId="079C056E" w14:textId="77777777" w:rsidR="00323BB2" w:rsidRPr="0061063C" w:rsidRDefault="00323BB2" w:rsidP="00453AFA">
            <w:pPr>
              <w:ind w:left="-108"/>
              <w:rPr>
                <w:rFonts w:asciiTheme="minorHAnsi" w:hAnsiTheme="minorHAnsi"/>
                <w:b/>
                <w:sz w:val="16"/>
                <w:szCs w:val="16"/>
              </w:rPr>
            </w:pPr>
            <w:r w:rsidRPr="0061063C">
              <w:rPr>
                <w:rFonts w:asciiTheme="minorHAnsi" w:hAnsiTheme="minorHAnsi"/>
                <w:b/>
                <w:sz w:val="16"/>
                <w:szCs w:val="16"/>
              </w:rPr>
              <w:t>Transactions with owners of the Company, recognised directly in equity</w:t>
            </w:r>
          </w:p>
        </w:tc>
        <w:tc>
          <w:tcPr>
            <w:tcW w:w="366" w:type="pct"/>
            <w:tcBorders>
              <w:left w:val="nil"/>
              <w:bottom w:val="nil"/>
              <w:right w:val="nil"/>
            </w:tcBorders>
          </w:tcPr>
          <w:p w14:paraId="07890875" w14:textId="77777777" w:rsidR="00323BB2" w:rsidRPr="0061063C" w:rsidRDefault="00323BB2" w:rsidP="00453AFA">
            <w:pPr>
              <w:jc w:val="right"/>
              <w:rPr>
                <w:rFonts w:asciiTheme="minorHAnsi" w:hAnsiTheme="minorHAnsi"/>
                <w:b/>
                <w:sz w:val="16"/>
                <w:szCs w:val="16"/>
              </w:rPr>
            </w:pPr>
          </w:p>
        </w:tc>
        <w:tc>
          <w:tcPr>
            <w:tcW w:w="366" w:type="pct"/>
            <w:tcBorders>
              <w:left w:val="nil"/>
              <w:bottom w:val="nil"/>
              <w:right w:val="nil"/>
            </w:tcBorders>
          </w:tcPr>
          <w:p w14:paraId="2F162C86" w14:textId="77777777" w:rsidR="00323BB2" w:rsidRPr="0061063C" w:rsidRDefault="00323BB2" w:rsidP="00453AFA">
            <w:pPr>
              <w:jc w:val="right"/>
              <w:rPr>
                <w:rFonts w:asciiTheme="minorHAnsi" w:hAnsiTheme="minorHAnsi"/>
                <w:b/>
                <w:sz w:val="16"/>
                <w:szCs w:val="16"/>
              </w:rPr>
            </w:pPr>
          </w:p>
        </w:tc>
        <w:tc>
          <w:tcPr>
            <w:tcW w:w="366" w:type="pct"/>
            <w:tcBorders>
              <w:left w:val="nil"/>
              <w:bottom w:val="nil"/>
              <w:right w:val="nil"/>
            </w:tcBorders>
          </w:tcPr>
          <w:p w14:paraId="00B6D71E" w14:textId="77777777" w:rsidR="00323BB2" w:rsidRPr="0061063C" w:rsidRDefault="00323BB2" w:rsidP="00453AFA">
            <w:pPr>
              <w:jc w:val="right"/>
              <w:rPr>
                <w:rFonts w:asciiTheme="minorHAnsi" w:hAnsiTheme="minorHAnsi"/>
                <w:b/>
                <w:sz w:val="16"/>
                <w:szCs w:val="16"/>
              </w:rPr>
            </w:pPr>
          </w:p>
        </w:tc>
        <w:tc>
          <w:tcPr>
            <w:tcW w:w="366" w:type="pct"/>
            <w:tcBorders>
              <w:left w:val="nil"/>
              <w:bottom w:val="nil"/>
              <w:right w:val="nil"/>
            </w:tcBorders>
          </w:tcPr>
          <w:p w14:paraId="0167437D" w14:textId="77777777" w:rsidR="00323BB2" w:rsidRPr="0061063C" w:rsidRDefault="00323BB2" w:rsidP="00453AFA">
            <w:pPr>
              <w:jc w:val="right"/>
              <w:rPr>
                <w:rFonts w:asciiTheme="minorHAnsi" w:hAnsiTheme="minorHAnsi"/>
                <w:b/>
                <w:sz w:val="16"/>
                <w:szCs w:val="16"/>
              </w:rPr>
            </w:pPr>
          </w:p>
        </w:tc>
        <w:tc>
          <w:tcPr>
            <w:tcW w:w="366" w:type="pct"/>
            <w:tcBorders>
              <w:left w:val="nil"/>
              <w:bottom w:val="nil"/>
              <w:right w:val="nil"/>
            </w:tcBorders>
          </w:tcPr>
          <w:p w14:paraId="7194BE9E" w14:textId="77777777" w:rsidR="00323BB2" w:rsidRPr="0061063C" w:rsidRDefault="00323BB2" w:rsidP="00453AFA">
            <w:pPr>
              <w:jc w:val="right"/>
              <w:rPr>
                <w:rFonts w:asciiTheme="minorHAnsi" w:hAnsiTheme="minorHAnsi"/>
                <w:b/>
                <w:sz w:val="16"/>
                <w:szCs w:val="16"/>
              </w:rPr>
            </w:pPr>
          </w:p>
        </w:tc>
        <w:tc>
          <w:tcPr>
            <w:tcW w:w="366" w:type="pct"/>
            <w:tcBorders>
              <w:left w:val="nil"/>
              <w:bottom w:val="nil"/>
              <w:right w:val="nil"/>
            </w:tcBorders>
          </w:tcPr>
          <w:p w14:paraId="72619F2D" w14:textId="77777777" w:rsidR="00323BB2" w:rsidRPr="0061063C" w:rsidRDefault="00323BB2" w:rsidP="00453AFA">
            <w:pPr>
              <w:jc w:val="right"/>
              <w:rPr>
                <w:rFonts w:asciiTheme="minorHAnsi" w:hAnsiTheme="minorHAnsi"/>
                <w:b/>
                <w:sz w:val="16"/>
                <w:szCs w:val="16"/>
              </w:rPr>
            </w:pPr>
          </w:p>
        </w:tc>
        <w:tc>
          <w:tcPr>
            <w:tcW w:w="367" w:type="pct"/>
            <w:tcBorders>
              <w:left w:val="nil"/>
              <w:bottom w:val="nil"/>
              <w:right w:val="nil"/>
            </w:tcBorders>
          </w:tcPr>
          <w:p w14:paraId="262488E5" w14:textId="77777777" w:rsidR="00323BB2" w:rsidRPr="0061063C" w:rsidRDefault="00323BB2" w:rsidP="00453AFA">
            <w:pPr>
              <w:jc w:val="right"/>
              <w:rPr>
                <w:rFonts w:asciiTheme="minorHAnsi" w:hAnsiTheme="minorHAnsi"/>
                <w:b/>
                <w:sz w:val="16"/>
                <w:szCs w:val="16"/>
              </w:rPr>
            </w:pPr>
          </w:p>
        </w:tc>
        <w:tc>
          <w:tcPr>
            <w:tcW w:w="362" w:type="pct"/>
            <w:gridSpan w:val="2"/>
            <w:tcBorders>
              <w:left w:val="nil"/>
              <w:bottom w:val="nil"/>
              <w:right w:val="nil"/>
            </w:tcBorders>
          </w:tcPr>
          <w:p w14:paraId="62A4834B" w14:textId="77777777" w:rsidR="00323BB2" w:rsidRPr="0061063C" w:rsidRDefault="00323BB2" w:rsidP="00453AFA">
            <w:pPr>
              <w:jc w:val="right"/>
              <w:rPr>
                <w:rFonts w:asciiTheme="minorHAnsi" w:hAnsiTheme="minorHAnsi"/>
                <w:b/>
                <w:sz w:val="16"/>
                <w:szCs w:val="16"/>
              </w:rPr>
            </w:pPr>
          </w:p>
        </w:tc>
        <w:tc>
          <w:tcPr>
            <w:tcW w:w="361" w:type="pct"/>
            <w:tcBorders>
              <w:left w:val="nil"/>
              <w:bottom w:val="nil"/>
              <w:right w:val="nil"/>
            </w:tcBorders>
          </w:tcPr>
          <w:p w14:paraId="5C4DC6BC" w14:textId="77777777" w:rsidR="00323BB2" w:rsidRPr="0061063C" w:rsidRDefault="00323BB2" w:rsidP="00453AFA">
            <w:pPr>
              <w:jc w:val="right"/>
              <w:rPr>
                <w:rFonts w:asciiTheme="minorHAnsi" w:hAnsiTheme="minorHAnsi"/>
                <w:b/>
                <w:sz w:val="16"/>
                <w:szCs w:val="16"/>
              </w:rPr>
            </w:pPr>
          </w:p>
        </w:tc>
      </w:tr>
      <w:tr w:rsidR="00323BB2" w:rsidRPr="0061063C" w14:paraId="61C2D8D4" w14:textId="77777777" w:rsidTr="00453AFA">
        <w:trPr>
          <w:trHeight w:val="188"/>
        </w:trPr>
        <w:tc>
          <w:tcPr>
            <w:tcW w:w="1014" w:type="pct"/>
          </w:tcPr>
          <w:p w14:paraId="3140902D"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Shares issued (Note 18)</w:t>
            </w:r>
          </w:p>
        </w:tc>
        <w:tc>
          <w:tcPr>
            <w:tcW w:w="335" w:type="pct"/>
            <w:tcBorders>
              <w:left w:val="nil"/>
              <w:bottom w:val="nil"/>
              <w:right w:val="nil"/>
            </w:tcBorders>
          </w:tcPr>
          <w:p w14:paraId="14E7E4BE"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0.1</w:t>
            </w:r>
          </w:p>
        </w:tc>
        <w:tc>
          <w:tcPr>
            <w:tcW w:w="365" w:type="pct"/>
            <w:gridSpan w:val="2"/>
            <w:tcBorders>
              <w:left w:val="nil"/>
              <w:bottom w:val="nil"/>
              <w:right w:val="nil"/>
            </w:tcBorders>
          </w:tcPr>
          <w:p w14:paraId="1F3F111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0.3</w:t>
            </w:r>
          </w:p>
        </w:tc>
        <w:tc>
          <w:tcPr>
            <w:tcW w:w="366" w:type="pct"/>
            <w:tcBorders>
              <w:left w:val="nil"/>
              <w:bottom w:val="nil"/>
              <w:right w:val="nil"/>
            </w:tcBorders>
          </w:tcPr>
          <w:p w14:paraId="517E439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bottom w:val="nil"/>
              <w:right w:val="nil"/>
            </w:tcBorders>
          </w:tcPr>
          <w:p w14:paraId="73F3DB3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bottom w:val="nil"/>
              <w:right w:val="nil"/>
            </w:tcBorders>
          </w:tcPr>
          <w:p w14:paraId="6D2D7AE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bottom w:val="nil"/>
              <w:right w:val="nil"/>
            </w:tcBorders>
          </w:tcPr>
          <w:p w14:paraId="04D123D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bottom w:val="nil"/>
              <w:right w:val="nil"/>
            </w:tcBorders>
          </w:tcPr>
          <w:p w14:paraId="66580DC6"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bottom w:val="nil"/>
              <w:right w:val="nil"/>
            </w:tcBorders>
          </w:tcPr>
          <w:p w14:paraId="5B1540A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7" w:type="pct"/>
            <w:tcBorders>
              <w:left w:val="nil"/>
              <w:bottom w:val="nil"/>
              <w:right w:val="nil"/>
            </w:tcBorders>
          </w:tcPr>
          <w:p w14:paraId="595DBA0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0.3</w:t>
            </w:r>
          </w:p>
        </w:tc>
        <w:tc>
          <w:tcPr>
            <w:tcW w:w="362" w:type="pct"/>
            <w:gridSpan w:val="2"/>
            <w:tcBorders>
              <w:left w:val="nil"/>
              <w:bottom w:val="nil"/>
              <w:right w:val="nil"/>
            </w:tcBorders>
          </w:tcPr>
          <w:p w14:paraId="7BB59DD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bottom w:val="nil"/>
              <w:right w:val="nil"/>
            </w:tcBorders>
          </w:tcPr>
          <w:p w14:paraId="0174328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0.3</w:t>
            </w:r>
          </w:p>
        </w:tc>
      </w:tr>
      <w:tr w:rsidR="00323BB2" w:rsidRPr="0061063C" w14:paraId="6AB3C67B" w14:textId="77777777" w:rsidTr="00453AFA">
        <w:trPr>
          <w:trHeight w:val="154"/>
        </w:trPr>
        <w:tc>
          <w:tcPr>
            <w:tcW w:w="1014" w:type="pct"/>
          </w:tcPr>
          <w:p w14:paraId="0B0525EC"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Business combinations (Note 10)</w:t>
            </w:r>
          </w:p>
        </w:tc>
        <w:tc>
          <w:tcPr>
            <w:tcW w:w="335" w:type="pct"/>
            <w:tcBorders>
              <w:left w:val="nil"/>
              <w:right w:val="nil"/>
            </w:tcBorders>
          </w:tcPr>
          <w:p w14:paraId="5F8C72B3"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left w:val="nil"/>
              <w:right w:val="nil"/>
            </w:tcBorders>
          </w:tcPr>
          <w:p w14:paraId="2A191E1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20A307E8"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29731CA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4020316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2E140F5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529E3F8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1BF8B2C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7" w:type="pct"/>
            <w:tcBorders>
              <w:left w:val="nil"/>
              <w:right w:val="nil"/>
            </w:tcBorders>
          </w:tcPr>
          <w:p w14:paraId="2EEE683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2" w:type="pct"/>
            <w:gridSpan w:val="2"/>
            <w:tcBorders>
              <w:left w:val="nil"/>
              <w:right w:val="nil"/>
            </w:tcBorders>
          </w:tcPr>
          <w:p w14:paraId="0B21A2A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31.6</w:t>
            </w:r>
          </w:p>
        </w:tc>
        <w:tc>
          <w:tcPr>
            <w:tcW w:w="361" w:type="pct"/>
            <w:tcBorders>
              <w:left w:val="nil"/>
              <w:right w:val="nil"/>
            </w:tcBorders>
          </w:tcPr>
          <w:p w14:paraId="2468FCB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31.6</w:t>
            </w:r>
          </w:p>
        </w:tc>
      </w:tr>
      <w:tr w:rsidR="00323BB2" w:rsidRPr="0061063C" w14:paraId="1E80E423" w14:textId="77777777" w:rsidTr="00453AFA">
        <w:trPr>
          <w:trHeight w:val="333"/>
        </w:trPr>
        <w:tc>
          <w:tcPr>
            <w:tcW w:w="1014" w:type="pct"/>
          </w:tcPr>
          <w:p w14:paraId="0DD239E6"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Own shares acquired by the Group (Note 18)</w:t>
            </w:r>
          </w:p>
        </w:tc>
        <w:tc>
          <w:tcPr>
            <w:tcW w:w="335" w:type="pct"/>
            <w:tcBorders>
              <w:left w:val="nil"/>
              <w:right w:val="nil"/>
            </w:tcBorders>
          </w:tcPr>
          <w:p w14:paraId="5503DE88" w14:textId="77777777" w:rsidR="00323BB2" w:rsidRPr="0061063C" w:rsidRDefault="00323BB2" w:rsidP="00453AFA">
            <w:pPr>
              <w:jc w:val="right"/>
              <w:rPr>
                <w:rFonts w:asciiTheme="minorHAnsi" w:hAnsiTheme="minorHAnsi"/>
                <w:i/>
                <w:sz w:val="16"/>
                <w:szCs w:val="16"/>
              </w:rPr>
            </w:pPr>
          </w:p>
          <w:p w14:paraId="107CE72B"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(1.4)</w:t>
            </w:r>
          </w:p>
        </w:tc>
        <w:tc>
          <w:tcPr>
            <w:tcW w:w="365" w:type="pct"/>
            <w:gridSpan w:val="2"/>
            <w:tcBorders>
              <w:left w:val="nil"/>
              <w:right w:val="nil"/>
            </w:tcBorders>
          </w:tcPr>
          <w:p w14:paraId="22BD1558" w14:textId="77777777" w:rsidR="00323BB2" w:rsidRPr="0061063C" w:rsidRDefault="00323BB2" w:rsidP="00453AFA">
            <w:pPr>
              <w:jc w:val="right"/>
              <w:rPr>
                <w:rFonts w:asciiTheme="minorHAnsi" w:hAnsiTheme="minorHAnsi"/>
                <w:sz w:val="16"/>
                <w:szCs w:val="16"/>
              </w:rPr>
            </w:pPr>
          </w:p>
          <w:p w14:paraId="4AE897B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(0.1)</w:t>
            </w:r>
          </w:p>
        </w:tc>
        <w:tc>
          <w:tcPr>
            <w:tcW w:w="366" w:type="pct"/>
            <w:tcBorders>
              <w:left w:val="nil"/>
              <w:right w:val="nil"/>
            </w:tcBorders>
          </w:tcPr>
          <w:p w14:paraId="581099D9" w14:textId="77777777" w:rsidR="00323BB2" w:rsidRPr="0061063C" w:rsidRDefault="00323BB2" w:rsidP="00453AFA">
            <w:pPr>
              <w:jc w:val="right"/>
              <w:rPr>
                <w:rFonts w:asciiTheme="minorHAnsi" w:hAnsiTheme="minorHAnsi"/>
                <w:sz w:val="16"/>
                <w:szCs w:val="16"/>
              </w:rPr>
            </w:pPr>
          </w:p>
          <w:p w14:paraId="0FEB024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45C365F0" w14:textId="77777777" w:rsidR="00323BB2" w:rsidRPr="0061063C" w:rsidRDefault="00323BB2" w:rsidP="00453AFA">
            <w:pPr>
              <w:jc w:val="right"/>
              <w:rPr>
                <w:rFonts w:asciiTheme="minorHAnsi" w:hAnsiTheme="minorHAnsi"/>
                <w:sz w:val="16"/>
                <w:szCs w:val="16"/>
              </w:rPr>
            </w:pPr>
          </w:p>
          <w:p w14:paraId="742A839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0.1</w:t>
            </w:r>
          </w:p>
        </w:tc>
        <w:tc>
          <w:tcPr>
            <w:tcW w:w="366" w:type="pct"/>
            <w:tcBorders>
              <w:left w:val="nil"/>
              <w:right w:val="nil"/>
            </w:tcBorders>
          </w:tcPr>
          <w:p w14:paraId="1E077580" w14:textId="77777777" w:rsidR="00323BB2" w:rsidRPr="0061063C" w:rsidRDefault="00323BB2" w:rsidP="00453AFA">
            <w:pPr>
              <w:jc w:val="right"/>
              <w:rPr>
                <w:rFonts w:asciiTheme="minorHAnsi" w:hAnsiTheme="minorHAnsi"/>
                <w:sz w:val="16"/>
                <w:szCs w:val="16"/>
              </w:rPr>
            </w:pPr>
          </w:p>
          <w:p w14:paraId="1F337F2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15A1B1DE" w14:textId="77777777" w:rsidR="00323BB2" w:rsidRPr="0061063C" w:rsidRDefault="00323BB2" w:rsidP="00453AFA">
            <w:pPr>
              <w:jc w:val="right"/>
              <w:rPr>
                <w:rFonts w:asciiTheme="minorHAnsi" w:hAnsiTheme="minorHAnsi"/>
                <w:sz w:val="16"/>
                <w:szCs w:val="16"/>
              </w:rPr>
            </w:pPr>
          </w:p>
          <w:p w14:paraId="77315C0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BA546B9" w14:textId="77777777" w:rsidR="00323BB2" w:rsidRPr="0061063C" w:rsidRDefault="00323BB2" w:rsidP="00453AFA">
            <w:pPr>
              <w:jc w:val="right"/>
              <w:rPr>
                <w:rFonts w:asciiTheme="minorHAnsi" w:hAnsiTheme="minorHAnsi"/>
                <w:sz w:val="16"/>
                <w:szCs w:val="16"/>
              </w:rPr>
            </w:pPr>
          </w:p>
          <w:p w14:paraId="4E97058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12BC7346" w14:textId="77777777" w:rsidR="00323BB2" w:rsidRPr="0061063C" w:rsidRDefault="00323BB2" w:rsidP="00453AFA">
            <w:pPr>
              <w:jc w:val="right"/>
              <w:rPr>
                <w:rFonts w:asciiTheme="minorHAnsi" w:hAnsiTheme="minorHAnsi"/>
                <w:sz w:val="16"/>
                <w:szCs w:val="16"/>
              </w:rPr>
            </w:pPr>
          </w:p>
          <w:p w14:paraId="629F0CB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7" w:type="pct"/>
            <w:tcBorders>
              <w:left w:val="nil"/>
              <w:right w:val="nil"/>
            </w:tcBorders>
          </w:tcPr>
          <w:p w14:paraId="0AB86D01" w14:textId="77777777" w:rsidR="00323BB2" w:rsidRPr="0061063C" w:rsidRDefault="00323BB2" w:rsidP="00453AFA">
            <w:pPr>
              <w:jc w:val="right"/>
              <w:rPr>
                <w:rFonts w:asciiTheme="minorHAnsi" w:hAnsiTheme="minorHAnsi"/>
                <w:sz w:val="16"/>
                <w:szCs w:val="16"/>
              </w:rPr>
            </w:pPr>
          </w:p>
          <w:p w14:paraId="603A77A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2" w:type="pct"/>
            <w:gridSpan w:val="2"/>
            <w:tcBorders>
              <w:left w:val="nil"/>
              <w:right w:val="nil"/>
            </w:tcBorders>
          </w:tcPr>
          <w:p w14:paraId="3E0C6B80" w14:textId="77777777" w:rsidR="00323BB2" w:rsidRPr="0061063C" w:rsidRDefault="00323BB2" w:rsidP="00453AFA">
            <w:pPr>
              <w:jc w:val="right"/>
              <w:rPr>
                <w:rFonts w:asciiTheme="minorHAnsi" w:hAnsiTheme="minorHAnsi"/>
                <w:sz w:val="16"/>
                <w:szCs w:val="16"/>
              </w:rPr>
            </w:pPr>
          </w:p>
          <w:p w14:paraId="7D84EBA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right w:val="nil"/>
            </w:tcBorders>
          </w:tcPr>
          <w:p w14:paraId="6F527EC6" w14:textId="77777777" w:rsidR="00323BB2" w:rsidRPr="0061063C" w:rsidRDefault="00323BB2" w:rsidP="00453AFA">
            <w:pPr>
              <w:jc w:val="right"/>
              <w:rPr>
                <w:rFonts w:asciiTheme="minorHAnsi" w:hAnsiTheme="minorHAnsi"/>
                <w:sz w:val="16"/>
                <w:szCs w:val="16"/>
              </w:rPr>
            </w:pPr>
          </w:p>
          <w:p w14:paraId="4AD668D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r>
      <w:tr w:rsidR="00323BB2" w:rsidRPr="0061063C" w14:paraId="50AE0845" w14:textId="77777777" w:rsidTr="00453AFA">
        <w:trPr>
          <w:trHeight w:val="333"/>
        </w:trPr>
        <w:tc>
          <w:tcPr>
            <w:tcW w:w="1014" w:type="pct"/>
          </w:tcPr>
          <w:p w14:paraId="51BCD8FF"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 xml:space="preserve">Equity-settled transactions – expense </w:t>
            </w:r>
          </w:p>
          <w:p w14:paraId="54DD9703"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recorded in income statement</w:t>
            </w:r>
          </w:p>
        </w:tc>
        <w:tc>
          <w:tcPr>
            <w:tcW w:w="335" w:type="pct"/>
            <w:tcBorders>
              <w:left w:val="nil"/>
              <w:right w:val="nil"/>
            </w:tcBorders>
          </w:tcPr>
          <w:p w14:paraId="53F728E7" w14:textId="77777777" w:rsidR="00323BB2" w:rsidRPr="0061063C" w:rsidRDefault="00323BB2" w:rsidP="00453AFA">
            <w:pPr>
              <w:jc w:val="right"/>
              <w:rPr>
                <w:rFonts w:asciiTheme="minorHAnsi" w:hAnsiTheme="minorHAnsi"/>
                <w:i/>
                <w:sz w:val="16"/>
                <w:szCs w:val="16"/>
              </w:rPr>
            </w:pPr>
          </w:p>
          <w:p w14:paraId="4BE90573"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left w:val="nil"/>
              <w:right w:val="nil"/>
            </w:tcBorders>
          </w:tcPr>
          <w:p w14:paraId="4582FD52" w14:textId="77777777" w:rsidR="00323BB2" w:rsidRPr="0061063C" w:rsidRDefault="00323BB2" w:rsidP="00453AFA">
            <w:pPr>
              <w:jc w:val="right"/>
              <w:rPr>
                <w:rFonts w:asciiTheme="minorHAnsi" w:hAnsiTheme="minorHAnsi"/>
                <w:sz w:val="16"/>
                <w:szCs w:val="16"/>
              </w:rPr>
            </w:pPr>
          </w:p>
          <w:p w14:paraId="4D3D05E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91799CD" w14:textId="77777777" w:rsidR="00323BB2" w:rsidRPr="0061063C" w:rsidRDefault="00323BB2" w:rsidP="00453AFA">
            <w:pPr>
              <w:jc w:val="right"/>
              <w:rPr>
                <w:rFonts w:asciiTheme="minorHAnsi" w:hAnsiTheme="minorHAnsi"/>
                <w:sz w:val="16"/>
                <w:szCs w:val="16"/>
              </w:rPr>
            </w:pPr>
          </w:p>
          <w:p w14:paraId="59741A2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561B107F" w14:textId="77777777" w:rsidR="00323BB2" w:rsidRPr="0061063C" w:rsidRDefault="00323BB2" w:rsidP="00453AFA">
            <w:pPr>
              <w:jc w:val="right"/>
              <w:rPr>
                <w:rFonts w:asciiTheme="minorHAnsi" w:hAnsiTheme="minorHAnsi"/>
                <w:sz w:val="16"/>
                <w:szCs w:val="16"/>
              </w:rPr>
            </w:pPr>
          </w:p>
          <w:p w14:paraId="6754ADE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6A15C7A" w14:textId="77777777" w:rsidR="00323BB2" w:rsidRPr="0061063C" w:rsidRDefault="00323BB2" w:rsidP="00453AFA">
            <w:pPr>
              <w:jc w:val="right"/>
              <w:rPr>
                <w:rFonts w:asciiTheme="minorHAnsi" w:hAnsiTheme="minorHAnsi"/>
                <w:sz w:val="16"/>
                <w:szCs w:val="16"/>
              </w:rPr>
            </w:pPr>
          </w:p>
          <w:p w14:paraId="6765861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CD51A89" w14:textId="77777777" w:rsidR="00323BB2" w:rsidRPr="0061063C" w:rsidRDefault="00323BB2" w:rsidP="00453AFA">
            <w:pPr>
              <w:jc w:val="right"/>
              <w:rPr>
                <w:rFonts w:asciiTheme="minorHAnsi" w:hAnsiTheme="minorHAnsi"/>
                <w:sz w:val="16"/>
                <w:szCs w:val="16"/>
              </w:rPr>
            </w:pPr>
          </w:p>
          <w:p w14:paraId="5667C3D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65D23480" w14:textId="77777777" w:rsidR="00323BB2" w:rsidRPr="0061063C" w:rsidRDefault="00323BB2" w:rsidP="00453AFA">
            <w:pPr>
              <w:jc w:val="right"/>
              <w:rPr>
                <w:rFonts w:asciiTheme="minorHAnsi" w:hAnsiTheme="minorHAnsi"/>
                <w:sz w:val="16"/>
                <w:szCs w:val="16"/>
              </w:rPr>
            </w:pPr>
          </w:p>
          <w:p w14:paraId="4C35015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12.7</w:t>
            </w:r>
          </w:p>
        </w:tc>
        <w:tc>
          <w:tcPr>
            <w:tcW w:w="366" w:type="pct"/>
            <w:tcBorders>
              <w:left w:val="nil"/>
              <w:right w:val="nil"/>
            </w:tcBorders>
          </w:tcPr>
          <w:p w14:paraId="28807311" w14:textId="77777777" w:rsidR="00323BB2" w:rsidRPr="0061063C" w:rsidRDefault="00323BB2" w:rsidP="00453AFA">
            <w:pPr>
              <w:jc w:val="right"/>
              <w:rPr>
                <w:rFonts w:asciiTheme="minorHAnsi" w:hAnsiTheme="minorHAnsi"/>
                <w:sz w:val="16"/>
                <w:szCs w:val="16"/>
              </w:rPr>
            </w:pPr>
          </w:p>
          <w:p w14:paraId="62CB299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7" w:type="pct"/>
            <w:tcBorders>
              <w:left w:val="nil"/>
              <w:right w:val="nil"/>
            </w:tcBorders>
          </w:tcPr>
          <w:p w14:paraId="27068A13" w14:textId="77777777" w:rsidR="00323BB2" w:rsidRPr="0061063C" w:rsidRDefault="00323BB2" w:rsidP="00453AFA">
            <w:pPr>
              <w:jc w:val="right"/>
              <w:rPr>
                <w:rFonts w:asciiTheme="minorHAnsi" w:hAnsiTheme="minorHAnsi"/>
                <w:sz w:val="16"/>
                <w:szCs w:val="16"/>
              </w:rPr>
            </w:pPr>
          </w:p>
          <w:p w14:paraId="40EBD20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12.7</w:t>
            </w:r>
          </w:p>
        </w:tc>
        <w:tc>
          <w:tcPr>
            <w:tcW w:w="362" w:type="pct"/>
            <w:gridSpan w:val="2"/>
            <w:tcBorders>
              <w:left w:val="nil"/>
              <w:right w:val="nil"/>
            </w:tcBorders>
          </w:tcPr>
          <w:p w14:paraId="31E5D35A" w14:textId="77777777" w:rsidR="00323BB2" w:rsidRPr="0061063C" w:rsidRDefault="00323BB2" w:rsidP="00453AFA">
            <w:pPr>
              <w:jc w:val="right"/>
              <w:rPr>
                <w:rFonts w:asciiTheme="minorHAnsi" w:hAnsiTheme="minorHAnsi"/>
                <w:sz w:val="16"/>
                <w:szCs w:val="16"/>
              </w:rPr>
            </w:pPr>
          </w:p>
          <w:p w14:paraId="58E9F7F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right w:val="nil"/>
            </w:tcBorders>
          </w:tcPr>
          <w:p w14:paraId="22DB8C03" w14:textId="77777777" w:rsidR="00323BB2" w:rsidRPr="0061063C" w:rsidRDefault="00323BB2" w:rsidP="00453AFA">
            <w:pPr>
              <w:jc w:val="right"/>
              <w:rPr>
                <w:rFonts w:asciiTheme="minorHAnsi" w:hAnsiTheme="minorHAnsi"/>
                <w:sz w:val="16"/>
                <w:szCs w:val="16"/>
              </w:rPr>
            </w:pPr>
          </w:p>
          <w:p w14:paraId="5B972688"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12.7</w:t>
            </w:r>
          </w:p>
        </w:tc>
      </w:tr>
      <w:tr w:rsidR="00323BB2" w:rsidRPr="0061063C" w14:paraId="51A775DB" w14:textId="77777777" w:rsidTr="00453AFA">
        <w:trPr>
          <w:trHeight w:val="208"/>
        </w:trPr>
        <w:tc>
          <w:tcPr>
            <w:tcW w:w="1014" w:type="pct"/>
          </w:tcPr>
          <w:p w14:paraId="3F80293D"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 xml:space="preserve">Equity-settled transactions – </w:t>
            </w:r>
            <w:proofErr w:type="spellStart"/>
            <w:r w:rsidRPr="0061063C">
              <w:rPr>
                <w:rFonts w:asciiTheme="minorHAnsi" w:hAnsiTheme="minorHAnsi"/>
                <w:sz w:val="16"/>
                <w:szCs w:val="16"/>
              </w:rPr>
              <w:t>vestings</w:t>
            </w:r>
            <w:proofErr w:type="spellEnd"/>
            <w:r w:rsidRPr="0061063C">
              <w:rPr>
                <w:rFonts w:asciiTheme="minorHAnsi" w:hAnsiTheme="minorHAnsi"/>
                <w:sz w:val="16"/>
                <w:szCs w:val="16"/>
              </w:rPr>
              <w:t xml:space="preserve"> </w:t>
            </w:r>
          </w:p>
        </w:tc>
        <w:tc>
          <w:tcPr>
            <w:tcW w:w="335" w:type="pct"/>
            <w:tcBorders>
              <w:left w:val="nil"/>
              <w:right w:val="nil"/>
            </w:tcBorders>
          </w:tcPr>
          <w:p w14:paraId="32BAF1C3"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left w:val="nil"/>
              <w:right w:val="nil"/>
            </w:tcBorders>
          </w:tcPr>
          <w:p w14:paraId="48D98F3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5D57445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77E5628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6025D6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13C5989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0.2</w:t>
            </w:r>
          </w:p>
        </w:tc>
        <w:tc>
          <w:tcPr>
            <w:tcW w:w="366" w:type="pct"/>
            <w:tcBorders>
              <w:left w:val="nil"/>
              <w:right w:val="nil"/>
            </w:tcBorders>
          </w:tcPr>
          <w:p w14:paraId="1E7B11A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(0.2)</w:t>
            </w:r>
          </w:p>
        </w:tc>
        <w:tc>
          <w:tcPr>
            <w:tcW w:w="366" w:type="pct"/>
            <w:tcBorders>
              <w:left w:val="nil"/>
              <w:right w:val="nil"/>
            </w:tcBorders>
          </w:tcPr>
          <w:p w14:paraId="7261DE4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7" w:type="pct"/>
            <w:tcBorders>
              <w:left w:val="nil"/>
              <w:right w:val="nil"/>
            </w:tcBorders>
          </w:tcPr>
          <w:p w14:paraId="2F985D9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2" w:type="pct"/>
            <w:gridSpan w:val="2"/>
            <w:tcBorders>
              <w:left w:val="nil"/>
              <w:right w:val="nil"/>
            </w:tcBorders>
          </w:tcPr>
          <w:p w14:paraId="034B8556"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right w:val="nil"/>
            </w:tcBorders>
          </w:tcPr>
          <w:p w14:paraId="0346E40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r>
      <w:tr w:rsidR="00323BB2" w:rsidRPr="0061063C" w14:paraId="23B6DBF6" w14:textId="77777777" w:rsidTr="00453AFA">
        <w:trPr>
          <w:trHeight w:val="172"/>
        </w:trPr>
        <w:tc>
          <w:tcPr>
            <w:tcW w:w="1014" w:type="pct"/>
          </w:tcPr>
          <w:p w14:paraId="206126B3" w14:textId="77777777" w:rsidR="00323BB2" w:rsidRPr="0061063C" w:rsidRDefault="00323BB2" w:rsidP="00453AFA">
            <w:pPr>
              <w:ind w:left="-108"/>
              <w:rPr>
                <w:rFonts w:asciiTheme="minorHAnsi" w:hAnsiTheme="minorHAnsi"/>
                <w:sz w:val="16"/>
                <w:szCs w:val="16"/>
              </w:rPr>
            </w:pPr>
            <w:r w:rsidRPr="0061063C">
              <w:rPr>
                <w:rFonts w:asciiTheme="minorHAnsi" w:hAnsiTheme="minorHAnsi"/>
                <w:sz w:val="16"/>
                <w:szCs w:val="16"/>
              </w:rPr>
              <w:t>Tax on share-based payments</w:t>
            </w:r>
          </w:p>
        </w:tc>
        <w:tc>
          <w:tcPr>
            <w:tcW w:w="335" w:type="pct"/>
            <w:tcBorders>
              <w:left w:val="nil"/>
              <w:right w:val="nil"/>
            </w:tcBorders>
          </w:tcPr>
          <w:p w14:paraId="4A16728D"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left w:val="nil"/>
              <w:right w:val="nil"/>
            </w:tcBorders>
          </w:tcPr>
          <w:p w14:paraId="5A3556A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4B4B015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177E4B6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63208DF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72F3B9E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0B3016C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4EE6C94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(0.1)</w:t>
            </w:r>
          </w:p>
        </w:tc>
        <w:tc>
          <w:tcPr>
            <w:tcW w:w="367" w:type="pct"/>
            <w:tcBorders>
              <w:left w:val="nil"/>
              <w:right w:val="nil"/>
            </w:tcBorders>
          </w:tcPr>
          <w:p w14:paraId="06C5763A"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(0.1)</w:t>
            </w:r>
          </w:p>
        </w:tc>
        <w:tc>
          <w:tcPr>
            <w:tcW w:w="362" w:type="pct"/>
            <w:gridSpan w:val="2"/>
            <w:tcBorders>
              <w:left w:val="nil"/>
              <w:right w:val="nil"/>
            </w:tcBorders>
          </w:tcPr>
          <w:p w14:paraId="60554E1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right w:val="nil"/>
            </w:tcBorders>
          </w:tcPr>
          <w:p w14:paraId="43A1729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(0.1)</w:t>
            </w:r>
          </w:p>
        </w:tc>
      </w:tr>
      <w:tr w:rsidR="00323BB2" w:rsidRPr="0061063C" w14:paraId="4EE0DD09" w14:textId="77777777" w:rsidTr="00453AFA">
        <w:trPr>
          <w:trHeight w:val="360"/>
        </w:trPr>
        <w:tc>
          <w:tcPr>
            <w:tcW w:w="1014" w:type="pct"/>
          </w:tcPr>
          <w:p w14:paraId="39212790"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Transfer to retained earnings on exercise of share options</w:t>
            </w:r>
          </w:p>
        </w:tc>
        <w:tc>
          <w:tcPr>
            <w:tcW w:w="335" w:type="pct"/>
            <w:tcBorders>
              <w:left w:val="nil"/>
              <w:right w:val="nil"/>
            </w:tcBorders>
          </w:tcPr>
          <w:p w14:paraId="47F785D2" w14:textId="77777777" w:rsidR="00323BB2" w:rsidRPr="0061063C" w:rsidRDefault="00323BB2" w:rsidP="00453AFA">
            <w:pPr>
              <w:jc w:val="right"/>
              <w:rPr>
                <w:rFonts w:asciiTheme="minorHAnsi" w:hAnsiTheme="minorHAnsi"/>
                <w:i/>
                <w:sz w:val="16"/>
                <w:szCs w:val="16"/>
              </w:rPr>
            </w:pPr>
          </w:p>
          <w:p w14:paraId="7DD5A034"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left w:val="nil"/>
              <w:right w:val="nil"/>
            </w:tcBorders>
          </w:tcPr>
          <w:p w14:paraId="076FDFB5" w14:textId="77777777" w:rsidR="00323BB2" w:rsidRPr="0061063C" w:rsidRDefault="00323BB2" w:rsidP="00453AFA">
            <w:pPr>
              <w:jc w:val="right"/>
              <w:rPr>
                <w:rFonts w:asciiTheme="minorHAnsi" w:hAnsiTheme="minorHAnsi"/>
                <w:sz w:val="16"/>
                <w:szCs w:val="16"/>
              </w:rPr>
            </w:pPr>
          </w:p>
          <w:p w14:paraId="69E5DD1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260DB35" w14:textId="77777777" w:rsidR="00323BB2" w:rsidRPr="0061063C" w:rsidRDefault="00323BB2" w:rsidP="00453AFA">
            <w:pPr>
              <w:jc w:val="right"/>
              <w:rPr>
                <w:rFonts w:asciiTheme="minorHAnsi" w:hAnsiTheme="minorHAnsi"/>
                <w:sz w:val="16"/>
                <w:szCs w:val="16"/>
              </w:rPr>
            </w:pPr>
          </w:p>
          <w:p w14:paraId="48C65E2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7D165567" w14:textId="77777777" w:rsidR="00323BB2" w:rsidRPr="0061063C" w:rsidRDefault="00323BB2" w:rsidP="00453AFA">
            <w:pPr>
              <w:jc w:val="right"/>
              <w:rPr>
                <w:rFonts w:asciiTheme="minorHAnsi" w:hAnsiTheme="minorHAnsi"/>
                <w:sz w:val="16"/>
                <w:szCs w:val="16"/>
              </w:rPr>
            </w:pPr>
          </w:p>
          <w:p w14:paraId="5CD757D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4C50A918" w14:textId="77777777" w:rsidR="00323BB2" w:rsidRPr="0061063C" w:rsidRDefault="00323BB2" w:rsidP="00453AFA">
            <w:pPr>
              <w:jc w:val="right"/>
              <w:rPr>
                <w:rFonts w:asciiTheme="minorHAnsi" w:hAnsiTheme="minorHAnsi"/>
                <w:sz w:val="16"/>
                <w:szCs w:val="16"/>
              </w:rPr>
            </w:pPr>
          </w:p>
          <w:p w14:paraId="4D73D216"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6F4F840F" w14:textId="77777777" w:rsidR="00323BB2" w:rsidRPr="0061063C" w:rsidRDefault="00323BB2" w:rsidP="00453AFA">
            <w:pPr>
              <w:jc w:val="right"/>
              <w:rPr>
                <w:rFonts w:asciiTheme="minorHAnsi" w:hAnsiTheme="minorHAnsi"/>
                <w:sz w:val="16"/>
                <w:szCs w:val="16"/>
              </w:rPr>
            </w:pPr>
          </w:p>
          <w:p w14:paraId="588A2D2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47F24A97" w14:textId="77777777" w:rsidR="00323BB2" w:rsidRPr="0061063C" w:rsidRDefault="00323BB2" w:rsidP="00453AFA">
            <w:pPr>
              <w:jc w:val="right"/>
              <w:rPr>
                <w:rFonts w:asciiTheme="minorHAnsi" w:hAnsiTheme="minorHAnsi"/>
                <w:sz w:val="16"/>
                <w:szCs w:val="16"/>
              </w:rPr>
            </w:pPr>
          </w:p>
          <w:p w14:paraId="3524698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(11.8)</w:t>
            </w:r>
          </w:p>
        </w:tc>
        <w:tc>
          <w:tcPr>
            <w:tcW w:w="366" w:type="pct"/>
            <w:tcBorders>
              <w:left w:val="nil"/>
              <w:right w:val="nil"/>
            </w:tcBorders>
          </w:tcPr>
          <w:p w14:paraId="50F07438" w14:textId="77777777" w:rsidR="00323BB2" w:rsidRPr="0061063C" w:rsidRDefault="00323BB2" w:rsidP="00453AFA">
            <w:pPr>
              <w:jc w:val="right"/>
              <w:rPr>
                <w:rFonts w:asciiTheme="minorHAnsi" w:hAnsiTheme="minorHAnsi"/>
                <w:sz w:val="16"/>
                <w:szCs w:val="16"/>
              </w:rPr>
            </w:pPr>
          </w:p>
          <w:p w14:paraId="33A779F0"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11.8</w:t>
            </w:r>
          </w:p>
        </w:tc>
        <w:tc>
          <w:tcPr>
            <w:tcW w:w="367" w:type="pct"/>
            <w:tcBorders>
              <w:left w:val="nil"/>
              <w:right w:val="nil"/>
            </w:tcBorders>
          </w:tcPr>
          <w:p w14:paraId="3AFDADC0" w14:textId="77777777" w:rsidR="00323BB2" w:rsidRPr="0061063C" w:rsidRDefault="00323BB2" w:rsidP="00453AFA">
            <w:pPr>
              <w:jc w:val="right"/>
              <w:rPr>
                <w:rFonts w:asciiTheme="minorHAnsi" w:hAnsiTheme="minorHAnsi"/>
                <w:sz w:val="16"/>
                <w:szCs w:val="16"/>
              </w:rPr>
            </w:pPr>
          </w:p>
          <w:p w14:paraId="30FF761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2" w:type="pct"/>
            <w:gridSpan w:val="2"/>
            <w:tcBorders>
              <w:left w:val="nil"/>
              <w:right w:val="nil"/>
            </w:tcBorders>
          </w:tcPr>
          <w:p w14:paraId="53632ECB" w14:textId="77777777" w:rsidR="00323BB2" w:rsidRPr="0061063C" w:rsidRDefault="00323BB2" w:rsidP="00453AFA">
            <w:pPr>
              <w:jc w:val="right"/>
              <w:rPr>
                <w:rFonts w:asciiTheme="minorHAnsi" w:hAnsiTheme="minorHAnsi"/>
                <w:sz w:val="16"/>
                <w:szCs w:val="16"/>
              </w:rPr>
            </w:pPr>
          </w:p>
          <w:p w14:paraId="1F07100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right w:val="nil"/>
            </w:tcBorders>
          </w:tcPr>
          <w:p w14:paraId="6CFF37DB" w14:textId="77777777" w:rsidR="00323BB2" w:rsidRPr="0061063C" w:rsidRDefault="00323BB2" w:rsidP="00453AFA">
            <w:pPr>
              <w:jc w:val="right"/>
              <w:rPr>
                <w:rFonts w:asciiTheme="minorHAnsi" w:hAnsiTheme="minorHAnsi"/>
                <w:sz w:val="16"/>
                <w:szCs w:val="16"/>
              </w:rPr>
            </w:pPr>
          </w:p>
          <w:p w14:paraId="160EBFC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r>
      <w:tr w:rsidR="00323BB2" w:rsidRPr="0061063C" w14:paraId="740615DD" w14:textId="77777777" w:rsidTr="00453AFA">
        <w:trPr>
          <w:trHeight w:val="70"/>
        </w:trPr>
        <w:tc>
          <w:tcPr>
            <w:tcW w:w="1014" w:type="pct"/>
            <w:tcBorders>
              <w:left w:val="nil"/>
              <w:right w:val="nil"/>
            </w:tcBorders>
          </w:tcPr>
          <w:p w14:paraId="238C79A3"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Dividends to shareholders (Note 17)</w:t>
            </w:r>
          </w:p>
        </w:tc>
        <w:tc>
          <w:tcPr>
            <w:tcW w:w="335" w:type="pct"/>
            <w:tcBorders>
              <w:left w:val="nil"/>
              <w:right w:val="nil"/>
            </w:tcBorders>
          </w:tcPr>
          <w:p w14:paraId="5F23341C"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w:t>
            </w:r>
          </w:p>
        </w:tc>
        <w:tc>
          <w:tcPr>
            <w:tcW w:w="365" w:type="pct"/>
            <w:gridSpan w:val="2"/>
            <w:tcBorders>
              <w:left w:val="nil"/>
              <w:right w:val="nil"/>
            </w:tcBorders>
          </w:tcPr>
          <w:p w14:paraId="6493047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771F317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02B9226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1368CB2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3646E1A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tcPr>
          <w:p w14:paraId="584AA006"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left w:val="nil"/>
              <w:right w:val="nil"/>
            </w:tcBorders>
            <w:shd w:val="clear" w:color="auto" w:fill="auto"/>
          </w:tcPr>
          <w:p w14:paraId="41E9EB68"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(104.0)</w:t>
            </w:r>
          </w:p>
        </w:tc>
        <w:tc>
          <w:tcPr>
            <w:tcW w:w="367" w:type="pct"/>
            <w:tcBorders>
              <w:left w:val="nil"/>
              <w:right w:val="nil"/>
            </w:tcBorders>
            <w:shd w:val="clear" w:color="auto" w:fill="auto"/>
          </w:tcPr>
          <w:p w14:paraId="45F8DDD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(104.0)</w:t>
            </w:r>
          </w:p>
        </w:tc>
        <w:tc>
          <w:tcPr>
            <w:tcW w:w="362" w:type="pct"/>
            <w:gridSpan w:val="2"/>
            <w:tcBorders>
              <w:left w:val="nil"/>
              <w:right w:val="nil"/>
            </w:tcBorders>
            <w:shd w:val="clear" w:color="auto" w:fill="auto"/>
          </w:tcPr>
          <w:p w14:paraId="7763012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1" w:type="pct"/>
            <w:tcBorders>
              <w:left w:val="nil"/>
              <w:right w:val="nil"/>
            </w:tcBorders>
            <w:shd w:val="clear" w:color="auto" w:fill="auto"/>
          </w:tcPr>
          <w:p w14:paraId="2C31228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(104.0)</w:t>
            </w:r>
          </w:p>
        </w:tc>
      </w:tr>
      <w:tr w:rsidR="00323BB2" w:rsidRPr="0061063C" w14:paraId="3BC03002" w14:textId="77777777" w:rsidTr="00453AFA">
        <w:trPr>
          <w:trHeight w:val="406"/>
        </w:trPr>
        <w:tc>
          <w:tcPr>
            <w:tcW w:w="1014" w:type="pct"/>
            <w:tcBorders>
              <w:top w:val="single" w:sz="4" w:space="0" w:color="auto"/>
              <w:left w:val="nil"/>
              <w:bottom w:val="single" w:sz="4" w:space="0" w:color="auto"/>
              <w:right w:val="nil"/>
            </w:tcBorders>
          </w:tcPr>
          <w:p w14:paraId="2881BF6A"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 xml:space="preserve">Total contributions by and distributions to </w:t>
            </w:r>
          </w:p>
          <w:p w14:paraId="1499105D" w14:textId="77777777" w:rsidR="00323BB2" w:rsidRPr="0061063C" w:rsidRDefault="00323BB2" w:rsidP="00453AFA">
            <w:pPr>
              <w:spacing w:after="20"/>
              <w:ind w:left="-108"/>
              <w:rPr>
                <w:rFonts w:asciiTheme="minorHAnsi" w:hAnsiTheme="minorHAnsi"/>
                <w:sz w:val="16"/>
                <w:szCs w:val="16"/>
              </w:rPr>
            </w:pPr>
            <w:r w:rsidRPr="0061063C">
              <w:rPr>
                <w:rFonts w:asciiTheme="minorHAnsi" w:hAnsiTheme="minorHAnsi"/>
                <w:sz w:val="16"/>
                <w:szCs w:val="16"/>
              </w:rPr>
              <w:t>owners of the Company</w:t>
            </w:r>
          </w:p>
        </w:tc>
        <w:tc>
          <w:tcPr>
            <w:tcW w:w="335" w:type="pct"/>
            <w:tcBorders>
              <w:top w:val="single" w:sz="4" w:space="0" w:color="auto"/>
              <w:left w:val="nil"/>
              <w:bottom w:val="single" w:sz="4" w:space="0" w:color="auto"/>
              <w:right w:val="nil"/>
            </w:tcBorders>
          </w:tcPr>
          <w:p w14:paraId="4F1584DE" w14:textId="77777777" w:rsidR="00323BB2" w:rsidRPr="0061063C" w:rsidRDefault="00323BB2" w:rsidP="00453AFA">
            <w:pPr>
              <w:jc w:val="right"/>
              <w:rPr>
                <w:rFonts w:asciiTheme="minorHAnsi" w:hAnsiTheme="minorHAnsi"/>
                <w:i/>
                <w:sz w:val="16"/>
                <w:szCs w:val="16"/>
              </w:rPr>
            </w:pPr>
          </w:p>
          <w:p w14:paraId="079724A0"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(1.3)</w:t>
            </w:r>
          </w:p>
        </w:tc>
        <w:tc>
          <w:tcPr>
            <w:tcW w:w="365" w:type="pct"/>
            <w:gridSpan w:val="2"/>
            <w:tcBorders>
              <w:top w:val="single" w:sz="4" w:space="0" w:color="auto"/>
              <w:left w:val="nil"/>
              <w:bottom w:val="single" w:sz="4" w:space="0" w:color="auto"/>
              <w:right w:val="nil"/>
            </w:tcBorders>
          </w:tcPr>
          <w:p w14:paraId="4C64B7C9" w14:textId="77777777" w:rsidR="00323BB2" w:rsidRPr="0061063C" w:rsidRDefault="00323BB2" w:rsidP="00453AFA">
            <w:pPr>
              <w:jc w:val="right"/>
              <w:rPr>
                <w:rFonts w:asciiTheme="minorHAnsi" w:hAnsiTheme="minorHAnsi"/>
                <w:sz w:val="16"/>
                <w:szCs w:val="16"/>
              </w:rPr>
            </w:pPr>
          </w:p>
          <w:p w14:paraId="4EEB738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0.2</w:t>
            </w:r>
          </w:p>
        </w:tc>
        <w:tc>
          <w:tcPr>
            <w:tcW w:w="366" w:type="pct"/>
            <w:tcBorders>
              <w:top w:val="single" w:sz="4" w:space="0" w:color="auto"/>
              <w:left w:val="nil"/>
              <w:bottom w:val="single" w:sz="4" w:space="0" w:color="auto"/>
              <w:right w:val="nil"/>
            </w:tcBorders>
          </w:tcPr>
          <w:p w14:paraId="39BD111D" w14:textId="77777777" w:rsidR="00323BB2" w:rsidRPr="0061063C" w:rsidRDefault="00323BB2" w:rsidP="00453AFA">
            <w:pPr>
              <w:jc w:val="right"/>
              <w:rPr>
                <w:rFonts w:asciiTheme="minorHAnsi" w:hAnsiTheme="minorHAnsi"/>
                <w:sz w:val="16"/>
                <w:szCs w:val="16"/>
              </w:rPr>
            </w:pPr>
          </w:p>
          <w:p w14:paraId="2546490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146D1E17" w14:textId="77777777" w:rsidR="00323BB2" w:rsidRPr="0061063C" w:rsidRDefault="00323BB2" w:rsidP="00453AFA">
            <w:pPr>
              <w:jc w:val="right"/>
              <w:rPr>
                <w:rFonts w:asciiTheme="minorHAnsi" w:hAnsiTheme="minorHAnsi"/>
                <w:sz w:val="16"/>
                <w:szCs w:val="16"/>
              </w:rPr>
            </w:pPr>
          </w:p>
          <w:p w14:paraId="39280BD5"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0.1</w:t>
            </w:r>
          </w:p>
        </w:tc>
        <w:tc>
          <w:tcPr>
            <w:tcW w:w="366" w:type="pct"/>
            <w:tcBorders>
              <w:top w:val="single" w:sz="4" w:space="0" w:color="auto"/>
              <w:left w:val="nil"/>
              <w:bottom w:val="single" w:sz="4" w:space="0" w:color="auto"/>
              <w:right w:val="nil"/>
            </w:tcBorders>
          </w:tcPr>
          <w:p w14:paraId="505ABC0D" w14:textId="77777777" w:rsidR="00323BB2" w:rsidRPr="0061063C" w:rsidRDefault="00323BB2" w:rsidP="00453AFA">
            <w:pPr>
              <w:jc w:val="right"/>
              <w:rPr>
                <w:rFonts w:asciiTheme="minorHAnsi" w:hAnsiTheme="minorHAnsi"/>
                <w:sz w:val="16"/>
                <w:szCs w:val="16"/>
              </w:rPr>
            </w:pPr>
          </w:p>
          <w:p w14:paraId="43ED181D"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w:t>
            </w:r>
          </w:p>
        </w:tc>
        <w:tc>
          <w:tcPr>
            <w:tcW w:w="366" w:type="pct"/>
            <w:tcBorders>
              <w:top w:val="single" w:sz="4" w:space="0" w:color="auto"/>
              <w:left w:val="nil"/>
              <w:bottom w:val="single" w:sz="4" w:space="0" w:color="auto"/>
              <w:right w:val="nil"/>
            </w:tcBorders>
          </w:tcPr>
          <w:p w14:paraId="79C2DEC2" w14:textId="77777777" w:rsidR="00323BB2" w:rsidRPr="0061063C" w:rsidRDefault="00323BB2" w:rsidP="00453AFA">
            <w:pPr>
              <w:jc w:val="right"/>
              <w:rPr>
                <w:rFonts w:asciiTheme="minorHAnsi" w:hAnsiTheme="minorHAnsi"/>
                <w:sz w:val="16"/>
                <w:szCs w:val="16"/>
              </w:rPr>
            </w:pPr>
          </w:p>
          <w:p w14:paraId="43E8AA98"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0.2</w:t>
            </w:r>
          </w:p>
        </w:tc>
        <w:tc>
          <w:tcPr>
            <w:tcW w:w="366" w:type="pct"/>
            <w:tcBorders>
              <w:top w:val="single" w:sz="4" w:space="0" w:color="auto"/>
              <w:left w:val="nil"/>
              <w:bottom w:val="single" w:sz="4" w:space="0" w:color="auto"/>
              <w:right w:val="nil"/>
            </w:tcBorders>
          </w:tcPr>
          <w:p w14:paraId="4FE55545" w14:textId="77777777" w:rsidR="00323BB2" w:rsidRPr="0061063C" w:rsidRDefault="00323BB2" w:rsidP="00453AFA">
            <w:pPr>
              <w:jc w:val="right"/>
              <w:rPr>
                <w:rFonts w:asciiTheme="minorHAnsi" w:hAnsiTheme="minorHAnsi"/>
                <w:sz w:val="16"/>
                <w:szCs w:val="16"/>
              </w:rPr>
            </w:pPr>
          </w:p>
          <w:p w14:paraId="2C051FE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0.7</w:t>
            </w:r>
          </w:p>
        </w:tc>
        <w:tc>
          <w:tcPr>
            <w:tcW w:w="366" w:type="pct"/>
            <w:tcBorders>
              <w:top w:val="single" w:sz="4" w:space="0" w:color="auto"/>
              <w:left w:val="nil"/>
              <w:bottom w:val="single" w:sz="4" w:space="0" w:color="auto"/>
              <w:right w:val="nil"/>
            </w:tcBorders>
          </w:tcPr>
          <w:p w14:paraId="5BA64AC5" w14:textId="77777777" w:rsidR="00323BB2" w:rsidRPr="0061063C" w:rsidRDefault="00323BB2" w:rsidP="00453AFA">
            <w:pPr>
              <w:jc w:val="right"/>
              <w:rPr>
                <w:rFonts w:asciiTheme="minorHAnsi" w:hAnsiTheme="minorHAnsi"/>
                <w:sz w:val="16"/>
                <w:szCs w:val="16"/>
              </w:rPr>
            </w:pPr>
          </w:p>
          <w:p w14:paraId="158F3D96"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(92.3)</w:t>
            </w:r>
          </w:p>
        </w:tc>
        <w:tc>
          <w:tcPr>
            <w:tcW w:w="367" w:type="pct"/>
            <w:tcBorders>
              <w:top w:val="single" w:sz="4" w:space="0" w:color="auto"/>
              <w:left w:val="nil"/>
              <w:bottom w:val="single" w:sz="4" w:space="0" w:color="auto"/>
              <w:right w:val="nil"/>
            </w:tcBorders>
          </w:tcPr>
          <w:p w14:paraId="333A6B0D" w14:textId="77777777" w:rsidR="00323BB2" w:rsidRPr="0061063C" w:rsidRDefault="00323BB2" w:rsidP="00453AFA">
            <w:pPr>
              <w:jc w:val="right"/>
              <w:rPr>
                <w:rFonts w:asciiTheme="minorHAnsi" w:hAnsiTheme="minorHAnsi"/>
                <w:sz w:val="16"/>
                <w:szCs w:val="16"/>
              </w:rPr>
            </w:pPr>
          </w:p>
          <w:p w14:paraId="6329971B"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(91.1)</w:t>
            </w:r>
          </w:p>
        </w:tc>
        <w:tc>
          <w:tcPr>
            <w:tcW w:w="362" w:type="pct"/>
            <w:gridSpan w:val="2"/>
            <w:tcBorders>
              <w:top w:val="single" w:sz="4" w:space="0" w:color="auto"/>
              <w:left w:val="nil"/>
              <w:bottom w:val="single" w:sz="4" w:space="0" w:color="auto"/>
              <w:right w:val="nil"/>
            </w:tcBorders>
          </w:tcPr>
          <w:p w14:paraId="4D96C84A" w14:textId="77777777" w:rsidR="00323BB2" w:rsidRPr="0061063C" w:rsidRDefault="00323BB2" w:rsidP="00453AFA">
            <w:pPr>
              <w:jc w:val="right"/>
              <w:rPr>
                <w:rFonts w:asciiTheme="minorHAnsi" w:hAnsiTheme="minorHAnsi"/>
                <w:sz w:val="16"/>
                <w:szCs w:val="16"/>
              </w:rPr>
            </w:pPr>
          </w:p>
          <w:p w14:paraId="2C8EA4C9"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31.6</w:t>
            </w:r>
          </w:p>
        </w:tc>
        <w:tc>
          <w:tcPr>
            <w:tcW w:w="361" w:type="pct"/>
            <w:tcBorders>
              <w:top w:val="single" w:sz="4" w:space="0" w:color="auto"/>
              <w:left w:val="nil"/>
              <w:bottom w:val="single" w:sz="4" w:space="0" w:color="auto"/>
              <w:right w:val="nil"/>
            </w:tcBorders>
          </w:tcPr>
          <w:p w14:paraId="77548E0E" w14:textId="77777777" w:rsidR="00323BB2" w:rsidRPr="0061063C" w:rsidRDefault="00323BB2" w:rsidP="00453AFA">
            <w:pPr>
              <w:jc w:val="right"/>
              <w:rPr>
                <w:rFonts w:asciiTheme="minorHAnsi" w:hAnsiTheme="minorHAnsi"/>
                <w:sz w:val="16"/>
                <w:szCs w:val="16"/>
              </w:rPr>
            </w:pPr>
          </w:p>
          <w:p w14:paraId="01DAA38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(59.5)</w:t>
            </w:r>
          </w:p>
        </w:tc>
      </w:tr>
      <w:tr w:rsidR="00323BB2" w:rsidRPr="0061063C" w14:paraId="661517D9" w14:textId="77777777" w:rsidTr="00453AFA">
        <w:trPr>
          <w:trHeight w:val="305"/>
        </w:trPr>
        <w:tc>
          <w:tcPr>
            <w:tcW w:w="1014" w:type="pct"/>
            <w:tcBorders>
              <w:top w:val="single" w:sz="4" w:space="0" w:color="auto"/>
              <w:left w:val="nil"/>
              <w:bottom w:val="single" w:sz="4" w:space="0" w:color="auto"/>
              <w:right w:val="nil"/>
            </w:tcBorders>
          </w:tcPr>
          <w:p w14:paraId="56FE9EE2" w14:textId="77777777" w:rsidR="00323BB2" w:rsidRPr="0061063C" w:rsidRDefault="00323BB2" w:rsidP="00453AFA">
            <w:pPr>
              <w:spacing w:after="20"/>
              <w:ind w:left="-108"/>
              <w:rPr>
                <w:rFonts w:asciiTheme="minorHAnsi" w:hAnsiTheme="minorHAnsi"/>
                <w:sz w:val="16"/>
                <w:szCs w:val="16"/>
              </w:rPr>
            </w:pPr>
          </w:p>
          <w:p w14:paraId="01223300" w14:textId="77777777" w:rsidR="00323BB2" w:rsidRPr="0061063C" w:rsidRDefault="00323BB2" w:rsidP="00453AFA">
            <w:pPr>
              <w:spacing w:after="20"/>
              <w:ind w:left="-108"/>
              <w:rPr>
                <w:rFonts w:asciiTheme="minorHAnsi" w:hAnsiTheme="minorHAnsi"/>
                <w:b/>
                <w:sz w:val="16"/>
                <w:szCs w:val="16"/>
              </w:rPr>
            </w:pPr>
            <w:r w:rsidRPr="0061063C">
              <w:rPr>
                <w:rFonts w:asciiTheme="minorHAnsi" w:hAnsiTheme="minorHAnsi"/>
                <w:b/>
                <w:sz w:val="16"/>
                <w:szCs w:val="16"/>
              </w:rPr>
              <w:t>Balance at 30 June 2019</w:t>
            </w:r>
          </w:p>
        </w:tc>
        <w:tc>
          <w:tcPr>
            <w:tcW w:w="335" w:type="pct"/>
            <w:tcBorders>
              <w:top w:val="single" w:sz="4" w:space="0" w:color="auto"/>
              <w:left w:val="nil"/>
              <w:bottom w:val="single" w:sz="4" w:space="0" w:color="auto"/>
              <w:right w:val="nil"/>
            </w:tcBorders>
          </w:tcPr>
          <w:p w14:paraId="180B33E3" w14:textId="77777777" w:rsidR="00323BB2" w:rsidRPr="0061063C" w:rsidRDefault="00323BB2" w:rsidP="00453AFA">
            <w:pPr>
              <w:jc w:val="right"/>
              <w:rPr>
                <w:rFonts w:asciiTheme="minorHAnsi" w:hAnsiTheme="minorHAnsi"/>
                <w:sz w:val="16"/>
                <w:szCs w:val="16"/>
              </w:rPr>
            </w:pPr>
          </w:p>
          <w:p w14:paraId="00D23761" w14:textId="77777777" w:rsidR="00323BB2" w:rsidRPr="0061063C" w:rsidRDefault="00323BB2" w:rsidP="00453AFA">
            <w:pPr>
              <w:jc w:val="right"/>
              <w:rPr>
                <w:rFonts w:asciiTheme="minorHAnsi" w:hAnsiTheme="minorHAnsi"/>
                <w:i/>
                <w:sz w:val="16"/>
                <w:szCs w:val="16"/>
              </w:rPr>
            </w:pPr>
            <w:r w:rsidRPr="0061063C">
              <w:rPr>
                <w:rFonts w:asciiTheme="minorHAnsi" w:hAnsiTheme="minorHAnsi"/>
                <w:i/>
                <w:sz w:val="16"/>
                <w:szCs w:val="16"/>
              </w:rPr>
              <w:t>80.1</w:t>
            </w:r>
          </w:p>
        </w:tc>
        <w:tc>
          <w:tcPr>
            <w:tcW w:w="365" w:type="pct"/>
            <w:gridSpan w:val="2"/>
            <w:tcBorders>
              <w:top w:val="single" w:sz="4" w:space="0" w:color="auto"/>
              <w:left w:val="nil"/>
              <w:bottom w:val="single" w:sz="4" w:space="0" w:color="auto"/>
              <w:right w:val="nil"/>
            </w:tcBorders>
          </w:tcPr>
          <w:p w14:paraId="1BA32DCA" w14:textId="77777777" w:rsidR="00323BB2" w:rsidRPr="0061063C" w:rsidRDefault="00323BB2" w:rsidP="00453AFA">
            <w:pPr>
              <w:jc w:val="right"/>
              <w:rPr>
                <w:rFonts w:asciiTheme="minorHAnsi" w:hAnsiTheme="minorHAnsi"/>
                <w:sz w:val="16"/>
                <w:szCs w:val="16"/>
              </w:rPr>
            </w:pPr>
          </w:p>
          <w:p w14:paraId="5E205A4A"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425.0</w:t>
            </w:r>
          </w:p>
        </w:tc>
        <w:tc>
          <w:tcPr>
            <w:tcW w:w="366" w:type="pct"/>
            <w:tcBorders>
              <w:top w:val="single" w:sz="4" w:space="0" w:color="auto"/>
              <w:left w:val="nil"/>
              <w:bottom w:val="single" w:sz="4" w:space="0" w:color="auto"/>
              <w:right w:val="nil"/>
            </w:tcBorders>
          </w:tcPr>
          <w:p w14:paraId="1A34A38C" w14:textId="77777777" w:rsidR="00323BB2" w:rsidRPr="0061063C" w:rsidRDefault="00323BB2" w:rsidP="00453AFA">
            <w:pPr>
              <w:jc w:val="right"/>
              <w:rPr>
                <w:rFonts w:asciiTheme="minorHAnsi" w:hAnsiTheme="minorHAnsi"/>
                <w:sz w:val="16"/>
                <w:szCs w:val="16"/>
              </w:rPr>
            </w:pPr>
          </w:p>
          <w:p w14:paraId="70730374"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5.6</w:t>
            </w:r>
          </w:p>
        </w:tc>
        <w:tc>
          <w:tcPr>
            <w:tcW w:w="366" w:type="pct"/>
            <w:tcBorders>
              <w:top w:val="single" w:sz="4" w:space="0" w:color="auto"/>
              <w:left w:val="nil"/>
              <w:bottom w:val="single" w:sz="4" w:space="0" w:color="auto"/>
              <w:right w:val="nil"/>
            </w:tcBorders>
          </w:tcPr>
          <w:p w14:paraId="075871EE" w14:textId="77777777" w:rsidR="00323BB2" w:rsidRPr="0061063C" w:rsidRDefault="00323BB2" w:rsidP="00453AFA">
            <w:pPr>
              <w:jc w:val="right"/>
              <w:rPr>
                <w:rFonts w:asciiTheme="minorHAnsi" w:hAnsiTheme="minorHAnsi"/>
                <w:sz w:val="16"/>
                <w:szCs w:val="16"/>
              </w:rPr>
            </w:pPr>
          </w:p>
          <w:p w14:paraId="67176371"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2.3</w:t>
            </w:r>
          </w:p>
        </w:tc>
        <w:tc>
          <w:tcPr>
            <w:tcW w:w="366" w:type="pct"/>
            <w:tcBorders>
              <w:top w:val="single" w:sz="4" w:space="0" w:color="auto"/>
              <w:left w:val="nil"/>
              <w:bottom w:val="single" w:sz="4" w:space="0" w:color="auto"/>
              <w:right w:val="nil"/>
            </w:tcBorders>
          </w:tcPr>
          <w:p w14:paraId="074ED7CC" w14:textId="77777777" w:rsidR="00323BB2" w:rsidRPr="0061063C" w:rsidRDefault="00323BB2" w:rsidP="00453AFA">
            <w:pPr>
              <w:jc w:val="right"/>
              <w:rPr>
                <w:rFonts w:asciiTheme="minorHAnsi" w:hAnsiTheme="minorHAnsi"/>
                <w:sz w:val="16"/>
                <w:szCs w:val="16"/>
              </w:rPr>
            </w:pPr>
          </w:p>
          <w:p w14:paraId="76B9563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(40.7)</w:t>
            </w:r>
          </w:p>
        </w:tc>
        <w:tc>
          <w:tcPr>
            <w:tcW w:w="366" w:type="pct"/>
            <w:tcBorders>
              <w:top w:val="single" w:sz="4" w:space="0" w:color="auto"/>
              <w:left w:val="nil"/>
              <w:bottom w:val="single" w:sz="4" w:space="0" w:color="auto"/>
              <w:right w:val="nil"/>
            </w:tcBorders>
          </w:tcPr>
          <w:p w14:paraId="3F2E7E03" w14:textId="77777777" w:rsidR="00323BB2" w:rsidRPr="0061063C" w:rsidRDefault="00323BB2" w:rsidP="00453AFA">
            <w:pPr>
              <w:jc w:val="right"/>
              <w:rPr>
                <w:rFonts w:asciiTheme="minorHAnsi" w:hAnsiTheme="minorHAnsi"/>
                <w:sz w:val="16"/>
                <w:szCs w:val="16"/>
              </w:rPr>
            </w:pPr>
          </w:p>
          <w:p w14:paraId="75A50BBC"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(8.4)</w:t>
            </w:r>
          </w:p>
        </w:tc>
        <w:tc>
          <w:tcPr>
            <w:tcW w:w="366" w:type="pct"/>
            <w:tcBorders>
              <w:top w:val="single" w:sz="4" w:space="0" w:color="auto"/>
              <w:left w:val="nil"/>
              <w:bottom w:val="single" w:sz="4" w:space="0" w:color="auto"/>
              <w:right w:val="nil"/>
            </w:tcBorders>
          </w:tcPr>
          <w:p w14:paraId="57C0128C" w14:textId="77777777" w:rsidR="00323BB2" w:rsidRPr="0061063C" w:rsidRDefault="00323BB2" w:rsidP="00453AFA">
            <w:pPr>
              <w:jc w:val="right"/>
              <w:rPr>
                <w:rFonts w:asciiTheme="minorHAnsi" w:hAnsiTheme="minorHAnsi"/>
                <w:sz w:val="16"/>
                <w:szCs w:val="16"/>
              </w:rPr>
            </w:pPr>
          </w:p>
          <w:p w14:paraId="7E946A62"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86.8</w:t>
            </w:r>
          </w:p>
        </w:tc>
        <w:tc>
          <w:tcPr>
            <w:tcW w:w="366" w:type="pct"/>
            <w:tcBorders>
              <w:top w:val="single" w:sz="4" w:space="0" w:color="auto"/>
              <w:left w:val="nil"/>
              <w:bottom w:val="single" w:sz="4" w:space="0" w:color="auto"/>
              <w:right w:val="nil"/>
            </w:tcBorders>
          </w:tcPr>
          <w:p w14:paraId="1EC23687" w14:textId="77777777" w:rsidR="00323BB2" w:rsidRPr="0061063C" w:rsidRDefault="00323BB2" w:rsidP="00453AFA">
            <w:pPr>
              <w:jc w:val="right"/>
              <w:rPr>
                <w:rFonts w:asciiTheme="minorHAnsi" w:hAnsiTheme="minorHAnsi"/>
                <w:sz w:val="16"/>
                <w:szCs w:val="16"/>
              </w:rPr>
            </w:pPr>
          </w:p>
          <w:p w14:paraId="1BB29583"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3,514.7</w:t>
            </w:r>
          </w:p>
        </w:tc>
        <w:tc>
          <w:tcPr>
            <w:tcW w:w="367" w:type="pct"/>
            <w:tcBorders>
              <w:top w:val="single" w:sz="4" w:space="0" w:color="auto"/>
              <w:left w:val="nil"/>
              <w:bottom w:val="single" w:sz="4" w:space="0" w:color="auto"/>
              <w:right w:val="nil"/>
            </w:tcBorders>
          </w:tcPr>
          <w:p w14:paraId="2D1E8C78" w14:textId="77777777" w:rsidR="00323BB2" w:rsidRPr="0061063C" w:rsidRDefault="00323BB2" w:rsidP="00453AFA">
            <w:pPr>
              <w:jc w:val="right"/>
              <w:rPr>
                <w:rFonts w:asciiTheme="minorHAnsi" w:hAnsiTheme="minorHAnsi"/>
                <w:sz w:val="16"/>
                <w:szCs w:val="16"/>
              </w:rPr>
            </w:pPr>
          </w:p>
          <w:p w14:paraId="07FFB52F"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3,985.3</w:t>
            </w:r>
          </w:p>
        </w:tc>
        <w:tc>
          <w:tcPr>
            <w:tcW w:w="362" w:type="pct"/>
            <w:gridSpan w:val="2"/>
            <w:tcBorders>
              <w:top w:val="single" w:sz="4" w:space="0" w:color="auto"/>
              <w:left w:val="nil"/>
              <w:bottom w:val="single" w:sz="4" w:space="0" w:color="auto"/>
              <w:right w:val="nil"/>
            </w:tcBorders>
          </w:tcPr>
          <w:p w14:paraId="77D67A87" w14:textId="77777777" w:rsidR="00323BB2" w:rsidRPr="0061063C" w:rsidRDefault="00323BB2" w:rsidP="00453AFA">
            <w:pPr>
              <w:jc w:val="right"/>
              <w:rPr>
                <w:rFonts w:asciiTheme="minorHAnsi" w:hAnsiTheme="minorHAnsi"/>
                <w:sz w:val="16"/>
                <w:szCs w:val="16"/>
              </w:rPr>
            </w:pPr>
          </w:p>
          <w:p w14:paraId="7A277E8E"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236.1</w:t>
            </w:r>
          </w:p>
        </w:tc>
        <w:tc>
          <w:tcPr>
            <w:tcW w:w="361" w:type="pct"/>
            <w:tcBorders>
              <w:top w:val="single" w:sz="4" w:space="0" w:color="auto"/>
              <w:left w:val="nil"/>
              <w:bottom w:val="single" w:sz="4" w:space="0" w:color="auto"/>
              <w:right w:val="nil"/>
            </w:tcBorders>
          </w:tcPr>
          <w:p w14:paraId="582F14FB" w14:textId="77777777" w:rsidR="00323BB2" w:rsidRPr="0061063C" w:rsidRDefault="00323BB2" w:rsidP="00453AFA">
            <w:pPr>
              <w:jc w:val="right"/>
              <w:rPr>
                <w:rFonts w:asciiTheme="minorHAnsi" w:hAnsiTheme="minorHAnsi"/>
                <w:sz w:val="16"/>
                <w:szCs w:val="16"/>
              </w:rPr>
            </w:pPr>
          </w:p>
          <w:p w14:paraId="2144C3B7" w14:textId="77777777" w:rsidR="00323BB2" w:rsidRPr="0061063C" w:rsidRDefault="00323BB2" w:rsidP="00453AFA">
            <w:pPr>
              <w:jc w:val="right"/>
              <w:rPr>
                <w:rFonts w:asciiTheme="minorHAnsi" w:hAnsiTheme="minorHAnsi"/>
                <w:sz w:val="16"/>
                <w:szCs w:val="16"/>
              </w:rPr>
            </w:pPr>
            <w:r w:rsidRPr="0061063C">
              <w:rPr>
                <w:rFonts w:asciiTheme="minorHAnsi" w:hAnsiTheme="minorHAnsi"/>
                <w:sz w:val="16"/>
                <w:szCs w:val="16"/>
              </w:rPr>
              <w:t>4,221.4</w:t>
            </w:r>
          </w:p>
        </w:tc>
      </w:tr>
    </w:tbl>
    <w:p w14:paraId="5240CDE7" w14:textId="77777777" w:rsidR="00323BB2" w:rsidRPr="0061063C" w:rsidRDefault="00323BB2" w:rsidP="00323BB2">
      <w:pPr>
        <w:pStyle w:val="BodyText"/>
        <w:tabs>
          <w:tab w:val="left" w:pos="1065"/>
        </w:tabs>
        <w:spacing w:after="0"/>
        <w:rPr>
          <w:sz w:val="18"/>
          <w:szCs w:val="18"/>
          <w:lang w:val="en-IE"/>
        </w:rPr>
        <w:sectPr w:rsidR="00323BB2" w:rsidRPr="0061063C" w:rsidSect="00453AFA">
          <w:footnotePr>
            <w:numRestart w:val="eachPage"/>
          </w:footnotePr>
          <w:pgSz w:w="16840" w:h="11907" w:orient="landscape" w:code="9"/>
          <w:pgMar w:top="1264" w:right="851" w:bottom="907" w:left="709" w:header="720" w:footer="238" w:gutter="0"/>
          <w:cols w:space="720"/>
          <w:titlePg/>
          <w:docGrid w:linePitch="326"/>
        </w:sectPr>
      </w:pPr>
    </w:p>
    <w:p w14:paraId="1B27EA3E" w14:textId="77777777" w:rsidR="00323BB2" w:rsidRPr="0061063C" w:rsidRDefault="00323BB2" w:rsidP="00323BB2">
      <w:pPr>
        <w:rPr>
          <w:rFonts w:asciiTheme="minorHAnsi" w:hAnsiTheme="minorHAnsi"/>
          <w:b/>
          <w:sz w:val="20"/>
        </w:rPr>
      </w:pPr>
    </w:p>
    <w:p w14:paraId="6551FF66" w14:textId="77777777" w:rsidR="00323BB2" w:rsidRPr="0061063C" w:rsidRDefault="00323BB2" w:rsidP="00323BB2">
      <w:pPr>
        <w:rPr>
          <w:rFonts w:asciiTheme="minorHAnsi" w:hAnsiTheme="minorHAnsi"/>
          <w:b/>
          <w:sz w:val="20"/>
        </w:rPr>
      </w:pPr>
      <w:r w:rsidRPr="0061063C">
        <w:rPr>
          <w:rFonts w:asciiTheme="minorHAnsi" w:hAnsiTheme="minorHAnsi"/>
          <w:b/>
          <w:sz w:val="20"/>
        </w:rPr>
        <w:t>NOTES TO THE CONDENSED CONSOLIDATED INTERIM FINANCIAL STATEMENTS</w:t>
      </w:r>
    </w:p>
    <w:p w14:paraId="15BFD2B6" w14:textId="77777777" w:rsidR="00323BB2" w:rsidRPr="0061063C" w:rsidRDefault="00323BB2" w:rsidP="00323BB2">
      <w:pPr>
        <w:pStyle w:val="BodyText"/>
        <w:spacing w:after="0"/>
        <w:rPr>
          <w:rFonts w:asciiTheme="minorHAnsi" w:hAnsiTheme="minorHAnsi"/>
          <w:b/>
          <w:sz w:val="20"/>
          <w:szCs w:val="20"/>
          <w:lang w:val="en-IE"/>
        </w:rPr>
      </w:pPr>
    </w:p>
    <w:p w14:paraId="7B033DBF"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t>1. General information</w:t>
      </w:r>
    </w:p>
    <w:p w14:paraId="4664B9FA" w14:textId="77777777" w:rsidR="00323BB2" w:rsidRPr="0061063C" w:rsidRDefault="00323BB2" w:rsidP="00323BB2">
      <w:pPr>
        <w:pStyle w:val="BodyText"/>
        <w:spacing w:after="0"/>
        <w:rPr>
          <w:rFonts w:asciiTheme="minorHAnsi" w:hAnsiTheme="minorHAnsi"/>
          <w:b/>
          <w:sz w:val="20"/>
          <w:szCs w:val="20"/>
          <w:lang w:val="en-IE"/>
        </w:rPr>
      </w:pPr>
    </w:p>
    <w:p w14:paraId="213F93C0"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 xml:space="preserve">Flutter Entertainment plc (the “Company”) is a company incorporated in the Republic of Ireland. The Condensed Consolidated Interim Financial Statements of the Company for the six months ended 30 June 2020 comprise the Company and its subsidiaries (together referred to as the “Group”). The Condensed Consolidated Interim Financial Statements are unaudited but have been reviewed by KPMG, the Group’s auditor, whose report is set out on the last page of this document. </w:t>
      </w:r>
    </w:p>
    <w:p w14:paraId="1F13DDC1" w14:textId="77777777" w:rsidR="00323BB2" w:rsidRPr="0061063C" w:rsidRDefault="00323BB2" w:rsidP="00323BB2">
      <w:pPr>
        <w:pStyle w:val="BodyText"/>
        <w:spacing w:after="0"/>
        <w:rPr>
          <w:rFonts w:asciiTheme="minorHAnsi" w:hAnsiTheme="minorHAnsi"/>
          <w:sz w:val="20"/>
          <w:szCs w:val="20"/>
          <w:lang w:val="en-IE"/>
        </w:rPr>
      </w:pPr>
    </w:p>
    <w:p w14:paraId="582F0702"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 xml:space="preserve">During the period ended 30 June 2020, the Company completed </w:t>
      </w:r>
      <w:r w:rsidRPr="0061063C">
        <w:rPr>
          <w:rFonts w:asciiTheme="minorHAnsi" w:hAnsiTheme="minorHAnsi"/>
          <w:sz w:val="20"/>
          <w:szCs w:val="20"/>
        </w:rPr>
        <w:t>an all share Combination with The Stars Group Inc. (the “Combination”) – see Note 10 for further information on the Combination. The results of The Stars Group Inc. (‘TSG’) prior to completion of the Combination are not included in these condensed consolidated interim financial statements.</w:t>
      </w:r>
    </w:p>
    <w:p w14:paraId="1F2CC606" w14:textId="77777777" w:rsidR="00323BB2" w:rsidRPr="0061063C" w:rsidRDefault="00323BB2" w:rsidP="00323BB2">
      <w:pPr>
        <w:rPr>
          <w:rFonts w:asciiTheme="minorHAnsi" w:hAnsiTheme="minorHAnsi"/>
          <w:sz w:val="14"/>
          <w:szCs w:val="14"/>
          <w:lang w:val="en-IE"/>
        </w:rPr>
      </w:pPr>
    </w:p>
    <w:p w14:paraId="13B5960B"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 xml:space="preserve">The financial information presented herein does not comprise full statutory financial statements and therefore does not include all of the information required for full annual financial statements. Full statutory financial statements for the year ended 31 December 2019, prepared in accordance with International Financial Reporting Standards (“IFRSs”) as adopted by the EU together with an unqualified audit report thereon under Section 391 of the Irish Companies Act 2014, will be annexed to the annual return and filed with the Registrar of Companies in Ireland. </w:t>
      </w:r>
    </w:p>
    <w:p w14:paraId="3849F0E0" w14:textId="77777777" w:rsidR="00323BB2" w:rsidRPr="0061063C" w:rsidRDefault="00323BB2" w:rsidP="00323BB2">
      <w:pPr>
        <w:pStyle w:val="BodyText"/>
        <w:spacing w:after="0"/>
        <w:rPr>
          <w:rFonts w:asciiTheme="minorHAnsi" w:hAnsiTheme="minorHAnsi"/>
          <w:sz w:val="14"/>
          <w:szCs w:val="14"/>
          <w:lang w:val="en-IE"/>
        </w:rPr>
      </w:pPr>
    </w:p>
    <w:p w14:paraId="07AA82CB"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 xml:space="preserve">The Condensed Consolidated Interim Financial Statements were approved for issue by the Board of Directors of Flutter Entertainment plc </w:t>
      </w:r>
      <w:r w:rsidRPr="00BC075E">
        <w:rPr>
          <w:rFonts w:asciiTheme="minorHAnsi" w:hAnsiTheme="minorHAnsi"/>
          <w:sz w:val="20"/>
          <w:szCs w:val="20"/>
          <w:lang w:val="en-IE"/>
        </w:rPr>
        <w:t>on 26</w:t>
      </w:r>
      <w:r w:rsidRPr="0061063C">
        <w:rPr>
          <w:rFonts w:asciiTheme="minorHAnsi" w:hAnsiTheme="minorHAnsi"/>
          <w:sz w:val="20"/>
          <w:szCs w:val="20"/>
          <w:lang w:val="en-IE"/>
        </w:rPr>
        <w:t xml:space="preserve"> August 2020.</w:t>
      </w:r>
    </w:p>
    <w:p w14:paraId="336848D0" w14:textId="77777777" w:rsidR="00323BB2" w:rsidRPr="0061063C" w:rsidRDefault="00323BB2" w:rsidP="00323BB2">
      <w:pPr>
        <w:pStyle w:val="BodyText"/>
        <w:spacing w:after="0"/>
        <w:rPr>
          <w:rFonts w:asciiTheme="minorHAnsi" w:hAnsiTheme="minorHAnsi"/>
          <w:b/>
          <w:sz w:val="20"/>
          <w:szCs w:val="20"/>
          <w:lang w:val="en-IE"/>
        </w:rPr>
      </w:pPr>
    </w:p>
    <w:p w14:paraId="42BE2DB4"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t>2. Basis of preparation and accounting policies</w:t>
      </w:r>
    </w:p>
    <w:p w14:paraId="14EC1993" w14:textId="77777777" w:rsidR="00323BB2" w:rsidRPr="0061063C" w:rsidRDefault="00323BB2" w:rsidP="00323BB2">
      <w:pPr>
        <w:pStyle w:val="BodyText"/>
        <w:spacing w:after="0"/>
        <w:rPr>
          <w:rFonts w:asciiTheme="minorHAnsi" w:hAnsiTheme="minorHAnsi"/>
          <w:b/>
          <w:sz w:val="20"/>
          <w:szCs w:val="20"/>
          <w:lang w:val="en-IE"/>
        </w:rPr>
      </w:pPr>
    </w:p>
    <w:p w14:paraId="409DE54F"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 xml:space="preserve">The Condensed Consolidated Interim Financial Statements have been prepared in accordance with the Transparency (Directive 2004/109/EC) Regulations 2007, the Transparency Rules of the Central Bank of Ireland and with IAS 34 ‘Interim Financial Reporting’ as adopted by the EU. The Condensed Consolidated Interim Financial Statements are prepared on the historical cost basis except for derivative financial instruments (which include betting transactions), </w:t>
      </w:r>
      <w:r w:rsidRPr="00F435BC">
        <w:rPr>
          <w:rFonts w:asciiTheme="minorHAnsi" w:hAnsiTheme="minorHAnsi"/>
          <w:sz w:val="20"/>
          <w:lang w:val="en-IE"/>
        </w:rPr>
        <w:t>equity securities, certain</w:t>
      </w:r>
      <w:r w:rsidRPr="0061063C">
        <w:rPr>
          <w:rFonts w:asciiTheme="minorHAnsi" w:hAnsiTheme="minorHAnsi"/>
          <w:sz w:val="20"/>
          <w:lang w:val="en-IE"/>
        </w:rPr>
        <w:t xml:space="preserve"> financial assets which have been designated as FVOCI, contingent deferred consideration and share-based payments, all of which are stated at fair value (grant date fair value in the case of equity-settled share-based payments).  </w:t>
      </w:r>
    </w:p>
    <w:p w14:paraId="0472D76D" w14:textId="77777777" w:rsidR="00323BB2" w:rsidRPr="0061063C" w:rsidRDefault="00323BB2" w:rsidP="00323BB2">
      <w:pPr>
        <w:rPr>
          <w:rFonts w:asciiTheme="minorHAnsi" w:hAnsiTheme="minorHAnsi"/>
          <w:sz w:val="20"/>
          <w:lang w:val="en-IE"/>
        </w:rPr>
      </w:pPr>
    </w:p>
    <w:p w14:paraId="44BF2E44"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t>Going concern</w:t>
      </w:r>
    </w:p>
    <w:p w14:paraId="755EACFC" w14:textId="77777777" w:rsidR="00323BB2" w:rsidRPr="00FD3279" w:rsidRDefault="00323BB2" w:rsidP="00323BB2">
      <w:pPr>
        <w:jc w:val="both"/>
        <w:rPr>
          <w:rFonts w:asciiTheme="minorHAnsi" w:hAnsiTheme="minorHAnsi" w:cstheme="minorHAnsi"/>
          <w:sz w:val="20"/>
          <w:lang w:val="en-IE"/>
        </w:rPr>
      </w:pPr>
      <w:r w:rsidRPr="00FD3279">
        <w:rPr>
          <w:rFonts w:asciiTheme="minorHAnsi" w:hAnsiTheme="minorHAnsi" w:cstheme="minorHAnsi"/>
          <w:sz w:val="20"/>
        </w:rPr>
        <w:t>The Group has considerable financial resources which includes at 30 June 2020 £786.5m of cash and cash equivalents and a £450m Revolving Credit Facility with undrawn capacity of £375m (</w:t>
      </w:r>
      <w:r>
        <w:rPr>
          <w:rFonts w:asciiTheme="minorHAnsi" w:hAnsiTheme="minorHAnsi" w:cstheme="minorHAnsi"/>
          <w:sz w:val="20"/>
        </w:rPr>
        <w:t>s</w:t>
      </w:r>
      <w:r w:rsidRPr="00FD3279">
        <w:rPr>
          <w:rFonts w:asciiTheme="minorHAnsi" w:hAnsiTheme="minorHAnsi" w:cstheme="minorHAnsi"/>
          <w:sz w:val="20"/>
        </w:rPr>
        <w:t xml:space="preserve">ee Note 15) with borrowings due within the next 12 months of £56.2m. As a consequence, the Directors believe that the Group is well placed to manage its business risks successfully.  See ‘Understanding and Managing our Principal risks’ in this report for more detail including those related to COVID-19. </w:t>
      </w:r>
    </w:p>
    <w:p w14:paraId="4C1F27EC" w14:textId="77777777" w:rsidR="00323BB2" w:rsidRPr="00FD3279" w:rsidRDefault="00323BB2" w:rsidP="00323BB2">
      <w:pPr>
        <w:jc w:val="both"/>
        <w:rPr>
          <w:rFonts w:asciiTheme="minorHAnsi" w:hAnsiTheme="minorHAnsi" w:cstheme="minorHAnsi"/>
          <w:sz w:val="12"/>
          <w:szCs w:val="12"/>
        </w:rPr>
      </w:pPr>
    </w:p>
    <w:p w14:paraId="624B639F" w14:textId="77777777" w:rsidR="00323BB2" w:rsidRPr="00FD3279" w:rsidRDefault="00323BB2" w:rsidP="00323BB2">
      <w:pPr>
        <w:jc w:val="both"/>
        <w:rPr>
          <w:rFonts w:asciiTheme="minorHAnsi" w:hAnsiTheme="minorHAnsi" w:cstheme="minorHAnsi"/>
          <w:sz w:val="20"/>
        </w:rPr>
      </w:pPr>
      <w:r w:rsidRPr="00FD3279">
        <w:rPr>
          <w:rFonts w:asciiTheme="minorHAnsi" w:hAnsiTheme="minorHAnsi" w:cstheme="minorHAnsi"/>
          <w:sz w:val="20"/>
        </w:rPr>
        <w:t>The Group’s forecasts for the year ending 31 December 2020 and beyond indicate that it will continue to have significant financial resources and operate well within its banking covenants as outlined in Note 15 for at least a period of 12 months from the date of these financial statements. Various downside scenarios over and above those already included in the base case model on the potential impact of further reductions to cashflows due to COVID</w:t>
      </w:r>
      <w:r>
        <w:rPr>
          <w:rFonts w:asciiTheme="minorHAnsi" w:hAnsiTheme="minorHAnsi" w:cstheme="minorHAnsi"/>
          <w:sz w:val="20"/>
        </w:rPr>
        <w:t>-</w:t>
      </w:r>
      <w:r w:rsidRPr="00FD3279">
        <w:rPr>
          <w:rFonts w:asciiTheme="minorHAnsi" w:hAnsiTheme="minorHAnsi" w:cstheme="minorHAnsi"/>
          <w:sz w:val="20"/>
        </w:rPr>
        <w:t>19 and Enhanced Regulation</w:t>
      </w:r>
      <w:r w:rsidRPr="00FD3279">
        <w:rPr>
          <w:b/>
          <w:bCs/>
          <w:sz w:val="20"/>
        </w:rPr>
        <w:t xml:space="preserve"> </w:t>
      </w:r>
      <w:r w:rsidRPr="00FD3279">
        <w:rPr>
          <w:rFonts w:asciiTheme="minorHAnsi" w:hAnsiTheme="minorHAnsi" w:cstheme="minorHAnsi"/>
          <w:sz w:val="20"/>
        </w:rPr>
        <w:t>have also been considered in respect of these forecasts.</w:t>
      </w:r>
    </w:p>
    <w:p w14:paraId="0139B145" w14:textId="77777777" w:rsidR="00323BB2" w:rsidRPr="00FD3279" w:rsidRDefault="00323BB2" w:rsidP="00323BB2">
      <w:pPr>
        <w:jc w:val="both"/>
        <w:rPr>
          <w:rFonts w:asciiTheme="minorHAnsi" w:hAnsiTheme="minorHAnsi" w:cstheme="minorHAnsi"/>
          <w:sz w:val="12"/>
          <w:szCs w:val="12"/>
        </w:rPr>
      </w:pPr>
    </w:p>
    <w:p w14:paraId="1D5243C3" w14:textId="77777777" w:rsidR="00323BB2" w:rsidRPr="00FD3279" w:rsidRDefault="00323BB2" w:rsidP="00323BB2">
      <w:pPr>
        <w:jc w:val="both"/>
        <w:rPr>
          <w:rFonts w:asciiTheme="minorHAnsi" w:hAnsiTheme="minorHAnsi" w:cstheme="minorHAnsi"/>
          <w:sz w:val="20"/>
        </w:rPr>
      </w:pPr>
      <w:r w:rsidRPr="00FD3279">
        <w:rPr>
          <w:rFonts w:asciiTheme="minorHAnsi" w:hAnsiTheme="minorHAnsi" w:cstheme="minorHAnsi"/>
          <w:sz w:val="20"/>
        </w:rPr>
        <w:t>Having given regard to the above, the Directors have a reasonable expectation that the Group has adequate resources to continue in operational existence for a period of at least 12 months from the date of approval of these interim financial statements, and therefore they continue to adopt the going concern basis in the consolidated financial statements.</w:t>
      </w:r>
    </w:p>
    <w:p w14:paraId="77FE634F" w14:textId="77777777" w:rsidR="00323BB2" w:rsidRPr="0061063C" w:rsidRDefault="00323BB2" w:rsidP="00323BB2">
      <w:pPr>
        <w:rPr>
          <w:rFonts w:asciiTheme="minorHAnsi" w:hAnsiTheme="minorHAnsi"/>
          <w:sz w:val="20"/>
          <w:lang w:val="en-IE"/>
        </w:rPr>
      </w:pPr>
    </w:p>
    <w:p w14:paraId="7534C060" w14:textId="77777777" w:rsidR="00323BB2" w:rsidRPr="0061063C" w:rsidRDefault="00323BB2" w:rsidP="00323BB2">
      <w:pPr>
        <w:rPr>
          <w:rFonts w:asciiTheme="minorHAnsi" w:hAnsiTheme="minorHAnsi"/>
          <w:sz w:val="20"/>
          <w:u w:val="single"/>
          <w:lang w:val="en-IE"/>
        </w:rPr>
      </w:pPr>
      <w:r w:rsidRPr="0061063C">
        <w:rPr>
          <w:rFonts w:asciiTheme="minorHAnsi" w:hAnsiTheme="minorHAnsi"/>
          <w:sz w:val="20"/>
          <w:u w:val="single"/>
          <w:lang w:val="en-IE"/>
        </w:rPr>
        <w:t xml:space="preserve">New accounting policies </w:t>
      </w:r>
    </w:p>
    <w:p w14:paraId="03C5100D"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3A0568DD" w14:textId="77777777" w:rsidR="00323BB2" w:rsidRPr="0061063C"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 xml:space="preserve">The financial information contained in the Condensed Consolidated Interim Financial Statements has been prepared in accordance with the accounting policies set out in the Group’s last annual financial statements in respect of the year ended 31 December 2019, except as set out below. </w:t>
      </w:r>
    </w:p>
    <w:p w14:paraId="7C94AB37" w14:textId="77777777" w:rsidR="00323BB2" w:rsidRPr="0061063C" w:rsidRDefault="00323BB2" w:rsidP="00323BB2">
      <w:pPr>
        <w:rPr>
          <w:rFonts w:asciiTheme="minorHAnsi" w:hAnsiTheme="minorHAnsi"/>
          <w:sz w:val="20"/>
          <w:lang w:val="en-IE"/>
        </w:rPr>
      </w:pPr>
    </w:p>
    <w:p w14:paraId="6E796160" w14:textId="77777777" w:rsidR="00323BB2" w:rsidRPr="0061063C"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The Group has introduced the below new accounting policies or expanded existing policies as a result of the Combination. These policies do not impact the Group’s reported revenue, operating profit, or amounts reported in the statement of financial position in 2019.</w:t>
      </w:r>
    </w:p>
    <w:p w14:paraId="41999E94"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3D657399"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lastRenderedPageBreak/>
        <w:t>2. Basis of preparation and accounting policies (continued)</w:t>
      </w:r>
    </w:p>
    <w:p w14:paraId="78109AA2" w14:textId="77777777" w:rsidR="00323BB2" w:rsidRPr="0061063C" w:rsidRDefault="00323BB2" w:rsidP="00323BB2">
      <w:pPr>
        <w:rPr>
          <w:rFonts w:asciiTheme="minorHAnsi" w:hAnsiTheme="minorHAnsi"/>
          <w:b/>
          <w:sz w:val="20"/>
          <w:lang w:val="en-IE"/>
        </w:rPr>
      </w:pPr>
    </w:p>
    <w:p w14:paraId="300921D4"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t>Revenue</w:t>
      </w:r>
    </w:p>
    <w:p w14:paraId="696387EC" w14:textId="77777777" w:rsidR="00323BB2" w:rsidRPr="0061063C" w:rsidRDefault="00323BB2" w:rsidP="00323BB2">
      <w:pPr>
        <w:rPr>
          <w:rFonts w:asciiTheme="minorHAnsi" w:hAnsiTheme="minorHAnsi"/>
          <w:sz w:val="20"/>
        </w:rPr>
      </w:pPr>
      <w:bookmarkStart w:id="12" w:name="_Hlk48677210"/>
      <w:r w:rsidRPr="0061063C">
        <w:rPr>
          <w:rFonts w:asciiTheme="minorHAnsi" w:hAnsiTheme="minorHAnsi"/>
          <w:sz w:val="20"/>
        </w:rPr>
        <w:t>The services provided by the Group comprise sports betting (sportsbook, the exchange sports betting product, and pari-mutuel betting products), daily fantasy sports products, fixed odds games betting, online games and casino, peer-to-peer games including online bingo and online poker and business-to-business services. Revenue is stated exclusive of value-added tax.</w:t>
      </w:r>
    </w:p>
    <w:bookmarkEnd w:id="12"/>
    <w:p w14:paraId="2A6254A2" w14:textId="77777777" w:rsidR="00323BB2" w:rsidRPr="0061063C" w:rsidRDefault="00323BB2" w:rsidP="00323BB2">
      <w:pPr>
        <w:jc w:val="both"/>
        <w:rPr>
          <w:rFonts w:asciiTheme="minorHAnsi" w:hAnsiTheme="minorHAnsi"/>
          <w:sz w:val="20"/>
        </w:rPr>
      </w:pPr>
    </w:p>
    <w:p w14:paraId="195593E9" w14:textId="77777777" w:rsidR="00323BB2" w:rsidRPr="0061063C" w:rsidRDefault="00323BB2" w:rsidP="00323BB2">
      <w:pPr>
        <w:rPr>
          <w:rFonts w:asciiTheme="minorHAnsi" w:hAnsiTheme="minorHAnsi"/>
          <w:sz w:val="20"/>
        </w:rPr>
      </w:pPr>
      <w:r w:rsidRPr="0061063C">
        <w:rPr>
          <w:rFonts w:asciiTheme="minorHAnsi" w:hAnsiTheme="minorHAnsi"/>
          <w:sz w:val="20"/>
        </w:rPr>
        <w:t>The Group’s betting and gaming activities are classified as derivative financial instruments, with the exception of the exchange sports betting product and pari-mutuel betting products on which commission income is earned, peer-to-peer games on which commission income and tournament fees are earned (including daily fantasy sports), and business-to-business services on which fees are earned.</w:t>
      </w:r>
    </w:p>
    <w:p w14:paraId="031808F2" w14:textId="77777777" w:rsidR="00323BB2" w:rsidRPr="0061063C" w:rsidRDefault="00323BB2" w:rsidP="00323BB2">
      <w:pPr>
        <w:rPr>
          <w:rFonts w:asciiTheme="minorHAnsi" w:hAnsiTheme="minorHAnsi"/>
          <w:b/>
          <w:sz w:val="20"/>
        </w:rPr>
      </w:pPr>
    </w:p>
    <w:p w14:paraId="4C1BE156" w14:textId="77777777" w:rsidR="00323BB2" w:rsidRPr="0061063C" w:rsidRDefault="00323BB2" w:rsidP="00323BB2">
      <w:pPr>
        <w:rPr>
          <w:rFonts w:asciiTheme="minorHAnsi" w:hAnsiTheme="minorHAnsi"/>
          <w:sz w:val="20"/>
        </w:rPr>
      </w:pPr>
      <w:r w:rsidRPr="0061063C">
        <w:rPr>
          <w:rFonts w:asciiTheme="minorHAnsi" w:hAnsiTheme="minorHAnsi"/>
          <w:sz w:val="20"/>
        </w:rPr>
        <w:t>Revenue from sportsbook betting activities represents the net gain or loss from betting activities in the period plus the gain or loss on the revaluation of open positions at period end and is stated net of the cost of customer promotions and bonuses incurred in the period. These derivatives are recognised initially at fair value and subsequently at fair value through profit or loss, within the revenue line as this represents the Group’s principal activity. Customer promotions (including free bets) and bonuses are deducted from sportsbook betting revenue.</w:t>
      </w:r>
    </w:p>
    <w:p w14:paraId="64A08DA3" w14:textId="77777777" w:rsidR="00323BB2" w:rsidRPr="0061063C" w:rsidRDefault="00323BB2" w:rsidP="00323BB2">
      <w:pPr>
        <w:rPr>
          <w:rFonts w:asciiTheme="minorHAnsi" w:hAnsiTheme="minorHAnsi"/>
          <w:sz w:val="20"/>
        </w:rPr>
      </w:pPr>
    </w:p>
    <w:p w14:paraId="7E669E8C" w14:textId="77777777" w:rsidR="00323BB2" w:rsidRPr="0061063C" w:rsidRDefault="00323BB2" w:rsidP="00323BB2">
      <w:pPr>
        <w:rPr>
          <w:rFonts w:asciiTheme="minorHAnsi" w:hAnsiTheme="minorHAnsi"/>
          <w:sz w:val="20"/>
        </w:rPr>
      </w:pPr>
      <w:r w:rsidRPr="0061063C">
        <w:rPr>
          <w:rFonts w:asciiTheme="minorHAnsi" w:hAnsiTheme="minorHAnsi"/>
          <w:sz w:val="20"/>
        </w:rPr>
        <w:t>Revenue from the exchange sports betting product represents commission earned on betting activity and is recognised on the date the outcome for an event is settled.</w:t>
      </w:r>
    </w:p>
    <w:p w14:paraId="41DD561F" w14:textId="77777777" w:rsidR="00323BB2" w:rsidRPr="0061063C" w:rsidRDefault="00323BB2" w:rsidP="00323BB2">
      <w:pPr>
        <w:rPr>
          <w:rFonts w:asciiTheme="minorHAnsi" w:hAnsiTheme="minorHAnsi" w:cstheme="minorHAnsi"/>
          <w:sz w:val="20"/>
        </w:rPr>
      </w:pPr>
    </w:p>
    <w:p w14:paraId="633DC770"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Revenue from conversion margins is the revenue earned on the processing of real-money deposits and cash outs in specified currencies. Revenue from customer cross-currency deposits and withdrawals is recognised when the transaction is complete at a point in time. Revenue is recognised with reference to the underlying arrangement and agreement with the players and represents a single performance obligation and is recorded within the applicable line of operations.</w:t>
      </w:r>
    </w:p>
    <w:p w14:paraId="54190E45" w14:textId="77777777" w:rsidR="00323BB2" w:rsidRPr="0061063C" w:rsidRDefault="00323BB2" w:rsidP="00323BB2">
      <w:pPr>
        <w:rPr>
          <w:rFonts w:asciiTheme="minorHAnsi" w:hAnsiTheme="minorHAnsi" w:cstheme="minorHAnsi"/>
          <w:sz w:val="20"/>
        </w:rPr>
      </w:pPr>
    </w:p>
    <w:p w14:paraId="60454D33"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Play-money gaming revenue - Customers can participate in online poker tournaments and social casino games using play-money, or virtual currency. Customers can purchase additional play-money chips online to participate in the poker tournaments and social casino games. The revenue is recognised at a point in time when the customer has purchased such chips as control has been transferred to the customer and no further performance obligations exist. Once a customer has purchased such chips</w:t>
      </w:r>
      <w:r>
        <w:rPr>
          <w:rFonts w:asciiTheme="minorHAnsi" w:hAnsiTheme="minorHAnsi" w:cstheme="minorHAnsi"/>
          <w:sz w:val="20"/>
        </w:rPr>
        <w:t>,</w:t>
      </w:r>
      <w:r w:rsidRPr="0061063C">
        <w:rPr>
          <w:rFonts w:asciiTheme="minorHAnsi" w:hAnsiTheme="minorHAnsi" w:cstheme="minorHAnsi"/>
          <w:sz w:val="20"/>
        </w:rPr>
        <w:t xml:space="preserve"> they are non-refundable and non-cancellable.</w:t>
      </w:r>
    </w:p>
    <w:p w14:paraId="5DAF7917" w14:textId="77777777" w:rsidR="00323BB2" w:rsidRPr="0061063C" w:rsidRDefault="00323BB2" w:rsidP="00323BB2">
      <w:pPr>
        <w:rPr>
          <w:rFonts w:asciiTheme="minorHAnsi" w:hAnsiTheme="minorHAnsi" w:cstheme="minorHAnsi"/>
          <w:sz w:val="20"/>
        </w:rPr>
      </w:pPr>
    </w:p>
    <w:p w14:paraId="2FC53FD9"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Other - The Group sponsors certain live poker tours and events, uses its industry expertise to provide consultancy and support services to the casinos that operate the events, and has marketing arrangements for branded poker rooms at various locations around the world. The Group also provides customers with access to odds comparisons, tips and other information to assist with betting, and provides other media and advertising services, and limited content development services with revenue generated by way of affiliate commissions, revenue share arrangements and advertising income as applicable. Revenue is recognised upon satisfying the applicable performance obligations, at a point in time or over time as applicable.</w:t>
      </w:r>
    </w:p>
    <w:p w14:paraId="3D2F2F2A" w14:textId="77777777" w:rsidR="00323BB2" w:rsidRPr="0061063C" w:rsidRDefault="00323BB2" w:rsidP="00323BB2">
      <w:pPr>
        <w:rPr>
          <w:rFonts w:asciiTheme="minorHAnsi" w:hAnsiTheme="minorHAnsi"/>
          <w:sz w:val="20"/>
        </w:rPr>
      </w:pPr>
    </w:p>
    <w:p w14:paraId="56313519" w14:textId="77777777" w:rsidR="00323BB2" w:rsidRPr="0061063C" w:rsidRDefault="00323BB2" w:rsidP="00323BB2">
      <w:pPr>
        <w:rPr>
          <w:rFonts w:asciiTheme="minorHAnsi" w:hAnsiTheme="minorHAnsi"/>
          <w:sz w:val="20"/>
        </w:rPr>
      </w:pPr>
      <w:r w:rsidRPr="0061063C">
        <w:rPr>
          <w:rFonts w:asciiTheme="minorHAnsi" w:hAnsiTheme="minorHAnsi"/>
          <w:sz w:val="20"/>
        </w:rPr>
        <w:t xml:space="preserve">Revenue from Daily Fantasy Sports products represents entry fees less prizes paid and player acquisition and retention incentives. Prizes are generally paid in cash or an entry fee into specific contests or tournaments. </w:t>
      </w:r>
    </w:p>
    <w:p w14:paraId="38CEEDED" w14:textId="77777777" w:rsidR="00323BB2" w:rsidRPr="0061063C" w:rsidRDefault="00323BB2" w:rsidP="00323BB2">
      <w:pPr>
        <w:rPr>
          <w:rFonts w:asciiTheme="minorHAnsi" w:hAnsiTheme="minorHAnsi"/>
          <w:sz w:val="20"/>
        </w:rPr>
      </w:pPr>
    </w:p>
    <w:p w14:paraId="758A81E0" w14:textId="77777777" w:rsidR="00323BB2" w:rsidRPr="0061063C" w:rsidRDefault="00323BB2" w:rsidP="00323BB2">
      <w:pPr>
        <w:rPr>
          <w:rFonts w:asciiTheme="minorHAnsi" w:hAnsiTheme="minorHAnsi"/>
          <w:sz w:val="20"/>
        </w:rPr>
      </w:pPr>
      <w:r w:rsidRPr="0061063C">
        <w:rPr>
          <w:rFonts w:asciiTheme="minorHAnsi" w:hAnsiTheme="minorHAnsi"/>
          <w:sz w:val="20"/>
        </w:rPr>
        <w:t xml:space="preserve">The Group earns service fees from offering fantasy sports contests (“Contests”) and fantasy sports tournaments (“Tournaments”) to users. Contests are generally completed in a single day or up to one week. Tournaments are generally completed in one week or up to several months over two to three rounds. For Contests, revenue is recognised when the contest is settled. For Tournaments, revenue is recognised over the period of the tournament as each round is completed and there is no longer a service obligation to each user that participated in the tournament.  </w:t>
      </w:r>
    </w:p>
    <w:p w14:paraId="5DA553FA" w14:textId="77777777" w:rsidR="00323BB2" w:rsidRPr="0061063C" w:rsidRDefault="00323BB2" w:rsidP="00323BB2">
      <w:pPr>
        <w:rPr>
          <w:rFonts w:asciiTheme="minorHAnsi" w:hAnsiTheme="minorHAnsi"/>
          <w:sz w:val="20"/>
        </w:rPr>
      </w:pPr>
    </w:p>
    <w:p w14:paraId="2A93835A" w14:textId="77777777" w:rsidR="00323BB2" w:rsidRPr="0061063C" w:rsidRDefault="00323BB2" w:rsidP="00323BB2">
      <w:pPr>
        <w:rPr>
          <w:rFonts w:asciiTheme="minorHAnsi" w:hAnsiTheme="minorHAnsi"/>
          <w:sz w:val="20"/>
        </w:rPr>
      </w:pPr>
      <w:r w:rsidRPr="0061063C">
        <w:rPr>
          <w:rFonts w:asciiTheme="minorHAnsi" w:hAnsiTheme="minorHAnsi"/>
          <w:sz w:val="20"/>
        </w:rPr>
        <w:t xml:space="preserve">The Group offers various incentives to build loyalty, encourage and engage users on the platform, the costs of incentives are recorded as a reduction to the amount recognised as revenue for service fees.  </w:t>
      </w:r>
    </w:p>
    <w:p w14:paraId="7822CBE3" w14:textId="77777777" w:rsidR="00323BB2" w:rsidRPr="0061063C" w:rsidRDefault="00323BB2" w:rsidP="00323BB2">
      <w:pPr>
        <w:rPr>
          <w:rFonts w:asciiTheme="minorHAnsi" w:hAnsiTheme="minorHAnsi"/>
          <w:sz w:val="20"/>
        </w:rPr>
      </w:pPr>
    </w:p>
    <w:p w14:paraId="69F4CC82" w14:textId="77777777" w:rsidR="00323BB2" w:rsidRPr="0061063C" w:rsidRDefault="00323BB2" w:rsidP="00323BB2">
      <w:pPr>
        <w:rPr>
          <w:rFonts w:asciiTheme="minorHAnsi" w:hAnsiTheme="minorHAnsi"/>
          <w:sz w:val="20"/>
        </w:rPr>
      </w:pPr>
      <w:r w:rsidRPr="0061063C">
        <w:rPr>
          <w:rFonts w:asciiTheme="minorHAnsi" w:hAnsiTheme="minorHAnsi"/>
          <w:sz w:val="20"/>
        </w:rPr>
        <w:t>Revenue from sponsorships represents advertising campaigns for customers who become a presenting sponsor at events. Customers are generally billed prior to the campaign launch and revenue is earned over the period of the event.</w:t>
      </w:r>
    </w:p>
    <w:p w14:paraId="6F56799B" w14:textId="77777777" w:rsidR="00323BB2" w:rsidRPr="0061063C" w:rsidRDefault="00323BB2" w:rsidP="00323BB2">
      <w:pPr>
        <w:rPr>
          <w:rFonts w:asciiTheme="minorHAnsi" w:hAnsiTheme="minorHAnsi"/>
          <w:sz w:val="20"/>
        </w:rPr>
      </w:pPr>
      <w:r w:rsidRPr="0061063C">
        <w:rPr>
          <w:rFonts w:asciiTheme="minorHAnsi" w:hAnsiTheme="minorHAnsi"/>
          <w:sz w:val="20"/>
        </w:rPr>
        <w:t xml:space="preserve"> </w:t>
      </w:r>
    </w:p>
    <w:p w14:paraId="63841C1A" w14:textId="77777777" w:rsidR="00323BB2" w:rsidRPr="0061063C" w:rsidRDefault="00323BB2" w:rsidP="00323BB2">
      <w:pPr>
        <w:pStyle w:val="BodyText"/>
        <w:spacing w:after="0"/>
        <w:rPr>
          <w:rFonts w:asciiTheme="minorHAnsi" w:hAnsiTheme="minorHAnsi"/>
          <w:b/>
          <w:sz w:val="20"/>
          <w:szCs w:val="20"/>
          <w:lang w:val="en-IE"/>
        </w:rPr>
      </w:pPr>
    </w:p>
    <w:p w14:paraId="5E3707C1"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0031700D" w14:textId="77777777" w:rsidR="00323BB2" w:rsidRPr="0061063C" w:rsidRDefault="00323BB2" w:rsidP="00323BB2">
      <w:pPr>
        <w:pStyle w:val="BodyText"/>
        <w:spacing w:after="0"/>
        <w:rPr>
          <w:rFonts w:asciiTheme="minorHAnsi" w:hAnsiTheme="minorHAnsi" w:cstheme="minorHAnsi"/>
          <w:b/>
          <w:i/>
          <w:sz w:val="20"/>
        </w:rPr>
      </w:pPr>
      <w:r w:rsidRPr="0061063C">
        <w:rPr>
          <w:rFonts w:asciiTheme="minorHAnsi" w:hAnsiTheme="minorHAnsi"/>
          <w:b/>
          <w:sz w:val="20"/>
          <w:szCs w:val="20"/>
          <w:lang w:val="en-IE"/>
        </w:rPr>
        <w:lastRenderedPageBreak/>
        <w:t>2. Basis of preparation and accounting policies (continued)</w:t>
      </w:r>
    </w:p>
    <w:p w14:paraId="03A45CA5" w14:textId="77777777" w:rsidR="00323BB2" w:rsidRPr="0061063C" w:rsidRDefault="00323BB2" w:rsidP="00323BB2">
      <w:pPr>
        <w:jc w:val="both"/>
        <w:rPr>
          <w:rFonts w:asciiTheme="minorHAnsi" w:hAnsiTheme="minorHAnsi"/>
          <w:sz w:val="20"/>
        </w:rPr>
      </w:pPr>
    </w:p>
    <w:p w14:paraId="5382E914" w14:textId="77777777" w:rsidR="00323BB2" w:rsidRPr="0061063C" w:rsidRDefault="00323BB2" w:rsidP="00323BB2">
      <w:pPr>
        <w:rPr>
          <w:rFonts w:asciiTheme="minorHAnsi" w:hAnsiTheme="minorHAnsi"/>
          <w:sz w:val="20"/>
        </w:rPr>
      </w:pPr>
      <w:r w:rsidRPr="0061063C">
        <w:rPr>
          <w:rFonts w:asciiTheme="minorHAnsi" w:hAnsiTheme="minorHAnsi"/>
          <w:sz w:val="20"/>
        </w:rPr>
        <w:t>Revenue from pari-mutuel betting products represents a percentage of stake and is recognised on settlement of the event, and is stated net of customer promotions and bonuses in the period.</w:t>
      </w:r>
    </w:p>
    <w:p w14:paraId="603482E2" w14:textId="77777777" w:rsidR="00323BB2" w:rsidRPr="0061063C" w:rsidRDefault="00323BB2" w:rsidP="00323BB2">
      <w:pPr>
        <w:rPr>
          <w:rFonts w:asciiTheme="minorHAnsi" w:hAnsiTheme="minorHAnsi"/>
          <w:sz w:val="20"/>
        </w:rPr>
      </w:pPr>
    </w:p>
    <w:p w14:paraId="598E1142" w14:textId="77777777" w:rsidR="00323BB2" w:rsidRPr="0061063C" w:rsidRDefault="00323BB2" w:rsidP="00323BB2">
      <w:pPr>
        <w:rPr>
          <w:rFonts w:asciiTheme="minorHAnsi" w:hAnsiTheme="minorHAnsi"/>
          <w:sz w:val="20"/>
        </w:rPr>
      </w:pPr>
      <w:r w:rsidRPr="0061063C">
        <w:rPr>
          <w:rFonts w:asciiTheme="minorHAnsi" w:hAnsiTheme="minorHAnsi"/>
          <w:sz w:val="20"/>
        </w:rPr>
        <w:t>Revenue from fixed odds games and the online casinos represents net winnings (“customer drop”), being amounts staked net of customer winnings, and is stated net of customer promotions and bonuses incurred in the period.</w:t>
      </w:r>
    </w:p>
    <w:p w14:paraId="3A39062A" w14:textId="77777777" w:rsidR="00323BB2" w:rsidRPr="0061063C" w:rsidRDefault="00323BB2" w:rsidP="00323BB2">
      <w:pPr>
        <w:rPr>
          <w:rFonts w:asciiTheme="minorHAnsi" w:hAnsiTheme="minorHAnsi"/>
          <w:sz w:val="20"/>
          <w:lang w:val="en-IE"/>
        </w:rPr>
      </w:pPr>
    </w:p>
    <w:p w14:paraId="38AE5665" w14:textId="77777777" w:rsidR="00323BB2" w:rsidRPr="0061063C" w:rsidRDefault="00323BB2" w:rsidP="00323BB2">
      <w:pPr>
        <w:rPr>
          <w:rFonts w:asciiTheme="minorHAnsi" w:hAnsiTheme="minorHAnsi"/>
          <w:sz w:val="20"/>
        </w:rPr>
      </w:pPr>
      <w:r w:rsidRPr="0061063C">
        <w:rPr>
          <w:rFonts w:asciiTheme="minorHAnsi" w:hAnsiTheme="minorHAnsi"/>
          <w:sz w:val="20"/>
        </w:rPr>
        <w:t xml:space="preserve">Revenue from peer-to-peer games represents commission income (“rake”) and tournament fees earned from games completed by the period end, and is stated net of the cost of customer promotions and bonuses incurred in the period. </w:t>
      </w:r>
    </w:p>
    <w:p w14:paraId="13353211" w14:textId="77777777" w:rsidR="00323BB2" w:rsidRPr="0061063C" w:rsidRDefault="00323BB2" w:rsidP="00323BB2">
      <w:pPr>
        <w:rPr>
          <w:rFonts w:asciiTheme="minorHAnsi" w:hAnsiTheme="minorHAnsi"/>
          <w:sz w:val="20"/>
        </w:rPr>
      </w:pPr>
    </w:p>
    <w:p w14:paraId="7ACE73B0" w14:textId="77777777" w:rsidR="00323BB2" w:rsidRPr="0061063C" w:rsidRDefault="00323BB2" w:rsidP="00323BB2">
      <w:pPr>
        <w:rPr>
          <w:rFonts w:asciiTheme="minorHAnsi" w:hAnsiTheme="minorHAnsi"/>
          <w:sz w:val="20"/>
        </w:rPr>
      </w:pPr>
      <w:r w:rsidRPr="0061063C">
        <w:rPr>
          <w:rFonts w:asciiTheme="minorHAnsi" w:hAnsiTheme="minorHAnsi"/>
          <w:sz w:val="20"/>
        </w:rPr>
        <w:t>Revenue from business-to-business services represents fees charged for the services provided in the period.</w:t>
      </w:r>
    </w:p>
    <w:p w14:paraId="5D392C02" w14:textId="77777777" w:rsidR="00323BB2" w:rsidRPr="0061063C" w:rsidRDefault="00323BB2" w:rsidP="00323BB2">
      <w:pPr>
        <w:jc w:val="both"/>
        <w:rPr>
          <w:rFonts w:asciiTheme="minorHAnsi" w:hAnsiTheme="minorHAnsi" w:cstheme="minorHAnsi"/>
          <w:b/>
          <w:i/>
          <w:sz w:val="20"/>
        </w:rPr>
      </w:pPr>
    </w:p>
    <w:p w14:paraId="755A3957" w14:textId="77777777" w:rsidR="00323BB2" w:rsidRPr="0061063C" w:rsidRDefault="00323BB2" w:rsidP="00323BB2">
      <w:pPr>
        <w:jc w:val="both"/>
        <w:rPr>
          <w:rFonts w:asciiTheme="minorHAnsi" w:hAnsiTheme="minorHAnsi" w:cstheme="minorHAnsi"/>
          <w:b/>
          <w:i/>
          <w:sz w:val="20"/>
        </w:rPr>
      </w:pPr>
      <w:r w:rsidRPr="0061063C">
        <w:rPr>
          <w:rFonts w:asciiTheme="minorHAnsi" w:hAnsiTheme="minorHAnsi" w:cstheme="minorHAnsi"/>
          <w:b/>
          <w:i/>
          <w:sz w:val="20"/>
        </w:rPr>
        <w:t xml:space="preserve">Financial Assets </w:t>
      </w:r>
    </w:p>
    <w:p w14:paraId="2156BF09" w14:textId="77777777" w:rsidR="00323BB2" w:rsidRPr="0061063C" w:rsidRDefault="00323BB2" w:rsidP="00323BB2">
      <w:pPr>
        <w:jc w:val="both"/>
        <w:rPr>
          <w:rFonts w:asciiTheme="minorHAnsi" w:hAnsiTheme="minorHAnsi" w:cstheme="minorHAnsi"/>
          <w:i/>
          <w:sz w:val="20"/>
        </w:rPr>
      </w:pPr>
    </w:p>
    <w:p w14:paraId="17EB7CA3" w14:textId="77777777" w:rsidR="00323BB2" w:rsidRPr="0061063C" w:rsidRDefault="00323BB2" w:rsidP="00323BB2">
      <w:pPr>
        <w:rPr>
          <w:rFonts w:asciiTheme="minorHAnsi" w:hAnsiTheme="minorHAnsi" w:cstheme="minorHAnsi"/>
          <w:i/>
          <w:sz w:val="20"/>
        </w:rPr>
      </w:pPr>
      <w:r w:rsidRPr="0061063C">
        <w:rPr>
          <w:rFonts w:asciiTheme="minorHAnsi" w:hAnsiTheme="minorHAnsi" w:cstheme="minorHAnsi"/>
          <w:i/>
          <w:sz w:val="20"/>
        </w:rPr>
        <w:t>Recognition and Measurement</w:t>
      </w:r>
    </w:p>
    <w:p w14:paraId="40192DD1"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 xml:space="preserve">At initial recognition, the Group measures a financial asset at its fair value plus, in the case of a financial asset not measured at FVTPL (as defined below), transaction costs that are directly attributable to the acquisition of the financial asset. The Group classifies financial assets into one of the following measurement categories: </w:t>
      </w:r>
    </w:p>
    <w:p w14:paraId="20FF7209" w14:textId="77777777" w:rsidR="00323BB2" w:rsidRPr="0061063C" w:rsidRDefault="00323BB2" w:rsidP="00323BB2">
      <w:pPr>
        <w:rPr>
          <w:rFonts w:asciiTheme="minorHAnsi" w:hAnsiTheme="minorHAnsi" w:cstheme="minorHAnsi"/>
          <w:i/>
          <w:sz w:val="20"/>
        </w:rPr>
      </w:pPr>
    </w:p>
    <w:p w14:paraId="02C68536" w14:textId="77777777" w:rsidR="00323BB2" w:rsidRPr="0061063C" w:rsidRDefault="00323BB2" w:rsidP="009B6BB8">
      <w:pPr>
        <w:pStyle w:val="ListParagraph"/>
        <w:keepNext/>
        <w:keepLines/>
        <w:numPr>
          <w:ilvl w:val="0"/>
          <w:numId w:val="34"/>
        </w:numPr>
        <w:rPr>
          <w:rFonts w:asciiTheme="minorHAnsi" w:hAnsiTheme="minorHAnsi" w:cstheme="minorHAnsi"/>
          <w:sz w:val="20"/>
        </w:rPr>
      </w:pPr>
      <w:r w:rsidRPr="0061063C">
        <w:rPr>
          <w:rFonts w:asciiTheme="minorHAnsi" w:hAnsiTheme="minorHAnsi" w:cstheme="minorHAnsi"/>
          <w:sz w:val="20"/>
        </w:rPr>
        <w:t xml:space="preserve">Those to be measured subsequently at fair value through profit or loss (“FVTPL”); </w:t>
      </w:r>
    </w:p>
    <w:p w14:paraId="14F1161A" w14:textId="77777777" w:rsidR="00323BB2" w:rsidRPr="0061063C" w:rsidRDefault="00323BB2" w:rsidP="009B6BB8">
      <w:pPr>
        <w:pStyle w:val="ListParagraph"/>
        <w:keepNext/>
        <w:keepLines/>
        <w:numPr>
          <w:ilvl w:val="0"/>
          <w:numId w:val="34"/>
        </w:numPr>
        <w:rPr>
          <w:rFonts w:asciiTheme="minorHAnsi" w:hAnsiTheme="minorHAnsi" w:cstheme="minorHAnsi"/>
          <w:sz w:val="20"/>
        </w:rPr>
      </w:pPr>
      <w:r w:rsidRPr="0061063C">
        <w:rPr>
          <w:rFonts w:asciiTheme="minorHAnsi" w:hAnsiTheme="minorHAnsi" w:cstheme="minorHAnsi"/>
          <w:sz w:val="20"/>
        </w:rPr>
        <w:t xml:space="preserve">Those to be measured subsequently through other comprehensive income (“FVOCI”); or </w:t>
      </w:r>
    </w:p>
    <w:p w14:paraId="7FE9A0BC" w14:textId="77777777" w:rsidR="00323BB2" w:rsidRPr="0061063C" w:rsidRDefault="00323BB2" w:rsidP="009B6BB8">
      <w:pPr>
        <w:pStyle w:val="ListParagraph"/>
        <w:keepNext/>
        <w:keepLines/>
        <w:numPr>
          <w:ilvl w:val="0"/>
          <w:numId w:val="34"/>
        </w:numPr>
        <w:rPr>
          <w:rFonts w:asciiTheme="minorHAnsi" w:hAnsiTheme="minorHAnsi" w:cstheme="minorHAnsi"/>
          <w:sz w:val="20"/>
        </w:rPr>
      </w:pPr>
      <w:r w:rsidRPr="0061063C">
        <w:rPr>
          <w:rFonts w:asciiTheme="minorHAnsi" w:hAnsiTheme="minorHAnsi" w:cstheme="minorHAnsi"/>
          <w:sz w:val="20"/>
        </w:rPr>
        <w:t xml:space="preserve">Those to be measured at amortised cost. </w:t>
      </w:r>
    </w:p>
    <w:p w14:paraId="40C85378" w14:textId="77777777" w:rsidR="00323BB2" w:rsidRPr="0061063C" w:rsidRDefault="00323BB2" w:rsidP="00323BB2">
      <w:pPr>
        <w:keepNext/>
        <w:keepLines/>
        <w:rPr>
          <w:rFonts w:asciiTheme="minorHAnsi" w:hAnsiTheme="minorHAnsi" w:cstheme="minorHAnsi"/>
          <w:sz w:val="20"/>
        </w:rPr>
      </w:pPr>
    </w:p>
    <w:p w14:paraId="6036F025" w14:textId="77777777" w:rsidR="00323BB2" w:rsidRPr="0061063C" w:rsidRDefault="00323BB2" w:rsidP="00323BB2">
      <w:pPr>
        <w:keepNext/>
        <w:keepLines/>
        <w:rPr>
          <w:rFonts w:asciiTheme="minorHAnsi" w:hAnsiTheme="minorHAnsi" w:cstheme="minorHAnsi"/>
          <w:sz w:val="20"/>
        </w:rPr>
      </w:pPr>
      <w:r w:rsidRPr="0061063C">
        <w:rPr>
          <w:rFonts w:asciiTheme="minorHAnsi" w:hAnsiTheme="minorHAnsi" w:cstheme="minorHAnsi"/>
          <w:sz w:val="20"/>
        </w:rPr>
        <w:t xml:space="preserve">The classification depends on the Group’s business model for managing the financial assets and the contractual terms of the cash flows. Except in very limited circumstances, the classification may not be changed subsequent to initial recognition. The Group only reclassifies debt instruments when its business model for managing those assets changes. </w:t>
      </w:r>
    </w:p>
    <w:p w14:paraId="36A79535" w14:textId="77777777" w:rsidR="00323BB2" w:rsidRPr="0061063C" w:rsidRDefault="00323BB2" w:rsidP="00323BB2">
      <w:pPr>
        <w:keepNext/>
        <w:keepLines/>
        <w:rPr>
          <w:rFonts w:asciiTheme="minorHAnsi" w:hAnsiTheme="minorHAnsi" w:cstheme="minorHAnsi"/>
          <w:b/>
          <w:i/>
          <w:sz w:val="20"/>
        </w:rPr>
      </w:pPr>
    </w:p>
    <w:p w14:paraId="5613DCF5" w14:textId="77777777" w:rsidR="00323BB2" w:rsidRPr="0061063C" w:rsidRDefault="00323BB2" w:rsidP="00323BB2">
      <w:pPr>
        <w:keepNext/>
        <w:keepLines/>
        <w:rPr>
          <w:rFonts w:asciiTheme="minorHAnsi" w:hAnsiTheme="minorHAnsi" w:cstheme="minorHAnsi"/>
          <w:b/>
          <w:i/>
          <w:sz w:val="20"/>
        </w:rPr>
      </w:pPr>
      <w:r w:rsidRPr="0061063C">
        <w:rPr>
          <w:rFonts w:asciiTheme="minorHAnsi" w:hAnsiTheme="minorHAnsi" w:cstheme="minorHAnsi"/>
          <w:b/>
          <w:i/>
          <w:sz w:val="20"/>
        </w:rPr>
        <w:t xml:space="preserve">Debt instruments </w:t>
      </w:r>
    </w:p>
    <w:p w14:paraId="53108083" w14:textId="77777777" w:rsidR="00323BB2" w:rsidRPr="0061063C" w:rsidRDefault="00323BB2" w:rsidP="00323BB2">
      <w:pPr>
        <w:keepNext/>
        <w:keepLines/>
        <w:rPr>
          <w:rFonts w:asciiTheme="minorHAnsi" w:hAnsiTheme="minorHAnsi" w:cstheme="minorHAnsi"/>
          <w:sz w:val="20"/>
        </w:rPr>
      </w:pPr>
      <w:r w:rsidRPr="0061063C">
        <w:rPr>
          <w:rFonts w:asciiTheme="minorHAnsi" w:hAnsiTheme="minorHAnsi" w:cstheme="minorHAnsi"/>
          <w:sz w:val="20"/>
        </w:rPr>
        <w:t xml:space="preserve">Subsequent measurement of debt instruments depends on the Group’s business model for managing the asset and the cash flow characteristics of that asset. There are three measurement categories into which the Group classifies its debt instruments: </w:t>
      </w:r>
    </w:p>
    <w:p w14:paraId="3B1F15CE" w14:textId="77777777" w:rsidR="00323BB2" w:rsidRPr="0061063C" w:rsidRDefault="00323BB2" w:rsidP="00323BB2">
      <w:pPr>
        <w:keepNext/>
        <w:keepLines/>
        <w:rPr>
          <w:rFonts w:asciiTheme="minorHAnsi" w:hAnsiTheme="minorHAnsi" w:cstheme="minorHAnsi"/>
          <w:sz w:val="20"/>
        </w:rPr>
      </w:pPr>
    </w:p>
    <w:p w14:paraId="32944F1C" w14:textId="77777777" w:rsidR="00323BB2" w:rsidRPr="0061063C" w:rsidRDefault="00323BB2" w:rsidP="009B6BB8">
      <w:pPr>
        <w:pStyle w:val="ListParagraph"/>
        <w:keepNext/>
        <w:keepLines/>
        <w:numPr>
          <w:ilvl w:val="0"/>
          <w:numId w:val="35"/>
        </w:numPr>
        <w:rPr>
          <w:rFonts w:asciiTheme="minorHAnsi" w:hAnsiTheme="minorHAnsi" w:cstheme="minorHAnsi"/>
          <w:sz w:val="20"/>
        </w:rPr>
      </w:pPr>
      <w:r w:rsidRPr="0061063C">
        <w:rPr>
          <w:rFonts w:asciiTheme="minorHAnsi" w:hAnsiTheme="minorHAnsi" w:cstheme="minorHAnsi"/>
          <w:sz w:val="20"/>
        </w:rPr>
        <w:t>Amortised cost: debt instruments are measured at amortised cost if they are held within a business model with the objective of collecting the contractual cash flows and those cash flows solely represent payments of principal and interest. A gain or loss on a debt instrument that is subsequently measured at amortised cost and is not part of a hedging relationship is recognised in profit or loss when the debt instrument is derecognised or impaired. Interest income from these debt instruments is recognised using the effective interest rate method. Cash, restricted cash and accounts receivable are classified as amortised cost.</w:t>
      </w:r>
    </w:p>
    <w:p w14:paraId="7EABC5C0" w14:textId="77777777" w:rsidR="00323BB2" w:rsidRPr="0061063C" w:rsidRDefault="00323BB2" w:rsidP="00323BB2">
      <w:pPr>
        <w:keepNext/>
        <w:keepLines/>
        <w:rPr>
          <w:rFonts w:asciiTheme="minorHAnsi" w:hAnsiTheme="minorHAnsi" w:cstheme="minorHAnsi"/>
          <w:sz w:val="20"/>
        </w:rPr>
      </w:pPr>
    </w:p>
    <w:p w14:paraId="1ECE5C20" w14:textId="77777777" w:rsidR="00323BB2" w:rsidRPr="0061063C" w:rsidRDefault="00323BB2" w:rsidP="009B6BB8">
      <w:pPr>
        <w:pStyle w:val="ListParagraph"/>
        <w:keepNext/>
        <w:keepLines/>
        <w:numPr>
          <w:ilvl w:val="0"/>
          <w:numId w:val="35"/>
        </w:numPr>
        <w:rPr>
          <w:rFonts w:asciiTheme="minorHAnsi" w:hAnsiTheme="minorHAnsi" w:cstheme="minorHAnsi"/>
          <w:sz w:val="20"/>
        </w:rPr>
      </w:pPr>
      <w:r w:rsidRPr="0061063C">
        <w:rPr>
          <w:rFonts w:asciiTheme="minorHAnsi" w:hAnsiTheme="minorHAnsi" w:cstheme="minorHAnsi"/>
          <w:sz w:val="20"/>
        </w:rPr>
        <w:t>FVOCI: debt instruments are measured at FVOCI if they are held within a business model with the objective of either collecting the contractual cash flows or of selling the debt instrument, and those cash flows solely represent payments of principal and interest. Movements in the carrying amount are recorded in other comprehensive income, with impairment gains or losses, interest income and foreign exchange gains or losses recognised in profit or loss. When the debt instrument is derecognised, the cumulative gain or loss previously recognised in other comprehensive income is reclassified to profit or loss. Bonds recorded within current investments are classified as FVOCI.</w:t>
      </w:r>
    </w:p>
    <w:p w14:paraId="6DB0F763" w14:textId="77777777" w:rsidR="00323BB2" w:rsidRPr="0061063C" w:rsidRDefault="00323BB2" w:rsidP="00323BB2">
      <w:pPr>
        <w:keepNext/>
        <w:keepLines/>
        <w:rPr>
          <w:rFonts w:asciiTheme="minorHAnsi" w:hAnsiTheme="minorHAnsi" w:cstheme="minorHAnsi"/>
          <w:sz w:val="20"/>
        </w:rPr>
      </w:pPr>
    </w:p>
    <w:p w14:paraId="390F80E9" w14:textId="77777777" w:rsidR="00323BB2" w:rsidRPr="0061063C" w:rsidRDefault="00323BB2" w:rsidP="009B6BB8">
      <w:pPr>
        <w:pStyle w:val="ListParagraph"/>
        <w:keepNext/>
        <w:keepLines/>
        <w:numPr>
          <w:ilvl w:val="0"/>
          <w:numId w:val="35"/>
        </w:numPr>
        <w:rPr>
          <w:rFonts w:asciiTheme="minorHAnsi" w:hAnsiTheme="minorHAnsi" w:cstheme="minorHAnsi"/>
          <w:sz w:val="20"/>
        </w:rPr>
      </w:pPr>
      <w:r w:rsidRPr="0061063C">
        <w:rPr>
          <w:rFonts w:asciiTheme="minorHAnsi" w:hAnsiTheme="minorHAnsi" w:cstheme="minorHAnsi"/>
          <w:sz w:val="20"/>
        </w:rPr>
        <w:t>FVTPL: debt instruments that are not solely payments of principal and interest are classified and measured at FVTPL, irrespective of the business model. Notwithstanding the criteria for debt instruments to be classified at amortised cost or at FVOCI, as described above, debt instruments may be designated at FVTPL on initial recognition if doing so eliminates, or significantly reduces, an accounting mismatch. A gain or loss on a debt instrument that is subsequently measured at FVTPL and is not part of a hedging relationship is recognised in profit or loss and presented in the consolidated income statement. The Group does not currently hold any financial assets at FVTPL.</w:t>
      </w:r>
    </w:p>
    <w:p w14:paraId="22D12C82" w14:textId="77777777" w:rsidR="00323BB2" w:rsidRPr="0061063C" w:rsidRDefault="00323BB2" w:rsidP="00323BB2">
      <w:pPr>
        <w:keepNext/>
        <w:keepLines/>
        <w:jc w:val="both"/>
        <w:rPr>
          <w:rFonts w:asciiTheme="minorHAnsi" w:hAnsiTheme="minorHAnsi" w:cstheme="minorHAnsi"/>
          <w:sz w:val="20"/>
        </w:rPr>
      </w:pPr>
    </w:p>
    <w:p w14:paraId="4DA5441A" w14:textId="77777777" w:rsidR="00323BB2" w:rsidRPr="0061063C" w:rsidRDefault="00323BB2" w:rsidP="00323BB2">
      <w:pPr>
        <w:jc w:val="both"/>
        <w:rPr>
          <w:rFonts w:asciiTheme="minorHAnsi" w:hAnsiTheme="minorHAnsi" w:cstheme="minorHAnsi"/>
          <w:i/>
          <w:sz w:val="20"/>
        </w:rPr>
      </w:pPr>
    </w:p>
    <w:p w14:paraId="58328138" w14:textId="77777777" w:rsidR="00323BB2" w:rsidRPr="0061063C" w:rsidRDefault="00323BB2" w:rsidP="00323BB2">
      <w:pPr>
        <w:keepNext/>
        <w:keepLines/>
        <w:jc w:val="both"/>
        <w:rPr>
          <w:rFonts w:asciiTheme="minorHAnsi" w:hAnsiTheme="minorHAnsi" w:cstheme="minorHAnsi"/>
          <w:sz w:val="20"/>
        </w:rPr>
      </w:pPr>
    </w:p>
    <w:p w14:paraId="24943124"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642DE5DA"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lastRenderedPageBreak/>
        <w:t>2. Basis of preparation and accounting policies (continued)</w:t>
      </w:r>
    </w:p>
    <w:p w14:paraId="4FD7C9BD" w14:textId="77777777" w:rsidR="00323BB2" w:rsidRPr="0061063C" w:rsidRDefault="00323BB2" w:rsidP="00323BB2">
      <w:pPr>
        <w:keepNext/>
        <w:keepLines/>
        <w:jc w:val="both"/>
        <w:rPr>
          <w:rFonts w:asciiTheme="minorHAnsi" w:hAnsiTheme="minorHAnsi" w:cstheme="minorHAnsi"/>
          <w:b/>
          <w:i/>
          <w:sz w:val="20"/>
        </w:rPr>
      </w:pPr>
    </w:p>
    <w:p w14:paraId="246346EE" w14:textId="77777777" w:rsidR="00323BB2" w:rsidRPr="0061063C" w:rsidRDefault="00323BB2" w:rsidP="00323BB2">
      <w:pPr>
        <w:keepNext/>
        <w:keepLines/>
        <w:rPr>
          <w:rFonts w:asciiTheme="minorHAnsi" w:hAnsiTheme="minorHAnsi" w:cstheme="minorHAnsi"/>
          <w:b/>
          <w:i/>
          <w:sz w:val="20"/>
        </w:rPr>
      </w:pPr>
      <w:r w:rsidRPr="0061063C">
        <w:rPr>
          <w:rFonts w:asciiTheme="minorHAnsi" w:hAnsiTheme="minorHAnsi" w:cstheme="minorHAnsi"/>
          <w:b/>
          <w:i/>
          <w:sz w:val="20"/>
        </w:rPr>
        <w:t>Financial Liabilities</w:t>
      </w:r>
    </w:p>
    <w:p w14:paraId="0FA4E830" w14:textId="77777777" w:rsidR="00323BB2" w:rsidRPr="0061063C" w:rsidRDefault="00323BB2" w:rsidP="00323BB2">
      <w:pPr>
        <w:keepNext/>
        <w:keepLines/>
        <w:rPr>
          <w:rFonts w:asciiTheme="minorHAnsi" w:hAnsiTheme="minorHAnsi" w:cstheme="minorHAnsi"/>
          <w:i/>
          <w:sz w:val="20"/>
        </w:rPr>
      </w:pPr>
    </w:p>
    <w:p w14:paraId="446C371B" w14:textId="77777777" w:rsidR="00323BB2" w:rsidRPr="0061063C" w:rsidRDefault="00323BB2" w:rsidP="00323BB2">
      <w:pPr>
        <w:keepNext/>
        <w:keepLines/>
        <w:rPr>
          <w:rFonts w:asciiTheme="minorHAnsi" w:hAnsiTheme="minorHAnsi" w:cstheme="minorHAnsi"/>
          <w:i/>
          <w:sz w:val="20"/>
        </w:rPr>
      </w:pPr>
      <w:r w:rsidRPr="0061063C">
        <w:rPr>
          <w:rFonts w:asciiTheme="minorHAnsi" w:hAnsiTheme="minorHAnsi" w:cstheme="minorHAnsi"/>
          <w:i/>
          <w:sz w:val="20"/>
        </w:rPr>
        <w:t>Recognition and measurement</w:t>
      </w:r>
    </w:p>
    <w:p w14:paraId="068ACD18" w14:textId="77777777" w:rsidR="00323BB2" w:rsidRPr="0061063C" w:rsidRDefault="00323BB2" w:rsidP="00323BB2">
      <w:pPr>
        <w:keepNext/>
        <w:keepLines/>
        <w:rPr>
          <w:rFonts w:asciiTheme="minorHAnsi" w:hAnsiTheme="minorHAnsi" w:cstheme="minorHAnsi"/>
          <w:sz w:val="20"/>
        </w:rPr>
      </w:pPr>
      <w:r w:rsidRPr="0061063C">
        <w:rPr>
          <w:rFonts w:asciiTheme="minorHAnsi" w:hAnsiTheme="minorHAnsi" w:cstheme="minorHAnsi"/>
          <w:sz w:val="20"/>
        </w:rPr>
        <w:t>Financial liabilities are classified, at initial recognition, as either financial liabilities at FVTPL or other financial liabilities.</w:t>
      </w:r>
    </w:p>
    <w:p w14:paraId="15EAD3BC" w14:textId="77777777" w:rsidR="00323BB2" w:rsidRPr="0061063C" w:rsidRDefault="00323BB2" w:rsidP="00323BB2">
      <w:pPr>
        <w:keepNext/>
        <w:keepLines/>
        <w:rPr>
          <w:rFonts w:asciiTheme="minorHAnsi" w:hAnsiTheme="minorHAnsi" w:cstheme="minorHAnsi"/>
          <w:sz w:val="12"/>
          <w:szCs w:val="12"/>
        </w:rPr>
      </w:pPr>
    </w:p>
    <w:p w14:paraId="6CC987BF" w14:textId="77777777" w:rsidR="00323BB2" w:rsidRPr="0061063C" w:rsidRDefault="00323BB2" w:rsidP="009B6BB8">
      <w:pPr>
        <w:keepNext/>
        <w:keepLines/>
        <w:numPr>
          <w:ilvl w:val="0"/>
          <w:numId w:val="27"/>
        </w:numPr>
        <w:ind w:left="714" w:hanging="357"/>
        <w:contextualSpacing/>
        <w:rPr>
          <w:rFonts w:asciiTheme="minorHAnsi" w:hAnsiTheme="minorHAnsi" w:cstheme="minorHAnsi"/>
          <w:sz w:val="20"/>
        </w:rPr>
      </w:pPr>
      <w:r w:rsidRPr="0061063C">
        <w:rPr>
          <w:rFonts w:asciiTheme="minorHAnsi" w:hAnsiTheme="minorHAnsi" w:cstheme="minorHAnsi"/>
          <w:sz w:val="20"/>
        </w:rPr>
        <w:t>FVTPL: Financial liabilities are classified as FVTPL if they are held for trading or are designated as FVTPL upon initial recognition if such designation eliminates or significantly reduces a measurement or recognition inconsistency that would otherwise arise or the financial liability is managed and its performance is evaluated on a fair value basis. Any gains or losses arising on re-measurement are recognised in the consolidated income statement. Derivative instruments and certain other level 3 liabilities (See Note 16) are classified as FVTPL.</w:t>
      </w:r>
    </w:p>
    <w:p w14:paraId="0A6989ED" w14:textId="77777777" w:rsidR="00323BB2" w:rsidRPr="0061063C" w:rsidRDefault="00323BB2" w:rsidP="00323BB2">
      <w:pPr>
        <w:keepNext/>
        <w:keepLines/>
        <w:ind w:left="720"/>
        <w:rPr>
          <w:rFonts w:asciiTheme="minorHAnsi" w:hAnsiTheme="minorHAnsi" w:cstheme="minorHAnsi"/>
          <w:sz w:val="12"/>
          <w:szCs w:val="12"/>
        </w:rPr>
      </w:pPr>
    </w:p>
    <w:p w14:paraId="0DDCECFE" w14:textId="77777777" w:rsidR="00323BB2" w:rsidRPr="0061063C" w:rsidRDefault="00323BB2" w:rsidP="009B6BB8">
      <w:pPr>
        <w:numPr>
          <w:ilvl w:val="0"/>
          <w:numId w:val="28"/>
        </w:numPr>
        <w:ind w:left="714" w:hanging="357"/>
        <w:rPr>
          <w:rFonts w:asciiTheme="minorHAnsi" w:hAnsiTheme="minorHAnsi" w:cstheme="minorHAnsi"/>
          <w:sz w:val="20"/>
        </w:rPr>
      </w:pPr>
      <w:r w:rsidRPr="0061063C">
        <w:rPr>
          <w:rFonts w:asciiTheme="minorHAnsi" w:hAnsiTheme="minorHAnsi" w:cstheme="minorHAnsi"/>
          <w:sz w:val="20"/>
        </w:rPr>
        <w:t>Other financial liabilities: Financial liabilities, including borrowings, are initially measured at fair value, net of transaction costs. Other financial liabilities are subsequently measured at amortised cost using the effective interest method. The effective interest method calculates the amortised cost of a financial liability and allocates interest expense over the relevant period. The effective interest rate is the rate that exactly discounts estimated future cash payments through the expected life of the financial liability (or a shorter period where appropriate) to the net carrying amount on initial recognition. Long-term debt is classified within other financial liabilities and is measured at amortised cost.</w:t>
      </w:r>
    </w:p>
    <w:p w14:paraId="6F7C7FF9" w14:textId="77777777" w:rsidR="00323BB2" w:rsidRPr="0061063C" w:rsidRDefault="00323BB2" w:rsidP="00323BB2">
      <w:pPr>
        <w:spacing w:line="288" w:lineRule="auto"/>
        <w:ind w:left="720"/>
        <w:rPr>
          <w:rFonts w:asciiTheme="minorHAnsi" w:hAnsiTheme="minorHAnsi" w:cstheme="minorHAnsi"/>
          <w:sz w:val="12"/>
          <w:szCs w:val="12"/>
        </w:rPr>
      </w:pPr>
    </w:p>
    <w:p w14:paraId="16465A09" w14:textId="77777777" w:rsidR="00323BB2" w:rsidRPr="0061063C" w:rsidRDefault="00323BB2" w:rsidP="00323BB2">
      <w:pPr>
        <w:keepNext/>
        <w:spacing w:line="288" w:lineRule="auto"/>
        <w:rPr>
          <w:rFonts w:asciiTheme="minorHAnsi" w:hAnsiTheme="minorHAnsi" w:cstheme="minorHAnsi"/>
          <w:i/>
          <w:sz w:val="20"/>
        </w:rPr>
      </w:pPr>
      <w:r w:rsidRPr="0061063C">
        <w:rPr>
          <w:rFonts w:asciiTheme="minorHAnsi" w:hAnsiTheme="minorHAnsi" w:cstheme="minorHAnsi"/>
          <w:i/>
          <w:sz w:val="20"/>
        </w:rPr>
        <w:t>Debt modifications</w:t>
      </w:r>
    </w:p>
    <w:p w14:paraId="23F8D85F"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 xml:space="preserve">The Group may pursue amendments to its credit agreements based on, among other things, prevailing market conditions. Such amendments, when completed, are considered by the Group to be debt modifications. </w:t>
      </w:r>
    </w:p>
    <w:p w14:paraId="1C918AD5" w14:textId="77777777" w:rsidR="00323BB2" w:rsidRPr="0061063C" w:rsidRDefault="00323BB2" w:rsidP="00323BB2">
      <w:pPr>
        <w:spacing w:line="288" w:lineRule="auto"/>
        <w:rPr>
          <w:rFonts w:asciiTheme="minorHAnsi" w:hAnsiTheme="minorHAnsi" w:cstheme="minorHAnsi"/>
          <w:sz w:val="20"/>
        </w:rPr>
      </w:pPr>
    </w:p>
    <w:p w14:paraId="1687CA73"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The accounting treatment of debt modifications depends upon whether the modified terms are substantially different than the previous terms. The terms of an amended debt agreement are considered substantially different when either: (</w:t>
      </w:r>
      <w:proofErr w:type="spellStart"/>
      <w:r w:rsidRPr="0061063C">
        <w:rPr>
          <w:rFonts w:asciiTheme="minorHAnsi" w:hAnsiTheme="minorHAnsi" w:cstheme="minorHAnsi"/>
          <w:sz w:val="20"/>
        </w:rPr>
        <w:t>i</w:t>
      </w:r>
      <w:proofErr w:type="spellEnd"/>
      <w:r w:rsidRPr="0061063C">
        <w:rPr>
          <w:rFonts w:asciiTheme="minorHAnsi" w:hAnsiTheme="minorHAnsi" w:cstheme="minorHAnsi"/>
          <w:sz w:val="20"/>
        </w:rPr>
        <w:t xml:space="preserve">) the discounted present value of the cash flows under the new terms, discounted using the original effective interest rate, are at least ten percent different from the discounted present value of the remaining cash flows of the original debt or (ii) management determines that other changes to the terms of the amended agreement, such as a change in the environment in which a floating interest rate is determined, are substantially different. If the modification is considered to be substantially different, the transaction is accounted for as an extinguishment of the original debt instrument, which is derecognised and replaced by the amended debt instrument, with any unamortised costs or fees incurred on the original debt instrument recognised as part of the gain or loss on extinguishment. If the modification is not considered to be substantially different, an adjustment to the carrying amount of the original debt instrument is recorded, which is calculated as the difference between the original contractual cash flows and the modified cash flows discounted at the original effective interest rate with the difference recognised in financial expense </w:t>
      </w:r>
      <w:r>
        <w:rPr>
          <w:rFonts w:asciiTheme="minorHAnsi" w:hAnsiTheme="minorHAnsi" w:cstheme="minorHAnsi"/>
          <w:sz w:val="20"/>
        </w:rPr>
        <w:t>i</w:t>
      </w:r>
      <w:r w:rsidRPr="0061063C">
        <w:rPr>
          <w:rFonts w:asciiTheme="minorHAnsi" w:hAnsiTheme="minorHAnsi" w:cstheme="minorHAnsi"/>
          <w:sz w:val="20"/>
        </w:rPr>
        <w:t>n the consolidated income statement.</w:t>
      </w:r>
    </w:p>
    <w:p w14:paraId="726E52AD" w14:textId="77777777" w:rsidR="00323BB2" w:rsidRPr="0061063C" w:rsidRDefault="00323BB2" w:rsidP="00323BB2">
      <w:pPr>
        <w:keepNext/>
        <w:keepLines/>
        <w:spacing w:line="288" w:lineRule="auto"/>
        <w:rPr>
          <w:rFonts w:asciiTheme="minorHAnsi" w:hAnsiTheme="minorHAnsi" w:cstheme="minorHAnsi"/>
          <w:i/>
          <w:sz w:val="20"/>
        </w:rPr>
      </w:pPr>
    </w:p>
    <w:p w14:paraId="0D6699D5" w14:textId="77777777" w:rsidR="00323BB2" w:rsidRPr="0061063C" w:rsidRDefault="00323BB2" w:rsidP="00323BB2">
      <w:pPr>
        <w:keepNext/>
        <w:keepLines/>
        <w:spacing w:line="288" w:lineRule="auto"/>
        <w:rPr>
          <w:rFonts w:asciiTheme="minorHAnsi" w:hAnsiTheme="minorHAnsi" w:cstheme="minorHAnsi"/>
          <w:i/>
          <w:sz w:val="20"/>
        </w:rPr>
      </w:pPr>
      <w:r w:rsidRPr="0061063C">
        <w:rPr>
          <w:rFonts w:asciiTheme="minorHAnsi" w:hAnsiTheme="minorHAnsi" w:cstheme="minorHAnsi"/>
          <w:i/>
          <w:sz w:val="20"/>
        </w:rPr>
        <w:t>Transaction costs</w:t>
      </w:r>
    </w:p>
    <w:p w14:paraId="342831E8" w14:textId="77777777" w:rsidR="00323BB2" w:rsidRPr="0061063C" w:rsidRDefault="00323BB2" w:rsidP="00323BB2">
      <w:pPr>
        <w:keepLines/>
        <w:rPr>
          <w:rFonts w:asciiTheme="minorHAnsi" w:hAnsiTheme="minorHAnsi" w:cstheme="minorHAnsi"/>
          <w:sz w:val="20"/>
        </w:rPr>
      </w:pPr>
      <w:r w:rsidRPr="0061063C">
        <w:rPr>
          <w:rFonts w:asciiTheme="minorHAnsi" w:hAnsiTheme="minorHAnsi" w:cstheme="minorHAnsi"/>
          <w:sz w:val="20"/>
        </w:rPr>
        <w:t xml:space="preserve">Transaction costs that are directly attributable to the acquisition or issuance of financial assets and financial liabilities (other than financial assets and financial liabilities that are classified as FVTPL) are added to or deducted from, as applicable, the fair value of the financial instrument on initial recognition. These costs are expensed to financial expenses </w:t>
      </w:r>
      <w:r>
        <w:rPr>
          <w:rFonts w:asciiTheme="minorHAnsi" w:hAnsiTheme="minorHAnsi" w:cstheme="minorHAnsi"/>
          <w:sz w:val="20"/>
        </w:rPr>
        <w:t>i</w:t>
      </w:r>
      <w:r w:rsidRPr="0061063C">
        <w:rPr>
          <w:rFonts w:asciiTheme="minorHAnsi" w:hAnsiTheme="minorHAnsi" w:cstheme="minorHAnsi"/>
          <w:sz w:val="20"/>
        </w:rPr>
        <w:t>n the consolidated income statement over the term of the related interest-bearing financial asset or financial liability using the effective interest method. When a debt facility is retired by the Group, any remaining balance of related debt transaction costs is expensed to financial expenses in the period that the debt facility is retired. Transaction costs related to financial instruments at FVTPL are expensed when incurred.</w:t>
      </w:r>
    </w:p>
    <w:p w14:paraId="050F6D99" w14:textId="77777777" w:rsidR="00323BB2" w:rsidRPr="0061063C" w:rsidRDefault="00323BB2" w:rsidP="00323BB2">
      <w:pPr>
        <w:keepNext/>
        <w:spacing w:line="288" w:lineRule="auto"/>
        <w:rPr>
          <w:rFonts w:asciiTheme="minorHAnsi" w:hAnsiTheme="minorHAnsi" w:cstheme="minorHAnsi"/>
          <w:b/>
          <w:i/>
          <w:sz w:val="20"/>
        </w:rPr>
      </w:pPr>
    </w:p>
    <w:p w14:paraId="3BEC31AB"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br w:type="page"/>
      </w:r>
    </w:p>
    <w:p w14:paraId="6F3A319A"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lastRenderedPageBreak/>
        <w:t>2. Basis of preparation and accounting policies (continued)</w:t>
      </w:r>
    </w:p>
    <w:p w14:paraId="268DE1E6" w14:textId="77777777" w:rsidR="00323BB2" w:rsidRPr="0061063C" w:rsidRDefault="00323BB2" w:rsidP="00323BB2">
      <w:pPr>
        <w:keepNext/>
        <w:spacing w:line="288" w:lineRule="auto"/>
        <w:jc w:val="both"/>
        <w:rPr>
          <w:rFonts w:asciiTheme="minorHAnsi" w:hAnsiTheme="minorHAnsi" w:cstheme="minorHAnsi"/>
          <w:b/>
          <w:i/>
          <w:sz w:val="20"/>
        </w:rPr>
      </w:pPr>
    </w:p>
    <w:p w14:paraId="2C1FFF42" w14:textId="77777777" w:rsidR="00323BB2" w:rsidRPr="0061063C" w:rsidRDefault="00323BB2" w:rsidP="00323BB2">
      <w:pPr>
        <w:keepNext/>
        <w:spacing w:line="288" w:lineRule="auto"/>
        <w:jc w:val="both"/>
        <w:rPr>
          <w:rFonts w:asciiTheme="minorHAnsi" w:hAnsiTheme="minorHAnsi" w:cstheme="minorHAnsi"/>
          <w:b/>
          <w:i/>
        </w:rPr>
      </w:pPr>
      <w:r w:rsidRPr="0061063C">
        <w:rPr>
          <w:rFonts w:asciiTheme="minorHAnsi" w:hAnsiTheme="minorHAnsi" w:cstheme="minorHAnsi"/>
          <w:b/>
          <w:i/>
          <w:sz w:val="20"/>
        </w:rPr>
        <w:t>Derivatives</w:t>
      </w:r>
    </w:p>
    <w:p w14:paraId="6290647C" w14:textId="77777777" w:rsidR="00323BB2" w:rsidRPr="0061063C" w:rsidRDefault="00323BB2" w:rsidP="00323BB2">
      <w:pPr>
        <w:rPr>
          <w:rFonts w:asciiTheme="minorHAnsi" w:hAnsiTheme="minorHAnsi" w:cstheme="minorHAnsi"/>
        </w:rPr>
      </w:pPr>
      <w:r w:rsidRPr="0061063C">
        <w:rPr>
          <w:rFonts w:asciiTheme="minorHAnsi" w:hAnsiTheme="minorHAnsi" w:cstheme="minorHAnsi"/>
          <w:sz w:val="20"/>
        </w:rPr>
        <w:t>As permitted by IFRS 9, the Group continues to apply the hedge accounting requirements of IAS 39 rather than the requirements of IFRS 9 and complies with the annual hedge accounting disclosures as required by IFRS 7.</w:t>
      </w:r>
    </w:p>
    <w:p w14:paraId="586BDD42" w14:textId="77777777" w:rsidR="00323BB2" w:rsidRPr="0061063C" w:rsidRDefault="00323BB2" w:rsidP="00323BB2">
      <w:pPr>
        <w:spacing w:line="288" w:lineRule="auto"/>
        <w:rPr>
          <w:rFonts w:asciiTheme="minorHAnsi" w:hAnsiTheme="minorHAnsi" w:cstheme="minorHAnsi"/>
        </w:rPr>
      </w:pPr>
    </w:p>
    <w:p w14:paraId="3D14229D" w14:textId="77777777" w:rsidR="00323BB2" w:rsidRPr="0061063C" w:rsidRDefault="00323BB2" w:rsidP="00323BB2">
      <w:pPr>
        <w:rPr>
          <w:rFonts w:asciiTheme="minorHAnsi" w:hAnsiTheme="minorHAnsi" w:cstheme="minorHAnsi"/>
        </w:rPr>
      </w:pPr>
      <w:r w:rsidRPr="0061063C">
        <w:rPr>
          <w:rFonts w:asciiTheme="minorHAnsi" w:hAnsiTheme="minorHAnsi" w:cstheme="minorHAnsi"/>
          <w:sz w:val="20"/>
        </w:rPr>
        <w:t>The Group uses derivative instruments for risk management purposes and does not use derivative instruments for speculative trading purposes (except for derivatives with respect to the Group’s Sportsbook line of operations, which are transactions within the scope of IFRS 9 but reported as revenue as discussed above). All derivatives are recorded at fair value in the consolidated statements of financial position. The accounting for subsequent changes in fair value depends on whether the derivative is designated as a hedging instrument, and if so, the nature of the item being hedged. For derivatives not designated as hedging instruments, the re-measurement of those derivatives each period is recognised in the consolidated income statement.</w:t>
      </w:r>
    </w:p>
    <w:p w14:paraId="4880C19E" w14:textId="77777777" w:rsidR="00323BB2" w:rsidRPr="0061063C" w:rsidRDefault="00323BB2" w:rsidP="00323BB2">
      <w:pPr>
        <w:spacing w:line="288" w:lineRule="auto"/>
        <w:rPr>
          <w:rFonts w:asciiTheme="minorHAnsi" w:hAnsiTheme="minorHAnsi" w:cstheme="minorHAnsi"/>
        </w:rPr>
      </w:pPr>
    </w:p>
    <w:p w14:paraId="0E90A969" w14:textId="77777777" w:rsidR="00323BB2" w:rsidRPr="0061063C" w:rsidRDefault="00323BB2" w:rsidP="00323BB2">
      <w:pPr>
        <w:rPr>
          <w:rFonts w:asciiTheme="minorHAnsi" w:hAnsiTheme="minorHAnsi" w:cstheme="minorHAnsi"/>
        </w:rPr>
      </w:pPr>
      <w:r w:rsidRPr="0061063C">
        <w:rPr>
          <w:rFonts w:asciiTheme="minorHAnsi" w:hAnsiTheme="minorHAnsi" w:cstheme="minorHAnsi"/>
          <w:sz w:val="20"/>
        </w:rPr>
        <w:t>Derivatives may be embedded in other financial liabilities and non-financial instruments (i.e., the host instrument). Embedded derivatives are treated as separate derivatives when their economic characteristics and risks are not closely related to those of the host instrument, the terms of the embedded derivative are the same as those of a stand-alone derivative and the combined instrument (i.e., the embedded derivative plus the host instrument) is not held-for-trading or designated at fair value. These embedded derivatives are measured at fair value with subsequent changes recognised in the consolidated income statement.</w:t>
      </w:r>
    </w:p>
    <w:p w14:paraId="5EBFE0E8" w14:textId="77777777" w:rsidR="00323BB2" w:rsidRPr="0061063C" w:rsidRDefault="00323BB2" w:rsidP="00323BB2">
      <w:pPr>
        <w:spacing w:line="288" w:lineRule="auto"/>
        <w:rPr>
          <w:rFonts w:asciiTheme="minorHAnsi" w:hAnsiTheme="minorHAnsi" w:cstheme="minorHAnsi"/>
        </w:rPr>
      </w:pPr>
    </w:p>
    <w:p w14:paraId="0224143A" w14:textId="77777777" w:rsidR="00323BB2" w:rsidRPr="0061063C" w:rsidRDefault="00323BB2" w:rsidP="00323BB2">
      <w:pPr>
        <w:rPr>
          <w:rFonts w:asciiTheme="minorHAnsi" w:hAnsiTheme="minorHAnsi" w:cstheme="minorHAnsi"/>
        </w:rPr>
      </w:pPr>
      <w:r w:rsidRPr="0061063C">
        <w:rPr>
          <w:rFonts w:asciiTheme="minorHAnsi" w:hAnsiTheme="minorHAnsi" w:cstheme="minorHAnsi"/>
          <w:sz w:val="20"/>
        </w:rPr>
        <w:t>A derivative embedded within a hybrid contract containing a financial asset host is not accounted for separately under IFRS 9. The financial asset host together with the embedded derivative is required to be classified in its entirety as a financial asset at FVTPL.</w:t>
      </w:r>
    </w:p>
    <w:p w14:paraId="3D28B6C8" w14:textId="77777777" w:rsidR="00323BB2" w:rsidRPr="0061063C" w:rsidRDefault="00323BB2" w:rsidP="00323BB2">
      <w:pPr>
        <w:rPr>
          <w:rFonts w:asciiTheme="minorHAnsi" w:hAnsiTheme="minorHAnsi"/>
          <w:sz w:val="20"/>
        </w:rPr>
      </w:pPr>
    </w:p>
    <w:p w14:paraId="5DF8FBF6" w14:textId="77777777" w:rsidR="00323BB2" w:rsidRPr="0061063C" w:rsidRDefault="00323BB2" w:rsidP="00323BB2">
      <w:pPr>
        <w:keepNext/>
        <w:spacing w:line="288" w:lineRule="auto"/>
        <w:rPr>
          <w:rFonts w:asciiTheme="minorHAnsi" w:hAnsiTheme="minorHAnsi" w:cstheme="minorHAnsi"/>
          <w:b/>
        </w:rPr>
      </w:pPr>
      <w:r w:rsidRPr="0061063C">
        <w:rPr>
          <w:rFonts w:asciiTheme="minorHAnsi" w:hAnsiTheme="minorHAnsi" w:cstheme="minorHAnsi"/>
          <w:b/>
          <w:sz w:val="20"/>
        </w:rPr>
        <w:t>Hedge accounting</w:t>
      </w:r>
    </w:p>
    <w:p w14:paraId="33E6ED07" w14:textId="77777777" w:rsidR="00323BB2" w:rsidRPr="0061063C" w:rsidRDefault="00323BB2" w:rsidP="00323BB2">
      <w:pPr>
        <w:keepNext/>
        <w:keepLines/>
        <w:spacing w:line="288" w:lineRule="auto"/>
        <w:rPr>
          <w:rFonts w:asciiTheme="minorHAnsi" w:hAnsiTheme="minorHAnsi" w:cstheme="minorHAnsi"/>
        </w:rPr>
      </w:pPr>
      <w:r w:rsidRPr="0061063C">
        <w:rPr>
          <w:rFonts w:asciiTheme="minorHAnsi" w:hAnsiTheme="minorHAnsi" w:cstheme="minorHAnsi"/>
          <w:sz w:val="20"/>
        </w:rPr>
        <w:t>The Group designates certain derivatives as either:</w:t>
      </w:r>
    </w:p>
    <w:p w14:paraId="3D1FE528" w14:textId="77777777" w:rsidR="00323BB2" w:rsidRPr="0061063C" w:rsidRDefault="00323BB2" w:rsidP="009B6BB8">
      <w:pPr>
        <w:keepNext/>
        <w:keepLines/>
        <w:numPr>
          <w:ilvl w:val="0"/>
          <w:numId w:val="27"/>
        </w:numPr>
        <w:spacing w:line="288" w:lineRule="auto"/>
        <w:ind w:left="720"/>
        <w:rPr>
          <w:rFonts w:asciiTheme="minorHAnsi" w:hAnsiTheme="minorHAnsi" w:cstheme="minorHAnsi"/>
        </w:rPr>
      </w:pPr>
      <w:r w:rsidRPr="0061063C">
        <w:rPr>
          <w:rFonts w:asciiTheme="minorHAnsi" w:hAnsiTheme="minorHAnsi" w:cstheme="minorHAnsi"/>
          <w:sz w:val="20"/>
        </w:rPr>
        <w:t>hedges of a particular risk associated with the cash flows of recognised assets and liabilities and highly probable forecast transactions (cash flow hedges), or</w:t>
      </w:r>
    </w:p>
    <w:p w14:paraId="0BA7118A" w14:textId="77777777" w:rsidR="00323BB2" w:rsidRPr="0061063C" w:rsidRDefault="00323BB2" w:rsidP="009B6BB8">
      <w:pPr>
        <w:numPr>
          <w:ilvl w:val="0"/>
          <w:numId w:val="27"/>
        </w:numPr>
        <w:spacing w:line="288" w:lineRule="auto"/>
        <w:ind w:left="720"/>
        <w:rPr>
          <w:rFonts w:asciiTheme="minorHAnsi" w:hAnsiTheme="minorHAnsi" w:cstheme="minorHAnsi"/>
        </w:rPr>
      </w:pPr>
      <w:r w:rsidRPr="0061063C">
        <w:rPr>
          <w:rFonts w:asciiTheme="minorHAnsi" w:hAnsiTheme="minorHAnsi" w:cstheme="minorHAnsi"/>
          <w:sz w:val="20"/>
        </w:rPr>
        <w:t>hedges of a net investment in a foreign operation (net investment hedges).</w:t>
      </w:r>
    </w:p>
    <w:p w14:paraId="2358A517" w14:textId="77777777" w:rsidR="00323BB2" w:rsidRPr="0061063C" w:rsidRDefault="00323BB2" w:rsidP="00323BB2">
      <w:pPr>
        <w:spacing w:line="288" w:lineRule="auto"/>
        <w:ind w:left="720"/>
        <w:rPr>
          <w:rFonts w:asciiTheme="minorHAnsi" w:hAnsiTheme="minorHAnsi" w:cstheme="minorHAnsi"/>
        </w:rPr>
      </w:pPr>
    </w:p>
    <w:p w14:paraId="1AC2218C" w14:textId="77777777" w:rsidR="00323BB2" w:rsidRPr="0061063C" w:rsidRDefault="00323BB2" w:rsidP="00323BB2">
      <w:pPr>
        <w:rPr>
          <w:rFonts w:asciiTheme="minorHAnsi" w:hAnsiTheme="minorHAnsi" w:cstheme="minorHAnsi"/>
        </w:rPr>
      </w:pPr>
      <w:r w:rsidRPr="0061063C">
        <w:rPr>
          <w:rFonts w:asciiTheme="minorHAnsi" w:hAnsiTheme="minorHAnsi" w:cstheme="minorHAnsi"/>
          <w:sz w:val="20"/>
        </w:rPr>
        <w:t>At inception of the hedge relationship, the Group formally documents how the hedging relationship meets the hedge accounting criteria. It also records the economic relationship between the hedged item and the hedging instrument, including the nature of the risk, the risk management objective and strategy for undertaking the hedge and the method that will be used to assess the effectiveness of the hedging relationship at inception and on an ongoing basis.</w:t>
      </w:r>
    </w:p>
    <w:p w14:paraId="248DC88F" w14:textId="77777777" w:rsidR="00323BB2" w:rsidRPr="0061063C" w:rsidRDefault="00323BB2" w:rsidP="00323BB2">
      <w:pPr>
        <w:spacing w:line="288" w:lineRule="auto"/>
        <w:rPr>
          <w:rFonts w:asciiTheme="minorHAnsi" w:hAnsiTheme="minorHAnsi" w:cstheme="minorHAnsi"/>
        </w:rPr>
      </w:pPr>
    </w:p>
    <w:p w14:paraId="6E53E179" w14:textId="77777777" w:rsidR="00323BB2" w:rsidRPr="0061063C" w:rsidRDefault="00323BB2" w:rsidP="00323BB2">
      <w:pPr>
        <w:keepNext/>
        <w:spacing w:line="288" w:lineRule="auto"/>
        <w:rPr>
          <w:rFonts w:asciiTheme="minorHAnsi" w:hAnsiTheme="minorHAnsi" w:cstheme="minorHAnsi"/>
          <w:i/>
        </w:rPr>
      </w:pPr>
      <w:r w:rsidRPr="0061063C">
        <w:rPr>
          <w:rFonts w:asciiTheme="minorHAnsi" w:hAnsiTheme="minorHAnsi" w:cstheme="minorHAnsi"/>
          <w:i/>
          <w:sz w:val="20"/>
        </w:rPr>
        <w:t>Cash flow hedges</w:t>
      </w:r>
    </w:p>
    <w:p w14:paraId="22FDE2C2" w14:textId="77777777" w:rsidR="00323BB2" w:rsidRPr="0061063C" w:rsidRDefault="00323BB2" w:rsidP="00323BB2">
      <w:pPr>
        <w:rPr>
          <w:rFonts w:asciiTheme="minorHAnsi" w:hAnsiTheme="minorHAnsi" w:cstheme="minorHAnsi"/>
        </w:rPr>
      </w:pPr>
      <w:r w:rsidRPr="0061063C">
        <w:rPr>
          <w:rFonts w:asciiTheme="minorHAnsi" w:hAnsiTheme="minorHAnsi" w:cstheme="minorHAnsi"/>
          <w:sz w:val="20"/>
        </w:rPr>
        <w:t>The Group uses derivatives for cash flow hedges. The effective portion of the change in fair value of the hedging instrument is recorded in other comprehensive income and accumulated in the cash flow hedging reserve, while the ineffective portion is recognised immediately in the consolidated income statement. Gains and losses on cash flow hedges accumulated in other comprehensive income (loss) are reclassified to the consolidated income statement in the same period the hedged item affects the consolidated income statement. If the forecast transaction is no longer expected to occur, the hedge no longer meets the criteria for hedge accounting, the hedging instrument expires or is sold, terminated or exercised, or the designation is revoked, the hedge accounting is discontinued prospectively.  If the forecast transaction is no longer expected to occur, then the amount accumulated in equity is reclassified to the consolidated income statement.</w:t>
      </w:r>
    </w:p>
    <w:p w14:paraId="00F0F370" w14:textId="77777777" w:rsidR="00323BB2" w:rsidRPr="0061063C" w:rsidRDefault="00323BB2" w:rsidP="00323BB2">
      <w:pPr>
        <w:spacing w:line="288" w:lineRule="auto"/>
        <w:rPr>
          <w:rFonts w:asciiTheme="minorHAnsi" w:hAnsiTheme="minorHAnsi" w:cstheme="minorHAnsi"/>
          <w:i/>
        </w:rPr>
      </w:pPr>
    </w:p>
    <w:p w14:paraId="36B7C3B0" w14:textId="77777777" w:rsidR="00323BB2" w:rsidRPr="0061063C" w:rsidRDefault="00323BB2" w:rsidP="00323BB2">
      <w:pPr>
        <w:keepNext/>
        <w:keepLines/>
        <w:spacing w:line="288" w:lineRule="auto"/>
        <w:rPr>
          <w:rFonts w:asciiTheme="minorHAnsi" w:hAnsiTheme="minorHAnsi" w:cstheme="minorHAnsi"/>
          <w:i/>
        </w:rPr>
      </w:pPr>
      <w:r w:rsidRPr="0061063C">
        <w:rPr>
          <w:rFonts w:asciiTheme="minorHAnsi" w:hAnsiTheme="minorHAnsi" w:cstheme="minorHAnsi"/>
          <w:i/>
          <w:sz w:val="20"/>
        </w:rPr>
        <w:t>Net investment hedges</w:t>
      </w:r>
    </w:p>
    <w:p w14:paraId="42DB1307" w14:textId="77777777" w:rsidR="00323BB2" w:rsidRPr="0061063C" w:rsidRDefault="00323BB2" w:rsidP="00323BB2">
      <w:pPr>
        <w:keepLines/>
        <w:rPr>
          <w:rFonts w:asciiTheme="minorHAnsi" w:hAnsiTheme="minorHAnsi" w:cstheme="minorHAnsi"/>
          <w:sz w:val="20"/>
        </w:rPr>
      </w:pPr>
      <w:r w:rsidRPr="0061063C">
        <w:rPr>
          <w:rFonts w:asciiTheme="minorHAnsi" w:hAnsiTheme="minorHAnsi" w:cstheme="minorHAnsi"/>
          <w:sz w:val="20"/>
        </w:rPr>
        <w:t xml:space="preserve">Hedges of net investments in foreign operations are accounted for similarly to cash flow hedges. Any gain or loss on the hedging item relating to the effective portion of the hedge is recognised in other comprehensive income and accumulated under the heading </w:t>
      </w:r>
      <w:r>
        <w:rPr>
          <w:rFonts w:asciiTheme="minorHAnsi" w:hAnsiTheme="minorHAnsi" w:cstheme="minorHAnsi"/>
          <w:sz w:val="20"/>
        </w:rPr>
        <w:t>foreign exchange translation</w:t>
      </w:r>
      <w:r w:rsidRPr="0061063C">
        <w:rPr>
          <w:rFonts w:asciiTheme="minorHAnsi" w:hAnsiTheme="minorHAnsi" w:cstheme="minorHAnsi"/>
          <w:sz w:val="20"/>
        </w:rPr>
        <w:t xml:space="preserve"> reserve. The gain or loss relating to the ineffective portion is recognised immediately in the consolidated income statement. Gains and losses accumulated in other comprehensive income are reclassified to the consolidated income statement when the foreign operation is partially disposed of or sold.</w:t>
      </w:r>
    </w:p>
    <w:p w14:paraId="6975BB8C" w14:textId="77777777" w:rsidR="00323BB2" w:rsidRPr="0061063C" w:rsidRDefault="00323BB2" w:rsidP="00323BB2">
      <w:pPr>
        <w:keepLines/>
        <w:rPr>
          <w:rFonts w:asciiTheme="minorHAnsi" w:hAnsiTheme="minorHAnsi" w:cstheme="minorHAnsi"/>
        </w:rPr>
      </w:pPr>
    </w:p>
    <w:p w14:paraId="64A8D90D"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3C9BB6D8"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lastRenderedPageBreak/>
        <w:t>2. Basis of preparation and accounting policies (continued)</w:t>
      </w:r>
    </w:p>
    <w:p w14:paraId="3CC23E42" w14:textId="77777777" w:rsidR="00323BB2" w:rsidRPr="0061063C" w:rsidRDefault="00323BB2" w:rsidP="00323BB2">
      <w:pPr>
        <w:rPr>
          <w:rFonts w:asciiTheme="minorHAnsi" w:hAnsiTheme="minorHAnsi"/>
          <w:b/>
          <w:bCs/>
          <w:sz w:val="20"/>
        </w:rPr>
      </w:pPr>
    </w:p>
    <w:p w14:paraId="02DB2FE4" w14:textId="77777777" w:rsidR="00323BB2" w:rsidRPr="0061063C" w:rsidRDefault="00323BB2" w:rsidP="00323BB2">
      <w:pPr>
        <w:rPr>
          <w:rFonts w:asciiTheme="minorHAnsi" w:hAnsiTheme="minorHAnsi"/>
          <w:b/>
          <w:bCs/>
          <w:sz w:val="20"/>
        </w:rPr>
      </w:pPr>
      <w:r w:rsidRPr="0061063C">
        <w:rPr>
          <w:rFonts w:asciiTheme="minorHAnsi" w:hAnsiTheme="minorHAnsi"/>
          <w:b/>
          <w:bCs/>
          <w:sz w:val="20"/>
        </w:rPr>
        <w:t>Separately disclosed items</w:t>
      </w:r>
    </w:p>
    <w:p w14:paraId="2DC8DD00" w14:textId="77777777" w:rsidR="00323BB2" w:rsidRPr="0061063C" w:rsidRDefault="00323BB2" w:rsidP="00323BB2">
      <w:pPr>
        <w:rPr>
          <w:rFonts w:asciiTheme="minorHAnsi" w:hAnsiTheme="minorHAnsi"/>
          <w:bCs/>
          <w:sz w:val="20"/>
        </w:rPr>
      </w:pPr>
      <w:r w:rsidRPr="0061063C">
        <w:rPr>
          <w:rFonts w:asciiTheme="minorHAnsi" w:hAnsiTheme="minorHAnsi"/>
          <w:bCs/>
          <w:sz w:val="20"/>
        </w:rPr>
        <w:t xml:space="preserve">Separately disclosed items are those that in management’s judgement need to be disclosed by virtue of their size, incidence or if not part of the Group’s normal trading activities. The separate reporting of these items helps provide a better understanding of the Group’s underlying performance. </w:t>
      </w:r>
    </w:p>
    <w:p w14:paraId="0DD31210" w14:textId="77777777" w:rsidR="00323BB2" w:rsidRPr="0061063C" w:rsidRDefault="00323BB2" w:rsidP="00323BB2">
      <w:pPr>
        <w:rPr>
          <w:rFonts w:asciiTheme="minorHAnsi" w:hAnsiTheme="minorHAnsi"/>
          <w:bCs/>
          <w:sz w:val="20"/>
        </w:rPr>
      </w:pPr>
    </w:p>
    <w:p w14:paraId="756897BF" w14:textId="77777777" w:rsidR="00323BB2" w:rsidRPr="0061063C" w:rsidRDefault="00323BB2" w:rsidP="00323BB2">
      <w:pPr>
        <w:rPr>
          <w:rFonts w:asciiTheme="minorHAnsi" w:hAnsiTheme="minorHAnsi"/>
          <w:bCs/>
          <w:sz w:val="20"/>
        </w:rPr>
      </w:pPr>
      <w:r w:rsidRPr="0061063C">
        <w:rPr>
          <w:rFonts w:asciiTheme="minorHAnsi" w:hAnsiTheme="minorHAnsi"/>
          <w:bCs/>
          <w:sz w:val="20"/>
        </w:rPr>
        <w:t>Such items may include the amortisation of acquisition related intangibles, significant restructuring and integration costs, material fees in respect of acquisitions, significant impairment of property, plant and equipment and intangible assets and significant movement in the fair value of contingent consideration. Following the acquisition of the TSG, and the significant change in the Group’s debt and derivatives portfolio, the Group also considers items such as the gain/loss on Embedded derivatives, the gain/loss on accelerated debt repayments, foreign exchange gain/losses on financial instruments associated with financing activities, forward contract gain/losses associated with financing and the write off and expensing of one-off fees that do not meet the criteria for capitalisation as items that should be separately disclosed.</w:t>
      </w:r>
    </w:p>
    <w:p w14:paraId="48927378" w14:textId="77777777" w:rsidR="00323BB2" w:rsidRPr="0061063C" w:rsidRDefault="00323BB2" w:rsidP="00323BB2">
      <w:pPr>
        <w:rPr>
          <w:rFonts w:asciiTheme="minorHAnsi" w:hAnsiTheme="minorHAnsi"/>
          <w:bCs/>
          <w:sz w:val="20"/>
        </w:rPr>
      </w:pPr>
    </w:p>
    <w:p w14:paraId="3564B0D0" w14:textId="77777777" w:rsidR="00323BB2" w:rsidRPr="0061063C" w:rsidRDefault="00323BB2" w:rsidP="00323BB2">
      <w:pPr>
        <w:rPr>
          <w:rFonts w:asciiTheme="minorHAnsi" w:hAnsiTheme="minorHAnsi"/>
          <w:bCs/>
          <w:sz w:val="20"/>
        </w:rPr>
      </w:pPr>
      <w:r w:rsidRPr="0061063C">
        <w:rPr>
          <w:rFonts w:asciiTheme="minorHAnsi" w:hAnsiTheme="minorHAnsi"/>
          <w:bCs/>
          <w:sz w:val="20"/>
        </w:rPr>
        <w:t>In the majority of cases, it is the material impact that these items have on the financial statements that determines whether they should be separately disclosed. Materiality is determined by assessing whether disclosing such items separately would present a reader with a better understanding of the performance of the Group. If such items were deemed to be less than material, they would not be separately disclosed.</w:t>
      </w:r>
    </w:p>
    <w:p w14:paraId="72DFFCD1" w14:textId="77777777" w:rsidR="00323BB2" w:rsidRPr="0061063C" w:rsidRDefault="00323BB2" w:rsidP="00323BB2">
      <w:pPr>
        <w:rPr>
          <w:rFonts w:asciiTheme="minorHAnsi" w:hAnsiTheme="minorHAnsi"/>
          <w:bCs/>
          <w:sz w:val="20"/>
        </w:rPr>
      </w:pPr>
    </w:p>
    <w:p w14:paraId="15F2D54A" w14:textId="77777777" w:rsidR="00323BB2" w:rsidRPr="0061063C" w:rsidRDefault="00323BB2" w:rsidP="00323BB2">
      <w:pPr>
        <w:rPr>
          <w:rFonts w:asciiTheme="minorHAnsi" w:hAnsiTheme="minorHAnsi"/>
          <w:bCs/>
          <w:sz w:val="20"/>
        </w:rPr>
      </w:pPr>
      <w:r w:rsidRPr="0061063C">
        <w:rPr>
          <w:rFonts w:asciiTheme="minorHAnsi" w:hAnsiTheme="minorHAnsi"/>
          <w:bCs/>
          <w:sz w:val="20"/>
        </w:rPr>
        <w:t xml:space="preserve">These items, usually due to their size and nature tend to be non-recurring items and would not arise on an annual basis. However, in other cases, items such as for example, the amortisation of acquisition related intangibles may occur over several years but are disclosed separately due to their finite life and the significantly changing amortisation profile of the assets in question in the related years. Other items such as the gain/loss on </w:t>
      </w:r>
      <w:r>
        <w:rPr>
          <w:rFonts w:asciiTheme="minorHAnsi" w:hAnsiTheme="minorHAnsi"/>
          <w:bCs/>
          <w:sz w:val="20"/>
        </w:rPr>
        <w:t>e</w:t>
      </w:r>
      <w:r w:rsidRPr="0061063C">
        <w:rPr>
          <w:rFonts w:asciiTheme="minorHAnsi" w:hAnsiTheme="minorHAnsi"/>
          <w:bCs/>
          <w:sz w:val="20"/>
        </w:rPr>
        <w:t>mbedded derivatives and foreign exchange gains/losses associated with financing activities would also arise on a regular basis and are disclosed separately due to their volatile nature.</w:t>
      </w:r>
    </w:p>
    <w:p w14:paraId="1FED38FF" w14:textId="77777777" w:rsidR="00323BB2" w:rsidRPr="0061063C" w:rsidRDefault="00323BB2" w:rsidP="00323BB2">
      <w:pPr>
        <w:rPr>
          <w:rFonts w:asciiTheme="minorHAnsi" w:hAnsiTheme="minorHAnsi"/>
          <w:bCs/>
          <w:sz w:val="20"/>
        </w:rPr>
      </w:pPr>
    </w:p>
    <w:p w14:paraId="6AB0628E" w14:textId="77777777" w:rsidR="00323BB2" w:rsidRPr="0061063C" w:rsidRDefault="00323BB2" w:rsidP="00323BB2">
      <w:pPr>
        <w:rPr>
          <w:rFonts w:asciiTheme="minorHAnsi" w:hAnsiTheme="minorHAnsi"/>
          <w:bCs/>
          <w:sz w:val="20"/>
        </w:rPr>
      </w:pPr>
      <w:r w:rsidRPr="0061063C">
        <w:rPr>
          <w:rFonts w:asciiTheme="minorHAnsi" w:hAnsiTheme="minorHAnsi"/>
          <w:bCs/>
          <w:sz w:val="20"/>
        </w:rPr>
        <w:t>The separate disclosure of such items helps the reader better understand underlying business performance.</w:t>
      </w:r>
    </w:p>
    <w:p w14:paraId="0BC1CC36" w14:textId="77777777" w:rsidR="00323BB2" w:rsidRPr="0061063C" w:rsidRDefault="00323BB2" w:rsidP="00323BB2">
      <w:pPr>
        <w:rPr>
          <w:rFonts w:asciiTheme="minorHAnsi" w:hAnsiTheme="minorHAnsi"/>
          <w:bCs/>
          <w:sz w:val="20"/>
        </w:rPr>
      </w:pPr>
    </w:p>
    <w:p w14:paraId="24C3F94D" w14:textId="77777777" w:rsidR="00323BB2" w:rsidRPr="0061063C" w:rsidRDefault="00323BB2" w:rsidP="00323BB2">
      <w:pPr>
        <w:rPr>
          <w:rFonts w:asciiTheme="minorHAnsi" w:hAnsiTheme="minorHAnsi"/>
          <w:bCs/>
          <w:sz w:val="20"/>
        </w:rPr>
      </w:pPr>
      <w:r w:rsidRPr="0061063C">
        <w:rPr>
          <w:rFonts w:asciiTheme="minorHAnsi" w:hAnsiTheme="minorHAnsi"/>
          <w:bCs/>
          <w:sz w:val="20"/>
        </w:rPr>
        <w:t>The tax related impact of such items is also disclosed separately.</w:t>
      </w:r>
    </w:p>
    <w:p w14:paraId="0D3FD5F8" w14:textId="77777777" w:rsidR="00323BB2" w:rsidRPr="0061063C" w:rsidRDefault="00323BB2" w:rsidP="00323BB2">
      <w:pPr>
        <w:rPr>
          <w:rFonts w:asciiTheme="minorHAnsi" w:hAnsiTheme="minorHAnsi"/>
          <w:bCs/>
          <w:sz w:val="20"/>
        </w:rPr>
      </w:pPr>
    </w:p>
    <w:p w14:paraId="65003A26" w14:textId="77777777" w:rsidR="00323BB2" w:rsidRPr="0061063C" w:rsidRDefault="00323BB2" w:rsidP="00323BB2">
      <w:pPr>
        <w:rPr>
          <w:rFonts w:asciiTheme="minorHAnsi" w:hAnsiTheme="minorHAnsi"/>
          <w:b/>
          <w:bCs/>
          <w:sz w:val="20"/>
        </w:rPr>
      </w:pPr>
      <w:r w:rsidRPr="0061063C">
        <w:rPr>
          <w:rFonts w:asciiTheme="minorHAnsi" w:hAnsiTheme="minorHAnsi"/>
          <w:b/>
          <w:bCs/>
          <w:sz w:val="20"/>
        </w:rPr>
        <w:t>Adoption of new and revised standards</w:t>
      </w:r>
    </w:p>
    <w:p w14:paraId="54C3A057" w14:textId="77777777" w:rsidR="00323BB2" w:rsidRPr="0061063C" w:rsidRDefault="00323BB2" w:rsidP="00323BB2">
      <w:pPr>
        <w:rPr>
          <w:rFonts w:asciiTheme="minorHAnsi" w:hAnsiTheme="minorHAnsi"/>
          <w:bCs/>
          <w:sz w:val="20"/>
        </w:rPr>
      </w:pPr>
    </w:p>
    <w:p w14:paraId="6FEB0FF4" w14:textId="77777777" w:rsidR="00323BB2" w:rsidRPr="0061063C" w:rsidRDefault="00323BB2" w:rsidP="00323BB2">
      <w:pPr>
        <w:rPr>
          <w:rFonts w:asciiTheme="minorHAnsi" w:hAnsiTheme="minorHAnsi"/>
          <w:bCs/>
          <w:sz w:val="20"/>
        </w:rPr>
      </w:pPr>
      <w:r w:rsidRPr="0061063C">
        <w:rPr>
          <w:rFonts w:asciiTheme="minorHAnsi" w:hAnsiTheme="minorHAnsi"/>
          <w:bCs/>
          <w:sz w:val="20"/>
        </w:rPr>
        <w:t xml:space="preserve">In preparing these financial statements for the current period the Group has adopted the following amendments to IFRS:  </w:t>
      </w:r>
    </w:p>
    <w:p w14:paraId="27D0087E" w14:textId="77777777" w:rsidR="00323BB2" w:rsidRPr="0061063C" w:rsidRDefault="00323BB2" w:rsidP="00323BB2">
      <w:pPr>
        <w:rPr>
          <w:rFonts w:asciiTheme="minorHAnsi" w:hAnsiTheme="minorHAnsi"/>
          <w:bCs/>
          <w:sz w:val="20"/>
        </w:rPr>
      </w:pPr>
    </w:p>
    <w:p w14:paraId="72E27F32" w14:textId="77777777" w:rsidR="00323BB2" w:rsidRPr="0061063C" w:rsidRDefault="00323BB2" w:rsidP="00323BB2">
      <w:pPr>
        <w:autoSpaceDE w:val="0"/>
        <w:autoSpaceDN w:val="0"/>
        <w:adjustRightInd w:val="0"/>
        <w:rPr>
          <w:rFonts w:asciiTheme="minorHAnsi" w:hAnsiTheme="minorHAnsi"/>
          <w:sz w:val="20"/>
          <w:u w:val="single"/>
          <w:lang w:val="en-IE"/>
        </w:rPr>
      </w:pPr>
      <w:r w:rsidRPr="0061063C">
        <w:rPr>
          <w:rFonts w:asciiTheme="minorHAnsi" w:hAnsiTheme="minorHAnsi"/>
          <w:sz w:val="20"/>
          <w:u w:val="single"/>
          <w:lang w:val="en-IE"/>
        </w:rPr>
        <w:t>Amendments to existing standards</w:t>
      </w:r>
    </w:p>
    <w:p w14:paraId="76368E8E" w14:textId="77777777" w:rsidR="00323BB2" w:rsidRPr="0061063C" w:rsidRDefault="00323BB2" w:rsidP="009B6BB8">
      <w:pPr>
        <w:widowControl w:val="0"/>
        <w:numPr>
          <w:ilvl w:val="0"/>
          <w:numId w:val="33"/>
        </w:numPr>
        <w:autoSpaceDE w:val="0"/>
        <w:autoSpaceDN w:val="0"/>
        <w:adjustRightInd w:val="0"/>
        <w:rPr>
          <w:rFonts w:asciiTheme="minorHAnsi" w:hAnsiTheme="minorHAnsi"/>
          <w:color w:val="000000"/>
          <w:sz w:val="20"/>
          <w:lang w:val="en-IE" w:eastAsia="en-IE"/>
        </w:rPr>
      </w:pPr>
      <w:r w:rsidRPr="0061063C">
        <w:rPr>
          <w:rFonts w:asciiTheme="minorHAnsi" w:hAnsiTheme="minorHAnsi"/>
          <w:color w:val="000000"/>
          <w:sz w:val="20"/>
          <w:lang w:val="en-IE" w:eastAsia="en-IE"/>
        </w:rPr>
        <w:t>Amendments to references to the Conceptual Framework in IFRS Standards</w:t>
      </w:r>
      <w:r w:rsidRPr="0061063C">
        <w:t xml:space="preserve"> </w:t>
      </w:r>
    </w:p>
    <w:p w14:paraId="2607E548" w14:textId="77777777" w:rsidR="00323BB2" w:rsidRPr="0061063C" w:rsidRDefault="00323BB2" w:rsidP="009B6BB8">
      <w:pPr>
        <w:widowControl w:val="0"/>
        <w:numPr>
          <w:ilvl w:val="0"/>
          <w:numId w:val="33"/>
        </w:numPr>
        <w:autoSpaceDE w:val="0"/>
        <w:autoSpaceDN w:val="0"/>
        <w:adjustRightInd w:val="0"/>
        <w:rPr>
          <w:rFonts w:asciiTheme="minorHAnsi" w:hAnsiTheme="minorHAnsi"/>
          <w:color w:val="000000"/>
          <w:sz w:val="20"/>
          <w:lang w:val="en-IE" w:eastAsia="en-IE"/>
        </w:rPr>
      </w:pPr>
      <w:r w:rsidRPr="0061063C">
        <w:rPr>
          <w:rFonts w:asciiTheme="minorHAnsi" w:hAnsiTheme="minorHAnsi"/>
          <w:color w:val="000000"/>
          <w:sz w:val="20"/>
          <w:lang w:val="en-IE" w:eastAsia="en-IE"/>
        </w:rPr>
        <w:t>Definition of material (Amendments to IAS 1 and IAS 8)</w:t>
      </w:r>
    </w:p>
    <w:p w14:paraId="17F3D333" w14:textId="77777777" w:rsidR="00323BB2" w:rsidRPr="0061063C" w:rsidRDefault="00323BB2" w:rsidP="00323BB2">
      <w:pPr>
        <w:rPr>
          <w:rFonts w:asciiTheme="minorHAnsi" w:hAnsiTheme="minorHAnsi"/>
          <w:bCs/>
          <w:sz w:val="20"/>
        </w:rPr>
      </w:pPr>
    </w:p>
    <w:p w14:paraId="7FFA0F69" w14:textId="77777777" w:rsidR="00323BB2" w:rsidRPr="0061063C" w:rsidRDefault="00323BB2" w:rsidP="00323BB2">
      <w:pPr>
        <w:rPr>
          <w:rFonts w:asciiTheme="minorHAnsi" w:hAnsiTheme="minorHAnsi"/>
          <w:bCs/>
          <w:sz w:val="20"/>
        </w:rPr>
      </w:pPr>
    </w:p>
    <w:p w14:paraId="372E1EB7"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None of the above had a significant impact on the financial statements.</w:t>
      </w:r>
      <w:r w:rsidRPr="0061063C">
        <w:rPr>
          <w:rFonts w:asciiTheme="minorHAnsi" w:hAnsiTheme="minorHAnsi" w:cstheme="minorHAnsi"/>
          <w:sz w:val="20"/>
        </w:rPr>
        <w:br w:type="page"/>
      </w:r>
    </w:p>
    <w:p w14:paraId="7F5D17C9" w14:textId="77777777" w:rsidR="00323BB2" w:rsidRPr="0061063C" w:rsidRDefault="00323BB2" w:rsidP="00323BB2">
      <w:pPr>
        <w:jc w:val="both"/>
        <w:rPr>
          <w:rFonts w:asciiTheme="minorHAnsi" w:hAnsiTheme="minorHAnsi"/>
          <w:sz w:val="20"/>
        </w:rPr>
      </w:pPr>
    </w:p>
    <w:p w14:paraId="31667AE6"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t>3. Judgements and estimates</w:t>
      </w:r>
    </w:p>
    <w:p w14:paraId="43858D37" w14:textId="77777777" w:rsidR="00323BB2" w:rsidRPr="0061063C" w:rsidRDefault="00323BB2" w:rsidP="00323BB2">
      <w:pPr>
        <w:pStyle w:val="BodyText"/>
        <w:spacing w:after="0"/>
        <w:rPr>
          <w:rFonts w:asciiTheme="minorHAnsi" w:hAnsiTheme="minorHAnsi"/>
          <w:sz w:val="20"/>
          <w:szCs w:val="20"/>
          <w:lang w:val="en-IE"/>
        </w:rPr>
      </w:pPr>
    </w:p>
    <w:p w14:paraId="758751A4"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The preparation of interim financial statements in conformity with IFRS requires management to make judgements, estimates and assumptions that affect the application of accounting policies and the reported amounts of assets, liabilities, income and expenses. Actual results may differ from these estimates.</w:t>
      </w:r>
    </w:p>
    <w:p w14:paraId="6353F889" w14:textId="77777777" w:rsidR="00323BB2" w:rsidRPr="0061063C" w:rsidRDefault="00323BB2" w:rsidP="00323BB2">
      <w:pPr>
        <w:pStyle w:val="BodyText"/>
        <w:spacing w:after="0"/>
        <w:rPr>
          <w:rFonts w:asciiTheme="minorHAnsi" w:hAnsiTheme="minorHAnsi"/>
          <w:sz w:val="20"/>
          <w:szCs w:val="20"/>
          <w:lang w:val="en-IE"/>
        </w:rPr>
      </w:pPr>
    </w:p>
    <w:p w14:paraId="277298A1"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 xml:space="preserve">In preparing these Condensed Consolidated Interim Financial Statements, the significant judgements with the exception of the judgements in relation to the Embedded Derivative and the FOX equity option </w:t>
      </w:r>
      <w:r>
        <w:rPr>
          <w:rFonts w:asciiTheme="minorHAnsi" w:hAnsiTheme="minorHAnsi"/>
          <w:sz w:val="20"/>
          <w:szCs w:val="20"/>
          <w:lang w:val="en-IE"/>
        </w:rPr>
        <w:t>(</w:t>
      </w:r>
      <w:r w:rsidRPr="0061063C">
        <w:rPr>
          <w:rFonts w:asciiTheme="minorHAnsi" w:hAnsiTheme="minorHAnsi"/>
          <w:sz w:val="20"/>
          <w:szCs w:val="20"/>
          <w:lang w:val="en-IE"/>
        </w:rPr>
        <w:t>which policies are outlined in further detail in Notes 2 and 3</w:t>
      </w:r>
      <w:r>
        <w:rPr>
          <w:rFonts w:asciiTheme="minorHAnsi" w:hAnsiTheme="minorHAnsi"/>
          <w:sz w:val="20"/>
          <w:szCs w:val="20"/>
          <w:lang w:val="en-IE"/>
        </w:rPr>
        <w:t>)</w:t>
      </w:r>
      <w:r w:rsidRPr="0061063C">
        <w:rPr>
          <w:rFonts w:asciiTheme="minorHAnsi" w:hAnsiTheme="minorHAnsi"/>
          <w:sz w:val="20"/>
          <w:szCs w:val="20"/>
          <w:lang w:val="en-IE"/>
        </w:rPr>
        <w:t xml:space="preserve"> in applying the Group’s accounting policies and the key sources of estimation uncertainty were consistent with those that applied to the Consolidated Financial Statements as at and for the year ended 31 December 2019 and are detailed below.</w:t>
      </w:r>
    </w:p>
    <w:p w14:paraId="725631CD" w14:textId="77777777" w:rsidR="00323BB2" w:rsidRPr="0061063C" w:rsidRDefault="00323BB2" w:rsidP="00323BB2">
      <w:pPr>
        <w:rPr>
          <w:rFonts w:asciiTheme="minorHAnsi" w:hAnsiTheme="minorHAnsi"/>
          <w:bCs/>
          <w:i/>
          <w:sz w:val="20"/>
        </w:rPr>
      </w:pPr>
      <w:bookmarkStart w:id="13" w:name="_Hlk1026155"/>
    </w:p>
    <w:p w14:paraId="6FC17317" w14:textId="77777777" w:rsidR="00323BB2" w:rsidRPr="0061063C" w:rsidRDefault="00323BB2" w:rsidP="00323BB2">
      <w:pPr>
        <w:rPr>
          <w:rFonts w:asciiTheme="minorHAnsi" w:hAnsiTheme="minorHAnsi"/>
          <w:bCs/>
          <w:i/>
          <w:sz w:val="20"/>
        </w:rPr>
      </w:pPr>
      <w:r w:rsidRPr="0061063C">
        <w:rPr>
          <w:rFonts w:asciiTheme="minorHAnsi" w:hAnsiTheme="minorHAnsi"/>
          <w:bCs/>
          <w:i/>
          <w:sz w:val="20"/>
        </w:rPr>
        <w:t>Valuation of tax provisions and liabilities and associated receivables</w:t>
      </w:r>
    </w:p>
    <w:p w14:paraId="6B692FAA" w14:textId="77777777" w:rsidR="00323BB2" w:rsidRPr="0061063C" w:rsidRDefault="00323BB2" w:rsidP="00323BB2">
      <w:pPr>
        <w:rPr>
          <w:rFonts w:asciiTheme="minorHAnsi" w:hAnsiTheme="minorHAnsi"/>
          <w:bCs/>
          <w:sz w:val="20"/>
        </w:rPr>
      </w:pPr>
      <w:r w:rsidRPr="0061063C">
        <w:rPr>
          <w:rFonts w:asciiTheme="minorHAnsi" w:hAnsiTheme="minorHAnsi"/>
          <w:bCs/>
          <w:sz w:val="20"/>
        </w:rPr>
        <w:t xml:space="preserve">Taxation within the Group includes both Income Taxes and Gaming Taxes. Judgement and estimation is required to interpret international tax laws and the way these taxes interact within each jurisdiction, to identify and value provisions in relation to gaming and income taxes as applicable.  The liabilities for uncertain tax positions reflected </w:t>
      </w:r>
    </w:p>
    <w:p w14:paraId="3D5685C4" w14:textId="77777777" w:rsidR="00323BB2" w:rsidRPr="0061063C" w:rsidRDefault="00323BB2" w:rsidP="00323BB2">
      <w:pPr>
        <w:rPr>
          <w:rFonts w:asciiTheme="minorHAnsi" w:hAnsiTheme="minorHAnsi"/>
          <w:bCs/>
          <w:sz w:val="20"/>
        </w:rPr>
      </w:pPr>
      <w:r w:rsidRPr="0061063C">
        <w:rPr>
          <w:rFonts w:asciiTheme="minorHAnsi" w:hAnsiTheme="minorHAnsi"/>
          <w:bCs/>
          <w:sz w:val="20"/>
        </w:rPr>
        <w:t xml:space="preserve">within current tax payable and provisions in the Consolidated Statement of Financial Position for the six months ended 30 June 2020 are comprised of </w:t>
      </w:r>
      <w:proofErr w:type="gramStart"/>
      <w:r w:rsidRPr="0061063C">
        <w:rPr>
          <w:rFonts w:asciiTheme="minorHAnsi" w:hAnsiTheme="minorHAnsi"/>
          <w:bCs/>
          <w:sz w:val="20"/>
        </w:rPr>
        <w:t>a number of</w:t>
      </w:r>
      <w:proofErr w:type="gramEnd"/>
      <w:r w:rsidRPr="0061063C">
        <w:rPr>
          <w:rFonts w:asciiTheme="minorHAnsi" w:hAnsiTheme="minorHAnsi"/>
          <w:bCs/>
          <w:sz w:val="20"/>
        </w:rPr>
        <w:t xml:space="preserve"> individual immaterial uncertain tax positions relating to the risks assessed in various jurisdictions by Management. Uncertainties have been measured using the best estimate of the likely outcome. This assessment relies on estimates and assumptions and may involve a series of judgements about future events. New information may become available that causes the Group to change its judgement regarding the adequacy of existing tax liabilities; such changes to tax liabilities will impact the income tax or gaming tax expense in the period in which such a determination is made. Management uses in-house tax experts, professional firms and previous experience when assessing tax risks and the Group believes that the accrual for all tax liabilities at 30 June </w:t>
      </w:r>
    </w:p>
    <w:p w14:paraId="3B569788" w14:textId="77777777" w:rsidR="00323BB2" w:rsidRPr="0061063C" w:rsidRDefault="00323BB2" w:rsidP="00323BB2">
      <w:pPr>
        <w:rPr>
          <w:rFonts w:asciiTheme="minorHAnsi" w:hAnsiTheme="minorHAnsi"/>
          <w:bCs/>
          <w:sz w:val="20"/>
        </w:rPr>
      </w:pPr>
      <w:r w:rsidRPr="0061063C">
        <w:rPr>
          <w:rFonts w:asciiTheme="minorHAnsi" w:hAnsiTheme="minorHAnsi"/>
          <w:bCs/>
          <w:sz w:val="20"/>
        </w:rPr>
        <w:t>2020 is adequate for all uncertain tax positions based on its assessment of the range of factors outlined above. Further information in relation to the judgement relating to the disputed legacy German and Greek tax assessments is outlined in Note 11.</w:t>
      </w:r>
    </w:p>
    <w:p w14:paraId="04000265" w14:textId="77777777" w:rsidR="00323BB2" w:rsidRPr="0061063C" w:rsidRDefault="00323BB2" w:rsidP="00323BB2">
      <w:pPr>
        <w:rPr>
          <w:rFonts w:asciiTheme="minorHAnsi" w:hAnsiTheme="minorHAnsi"/>
          <w:bCs/>
          <w:sz w:val="20"/>
        </w:rPr>
      </w:pPr>
    </w:p>
    <w:p w14:paraId="0F6882D5" w14:textId="77777777" w:rsidR="00323BB2" w:rsidRPr="0061063C" w:rsidRDefault="00323BB2" w:rsidP="00323BB2">
      <w:pPr>
        <w:pStyle w:val="BodyText"/>
        <w:spacing w:after="0"/>
        <w:rPr>
          <w:rFonts w:asciiTheme="minorHAnsi" w:hAnsiTheme="minorHAnsi"/>
          <w:i/>
          <w:sz w:val="20"/>
          <w:szCs w:val="20"/>
          <w:lang w:val="en-IE"/>
        </w:rPr>
      </w:pPr>
      <w:r w:rsidRPr="0061063C">
        <w:rPr>
          <w:rFonts w:asciiTheme="minorHAnsi" w:hAnsiTheme="minorHAnsi"/>
          <w:i/>
          <w:sz w:val="20"/>
          <w:szCs w:val="20"/>
          <w:lang w:val="en-IE"/>
        </w:rPr>
        <w:t xml:space="preserve">Acquisition accounting and value of acquired assets and liabilities </w:t>
      </w:r>
    </w:p>
    <w:p w14:paraId="376FEA50"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The acquisition method of accounting is used to account for all business combinations. Identifiable assets acquired and liabilities assumed in a business combination are measured initially at their fair values at the acquisition date. Judgement and estimation is required in particular in the identification and valuation of separable intangible assets and determining appropriate useful economic lives for these assets. If the purchase consideration exceeds the fair value of the net assets acquired then the difference is recognised as goodwill.</w:t>
      </w:r>
    </w:p>
    <w:p w14:paraId="5B7CDD19" w14:textId="77777777" w:rsidR="00323BB2" w:rsidRPr="0061063C" w:rsidRDefault="00323BB2" w:rsidP="00323BB2">
      <w:pPr>
        <w:pStyle w:val="BodyText"/>
        <w:spacing w:after="0"/>
        <w:rPr>
          <w:rFonts w:asciiTheme="minorHAnsi" w:hAnsiTheme="minorHAnsi"/>
          <w:sz w:val="20"/>
          <w:szCs w:val="20"/>
          <w:lang w:val="en-IE"/>
        </w:rPr>
      </w:pPr>
    </w:p>
    <w:p w14:paraId="603AE059"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The Group has one year from the acquisition date to re-measure the fair values of the acquired assets and liabilities and the resulting goodwill if new information is obtained relating to conditions that existed at the acquisition date.</w:t>
      </w:r>
    </w:p>
    <w:p w14:paraId="4DBD8F1F" w14:textId="77777777" w:rsidR="00323BB2" w:rsidRPr="0061063C" w:rsidRDefault="00323BB2" w:rsidP="00323BB2">
      <w:pPr>
        <w:rPr>
          <w:rFonts w:asciiTheme="minorHAnsi" w:hAnsiTheme="minorHAnsi"/>
          <w:sz w:val="20"/>
          <w:lang w:val="en-IE"/>
        </w:rPr>
      </w:pPr>
    </w:p>
    <w:p w14:paraId="7C287B77"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Acquisition related costs are expensed as incurred. The business combinations entered into during the period are disclosed in Note 10.</w:t>
      </w:r>
    </w:p>
    <w:p w14:paraId="381570F4" w14:textId="77777777" w:rsidR="00323BB2" w:rsidRPr="0061063C" w:rsidRDefault="00323BB2" w:rsidP="00323BB2">
      <w:pPr>
        <w:rPr>
          <w:rFonts w:asciiTheme="minorHAnsi" w:hAnsiTheme="minorHAnsi"/>
          <w:bCs/>
          <w:sz w:val="20"/>
        </w:rPr>
      </w:pPr>
    </w:p>
    <w:bookmarkEnd w:id="13"/>
    <w:p w14:paraId="299B09B3" w14:textId="77777777" w:rsidR="00323BB2" w:rsidRPr="0061063C" w:rsidRDefault="00323BB2" w:rsidP="00323BB2">
      <w:pPr>
        <w:rPr>
          <w:rFonts w:asciiTheme="minorHAnsi" w:hAnsiTheme="minorHAnsi"/>
          <w:i/>
          <w:sz w:val="20"/>
        </w:rPr>
      </w:pPr>
      <w:r w:rsidRPr="0061063C">
        <w:rPr>
          <w:rFonts w:asciiTheme="minorHAnsi" w:hAnsiTheme="minorHAnsi"/>
          <w:bCs/>
          <w:i/>
          <w:sz w:val="20"/>
        </w:rPr>
        <w:t>Measurement of the recoverable amounts of cash generating units containing goodwill and indefinite life licences and brands intangible assets</w:t>
      </w:r>
    </w:p>
    <w:p w14:paraId="3BCFCF53" w14:textId="77777777" w:rsidR="00323BB2" w:rsidRPr="0061063C" w:rsidRDefault="00323BB2" w:rsidP="00323BB2">
      <w:pPr>
        <w:pStyle w:val="BodyText"/>
        <w:rPr>
          <w:rFonts w:asciiTheme="minorHAnsi" w:hAnsiTheme="minorHAnsi"/>
          <w:sz w:val="20"/>
          <w:szCs w:val="20"/>
          <w:lang w:val="en-IE"/>
        </w:rPr>
      </w:pPr>
      <w:r w:rsidRPr="0061063C">
        <w:rPr>
          <w:rFonts w:asciiTheme="minorHAnsi" w:hAnsiTheme="minorHAnsi"/>
          <w:sz w:val="20"/>
          <w:szCs w:val="20"/>
          <w:lang w:val="en-IE"/>
        </w:rPr>
        <w:t xml:space="preserve">The Group reviews the carrying value of goodwill for impairment annually (or more frequently if there are indications that the value of goodwill may be impaired) by comparing the carrying values of these cash generating units with their recoverable amounts (being the higher of value in use and fair value less costs to sell). </w:t>
      </w:r>
    </w:p>
    <w:p w14:paraId="2E517EF1" w14:textId="77777777" w:rsidR="00323BB2" w:rsidRPr="0061063C" w:rsidRDefault="00323BB2" w:rsidP="00323BB2">
      <w:pPr>
        <w:rPr>
          <w:rFonts w:asciiTheme="minorHAnsi" w:hAnsiTheme="minorHAnsi"/>
          <w:sz w:val="20"/>
        </w:rPr>
      </w:pPr>
      <w:r w:rsidRPr="0061063C">
        <w:rPr>
          <w:rFonts w:asciiTheme="minorHAnsi" w:hAnsiTheme="minorHAnsi"/>
          <w:sz w:val="20"/>
        </w:rPr>
        <w:t>The impairment review is performed on a “value-in-use” basis, which requires estimation of future net operating cash flows, the time period over which they will occur, an appropriate discount rate and an appropriate growth rate. Certain of these estimates and assumptions are subjective in nature.  </w:t>
      </w:r>
    </w:p>
    <w:p w14:paraId="077FAA96" w14:textId="77777777" w:rsidR="00323BB2" w:rsidRPr="00430543" w:rsidRDefault="00323BB2" w:rsidP="00323BB2">
      <w:pPr>
        <w:rPr>
          <w:rFonts w:asciiTheme="minorHAnsi" w:hAnsiTheme="minorHAnsi"/>
          <w:sz w:val="12"/>
          <w:szCs w:val="12"/>
        </w:rPr>
      </w:pPr>
    </w:p>
    <w:p w14:paraId="47BFF776" w14:textId="77777777" w:rsidR="00323BB2" w:rsidRPr="0061063C" w:rsidRDefault="00323BB2" w:rsidP="00323BB2">
      <w:pPr>
        <w:rPr>
          <w:rFonts w:asciiTheme="minorHAnsi" w:hAnsiTheme="minorHAnsi"/>
          <w:b/>
          <w:sz w:val="20"/>
          <w:lang w:val="en-IE"/>
        </w:rPr>
      </w:pPr>
      <w:r w:rsidRPr="00FD3279">
        <w:rPr>
          <w:rFonts w:asciiTheme="minorHAnsi" w:hAnsiTheme="minorHAnsi" w:cstheme="minorHAnsi"/>
          <w:sz w:val="20"/>
        </w:rPr>
        <w:t>The impact of C</w:t>
      </w:r>
      <w:r>
        <w:rPr>
          <w:rFonts w:asciiTheme="minorHAnsi" w:hAnsiTheme="minorHAnsi" w:cstheme="minorHAnsi"/>
          <w:sz w:val="20"/>
        </w:rPr>
        <w:t>OVID-</w:t>
      </w:r>
      <w:r w:rsidRPr="00FD3279">
        <w:rPr>
          <w:rFonts w:asciiTheme="minorHAnsi" w:hAnsiTheme="minorHAnsi" w:cstheme="minorHAnsi"/>
          <w:sz w:val="20"/>
        </w:rPr>
        <w:t xml:space="preserve">19 on the performance of the group and its individual business units is set out in the business review section of the H1 results announcement.  The retail cash generating units (CGUs) were impacted </w:t>
      </w:r>
      <w:r>
        <w:rPr>
          <w:rFonts w:asciiTheme="minorHAnsi" w:hAnsiTheme="minorHAnsi" w:cstheme="minorHAnsi"/>
          <w:sz w:val="20"/>
        </w:rPr>
        <w:t>significantly due</w:t>
      </w:r>
      <w:r w:rsidRPr="00FD3279">
        <w:rPr>
          <w:rFonts w:asciiTheme="minorHAnsi" w:hAnsiTheme="minorHAnsi" w:cstheme="minorHAnsi"/>
          <w:sz w:val="20"/>
        </w:rPr>
        <w:t xml:space="preserve"> to the temporary suspension of the activities of shops for a period leading to shorter term impacts such as social distancing as well as longer term uncertainty in respect of customer behaviours.  Based on the significant headroom that existed in the 31 December 2019 impairment test, the strong performance</w:t>
      </w:r>
      <w:r>
        <w:rPr>
          <w:rFonts w:asciiTheme="minorHAnsi" w:hAnsiTheme="minorHAnsi" w:cstheme="minorHAnsi"/>
          <w:sz w:val="20"/>
        </w:rPr>
        <w:t xml:space="preserve"> </w:t>
      </w:r>
      <w:r w:rsidRPr="00FD3279">
        <w:rPr>
          <w:rFonts w:asciiTheme="minorHAnsi" w:hAnsiTheme="minorHAnsi" w:cstheme="minorHAnsi"/>
          <w:sz w:val="20"/>
        </w:rPr>
        <w:t>of the shops for the period up to the date of suspension of activities, customer activity levels since the shops have reopened as well as opportunities to make further market share gains as competitors reduce the size of their respective estates, the Group is satisfied that no impairment has arisen during the period to 30 June 2020.</w:t>
      </w:r>
      <w:r w:rsidRPr="0061063C">
        <w:rPr>
          <w:rFonts w:asciiTheme="minorHAnsi" w:hAnsiTheme="minorHAnsi"/>
          <w:b/>
          <w:sz w:val="20"/>
          <w:lang w:val="en-IE"/>
        </w:rPr>
        <w:br w:type="page"/>
      </w:r>
    </w:p>
    <w:p w14:paraId="2A8541D6"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lastRenderedPageBreak/>
        <w:t>3. Judgements and estimates (continued)</w:t>
      </w:r>
    </w:p>
    <w:p w14:paraId="553B6BA8" w14:textId="77777777" w:rsidR="00323BB2" w:rsidRPr="0061063C" w:rsidRDefault="00323BB2" w:rsidP="00323BB2">
      <w:pPr>
        <w:pStyle w:val="BodyText"/>
        <w:rPr>
          <w:rFonts w:asciiTheme="minorHAnsi" w:hAnsiTheme="minorHAnsi"/>
          <w:sz w:val="12"/>
          <w:szCs w:val="12"/>
          <w:lang w:val="en-IE"/>
        </w:rPr>
      </w:pPr>
    </w:p>
    <w:p w14:paraId="639DFFB8" w14:textId="77777777" w:rsidR="00323BB2" w:rsidRPr="00FD3279" w:rsidRDefault="00323BB2" w:rsidP="00323BB2">
      <w:pPr>
        <w:pStyle w:val="BodyText"/>
        <w:rPr>
          <w:rFonts w:asciiTheme="minorHAnsi" w:hAnsiTheme="minorHAnsi" w:cstheme="minorHAnsi"/>
          <w:sz w:val="20"/>
          <w:szCs w:val="20"/>
        </w:rPr>
      </w:pPr>
      <w:r w:rsidRPr="00FD3279">
        <w:rPr>
          <w:rFonts w:asciiTheme="minorHAnsi" w:hAnsiTheme="minorHAnsi" w:cstheme="minorHAnsi"/>
          <w:sz w:val="20"/>
          <w:szCs w:val="20"/>
        </w:rPr>
        <w:t>For the Group’s various Online CGUs which generate income from sportsbook the impact of C</w:t>
      </w:r>
      <w:r>
        <w:rPr>
          <w:rFonts w:asciiTheme="minorHAnsi" w:hAnsiTheme="minorHAnsi" w:cstheme="minorHAnsi"/>
          <w:sz w:val="20"/>
          <w:szCs w:val="20"/>
        </w:rPr>
        <w:t>OVID-</w:t>
      </w:r>
      <w:r w:rsidRPr="00FD3279">
        <w:rPr>
          <w:rFonts w:asciiTheme="minorHAnsi" w:hAnsiTheme="minorHAnsi" w:cstheme="minorHAnsi"/>
          <w:sz w:val="20"/>
          <w:szCs w:val="20"/>
        </w:rPr>
        <w:t xml:space="preserve">19 has not been as significant due to greater substitution possibilities and they also benefit from the ongoing retail to online migration.  While no impairments have arisen in the </w:t>
      </w:r>
      <w:r>
        <w:rPr>
          <w:rFonts w:asciiTheme="minorHAnsi" w:hAnsiTheme="minorHAnsi" w:cstheme="minorHAnsi"/>
          <w:sz w:val="20"/>
          <w:szCs w:val="20"/>
        </w:rPr>
        <w:t>G</w:t>
      </w:r>
      <w:r w:rsidRPr="00FD3279">
        <w:rPr>
          <w:rFonts w:asciiTheme="minorHAnsi" w:hAnsiTheme="minorHAnsi" w:cstheme="minorHAnsi"/>
          <w:sz w:val="20"/>
          <w:szCs w:val="20"/>
        </w:rPr>
        <w:t>roup’s CGUs during the period to 30 June 2020</w:t>
      </w:r>
      <w:r>
        <w:rPr>
          <w:rFonts w:asciiTheme="minorHAnsi" w:hAnsiTheme="minorHAnsi" w:cstheme="minorHAnsi"/>
          <w:sz w:val="20"/>
          <w:szCs w:val="20"/>
        </w:rPr>
        <w:t>,</w:t>
      </w:r>
      <w:r w:rsidRPr="00FD3279">
        <w:rPr>
          <w:rFonts w:asciiTheme="minorHAnsi" w:hAnsiTheme="minorHAnsi" w:cstheme="minorHAnsi"/>
          <w:sz w:val="20"/>
          <w:szCs w:val="20"/>
        </w:rPr>
        <w:t xml:space="preserve"> there is economic uncertainty in the global economy due to the ongoing COVID</w:t>
      </w:r>
      <w:r>
        <w:rPr>
          <w:rFonts w:asciiTheme="minorHAnsi" w:hAnsiTheme="minorHAnsi" w:cstheme="minorHAnsi"/>
          <w:sz w:val="20"/>
          <w:szCs w:val="20"/>
        </w:rPr>
        <w:t>-</w:t>
      </w:r>
      <w:r w:rsidRPr="00FD3279">
        <w:rPr>
          <w:rFonts w:asciiTheme="minorHAnsi" w:hAnsiTheme="minorHAnsi" w:cstheme="minorHAnsi"/>
          <w:sz w:val="20"/>
          <w:szCs w:val="20"/>
        </w:rPr>
        <w:t xml:space="preserve">19 global pandemic and this could be a potential future risk. </w:t>
      </w:r>
    </w:p>
    <w:p w14:paraId="3F682111" w14:textId="77777777" w:rsidR="00323BB2" w:rsidRPr="0061063C" w:rsidRDefault="00323BB2" w:rsidP="00323BB2">
      <w:pPr>
        <w:rPr>
          <w:rFonts w:asciiTheme="minorHAnsi" w:hAnsiTheme="minorHAnsi"/>
          <w:bCs/>
          <w:i/>
          <w:sz w:val="20"/>
        </w:rPr>
      </w:pPr>
      <w:r w:rsidRPr="0061063C">
        <w:rPr>
          <w:rFonts w:asciiTheme="minorHAnsi" w:hAnsiTheme="minorHAnsi"/>
          <w:bCs/>
          <w:i/>
          <w:sz w:val="20"/>
        </w:rPr>
        <w:t>Lease term and judgement of whether the Group is reasonably certain to exercise extension options</w:t>
      </w:r>
    </w:p>
    <w:p w14:paraId="18C9603F" w14:textId="77777777" w:rsidR="00323BB2" w:rsidRPr="0061063C" w:rsidRDefault="00323BB2" w:rsidP="00323BB2">
      <w:pPr>
        <w:rPr>
          <w:rFonts w:asciiTheme="minorHAnsi" w:hAnsiTheme="minorHAnsi"/>
          <w:bCs/>
          <w:sz w:val="20"/>
        </w:rPr>
      </w:pPr>
      <w:r w:rsidRPr="0061063C">
        <w:rPr>
          <w:rFonts w:asciiTheme="minorHAnsi" w:hAnsiTheme="minorHAnsi"/>
          <w:bCs/>
          <w:sz w:val="20"/>
        </w:rPr>
        <w:t>Some property leases, particularly in our retail business contain extension and break options to provide operational flexibility. These options are held by the Group and not by the lessors. The Group assesses whether it is reasonably certain to exercise these options at lease commencement date. The Group is of the view that other than the underlying trading of the shop, there is no economic incentive to extend a particular lease. For example, the rents are at market rates, there are no significant leasehold improvements and there are no significant costs relating to exiting or relocating.</w:t>
      </w:r>
    </w:p>
    <w:p w14:paraId="007E06EA" w14:textId="77777777" w:rsidR="00323BB2" w:rsidRPr="0061063C" w:rsidRDefault="00323BB2" w:rsidP="00323BB2">
      <w:pPr>
        <w:pStyle w:val="BodyText"/>
        <w:rPr>
          <w:rFonts w:asciiTheme="minorHAnsi" w:hAnsiTheme="minorHAnsi"/>
          <w:i/>
          <w:sz w:val="20"/>
          <w:lang w:val="en-IE"/>
        </w:rPr>
      </w:pPr>
    </w:p>
    <w:p w14:paraId="7DDBF10E" w14:textId="77777777" w:rsidR="00323BB2" w:rsidRPr="0061063C" w:rsidRDefault="00323BB2" w:rsidP="00323BB2">
      <w:pPr>
        <w:pStyle w:val="BodyText"/>
        <w:spacing w:after="20"/>
        <w:rPr>
          <w:rFonts w:asciiTheme="minorHAnsi" w:hAnsiTheme="minorHAnsi"/>
          <w:i/>
          <w:sz w:val="20"/>
          <w:lang w:val="en-IE"/>
        </w:rPr>
      </w:pPr>
      <w:r w:rsidRPr="0061063C">
        <w:rPr>
          <w:rFonts w:asciiTheme="minorHAnsi" w:hAnsiTheme="minorHAnsi"/>
          <w:i/>
          <w:sz w:val="20"/>
          <w:lang w:val="en-IE"/>
        </w:rPr>
        <w:t>Contingent liabilities</w:t>
      </w:r>
    </w:p>
    <w:p w14:paraId="79BBB32D" w14:textId="77777777" w:rsidR="00323BB2" w:rsidRPr="0061063C" w:rsidRDefault="00323BB2" w:rsidP="00323BB2">
      <w:pPr>
        <w:pStyle w:val="BodyText"/>
        <w:spacing w:after="20"/>
        <w:rPr>
          <w:rFonts w:asciiTheme="minorHAnsi" w:hAnsiTheme="minorHAnsi"/>
          <w:sz w:val="20"/>
          <w:lang w:val="en-IE"/>
        </w:rPr>
      </w:pPr>
      <w:r w:rsidRPr="0061063C">
        <w:rPr>
          <w:rFonts w:asciiTheme="minorHAnsi" w:hAnsiTheme="minorHAnsi"/>
          <w:sz w:val="20"/>
          <w:lang w:val="en-IE"/>
        </w:rPr>
        <w:t xml:space="preserve">The Group reviews its legal proceedings following developments in the same at each balance sheet date, considering, among other things: the nature of the litigation, claim or assessment; the legal processes and potential level of damages in the jurisdiction in which the litigation, claim or assessment has been brought; the progress of the case (including progress after the date of the consolidated financial statements but before those statements are issued); the opinions or views of legal counsel and other advisors; experience of similar cases; and any decision of the </w:t>
      </w:r>
      <w:r>
        <w:rPr>
          <w:rFonts w:asciiTheme="minorHAnsi" w:hAnsiTheme="minorHAnsi"/>
          <w:sz w:val="20"/>
          <w:lang w:val="en-IE"/>
        </w:rPr>
        <w:t>Group</w:t>
      </w:r>
      <w:r w:rsidRPr="0061063C">
        <w:rPr>
          <w:rFonts w:asciiTheme="minorHAnsi" w:hAnsiTheme="minorHAnsi"/>
          <w:sz w:val="20"/>
          <w:lang w:val="en-IE"/>
        </w:rPr>
        <w:t>’s management as to how it will respond to the litigation, claim or assessment. The Group assesses the probability of an outflow of resources to settle the alleged obligation as well as if the outflow can be reliably measured. If these conditions are not met, no provision will be recorded and the relevant facts will be disclosed as a contingent liability. See Note 19 for further detail.</w:t>
      </w:r>
    </w:p>
    <w:p w14:paraId="30D5ABED" w14:textId="77777777" w:rsidR="00323BB2" w:rsidRPr="0061063C" w:rsidRDefault="00323BB2" w:rsidP="00323BB2">
      <w:pPr>
        <w:keepNext/>
        <w:spacing w:line="288" w:lineRule="auto"/>
        <w:jc w:val="both"/>
        <w:rPr>
          <w:rFonts w:asciiTheme="minorHAnsi" w:hAnsiTheme="minorHAnsi" w:cstheme="minorHAnsi"/>
          <w:i/>
          <w:sz w:val="20"/>
        </w:rPr>
      </w:pPr>
    </w:p>
    <w:p w14:paraId="10317034" w14:textId="77777777" w:rsidR="00323BB2" w:rsidRPr="0061063C" w:rsidRDefault="00323BB2" w:rsidP="00323BB2">
      <w:pPr>
        <w:keepNext/>
        <w:spacing w:line="288" w:lineRule="auto"/>
        <w:rPr>
          <w:rFonts w:asciiTheme="minorHAnsi" w:hAnsiTheme="minorHAnsi" w:cstheme="minorHAnsi"/>
          <w:i/>
        </w:rPr>
      </w:pPr>
      <w:r w:rsidRPr="0061063C">
        <w:rPr>
          <w:rFonts w:asciiTheme="minorHAnsi" w:hAnsiTheme="minorHAnsi" w:cstheme="minorHAnsi"/>
          <w:i/>
          <w:sz w:val="20"/>
        </w:rPr>
        <w:t>Valuation of Embedded Derivative on Senior Notes</w:t>
      </w:r>
    </w:p>
    <w:p w14:paraId="53AA2AD8" w14:textId="77777777" w:rsidR="00323BB2" w:rsidRPr="0061063C" w:rsidRDefault="00323BB2" w:rsidP="00323BB2">
      <w:pPr>
        <w:rPr>
          <w:rFonts w:ascii="Times New Roman" w:hAnsi="Times New Roman"/>
          <w:sz w:val="20"/>
        </w:rPr>
      </w:pPr>
      <w:r w:rsidRPr="0061063C">
        <w:rPr>
          <w:rFonts w:asciiTheme="minorHAnsi" w:hAnsiTheme="minorHAnsi" w:cstheme="minorHAnsi"/>
          <w:sz w:val="20"/>
        </w:rPr>
        <w:t>The Senior Notes (as defined in Note 15) include certain embedded features allowing the Group to redeem the Senior Notes or allowing the holders to require a redemption of the Senior Notes. These features were bifurcated from the carrying value of the Senior Notes. Management used estimates, including an implied credit spread of 4.2% as at 30 June 2020 (5 May 2020 - 5.1%), in determining the fair value of the Embedded Derivative. The implied credit spread represents management’s estimate of the Group’s creditworthiness as implied by the market value of the Senior Notes. During the period ending 30 June 2020 a gain of £29.9 million was recorded through financial income in relation to the re-measurement of this Embedded Derivative</w:t>
      </w:r>
      <w:r w:rsidRPr="0061063C">
        <w:rPr>
          <w:rFonts w:ascii="Times New Roman" w:hAnsi="Times New Roman"/>
          <w:sz w:val="20"/>
        </w:rPr>
        <w:t>.</w:t>
      </w:r>
    </w:p>
    <w:p w14:paraId="423A83E6" w14:textId="77777777" w:rsidR="00323BB2" w:rsidRPr="0061063C" w:rsidRDefault="00323BB2" w:rsidP="00323BB2">
      <w:pPr>
        <w:jc w:val="both"/>
        <w:rPr>
          <w:rFonts w:asciiTheme="minorHAnsi" w:hAnsiTheme="minorHAnsi" w:cstheme="minorHAnsi"/>
          <w:i/>
          <w:sz w:val="20"/>
        </w:rPr>
      </w:pPr>
    </w:p>
    <w:p w14:paraId="59E2E9D1" w14:textId="77777777" w:rsidR="00323BB2" w:rsidRPr="0061063C" w:rsidRDefault="00323BB2" w:rsidP="00323BB2">
      <w:pPr>
        <w:jc w:val="both"/>
        <w:rPr>
          <w:rFonts w:asciiTheme="minorHAnsi" w:hAnsiTheme="minorHAnsi" w:cstheme="minorHAnsi"/>
          <w:i/>
          <w:sz w:val="20"/>
        </w:rPr>
      </w:pPr>
      <w:r w:rsidRPr="0061063C">
        <w:rPr>
          <w:rFonts w:asciiTheme="minorHAnsi" w:hAnsiTheme="minorHAnsi" w:cstheme="minorHAnsi"/>
          <w:i/>
          <w:sz w:val="20"/>
        </w:rPr>
        <w:t>FOX equity option</w:t>
      </w:r>
    </w:p>
    <w:p w14:paraId="7130D9E7" w14:textId="77777777" w:rsidR="00323BB2" w:rsidRPr="0061063C" w:rsidRDefault="00323BB2" w:rsidP="00323BB2">
      <w:pPr>
        <w:jc w:val="both"/>
        <w:rPr>
          <w:rFonts w:asciiTheme="minorHAnsi" w:hAnsiTheme="minorHAnsi" w:cstheme="minorHAnsi"/>
          <w:sz w:val="20"/>
        </w:rPr>
      </w:pPr>
      <w:r w:rsidRPr="0061063C">
        <w:rPr>
          <w:rFonts w:asciiTheme="minorHAnsi" w:hAnsiTheme="minorHAnsi" w:cstheme="minorHAnsi"/>
          <w:sz w:val="20"/>
        </w:rPr>
        <w:t xml:space="preserve">As part of the Combination, the Group acquired the following agreement in relation to TSG’s US business. </w:t>
      </w:r>
    </w:p>
    <w:p w14:paraId="7A247118" w14:textId="77777777" w:rsidR="00323BB2" w:rsidRPr="0061063C" w:rsidRDefault="00323BB2" w:rsidP="00323BB2">
      <w:pPr>
        <w:jc w:val="both"/>
        <w:rPr>
          <w:rFonts w:asciiTheme="minorHAnsi" w:hAnsiTheme="minorHAnsi" w:cstheme="minorHAnsi"/>
          <w:sz w:val="20"/>
        </w:rPr>
      </w:pPr>
    </w:p>
    <w:p w14:paraId="6313A16C"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 xml:space="preserve">On 8 May 2019, TSG and FOX Sports (“FOX Sports”), a unit of Fox Corporation, announced plans to launch FOX Bet, the first-of-its kind national media and sports wagering partnership in the United States and entered into a commercial agreement of up to 25 years. As part of the transaction, FOX Sports will receive certain brand license, integration and affiliate fees. In addition, during the term of the commercial agreement, TSG has agreed to a minimum annual advertising commitment on certain FOX media assets. Prior to the tenth anniversary of the commercial agreement, and subject to certain conditions and applicable gaming regulatory approvals, FOX Sports has the right to acquire up to a 50% equity stake in TSG’s U.S. business. In accordance with IFRS 2, Share-based payment based on the judgment of management, this right granted to FOX Sports is considered a contingently cash-settled share-based payment because FOX Sports, subject to receiving regulatory approvals and meeting certain other conditions, has discretion to exercise the right. During the period ended 30 June 2020, the Group recorded £2.1m to sales and marketing expense in relation to the commercial agreement.  </w:t>
      </w:r>
    </w:p>
    <w:p w14:paraId="0324A83F" w14:textId="77777777" w:rsidR="00323BB2" w:rsidRPr="0061063C" w:rsidRDefault="00323BB2" w:rsidP="00323BB2">
      <w:pPr>
        <w:jc w:val="both"/>
        <w:rPr>
          <w:rFonts w:asciiTheme="minorHAnsi" w:hAnsiTheme="minorHAnsi" w:cstheme="minorHAnsi"/>
          <w:sz w:val="20"/>
        </w:rPr>
      </w:pPr>
    </w:p>
    <w:p w14:paraId="30571D9A" w14:textId="77777777" w:rsidR="00323BB2" w:rsidRPr="0061063C" w:rsidRDefault="00323BB2" w:rsidP="00323BB2">
      <w:pPr>
        <w:rPr>
          <w:rFonts w:asciiTheme="minorHAnsi" w:hAnsiTheme="minorHAnsi"/>
          <w:sz w:val="20"/>
          <w:lang w:val="en-IE"/>
        </w:rPr>
      </w:pPr>
      <w:r w:rsidRPr="0061063C">
        <w:rPr>
          <w:rFonts w:asciiTheme="minorHAnsi" w:hAnsiTheme="minorHAnsi" w:cstheme="minorHAnsi"/>
          <w:sz w:val="20"/>
        </w:rPr>
        <w:t xml:space="preserve">Management has made certain judgments in the recognition and measurement of liabilities in relation to this commercial agreement and associated right of FOX Sports to acquire equity, including its judgment as to the probable method of settlement. The right has been valued using a discounted cash flow model and as it represents a contingently cash-settled share-based payment, will be recorded at fair value </w:t>
      </w:r>
      <w:r>
        <w:rPr>
          <w:rFonts w:asciiTheme="minorHAnsi" w:hAnsiTheme="minorHAnsi" w:cstheme="minorHAnsi"/>
          <w:sz w:val="20"/>
        </w:rPr>
        <w:t xml:space="preserve">at </w:t>
      </w:r>
      <w:r w:rsidRPr="0061063C">
        <w:rPr>
          <w:rFonts w:asciiTheme="minorHAnsi" w:hAnsiTheme="minorHAnsi" w:cstheme="minorHAnsi"/>
          <w:sz w:val="20"/>
        </w:rPr>
        <w:t xml:space="preserve">each reporting period.  </w:t>
      </w:r>
      <w:r w:rsidRPr="0061063C">
        <w:rPr>
          <w:rFonts w:asciiTheme="minorHAnsi" w:hAnsiTheme="minorHAnsi"/>
          <w:sz w:val="20"/>
          <w:lang w:val="en-IE"/>
        </w:rPr>
        <w:br w:type="page"/>
      </w:r>
    </w:p>
    <w:p w14:paraId="191776F0"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lastRenderedPageBreak/>
        <w:t>4. Operating segments</w:t>
      </w:r>
    </w:p>
    <w:p w14:paraId="343AA570" w14:textId="77777777" w:rsidR="00323BB2" w:rsidRPr="0061063C" w:rsidRDefault="00323BB2" w:rsidP="00323BB2">
      <w:pPr>
        <w:pStyle w:val="BodyText"/>
        <w:spacing w:after="0"/>
        <w:rPr>
          <w:rFonts w:asciiTheme="minorHAnsi" w:hAnsiTheme="minorHAnsi"/>
          <w:b/>
          <w:sz w:val="20"/>
          <w:szCs w:val="20"/>
          <w:lang w:val="en-IE"/>
        </w:rPr>
      </w:pPr>
    </w:p>
    <w:p w14:paraId="48E981C5"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t>Reportable business segment information</w:t>
      </w:r>
    </w:p>
    <w:p w14:paraId="4124325E"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Subsequent to the Combination, the Group’s reportable segments are as follows:</w:t>
      </w:r>
    </w:p>
    <w:tbl>
      <w:tblPr>
        <w:tblW w:w="0" w:type="auto"/>
        <w:tblInd w:w="108" w:type="dxa"/>
        <w:tblLook w:val="01E0" w:firstRow="1" w:lastRow="1" w:firstColumn="1" w:lastColumn="1" w:noHBand="0" w:noVBand="0"/>
      </w:tblPr>
      <w:tblGrid>
        <w:gridCol w:w="4629"/>
      </w:tblGrid>
      <w:tr w:rsidR="00323BB2" w:rsidRPr="0061063C" w14:paraId="1C9D552F" w14:textId="77777777" w:rsidTr="00453AFA">
        <w:tc>
          <w:tcPr>
            <w:tcW w:w="4629" w:type="dxa"/>
            <w:shd w:val="clear" w:color="auto" w:fill="auto"/>
          </w:tcPr>
          <w:p w14:paraId="24AD04C9" w14:textId="77777777" w:rsidR="00323BB2" w:rsidRPr="0061063C" w:rsidRDefault="00323BB2" w:rsidP="00453AFA">
            <w:pPr>
              <w:ind w:left="546" w:hanging="564"/>
              <w:rPr>
                <w:rFonts w:asciiTheme="minorHAnsi" w:hAnsiTheme="minorHAnsi"/>
                <w:sz w:val="20"/>
                <w:lang w:val="en-IE"/>
              </w:rPr>
            </w:pPr>
            <w:r w:rsidRPr="0061063C">
              <w:rPr>
                <w:rFonts w:asciiTheme="minorHAnsi" w:hAnsiTheme="minorHAnsi"/>
                <w:sz w:val="20"/>
                <w:lang w:val="en-IE"/>
              </w:rPr>
              <w:t>- PPB;</w:t>
            </w:r>
          </w:p>
        </w:tc>
      </w:tr>
      <w:tr w:rsidR="00323BB2" w:rsidRPr="0061063C" w14:paraId="6C06BC28" w14:textId="77777777" w:rsidTr="00453AFA">
        <w:tc>
          <w:tcPr>
            <w:tcW w:w="4629" w:type="dxa"/>
            <w:shd w:val="clear" w:color="auto" w:fill="auto"/>
          </w:tcPr>
          <w:p w14:paraId="5AD9AE76" w14:textId="77777777" w:rsidR="00323BB2" w:rsidRPr="0061063C" w:rsidRDefault="00323BB2" w:rsidP="009B6BB8">
            <w:pPr>
              <w:pStyle w:val="ListParagraph"/>
              <w:numPr>
                <w:ilvl w:val="0"/>
                <w:numId w:val="26"/>
              </w:numPr>
              <w:ind w:left="71" w:hanging="71"/>
              <w:rPr>
                <w:rFonts w:asciiTheme="minorHAnsi" w:hAnsiTheme="minorHAnsi"/>
                <w:sz w:val="20"/>
                <w:lang w:val="en-IE"/>
              </w:rPr>
            </w:pPr>
            <w:r w:rsidRPr="0061063C">
              <w:rPr>
                <w:rFonts w:asciiTheme="minorHAnsi" w:hAnsiTheme="minorHAnsi"/>
                <w:sz w:val="20"/>
                <w:lang w:val="en-IE"/>
              </w:rPr>
              <w:t>PokerStars;</w:t>
            </w:r>
          </w:p>
        </w:tc>
      </w:tr>
      <w:tr w:rsidR="00323BB2" w:rsidRPr="0061063C" w14:paraId="4E9CD9B4" w14:textId="77777777" w:rsidTr="00453AFA">
        <w:tc>
          <w:tcPr>
            <w:tcW w:w="4629" w:type="dxa"/>
            <w:shd w:val="clear" w:color="auto" w:fill="auto"/>
          </w:tcPr>
          <w:p w14:paraId="596D3BD2" w14:textId="77777777" w:rsidR="00323BB2" w:rsidRPr="0061063C" w:rsidRDefault="00323BB2" w:rsidP="009B6BB8">
            <w:pPr>
              <w:pStyle w:val="ListParagraph"/>
              <w:numPr>
                <w:ilvl w:val="0"/>
                <w:numId w:val="26"/>
              </w:numPr>
              <w:ind w:left="71" w:hanging="71"/>
              <w:rPr>
                <w:rFonts w:asciiTheme="minorHAnsi" w:hAnsiTheme="minorHAnsi"/>
                <w:sz w:val="20"/>
                <w:lang w:val="en-IE"/>
              </w:rPr>
            </w:pPr>
            <w:r w:rsidRPr="0061063C">
              <w:rPr>
                <w:rFonts w:asciiTheme="minorHAnsi" w:hAnsiTheme="minorHAnsi"/>
                <w:sz w:val="20"/>
                <w:lang w:val="en-IE"/>
              </w:rPr>
              <w:t>Sky Betting and Gaming;</w:t>
            </w:r>
          </w:p>
        </w:tc>
      </w:tr>
      <w:tr w:rsidR="00323BB2" w:rsidRPr="0061063C" w14:paraId="505438EC" w14:textId="77777777" w:rsidTr="00453AFA">
        <w:tc>
          <w:tcPr>
            <w:tcW w:w="4629" w:type="dxa"/>
            <w:shd w:val="clear" w:color="auto" w:fill="auto"/>
          </w:tcPr>
          <w:p w14:paraId="7258B63D" w14:textId="77777777" w:rsidR="00323BB2" w:rsidRPr="0061063C" w:rsidRDefault="00323BB2" w:rsidP="00453AFA">
            <w:pPr>
              <w:ind w:left="546" w:hanging="564"/>
              <w:rPr>
                <w:rFonts w:asciiTheme="minorHAnsi" w:hAnsiTheme="minorHAnsi"/>
                <w:sz w:val="20"/>
                <w:lang w:val="en-IE"/>
              </w:rPr>
            </w:pPr>
            <w:r w:rsidRPr="0061063C">
              <w:rPr>
                <w:rFonts w:asciiTheme="minorHAnsi" w:hAnsiTheme="minorHAnsi"/>
                <w:sz w:val="20"/>
                <w:lang w:val="en-IE"/>
              </w:rPr>
              <w:t>- Australia; and</w:t>
            </w:r>
          </w:p>
        </w:tc>
      </w:tr>
      <w:tr w:rsidR="00323BB2" w:rsidRPr="0061063C" w14:paraId="2AB9128B" w14:textId="77777777" w:rsidTr="00453AFA">
        <w:tc>
          <w:tcPr>
            <w:tcW w:w="4629" w:type="dxa"/>
            <w:shd w:val="clear" w:color="auto" w:fill="auto"/>
          </w:tcPr>
          <w:p w14:paraId="4A188BD4" w14:textId="77777777" w:rsidR="00323BB2" w:rsidRPr="0061063C" w:rsidRDefault="00323BB2" w:rsidP="00453AFA">
            <w:pPr>
              <w:ind w:left="546" w:hanging="564"/>
              <w:rPr>
                <w:rFonts w:asciiTheme="minorHAnsi" w:hAnsiTheme="minorHAnsi"/>
                <w:sz w:val="20"/>
                <w:lang w:val="en-IE"/>
              </w:rPr>
            </w:pPr>
            <w:r w:rsidRPr="0061063C">
              <w:rPr>
                <w:rFonts w:asciiTheme="minorHAnsi" w:hAnsiTheme="minorHAnsi"/>
                <w:sz w:val="20"/>
                <w:lang w:val="en-IE"/>
              </w:rPr>
              <w:t>- US.</w:t>
            </w:r>
          </w:p>
        </w:tc>
      </w:tr>
    </w:tbl>
    <w:p w14:paraId="19091FC3" w14:textId="77777777" w:rsidR="00323BB2" w:rsidRPr="0061063C" w:rsidRDefault="00323BB2" w:rsidP="00323BB2">
      <w:pPr>
        <w:rPr>
          <w:rFonts w:asciiTheme="minorHAnsi" w:hAnsiTheme="minorHAnsi"/>
          <w:sz w:val="20"/>
          <w:lang w:val="en-IE"/>
        </w:rPr>
      </w:pPr>
    </w:p>
    <w:p w14:paraId="0E143756"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reportable segments reflect the way financial information is reviewed by the Group’s Chief Operating Decision Maker (the Board of Directors, “CODM”). The Group has restated the operating segment information for the six months ended 30 June 2019 accordingly.</w:t>
      </w:r>
    </w:p>
    <w:p w14:paraId="389B9A43" w14:textId="77777777" w:rsidR="00323BB2" w:rsidRPr="0061063C" w:rsidRDefault="00323BB2" w:rsidP="00323BB2">
      <w:pPr>
        <w:rPr>
          <w:rFonts w:asciiTheme="minorHAnsi" w:hAnsiTheme="minorHAnsi"/>
          <w:sz w:val="20"/>
          <w:lang w:val="en-IE"/>
        </w:rPr>
      </w:pPr>
    </w:p>
    <w:p w14:paraId="4479C2C6"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previous reportable segments of PPB Online and PPB Retail have been aggregated in the PPB segment due to the similar products, markets and regulatory environment that both segments operate in.</w:t>
      </w:r>
    </w:p>
    <w:p w14:paraId="0E31F5E2" w14:textId="77777777" w:rsidR="00323BB2" w:rsidRPr="0061063C" w:rsidRDefault="00323BB2" w:rsidP="00323BB2">
      <w:pPr>
        <w:rPr>
          <w:rFonts w:asciiTheme="minorHAnsi" w:hAnsiTheme="minorHAnsi"/>
          <w:sz w:val="20"/>
          <w:lang w:val="en-IE"/>
        </w:rPr>
      </w:pPr>
    </w:p>
    <w:p w14:paraId="2DB28B50"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PPB segment derives its revenues primarily from sports betting (sportsbook and the exchange sports betting product) and gaming (games, casino, bingo and poker) services for the Paddy Power and Betfair brands and some business-to-business (“B2B”) services globally. Services are delivered through the internet and through licenced bookmaking shop estates in the UK and Ireland with a small proportion delivered through the public telephony system.</w:t>
      </w:r>
    </w:p>
    <w:p w14:paraId="359735FC" w14:textId="77777777" w:rsidR="00323BB2" w:rsidRPr="0061063C" w:rsidRDefault="00323BB2" w:rsidP="00323BB2">
      <w:pPr>
        <w:rPr>
          <w:rFonts w:asciiTheme="minorHAnsi" w:hAnsiTheme="minorHAnsi"/>
          <w:sz w:val="20"/>
          <w:lang w:val="en-IE"/>
        </w:rPr>
      </w:pPr>
    </w:p>
    <w:p w14:paraId="04FEC7B0"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 xml:space="preserve">The PokerStars segment derives its revenues primarily from Poker, Gaming and Sports betting for the </w:t>
      </w:r>
      <w:proofErr w:type="spellStart"/>
      <w:r w:rsidRPr="0061063C">
        <w:rPr>
          <w:rFonts w:asciiTheme="minorHAnsi" w:hAnsiTheme="minorHAnsi"/>
          <w:sz w:val="20"/>
          <w:lang w:val="en-IE"/>
        </w:rPr>
        <w:t>Pokerstars</w:t>
      </w:r>
      <w:proofErr w:type="spellEnd"/>
      <w:r w:rsidRPr="0061063C">
        <w:rPr>
          <w:rFonts w:asciiTheme="minorHAnsi" w:hAnsiTheme="minorHAnsi"/>
          <w:sz w:val="20"/>
          <w:lang w:val="en-IE"/>
        </w:rPr>
        <w:t xml:space="preserve">, </w:t>
      </w:r>
      <w:proofErr w:type="spellStart"/>
      <w:r w:rsidRPr="0061063C">
        <w:rPr>
          <w:rFonts w:asciiTheme="minorHAnsi" w:hAnsiTheme="minorHAnsi"/>
          <w:sz w:val="20"/>
          <w:lang w:val="en-IE"/>
        </w:rPr>
        <w:t>BetStars</w:t>
      </w:r>
      <w:proofErr w:type="spellEnd"/>
      <w:r w:rsidRPr="0061063C">
        <w:rPr>
          <w:rFonts w:asciiTheme="minorHAnsi" w:hAnsiTheme="minorHAnsi"/>
          <w:sz w:val="20"/>
          <w:lang w:val="en-IE"/>
        </w:rPr>
        <w:t>, Full Tilt and their related brands mainly via the internet.</w:t>
      </w:r>
    </w:p>
    <w:p w14:paraId="3D3F54D3" w14:textId="77777777" w:rsidR="00323BB2" w:rsidRPr="0061063C" w:rsidRDefault="00323BB2" w:rsidP="00323BB2">
      <w:pPr>
        <w:rPr>
          <w:rFonts w:asciiTheme="minorHAnsi" w:hAnsiTheme="minorHAnsi"/>
          <w:sz w:val="20"/>
          <w:lang w:val="en-IE"/>
        </w:rPr>
      </w:pPr>
    </w:p>
    <w:p w14:paraId="41A5EABC"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Sky Betting and Gaming segment derives its revenues primarily from sportsbook and gaming (games, casino, bingo and poker) for Sky Bet and its related brands via the internet as well as from Oddschecker, the UK’s leading odds comparison website.</w:t>
      </w:r>
    </w:p>
    <w:p w14:paraId="152AFE19" w14:textId="77777777" w:rsidR="00323BB2" w:rsidRPr="0061063C" w:rsidRDefault="00323BB2" w:rsidP="00323BB2">
      <w:pPr>
        <w:rPr>
          <w:rFonts w:asciiTheme="minorHAnsi" w:hAnsiTheme="minorHAnsi"/>
          <w:sz w:val="20"/>
          <w:lang w:val="en-IE"/>
        </w:rPr>
      </w:pPr>
    </w:p>
    <w:p w14:paraId="2D62C9B8"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Australia segment comprising the Sportsbet and BetEasy brands earns its revenues from sports betting services provided to Australian customers using primarily the internet with a small proportion using the public telephony system.</w:t>
      </w:r>
    </w:p>
    <w:p w14:paraId="41E15A01" w14:textId="77777777" w:rsidR="00323BB2" w:rsidRPr="0061063C" w:rsidRDefault="00323BB2" w:rsidP="00323BB2">
      <w:pPr>
        <w:rPr>
          <w:rFonts w:asciiTheme="minorHAnsi" w:hAnsiTheme="minorHAnsi"/>
          <w:sz w:val="20"/>
          <w:lang w:val="en-IE"/>
        </w:rPr>
      </w:pPr>
    </w:p>
    <w:p w14:paraId="7D46C11C"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US segment comprising the FanDuel, TVG, Betfair, Pokerstars and FoxBet brands earns its revenues from sports betting, daily fantasy sports and gaming services provided to US customers using primarily the internet with a proportion of US sports betting services also provided through a small number of retail outlets.</w:t>
      </w:r>
    </w:p>
    <w:p w14:paraId="1E6B4CD4" w14:textId="77777777" w:rsidR="00323BB2" w:rsidRPr="0061063C" w:rsidRDefault="00323BB2" w:rsidP="00323BB2">
      <w:pPr>
        <w:rPr>
          <w:rFonts w:asciiTheme="minorHAnsi" w:hAnsiTheme="minorHAnsi"/>
          <w:sz w:val="20"/>
          <w:lang w:val="en-IE"/>
        </w:rPr>
      </w:pPr>
    </w:p>
    <w:p w14:paraId="156F2C06"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Corporate administrative costs (Board, Finance, Legal, Internal Audit, HR, Property and other central functions) cannot be readily allocated to individual operating segments and are not used by the CODM for making operating and resource allocation decisions. These are shown in the reconciliation of reportable segments to Group totals.</w:t>
      </w:r>
    </w:p>
    <w:p w14:paraId="64F88ED6" w14:textId="77777777" w:rsidR="00323BB2" w:rsidRPr="0061063C" w:rsidRDefault="00323BB2" w:rsidP="00323BB2">
      <w:pPr>
        <w:rPr>
          <w:rFonts w:asciiTheme="minorHAnsi" w:hAnsiTheme="minorHAnsi"/>
          <w:sz w:val="20"/>
          <w:lang w:val="en-IE"/>
        </w:rPr>
      </w:pPr>
    </w:p>
    <w:p w14:paraId="2E8C8B79"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accounting policies in respect of operating segments reporting are the same as those described in the basis of preparation and summary of significant accounting policies set out in the Company’s last annual financial statements in respect of the year ended 31 December 2019.</w:t>
      </w:r>
    </w:p>
    <w:p w14:paraId="60CF71BA" w14:textId="77777777" w:rsidR="00323BB2" w:rsidRPr="0061063C" w:rsidRDefault="00323BB2" w:rsidP="00323BB2">
      <w:pPr>
        <w:rPr>
          <w:rFonts w:asciiTheme="minorHAnsi" w:hAnsiTheme="minorHAnsi"/>
          <w:sz w:val="20"/>
          <w:lang w:val="en-IE"/>
        </w:rPr>
      </w:pPr>
    </w:p>
    <w:p w14:paraId="114AE56F"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Group does not allocate income tax expense or interest to reportable segments. Treasury management is centralised for the PPB, PokerStars, Sky Betting and Gaming, Australia and US segments.</w:t>
      </w:r>
    </w:p>
    <w:p w14:paraId="01508648" w14:textId="77777777" w:rsidR="00323BB2" w:rsidRPr="0061063C" w:rsidRDefault="00323BB2" w:rsidP="00323BB2">
      <w:pPr>
        <w:rPr>
          <w:rFonts w:asciiTheme="minorHAnsi" w:hAnsiTheme="minorHAnsi"/>
          <w:sz w:val="20"/>
          <w:lang w:val="en-IE"/>
        </w:rPr>
      </w:pPr>
    </w:p>
    <w:p w14:paraId="093C190E"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Assets and liabilities information is reported internally in total and not by reportable segment and, accordingly, no information is provided in this note on assets and liabilities split by reportable segment.</w:t>
      </w:r>
    </w:p>
    <w:p w14:paraId="6199D798" w14:textId="77777777" w:rsidR="00323BB2" w:rsidRPr="0061063C" w:rsidRDefault="00323BB2" w:rsidP="00323BB2">
      <w:pPr>
        <w:rPr>
          <w:rFonts w:asciiTheme="minorHAnsi" w:hAnsiTheme="minorHAnsi"/>
          <w:sz w:val="20"/>
          <w:lang w:val="en-IE"/>
        </w:rPr>
      </w:pPr>
    </w:p>
    <w:p w14:paraId="65F0DFAF"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t>Seasonality</w:t>
      </w:r>
    </w:p>
    <w:p w14:paraId="64C22FAA" w14:textId="77777777" w:rsidR="00323BB2" w:rsidRPr="0061063C" w:rsidRDefault="00323BB2" w:rsidP="00323BB2">
      <w:pPr>
        <w:rPr>
          <w:rFonts w:asciiTheme="minorHAnsi" w:hAnsiTheme="minorHAnsi"/>
          <w:b/>
          <w:sz w:val="20"/>
          <w:lang w:val="en-IE"/>
        </w:rPr>
      </w:pPr>
      <w:r w:rsidRPr="0061063C">
        <w:rPr>
          <w:rFonts w:asciiTheme="minorHAnsi" w:hAnsiTheme="minorHAnsi"/>
          <w:sz w:val="20"/>
          <w:lang w:val="en-IE"/>
        </w:rPr>
        <w:t>The Group’s sportsbook revenue is driven by a combination of the timing of sporting and other events and the Group’s results derived from those events. The COVID-19 pandemic that caused the postponement and cancellation of sporting events across the world has skewed results for the period.  Gaming and other revenue is not as dependent on the sporting calendar.</w:t>
      </w:r>
      <w:r w:rsidRPr="0061063C">
        <w:rPr>
          <w:rFonts w:asciiTheme="minorHAnsi" w:hAnsiTheme="minorHAnsi"/>
          <w:b/>
          <w:sz w:val="20"/>
          <w:lang w:val="en-IE"/>
        </w:rPr>
        <w:br w:type="page"/>
      </w:r>
    </w:p>
    <w:p w14:paraId="08AB669A"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lastRenderedPageBreak/>
        <w:t>4. Operating segments (continued)</w:t>
      </w:r>
    </w:p>
    <w:p w14:paraId="328BCD41" w14:textId="77777777" w:rsidR="00323BB2" w:rsidRPr="0061063C" w:rsidRDefault="00323BB2" w:rsidP="00323BB2">
      <w:pPr>
        <w:rPr>
          <w:rFonts w:asciiTheme="minorHAnsi" w:hAnsiTheme="minorHAnsi"/>
          <w:sz w:val="20"/>
          <w:lang w:val="en-IE"/>
        </w:rPr>
      </w:pPr>
    </w:p>
    <w:p w14:paraId="384E1001"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Reportable business segment information for the six months ended 30 June 2020:</w:t>
      </w:r>
    </w:p>
    <w:p w14:paraId="25C8C497" w14:textId="77777777" w:rsidR="00323BB2" w:rsidRPr="0061063C" w:rsidRDefault="00323BB2" w:rsidP="00323BB2">
      <w:pPr>
        <w:rPr>
          <w:rFonts w:asciiTheme="minorHAnsi" w:hAnsiTheme="minorHAnsi"/>
          <w:sz w:val="22"/>
          <w:szCs w:val="22"/>
          <w:lang w:val="en-IE"/>
        </w:rPr>
      </w:pPr>
    </w:p>
    <w:tbl>
      <w:tblPr>
        <w:tblW w:w="10990" w:type="dxa"/>
        <w:tblInd w:w="-784" w:type="dxa"/>
        <w:tblLayout w:type="fixed"/>
        <w:tblLook w:val="01E0" w:firstRow="1" w:lastRow="1" w:firstColumn="1" w:lastColumn="1" w:noHBand="0" w:noVBand="0"/>
      </w:tblPr>
      <w:tblGrid>
        <w:gridCol w:w="3478"/>
        <w:gridCol w:w="850"/>
        <w:gridCol w:w="1418"/>
        <w:gridCol w:w="1275"/>
        <w:gridCol w:w="1134"/>
        <w:gridCol w:w="851"/>
        <w:gridCol w:w="1134"/>
        <w:gridCol w:w="850"/>
      </w:tblGrid>
      <w:tr w:rsidR="00323BB2" w:rsidRPr="0061063C" w14:paraId="20BEDE3B" w14:textId="77777777" w:rsidTr="00453AFA">
        <w:trPr>
          <w:trHeight w:val="147"/>
        </w:trPr>
        <w:tc>
          <w:tcPr>
            <w:tcW w:w="3478" w:type="dxa"/>
            <w:tcBorders>
              <w:top w:val="single" w:sz="4" w:space="0" w:color="auto"/>
            </w:tcBorders>
            <w:shd w:val="clear" w:color="auto" w:fill="auto"/>
          </w:tcPr>
          <w:p w14:paraId="222AA09C"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850" w:type="dxa"/>
            <w:tcBorders>
              <w:top w:val="single" w:sz="4" w:space="0" w:color="auto"/>
            </w:tcBorders>
            <w:shd w:val="clear" w:color="auto" w:fill="auto"/>
          </w:tcPr>
          <w:p w14:paraId="58604CA6"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01695D3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PPB</w:t>
            </w:r>
          </w:p>
        </w:tc>
        <w:tc>
          <w:tcPr>
            <w:tcW w:w="1418" w:type="dxa"/>
            <w:tcBorders>
              <w:top w:val="single" w:sz="4" w:space="0" w:color="auto"/>
            </w:tcBorders>
          </w:tcPr>
          <w:p w14:paraId="4228CEF5"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329862A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PokerStars</w:t>
            </w:r>
          </w:p>
        </w:tc>
        <w:tc>
          <w:tcPr>
            <w:tcW w:w="1275" w:type="dxa"/>
            <w:tcBorders>
              <w:top w:val="single" w:sz="4" w:space="0" w:color="auto"/>
            </w:tcBorders>
          </w:tcPr>
          <w:p w14:paraId="1B0D50D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Sky Betting and Gaming</w:t>
            </w:r>
          </w:p>
        </w:tc>
        <w:tc>
          <w:tcPr>
            <w:tcW w:w="1134" w:type="dxa"/>
            <w:tcBorders>
              <w:top w:val="single" w:sz="4" w:space="0" w:color="auto"/>
            </w:tcBorders>
            <w:shd w:val="clear" w:color="auto" w:fill="auto"/>
          </w:tcPr>
          <w:p w14:paraId="68E366CD"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76EBBBB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Australia</w:t>
            </w:r>
          </w:p>
        </w:tc>
        <w:tc>
          <w:tcPr>
            <w:tcW w:w="851" w:type="dxa"/>
            <w:tcBorders>
              <w:top w:val="single" w:sz="4" w:space="0" w:color="auto"/>
            </w:tcBorders>
          </w:tcPr>
          <w:p w14:paraId="4C8DFF67"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7E8BDFA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US</w:t>
            </w:r>
          </w:p>
        </w:tc>
        <w:tc>
          <w:tcPr>
            <w:tcW w:w="1134" w:type="dxa"/>
            <w:tcBorders>
              <w:top w:val="single" w:sz="4" w:space="0" w:color="auto"/>
            </w:tcBorders>
          </w:tcPr>
          <w:p w14:paraId="57108760"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3026493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Corporate</w:t>
            </w:r>
          </w:p>
        </w:tc>
        <w:tc>
          <w:tcPr>
            <w:tcW w:w="850" w:type="dxa"/>
            <w:tcBorders>
              <w:top w:val="single" w:sz="4" w:space="0" w:color="auto"/>
            </w:tcBorders>
            <w:shd w:val="clear" w:color="auto" w:fill="auto"/>
          </w:tcPr>
          <w:p w14:paraId="47D38691"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18DE3C6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Total</w:t>
            </w:r>
          </w:p>
        </w:tc>
      </w:tr>
      <w:tr w:rsidR="00323BB2" w:rsidRPr="0061063C" w14:paraId="1EFB6BBF" w14:textId="77777777" w:rsidTr="00453AFA">
        <w:trPr>
          <w:trHeight w:val="70"/>
        </w:trPr>
        <w:tc>
          <w:tcPr>
            <w:tcW w:w="3478" w:type="dxa"/>
            <w:tcBorders>
              <w:bottom w:val="single" w:sz="4" w:space="0" w:color="auto"/>
            </w:tcBorders>
            <w:shd w:val="clear" w:color="auto" w:fill="auto"/>
          </w:tcPr>
          <w:p w14:paraId="55604F7B"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850" w:type="dxa"/>
            <w:tcBorders>
              <w:bottom w:val="single" w:sz="4" w:space="0" w:color="auto"/>
            </w:tcBorders>
            <w:shd w:val="clear" w:color="auto" w:fill="auto"/>
          </w:tcPr>
          <w:p w14:paraId="6AD5F78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418" w:type="dxa"/>
            <w:tcBorders>
              <w:bottom w:val="single" w:sz="4" w:space="0" w:color="auto"/>
            </w:tcBorders>
          </w:tcPr>
          <w:p w14:paraId="2D86BC3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275" w:type="dxa"/>
            <w:tcBorders>
              <w:bottom w:val="single" w:sz="4" w:space="0" w:color="auto"/>
            </w:tcBorders>
          </w:tcPr>
          <w:p w14:paraId="24EF0AF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134" w:type="dxa"/>
            <w:tcBorders>
              <w:bottom w:val="single" w:sz="4" w:space="0" w:color="auto"/>
            </w:tcBorders>
            <w:shd w:val="clear" w:color="auto" w:fill="auto"/>
          </w:tcPr>
          <w:p w14:paraId="01841A5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851" w:type="dxa"/>
            <w:tcBorders>
              <w:bottom w:val="single" w:sz="4" w:space="0" w:color="auto"/>
            </w:tcBorders>
          </w:tcPr>
          <w:p w14:paraId="43F3646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134" w:type="dxa"/>
            <w:tcBorders>
              <w:bottom w:val="single" w:sz="4" w:space="0" w:color="auto"/>
            </w:tcBorders>
          </w:tcPr>
          <w:p w14:paraId="6B60AE3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850" w:type="dxa"/>
            <w:tcBorders>
              <w:bottom w:val="single" w:sz="4" w:space="0" w:color="auto"/>
            </w:tcBorders>
            <w:shd w:val="clear" w:color="auto" w:fill="auto"/>
          </w:tcPr>
          <w:p w14:paraId="770892F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r>
      <w:tr w:rsidR="00323BB2" w:rsidRPr="0061063C" w14:paraId="1D1C4398" w14:textId="77777777" w:rsidTr="00453AFA">
        <w:trPr>
          <w:trHeight w:val="102"/>
        </w:trPr>
        <w:tc>
          <w:tcPr>
            <w:tcW w:w="3478" w:type="dxa"/>
            <w:tcBorders>
              <w:top w:val="single" w:sz="4" w:space="0" w:color="auto"/>
            </w:tcBorders>
          </w:tcPr>
          <w:p w14:paraId="2E6139A8"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Revenue from external customers</w:t>
            </w:r>
            <w:r>
              <w:rPr>
                <w:rFonts w:asciiTheme="minorHAnsi" w:hAnsiTheme="minorHAnsi"/>
                <w:sz w:val="20"/>
              </w:rPr>
              <w:t xml:space="preserve"> before VAT refund</w:t>
            </w:r>
          </w:p>
        </w:tc>
        <w:tc>
          <w:tcPr>
            <w:tcW w:w="850" w:type="dxa"/>
            <w:tcBorders>
              <w:top w:val="single" w:sz="4" w:space="0" w:color="auto"/>
            </w:tcBorders>
            <w:shd w:val="clear" w:color="auto" w:fill="auto"/>
            <w:vAlign w:val="bottom"/>
          </w:tcPr>
          <w:p w14:paraId="62EDAF8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540.1</w:t>
            </w:r>
          </w:p>
        </w:tc>
        <w:tc>
          <w:tcPr>
            <w:tcW w:w="1418" w:type="dxa"/>
            <w:tcBorders>
              <w:top w:val="single" w:sz="4" w:space="0" w:color="auto"/>
            </w:tcBorders>
            <w:shd w:val="clear" w:color="auto" w:fill="auto"/>
            <w:vAlign w:val="bottom"/>
          </w:tcPr>
          <w:p w14:paraId="5372E10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229.7</w:t>
            </w:r>
          </w:p>
        </w:tc>
        <w:tc>
          <w:tcPr>
            <w:tcW w:w="1275" w:type="dxa"/>
            <w:tcBorders>
              <w:top w:val="single" w:sz="4" w:space="0" w:color="auto"/>
            </w:tcBorders>
            <w:vAlign w:val="bottom"/>
          </w:tcPr>
          <w:p w14:paraId="792F720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148.8</w:t>
            </w:r>
          </w:p>
        </w:tc>
        <w:tc>
          <w:tcPr>
            <w:tcW w:w="1134" w:type="dxa"/>
            <w:tcBorders>
              <w:top w:val="single" w:sz="4" w:space="0" w:color="auto"/>
            </w:tcBorders>
            <w:shd w:val="clear" w:color="auto" w:fill="auto"/>
            <w:vAlign w:val="bottom"/>
          </w:tcPr>
          <w:p w14:paraId="2C356D8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348.0</w:t>
            </w:r>
          </w:p>
        </w:tc>
        <w:tc>
          <w:tcPr>
            <w:tcW w:w="851" w:type="dxa"/>
            <w:tcBorders>
              <w:top w:val="single" w:sz="4" w:space="0" w:color="auto"/>
            </w:tcBorders>
            <w:shd w:val="clear" w:color="auto" w:fill="auto"/>
            <w:vAlign w:val="bottom"/>
          </w:tcPr>
          <w:p w14:paraId="18B698F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255.8</w:t>
            </w:r>
          </w:p>
        </w:tc>
        <w:tc>
          <w:tcPr>
            <w:tcW w:w="1134" w:type="dxa"/>
            <w:tcBorders>
              <w:top w:val="single" w:sz="4" w:space="0" w:color="auto"/>
            </w:tcBorders>
            <w:shd w:val="clear" w:color="auto" w:fill="auto"/>
            <w:vAlign w:val="bottom"/>
          </w:tcPr>
          <w:p w14:paraId="301666C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850" w:type="dxa"/>
            <w:tcBorders>
              <w:top w:val="single" w:sz="4" w:space="0" w:color="auto"/>
            </w:tcBorders>
            <w:shd w:val="clear" w:color="auto" w:fill="auto"/>
            <w:vAlign w:val="bottom"/>
          </w:tcPr>
          <w:p w14:paraId="6671216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1,522.4</w:t>
            </w:r>
          </w:p>
        </w:tc>
      </w:tr>
      <w:tr w:rsidR="00323BB2" w:rsidRPr="0061063C" w14:paraId="03CC22FF" w14:textId="77777777" w:rsidTr="00453AFA">
        <w:tc>
          <w:tcPr>
            <w:tcW w:w="3478" w:type="dxa"/>
          </w:tcPr>
          <w:p w14:paraId="6059CE65"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Cost of sales</w:t>
            </w:r>
          </w:p>
        </w:tc>
        <w:tc>
          <w:tcPr>
            <w:tcW w:w="850" w:type="dxa"/>
            <w:tcBorders>
              <w:bottom w:val="single" w:sz="4" w:space="0" w:color="auto"/>
            </w:tcBorders>
            <w:shd w:val="clear" w:color="auto" w:fill="auto"/>
            <w:vAlign w:val="bottom"/>
          </w:tcPr>
          <w:p w14:paraId="704FF10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(156.8)</w:t>
            </w:r>
          </w:p>
        </w:tc>
        <w:tc>
          <w:tcPr>
            <w:tcW w:w="1418" w:type="dxa"/>
            <w:tcBorders>
              <w:bottom w:val="single" w:sz="4" w:space="0" w:color="auto"/>
            </w:tcBorders>
            <w:shd w:val="clear" w:color="auto" w:fill="auto"/>
            <w:vAlign w:val="bottom"/>
          </w:tcPr>
          <w:p w14:paraId="45DE687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(51.3)</w:t>
            </w:r>
          </w:p>
        </w:tc>
        <w:tc>
          <w:tcPr>
            <w:tcW w:w="1275" w:type="dxa"/>
            <w:tcBorders>
              <w:bottom w:val="single" w:sz="4" w:space="0" w:color="auto"/>
            </w:tcBorders>
            <w:vAlign w:val="bottom"/>
          </w:tcPr>
          <w:p w14:paraId="00599B3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(40.4)</w:t>
            </w:r>
          </w:p>
        </w:tc>
        <w:tc>
          <w:tcPr>
            <w:tcW w:w="1134" w:type="dxa"/>
            <w:tcBorders>
              <w:bottom w:val="single" w:sz="4" w:space="0" w:color="auto"/>
            </w:tcBorders>
            <w:shd w:val="clear" w:color="auto" w:fill="auto"/>
            <w:vAlign w:val="bottom"/>
          </w:tcPr>
          <w:p w14:paraId="08A4FAA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(148.2)</w:t>
            </w:r>
          </w:p>
        </w:tc>
        <w:tc>
          <w:tcPr>
            <w:tcW w:w="851" w:type="dxa"/>
            <w:tcBorders>
              <w:bottom w:val="single" w:sz="4" w:space="0" w:color="auto"/>
            </w:tcBorders>
            <w:shd w:val="clear" w:color="auto" w:fill="auto"/>
            <w:vAlign w:val="bottom"/>
          </w:tcPr>
          <w:p w14:paraId="3C30B8CE" w14:textId="77777777" w:rsidR="00323BB2" w:rsidRPr="0061063C" w:rsidDel="00924819"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(99.2)</w:t>
            </w:r>
          </w:p>
        </w:tc>
        <w:tc>
          <w:tcPr>
            <w:tcW w:w="1134" w:type="dxa"/>
            <w:tcBorders>
              <w:bottom w:val="single" w:sz="4" w:space="0" w:color="auto"/>
            </w:tcBorders>
            <w:shd w:val="clear" w:color="auto" w:fill="auto"/>
            <w:vAlign w:val="bottom"/>
          </w:tcPr>
          <w:p w14:paraId="342E7A6A" w14:textId="77777777" w:rsidR="00323BB2" w:rsidRPr="0061063C" w:rsidDel="00924819"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850" w:type="dxa"/>
            <w:tcBorders>
              <w:bottom w:val="single" w:sz="4" w:space="0" w:color="auto"/>
            </w:tcBorders>
            <w:shd w:val="clear" w:color="auto" w:fill="auto"/>
            <w:vAlign w:val="bottom"/>
          </w:tcPr>
          <w:p w14:paraId="761AF8E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(495.9)</w:t>
            </w:r>
          </w:p>
        </w:tc>
      </w:tr>
      <w:tr w:rsidR="00323BB2" w:rsidRPr="0061063C" w14:paraId="54D81874" w14:textId="77777777" w:rsidTr="00453AFA">
        <w:tc>
          <w:tcPr>
            <w:tcW w:w="3478" w:type="dxa"/>
          </w:tcPr>
          <w:p w14:paraId="49673906"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Gross profit</w:t>
            </w:r>
          </w:p>
        </w:tc>
        <w:tc>
          <w:tcPr>
            <w:tcW w:w="850" w:type="dxa"/>
            <w:tcBorders>
              <w:top w:val="single" w:sz="4" w:space="0" w:color="auto"/>
            </w:tcBorders>
            <w:shd w:val="clear" w:color="auto" w:fill="auto"/>
            <w:vAlign w:val="bottom"/>
          </w:tcPr>
          <w:p w14:paraId="1803715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383.3</w:t>
            </w:r>
          </w:p>
        </w:tc>
        <w:tc>
          <w:tcPr>
            <w:tcW w:w="1418" w:type="dxa"/>
            <w:tcBorders>
              <w:top w:val="single" w:sz="4" w:space="0" w:color="auto"/>
            </w:tcBorders>
            <w:shd w:val="clear" w:color="auto" w:fill="auto"/>
            <w:vAlign w:val="bottom"/>
          </w:tcPr>
          <w:p w14:paraId="572038D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178.4</w:t>
            </w:r>
          </w:p>
        </w:tc>
        <w:tc>
          <w:tcPr>
            <w:tcW w:w="1275" w:type="dxa"/>
            <w:tcBorders>
              <w:top w:val="single" w:sz="4" w:space="0" w:color="auto"/>
            </w:tcBorders>
            <w:vAlign w:val="bottom"/>
          </w:tcPr>
          <w:p w14:paraId="0A30DA2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108.4</w:t>
            </w:r>
          </w:p>
        </w:tc>
        <w:tc>
          <w:tcPr>
            <w:tcW w:w="1134" w:type="dxa"/>
            <w:tcBorders>
              <w:top w:val="single" w:sz="4" w:space="0" w:color="auto"/>
            </w:tcBorders>
            <w:shd w:val="clear" w:color="auto" w:fill="auto"/>
            <w:vAlign w:val="bottom"/>
          </w:tcPr>
          <w:p w14:paraId="0F2E12C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199.8</w:t>
            </w:r>
          </w:p>
        </w:tc>
        <w:tc>
          <w:tcPr>
            <w:tcW w:w="851" w:type="dxa"/>
            <w:tcBorders>
              <w:top w:val="single" w:sz="4" w:space="0" w:color="auto"/>
            </w:tcBorders>
            <w:shd w:val="clear" w:color="auto" w:fill="auto"/>
            <w:vAlign w:val="bottom"/>
          </w:tcPr>
          <w:p w14:paraId="7592A1B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156.6</w:t>
            </w:r>
          </w:p>
        </w:tc>
        <w:tc>
          <w:tcPr>
            <w:tcW w:w="1134" w:type="dxa"/>
            <w:tcBorders>
              <w:top w:val="single" w:sz="4" w:space="0" w:color="auto"/>
            </w:tcBorders>
            <w:shd w:val="clear" w:color="auto" w:fill="auto"/>
            <w:vAlign w:val="bottom"/>
          </w:tcPr>
          <w:p w14:paraId="1552283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850" w:type="dxa"/>
            <w:tcBorders>
              <w:top w:val="single" w:sz="4" w:space="0" w:color="auto"/>
            </w:tcBorders>
            <w:shd w:val="clear" w:color="auto" w:fill="auto"/>
            <w:vAlign w:val="bottom"/>
          </w:tcPr>
          <w:p w14:paraId="0BDDBE3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1,026.5</w:t>
            </w:r>
          </w:p>
        </w:tc>
      </w:tr>
      <w:tr w:rsidR="00323BB2" w:rsidRPr="0061063C" w14:paraId="1BAB9BD3" w14:textId="77777777" w:rsidTr="00453AFA">
        <w:tc>
          <w:tcPr>
            <w:tcW w:w="3478" w:type="dxa"/>
          </w:tcPr>
          <w:p w14:paraId="012F025F"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 xml:space="preserve">Operating costs excluding depreciation and amortisation </w:t>
            </w:r>
          </w:p>
        </w:tc>
        <w:tc>
          <w:tcPr>
            <w:tcW w:w="850" w:type="dxa"/>
            <w:tcBorders>
              <w:bottom w:val="single" w:sz="4" w:space="0" w:color="auto"/>
            </w:tcBorders>
            <w:shd w:val="clear" w:color="auto" w:fill="auto"/>
            <w:vAlign w:val="bottom"/>
          </w:tcPr>
          <w:p w14:paraId="037A9D0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(298.3)</w:t>
            </w:r>
          </w:p>
        </w:tc>
        <w:tc>
          <w:tcPr>
            <w:tcW w:w="1418" w:type="dxa"/>
            <w:tcBorders>
              <w:bottom w:val="single" w:sz="4" w:space="0" w:color="auto"/>
            </w:tcBorders>
            <w:shd w:val="clear" w:color="auto" w:fill="auto"/>
            <w:vAlign w:val="bottom"/>
          </w:tcPr>
          <w:p w14:paraId="11E6D6F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(62.4)</w:t>
            </w:r>
          </w:p>
        </w:tc>
        <w:tc>
          <w:tcPr>
            <w:tcW w:w="1275" w:type="dxa"/>
            <w:tcBorders>
              <w:bottom w:val="single" w:sz="4" w:space="0" w:color="auto"/>
            </w:tcBorders>
            <w:vAlign w:val="bottom"/>
          </w:tcPr>
          <w:p w14:paraId="5FD149E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(41.9)</w:t>
            </w:r>
          </w:p>
        </w:tc>
        <w:tc>
          <w:tcPr>
            <w:tcW w:w="1134" w:type="dxa"/>
            <w:tcBorders>
              <w:bottom w:val="single" w:sz="4" w:space="0" w:color="auto"/>
            </w:tcBorders>
            <w:shd w:val="clear" w:color="auto" w:fill="auto"/>
            <w:vAlign w:val="bottom"/>
          </w:tcPr>
          <w:p w14:paraId="7B0E109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(90.0)</w:t>
            </w:r>
          </w:p>
        </w:tc>
        <w:tc>
          <w:tcPr>
            <w:tcW w:w="851" w:type="dxa"/>
            <w:tcBorders>
              <w:bottom w:val="single" w:sz="4" w:space="0" w:color="auto"/>
            </w:tcBorders>
            <w:shd w:val="clear" w:color="auto" w:fill="auto"/>
            <w:vAlign w:val="bottom"/>
          </w:tcPr>
          <w:p w14:paraId="65A09C0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(154.3)</w:t>
            </w:r>
          </w:p>
        </w:tc>
        <w:tc>
          <w:tcPr>
            <w:tcW w:w="1134" w:type="dxa"/>
            <w:tcBorders>
              <w:bottom w:val="single" w:sz="4" w:space="0" w:color="auto"/>
            </w:tcBorders>
            <w:shd w:val="clear" w:color="auto" w:fill="auto"/>
            <w:vAlign w:val="bottom"/>
          </w:tcPr>
          <w:p w14:paraId="5D8E5A2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(37.9)</w:t>
            </w:r>
          </w:p>
        </w:tc>
        <w:tc>
          <w:tcPr>
            <w:tcW w:w="850" w:type="dxa"/>
            <w:tcBorders>
              <w:bottom w:val="single" w:sz="4" w:space="0" w:color="auto"/>
            </w:tcBorders>
            <w:shd w:val="clear" w:color="auto" w:fill="auto"/>
            <w:vAlign w:val="bottom"/>
          </w:tcPr>
          <w:p w14:paraId="3926AC4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(684.8)</w:t>
            </w:r>
          </w:p>
        </w:tc>
      </w:tr>
      <w:tr w:rsidR="00323BB2" w:rsidRPr="0061063C" w14:paraId="7C2FC8E2" w14:textId="77777777" w:rsidTr="00453AFA">
        <w:trPr>
          <w:trHeight w:val="210"/>
        </w:trPr>
        <w:tc>
          <w:tcPr>
            <w:tcW w:w="3478" w:type="dxa"/>
          </w:tcPr>
          <w:p w14:paraId="2185AF71"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 xml:space="preserve">Adjusted EBITDA </w:t>
            </w:r>
            <w:r w:rsidRPr="0061063C">
              <w:rPr>
                <w:rFonts w:asciiTheme="minorHAnsi" w:hAnsiTheme="minorHAnsi"/>
                <w:sz w:val="20"/>
                <w:vertAlign w:val="superscript"/>
              </w:rPr>
              <w:t>1</w:t>
            </w:r>
          </w:p>
        </w:tc>
        <w:tc>
          <w:tcPr>
            <w:tcW w:w="850" w:type="dxa"/>
            <w:tcBorders>
              <w:top w:val="single" w:sz="4" w:space="0" w:color="auto"/>
            </w:tcBorders>
            <w:vAlign w:val="bottom"/>
          </w:tcPr>
          <w:p w14:paraId="20A847F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85.0</w:t>
            </w:r>
          </w:p>
        </w:tc>
        <w:tc>
          <w:tcPr>
            <w:tcW w:w="1418" w:type="dxa"/>
            <w:tcBorders>
              <w:top w:val="single" w:sz="4" w:space="0" w:color="auto"/>
            </w:tcBorders>
            <w:shd w:val="clear" w:color="auto" w:fill="auto"/>
            <w:vAlign w:val="bottom"/>
          </w:tcPr>
          <w:p w14:paraId="72DD6DE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116.0</w:t>
            </w:r>
          </w:p>
        </w:tc>
        <w:tc>
          <w:tcPr>
            <w:tcW w:w="1275" w:type="dxa"/>
            <w:tcBorders>
              <w:top w:val="single" w:sz="4" w:space="0" w:color="auto"/>
            </w:tcBorders>
            <w:vAlign w:val="bottom"/>
          </w:tcPr>
          <w:p w14:paraId="33CDFFF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66.5</w:t>
            </w:r>
          </w:p>
        </w:tc>
        <w:tc>
          <w:tcPr>
            <w:tcW w:w="1134" w:type="dxa"/>
            <w:tcBorders>
              <w:top w:val="single" w:sz="4" w:space="0" w:color="auto"/>
            </w:tcBorders>
            <w:shd w:val="clear" w:color="auto" w:fill="auto"/>
            <w:vAlign w:val="bottom"/>
          </w:tcPr>
          <w:p w14:paraId="00E1D13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109.8</w:t>
            </w:r>
          </w:p>
        </w:tc>
        <w:tc>
          <w:tcPr>
            <w:tcW w:w="851" w:type="dxa"/>
            <w:tcBorders>
              <w:top w:val="single" w:sz="4" w:space="0" w:color="auto"/>
            </w:tcBorders>
            <w:vAlign w:val="bottom"/>
          </w:tcPr>
          <w:p w14:paraId="7223278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2.3</w:t>
            </w:r>
          </w:p>
        </w:tc>
        <w:tc>
          <w:tcPr>
            <w:tcW w:w="1134" w:type="dxa"/>
            <w:tcBorders>
              <w:top w:val="single" w:sz="4" w:space="0" w:color="auto"/>
            </w:tcBorders>
            <w:vAlign w:val="bottom"/>
          </w:tcPr>
          <w:p w14:paraId="49B15BD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(37.9)</w:t>
            </w:r>
          </w:p>
        </w:tc>
        <w:tc>
          <w:tcPr>
            <w:tcW w:w="850" w:type="dxa"/>
            <w:tcBorders>
              <w:top w:val="single" w:sz="4" w:space="0" w:color="auto"/>
            </w:tcBorders>
            <w:shd w:val="clear" w:color="auto" w:fill="auto"/>
            <w:vAlign w:val="bottom"/>
          </w:tcPr>
          <w:p w14:paraId="341DF43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341.7</w:t>
            </w:r>
          </w:p>
        </w:tc>
      </w:tr>
      <w:tr w:rsidR="00323BB2" w:rsidRPr="0061063C" w14:paraId="0D3BA657" w14:textId="77777777" w:rsidTr="00453AFA">
        <w:trPr>
          <w:trHeight w:val="210"/>
        </w:trPr>
        <w:tc>
          <w:tcPr>
            <w:tcW w:w="3478" w:type="dxa"/>
          </w:tcPr>
          <w:p w14:paraId="503A888D"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Depreciation and amortisation</w:t>
            </w:r>
          </w:p>
        </w:tc>
        <w:tc>
          <w:tcPr>
            <w:tcW w:w="850" w:type="dxa"/>
            <w:shd w:val="clear" w:color="auto" w:fill="auto"/>
            <w:vAlign w:val="bottom"/>
          </w:tcPr>
          <w:p w14:paraId="70956C3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(47.5)</w:t>
            </w:r>
          </w:p>
        </w:tc>
        <w:tc>
          <w:tcPr>
            <w:tcW w:w="1418" w:type="dxa"/>
            <w:shd w:val="clear" w:color="auto" w:fill="auto"/>
            <w:vAlign w:val="bottom"/>
          </w:tcPr>
          <w:p w14:paraId="2F64DEB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(7.1)</w:t>
            </w:r>
          </w:p>
        </w:tc>
        <w:tc>
          <w:tcPr>
            <w:tcW w:w="1275" w:type="dxa"/>
            <w:vAlign w:val="bottom"/>
          </w:tcPr>
          <w:p w14:paraId="4BC09B1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(3.7)</w:t>
            </w:r>
          </w:p>
        </w:tc>
        <w:tc>
          <w:tcPr>
            <w:tcW w:w="1134" w:type="dxa"/>
            <w:shd w:val="clear" w:color="auto" w:fill="auto"/>
            <w:vAlign w:val="bottom"/>
          </w:tcPr>
          <w:p w14:paraId="370AE3A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(12.3)</w:t>
            </w:r>
          </w:p>
        </w:tc>
        <w:tc>
          <w:tcPr>
            <w:tcW w:w="851" w:type="dxa"/>
            <w:shd w:val="clear" w:color="auto" w:fill="auto"/>
            <w:vAlign w:val="bottom"/>
          </w:tcPr>
          <w:p w14:paraId="37CC41C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(16.1)</w:t>
            </w:r>
          </w:p>
        </w:tc>
        <w:tc>
          <w:tcPr>
            <w:tcW w:w="1134" w:type="dxa"/>
            <w:shd w:val="clear" w:color="auto" w:fill="auto"/>
            <w:vAlign w:val="bottom"/>
          </w:tcPr>
          <w:p w14:paraId="32044D6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(2.2)</w:t>
            </w:r>
          </w:p>
        </w:tc>
        <w:tc>
          <w:tcPr>
            <w:tcW w:w="850" w:type="dxa"/>
            <w:tcBorders>
              <w:bottom w:val="single" w:sz="4" w:space="0" w:color="auto"/>
            </w:tcBorders>
            <w:shd w:val="clear" w:color="auto" w:fill="auto"/>
            <w:vAlign w:val="bottom"/>
          </w:tcPr>
          <w:p w14:paraId="6A1A47A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(88.9)</w:t>
            </w:r>
          </w:p>
        </w:tc>
      </w:tr>
      <w:tr w:rsidR="00323BB2" w:rsidRPr="0061063C" w14:paraId="5C18ED63" w14:textId="77777777" w:rsidTr="00453AFA">
        <w:trPr>
          <w:trHeight w:val="148"/>
        </w:trPr>
        <w:tc>
          <w:tcPr>
            <w:tcW w:w="3478" w:type="dxa"/>
            <w:tcBorders>
              <w:top w:val="single" w:sz="4" w:space="0" w:color="auto"/>
            </w:tcBorders>
          </w:tcPr>
          <w:p w14:paraId="446914D2"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Reportable segment profit / (loss) before separately disclosed items</w:t>
            </w:r>
          </w:p>
        </w:tc>
        <w:tc>
          <w:tcPr>
            <w:tcW w:w="850" w:type="dxa"/>
            <w:tcBorders>
              <w:top w:val="single" w:sz="4" w:space="0" w:color="auto"/>
            </w:tcBorders>
            <w:vAlign w:val="bottom"/>
          </w:tcPr>
          <w:p w14:paraId="0E50A57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37.5</w:t>
            </w:r>
          </w:p>
        </w:tc>
        <w:tc>
          <w:tcPr>
            <w:tcW w:w="1418" w:type="dxa"/>
            <w:tcBorders>
              <w:top w:val="single" w:sz="4" w:space="0" w:color="auto"/>
            </w:tcBorders>
            <w:shd w:val="clear" w:color="auto" w:fill="auto"/>
            <w:vAlign w:val="bottom"/>
          </w:tcPr>
          <w:p w14:paraId="46E9872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108.9</w:t>
            </w:r>
          </w:p>
        </w:tc>
        <w:tc>
          <w:tcPr>
            <w:tcW w:w="1275" w:type="dxa"/>
            <w:tcBorders>
              <w:top w:val="single" w:sz="4" w:space="0" w:color="auto"/>
            </w:tcBorders>
            <w:vAlign w:val="bottom"/>
          </w:tcPr>
          <w:p w14:paraId="07F2956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62.8</w:t>
            </w:r>
          </w:p>
        </w:tc>
        <w:tc>
          <w:tcPr>
            <w:tcW w:w="1134" w:type="dxa"/>
            <w:tcBorders>
              <w:top w:val="single" w:sz="4" w:space="0" w:color="auto"/>
            </w:tcBorders>
            <w:shd w:val="clear" w:color="auto" w:fill="auto"/>
            <w:vAlign w:val="bottom"/>
          </w:tcPr>
          <w:p w14:paraId="00592BD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97.5</w:t>
            </w:r>
          </w:p>
        </w:tc>
        <w:tc>
          <w:tcPr>
            <w:tcW w:w="851" w:type="dxa"/>
            <w:tcBorders>
              <w:top w:val="single" w:sz="4" w:space="0" w:color="auto"/>
            </w:tcBorders>
            <w:vAlign w:val="bottom"/>
          </w:tcPr>
          <w:p w14:paraId="77F29D4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(13.8)</w:t>
            </w:r>
          </w:p>
        </w:tc>
        <w:tc>
          <w:tcPr>
            <w:tcW w:w="1134" w:type="dxa"/>
            <w:tcBorders>
              <w:top w:val="single" w:sz="4" w:space="0" w:color="auto"/>
            </w:tcBorders>
            <w:vAlign w:val="bottom"/>
          </w:tcPr>
          <w:p w14:paraId="3188C16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(40.1)</w:t>
            </w:r>
          </w:p>
        </w:tc>
        <w:tc>
          <w:tcPr>
            <w:tcW w:w="850" w:type="dxa"/>
            <w:tcBorders>
              <w:top w:val="single" w:sz="4" w:space="0" w:color="auto"/>
            </w:tcBorders>
            <w:shd w:val="clear" w:color="auto" w:fill="auto"/>
            <w:vAlign w:val="bottom"/>
          </w:tcPr>
          <w:p w14:paraId="666F6F9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252.8</w:t>
            </w:r>
          </w:p>
        </w:tc>
      </w:tr>
      <w:tr w:rsidR="00323BB2" w:rsidRPr="0061063C" w14:paraId="50440BC8" w14:textId="77777777" w:rsidTr="00453AFA">
        <w:trPr>
          <w:trHeight w:val="148"/>
        </w:trPr>
        <w:tc>
          <w:tcPr>
            <w:tcW w:w="3478" w:type="dxa"/>
            <w:shd w:val="clear" w:color="auto" w:fill="auto"/>
          </w:tcPr>
          <w:p w14:paraId="4357E0A2"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Amortisation of acquisition related intangible assets (Note 5)</w:t>
            </w:r>
          </w:p>
        </w:tc>
        <w:tc>
          <w:tcPr>
            <w:tcW w:w="850" w:type="dxa"/>
            <w:shd w:val="clear" w:color="auto" w:fill="auto"/>
            <w:vAlign w:val="bottom"/>
          </w:tcPr>
          <w:p w14:paraId="1D516F6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w:t>
            </w:r>
            <w:r>
              <w:rPr>
                <w:rFonts w:asciiTheme="minorHAnsi" w:hAnsiTheme="minorHAnsi"/>
                <w:b/>
                <w:sz w:val="20"/>
              </w:rPr>
              <w:t>7</w:t>
            </w:r>
            <w:r w:rsidRPr="0061063C">
              <w:rPr>
                <w:rFonts w:asciiTheme="minorHAnsi" w:hAnsiTheme="minorHAnsi"/>
                <w:b/>
                <w:sz w:val="20"/>
              </w:rPr>
              <w:t>.</w:t>
            </w:r>
            <w:r>
              <w:rPr>
                <w:rFonts w:asciiTheme="minorHAnsi" w:hAnsiTheme="minorHAnsi"/>
                <w:b/>
                <w:sz w:val="20"/>
              </w:rPr>
              <w:t>1</w:t>
            </w:r>
            <w:r w:rsidRPr="0061063C">
              <w:rPr>
                <w:rFonts w:asciiTheme="minorHAnsi" w:hAnsiTheme="minorHAnsi"/>
                <w:b/>
                <w:sz w:val="20"/>
              </w:rPr>
              <w:t>)</w:t>
            </w:r>
          </w:p>
        </w:tc>
        <w:tc>
          <w:tcPr>
            <w:tcW w:w="1418" w:type="dxa"/>
            <w:shd w:val="clear" w:color="auto" w:fill="auto"/>
            <w:vAlign w:val="bottom"/>
          </w:tcPr>
          <w:p w14:paraId="582AD5D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(51.0)</w:t>
            </w:r>
          </w:p>
        </w:tc>
        <w:tc>
          <w:tcPr>
            <w:tcW w:w="1275" w:type="dxa"/>
            <w:vAlign w:val="bottom"/>
          </w:tcPr>
          <w:p w14:paraId="7E5AB81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(29.6)</w:t>
            </w:r>
          </w:p>
        </w:tc>
        <w:tc>
          <w:tcPr>
            <w:tcW w:w="1134" w:type="dxa"/>
            <w:shd w:val="clear" w:color="auto" w:fill="auto"/>
            <w:vAlign w:val="bottom"/>
          </w:tcPr>
          <w:p w14:paraId="7955A83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(4.4)</w:t>
            </w:r>
          </w:p>
        </w:tc>
        <w:tc>
          <w:tcPr>
            <w:tcW w:w="851" w:type="dxa"/>
            <w:shd w:val="clear" w:color="auto" w:fill="auto"/>
            <w:vAlign w:val="bottom"/>
          </w:tcPr>
          <w:p w14:paraId="6623400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w:t>
            </w:r>
            <w:r>
              <w:rPr>
                <w:rFonts w:asciiTheme="minorHAnsi" w:hAnsiTheme="minorHAnsi"/>
                <w:b/>
                <w:sz w:val="20"/>
              </w:rPr>
              <w:t>5</w:t>
            </w:r>
            <w:r w:rsidRPr="0061063C">
              <w:rPr>
                <w:rFonts w:asciiTheme="minorHAnsi" w:hAnsiTheme="minorHAnsi"/>
                <w:b/>
                <w:sz w:val="20"/>
              </w:rPr>
              <w:t>.</w:t>
            </w:r>
            <w:r>
              <w:rPr>
                <w:rFonts w:asciiTheme="minorHAnsi" w:hAnsiTheme="minorHAnsi"/>
                <w:b/>
                <w:sz w:val="20"/>
              </w:rPr>
              <w:t>7</w:t>
            </w:r>
            <w:r w:rsidRPr="0061063C">
              <w:rPr>
                <w:rFonts w:asciiTheme="minorHAnsi" w:hAnsiTheme="minorHAnsi"/>
                <w:b/>
                <w:sz w:val="20"/>
              </w:rPr>
              <w:t>)</w:t>
            </w:r>
          </w:p>
        </w:tc>
        <w:tc>
          <w:tcPr>
            <w:tcW w:w="1134" w:type="dxa"/>
            <w:shd w:val="clear" w:color="auto" w:fill="auto"/>
            <w:vAlign w:val="bottom"/>
          </w:tcPr>
          <w:p w14:paraId="715C956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850" w:type="dxa"/>
            <w:shd w:val="clear" w:color="auto" w:fill="auto"/>
            <w:vAlign w:val="bottom"/>
          </w:tcPr>
          <w:p w14:paraId="07DD4F9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(127.8)</w:t>
            </w:r>
          </w:p>
        </w:tc>
      </w:tr>
      <w:tr w:rsidR="00323BB2" w:rsidRPr="0061063C" w14:paraId="50813E01" w14:textId="77777777" w:rsidTr="00453AFA">
        <w:trPr>
          <w:trHeight w:val="148"/>
        </w:trPr>
        <w:tc>
          <w:tcPr>
            <w:tcW w:w="3478" w:type="dxa"/>
          </w:tcPr>
          <w:p w14:paraId="5D84D803" w14:textId="77777777" w:rsidR="00323BB2" w:rsidRPr="0061063C" w:rsidRDefault="00323BB2" w:rsidP="00453AFA">
            <w:pPr>
              <w:widowControl w:val="0"/>
              <w:autoSpaceDE w:val="0"/>
              <w:autoSpaceDN w:val="0"/>
              <w:adjustRightInd w:val="0"/>
              <w:ind w:left="-82"/>
              <w:rPr>
                <w:rFonts w:asciiTheme="minorHAnsi" w:hAnsiTheme="minorHAnsi"/>
                <w:sz w:val="20"/>
              </w:rPr>
            </w:pPr>
            <w:r w:rsidRPr="0061063C">
              <w:rPr>
                <w:rFonts w:asciiTheme="minorHAnsi" w:hAnsiTheme="minorHAnsi"/>
                <w:sz w:val="20"/>
              </w:rPr>
              <w:t>VAT refund</w:t>
            </w:r>
            <w:r>
              <w:rPr>
                <w:rFonts w:asciiTheme="minorHAnsi" w:hAnsiTheme="minorHAnsi"/>
                <w:sz w:val="20"/>
              </w:rPr>
              <w:t xml:space="preserve"> (Note 5)</w:t>
            </w:r>
          </w:p>
        </w:tc>
        <w:tc>
          <w:tcPr>
            <w:tcW w:w="850" w:type="dxa"/>
            <w:tcBorders>
              <w:bottom w:val="single" w:sz="4" w:space="0" w:color="auto"/>
            </w:tcBorders>
            <w:vAlign w:val="bottom"/>
          </w:tcPr>
          <w:p w14:paraId="4C5FDB8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10.3</w:t>
            </w:r>
          </w:p>
        </w:tc>
        <w:tc>
          <w:tcPr>
            <w:tcW w:w="1418" w:type="dxa"/>
            <w:tcBorders>
              <w:bottom w:val="single" w:sz="4" w:space="0" w:color="auto"/>
            </w:tcBorders>
            <w:shd w:val="clear" w:color="auto" w:fill="auto"/>
            <w:vAlign w:val="bottom"/>
          </w:tcPr>
          <w:p w14:paraId="1476C91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275" w:type="dxa"/>
            <w:tcBorders>
              <w:bottom w:val="single" w:sz="4" w:space="0" w:color="auto"/>
            </w:tcBorders>
            <w:vAlign w:val="bottom"/>
          </w:tcPr>
          <w:p w14:paraId="2C0CCCB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tcBorders>
              <w:bottom w:val="single" w:sz="4" w:space="0" w:color="auto"/>
            </w:tcBorders>
            <w:shd w:val="clear" w:color="auto" w:fill="auto"/>
            <w:vAlign w:val="bottom"/>
          </w:tcPr>
          <w:p w14:paraId="0216A17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851" w:type="dxa"/>
            <w:tcBorders>
              <w:bottom w:val="single" w:sz="4" w:space="0" w:color="auto"/>
            </w:tcBorders>
            <w:vAlign w:val="bottom"/>
          </w:tcPr>
          <w:p w14:paraId="393DE871"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tcBorders>
              <w:bottom w:val="single" w:sz="4" w:space="0" w:color="auto"/>
            </w:tcBorders>
            <w:vAlign w:val="bottom"/>
          </w:tcPr>
          <w:p w14:paraId="170AFB1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850" w:type="dxa"/>
            <w:shd w:val="clear" w:color="auto" w:fill="auto"/>
            <w:vAlign w:val="bottom"/>
          </w:tcPr>
          <w:p w14:paraId="1B4F692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10.3</w:t>
            </w:r>
          </w:p>
        </w:tc>
      </w:tr>
      <w:tr w:rsidR="00323BB2" w:rsidRPr="0061063C" w14:paraId="7E867DDC" w14:textId="77777777" w:rsidTr="00453AFA">
        <w:trPr>
          <w:trHeight w:val="148"/>
        </w:trPr>
        <w:tc>
          <w:tcPr>
            <w:tcW w:w="3478" w:type="dxa"/>
            <w:tcBorders>
              <w:top w:val="single" w:sz="4" w:space="0" w:color="auto"/>
            </w:tcBorders>
          </w:tcPr>
          <w:p w14:paraId="0934817C" w14:textId="77777777" w:rsidR="00323BB2" w:rsidRPr="0061063C" w:rsidRDefault="00323BB2" w:rsidP="00453AFA">
            <w:pPr>
              <w:widowControl w:val="0"/>
              <w:autoSpaceDE w:val="0"/>
              <w:autoSpaceDN w:val="0"/>
              <w:adjustRightInd w:val="0"/>
              <w:ind w:left="-82"/>
              <w:rPr>
                <w:rFonts w:asciiTheme="minorHAnsi" w:hAnsiTheme="minorHAnsi"/>
                <w:sz w:val="20"/>
              </w:rPr>
            </w:pPr>
            <w:r w:rsidRPr="0061063C">
              <w:rPr>
                <w:rFonts w:asciiTheme="minorHAnsi" w:hAnsiTheme="minorHAnsi"/>
                <w:sz w:val="20"/>
              </w:rPr>
              <w:t>Reportable segment profit / (loss) after amortisation of acquisition related intangibles and VAT refund</w:t>
            </w:r>
          </w:p>
        </w:tc>
        <w:tc>
          <w:tcPr>
            <w:tcW w:w="850" w:type="dxa"/>
            <w:tcBorders>
              <w:top w:val="single" w:sz="4" w:space="0" w:color="auto"/>
              <w:bottom w:val="single" w:sz="4" w:space="0" w:color="auto"/>
            </w:tcBorders>
            <w:shd w:val="clear" w:color="auto" w:fill="auto"/>
            <w:vAlign w:val="bottom"/>
          </w:tcPr>
          <w:p w14:paraId="3E5832B6" w14:textId="77777777" w:rsidR="00323BB2" w:rsidRPr="0061063C" w:rsidRDefault="00323BB2" w:rsidP="00453AFA">
            <w:pPr>
              <w:widowControl w:val="0"/>
              <w:autoSpaceDE w:val="0"/>
              <w:autoSpaceDN w:val="0"/>
              <w:adjustRightInd w:val="0"/>
              <w:jc w:val="right"/>
              <w:rPr>
                <w:rFonts w:asciiTheme="minorHAnsi" w:hAnsiTheme="minorHAnsi"/>
                <w:b/>
                <w:sz w:val="20"/>
              </w:rPr>
            </w:pPr>
            <w:r>
              <w:rPr>
                <w:rFonts w:asciiTheme="minorHAnsi" w:hAnsiTheme="minorHAnsi"/>
                <w:b/>
                <w:sz w:val="20"/>
              </w:rPr>
              <w:t>20</w:t>
            </w:r>
            <w:r w:rsidRPr="0061063C">
              <w:rPr>
                <w:rFonts w:asciiTheme="minorHAnsi" w:hAnsiTheme="minorHAnsi"/>
                <w:b/>
                <w:sz w:val="20"/>
              </w:rPr>
              <w:t>.</w:t>
            </w:r>
            <w:r>
              <w:rPr>
                <w:rFonts w:asciiTheme="minorHAnsi" w:hAnsiTheme="minorHAnsi"/>
                <w:b/>
                <w:sz w:val="20"/>
              </w:rPr>
              <w:t>7</w:t>
            </w:r>
          </w:p>
        </w:tc>
        <w:tc>
          <w:tcPr>
            <w:tcW w:w="1418" w:type="dxa"/>
            <w:tcBorders>
              <w:top w:val="single" w:sz="4" w:space="0" w:color="auto"/>
              <w:bottom w:val="single" w:sz="4" w:space="0" w:color="auto"/>
            </w:tcBorders>
            <w:shd w:val="clear" w:color="auto" w:fill="auto"/>
            <w:vAlign w:val="bottom"/>
          </w:tcPr>
          <w:p w14:paraId="589E409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57.9</w:t>
            </w:r>
          </w:p>
        </w:tc>
        <w:tc>
          <w:tcPr>
            <w:tcW w:w="1275" w:type="dxa"/>
            <w:tcBorders>
              <w:top w:val="single" w:sz="4" w:space="0" w:color="auto"/>
              <w:bottom w:val="single" w:sz="4" w:space="0" w:color="auto"/>
            </w:tcBorders>
            <w:shd w:val="clear" w:color="auto" w:fill="auto"/>
            <w:vAlign w:val="bottom"/>
          </w:tcPr>
          <w:p w14:paraId="4A20BDD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33.2</w:t>
            </w:r>
          </w:p>
        </w:tc>
        <w:tc>
          <w:tcPr>
            <w:tcW w:w="1134" w:type="dxa"/>
            <w:tcBorders>
              <w:top w:val="single" w:sz="4" w:space="0" w:color="auto"/>
              <w:bottom w:val="single" w:sz="4" w:space="0" w:color="auto"/>
            </w:tcBorders>
            <w:shd w:val="clear" w:color="auto" w:fill="auto"/>
            <w:vAlign w:val="bottom"/>
          </w:tcPr>
          <w:p w14:paraId="651FCAE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93.1</w:t>
            </w:r>
          </w:p>
        </w:tc>
        <w:tc>
          <w:tcPr>
            <w:tcW w:w="851" w:type="dxa"/>
            <w:tcBorders>
              <w:top w:val="single" w:sz="4" w:space="0" w:color="auto"/>
              <w:bottom w:val="single" w:sz="4" w:space="0" w:color="auto"/>
            </w:tcBorders>
            <w:shd w:val="clear" w:color="auto" w:fill="auto"/>
            <w:vAlign w:val="bottom"/>
          </w:tcPr>
          <w:p w14:paraId="0FB7EC0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w:t>
            </w:r>
            <w:r>
              <w:rPr>
                <w:rFonts w:asciiTheme="minorHAnsi" w:hAnsiTheme="minorHAnsi"/>
                <w:b/>
                <w:sz w:val="20"/>
              </w:rPr>
              <w:t>9</w:t>
            </w:r>
            <w:r w:rsidRPr="0061063C">
              <w:rPr>
                <w:rFonts w:asciiTheme="minorHAnsi" w:hAnsiTheme="minorHAnsi"/>
                <w:b/>
                <w:sz w:val="20"/>
              </w:rPr>
              <w:t>.</w:t>
            </w:r>
            <w:r>
              <w:rPr>
                <w:rFonts w:asciiTheme="minorHAnsi" w:hAnsiTheme="minorHAnsi"/>
                <w:b/>
                <w:sz w:val="20"/>
              </w:rPr>
              <w:t>5</w:t>
            </w:r>
            <w:r w:rsidRPr="0061063C">
              <w:rPr>
                <w:rFonts w:asciiTheme="minorHAnsi" w:hAnsiTheme="minorHAnsi"/>
                <w:b/>
                <w:sz w:val="20"/>
              </w:rPr>
              <w:t>)</w:t>
            </w:r>
          </w:p>
        </w:tc>
        <w:tc>
          <w:tcPr>
            <w:tcW w:w="1134" w:type="dxa"/>
            <w:tcBorders>
              <w:top w:val="single" w:sz="4" w:space="0" w:color="auto"/>
              <w:bottom w:val="single" w:sz="4" w:space="0" w:color="auto"/>
            </w:tcBorders>
            <w:shd w:val="clear" w:color="auto" w:fill="auto"/>
            <w:vAlign w:val="bottom"/>
          </w:tcPr>
          <w:p w14:paraId="1DE7199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(40.1)</w:t>
            </w:r>
          </w:p>
        </w:tc>
        <w:tc>
          <w:tcPr>
            <w:tcW w:w="850" w:type="dxa"/>
            <w:tcBorders>
              <w:top w:val="single" w:sz="4" w:space="0" w:color="auto"/>
            </w:tcBorders>
            <w:shd w:val="clear" w:color="auto" w:fill="auto"/>
            <w:vAlign w:val="bottom"/>
          </w:tcPr>
          <w:p w14:paraId="45CDAD8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135.3</w:t>
            </w:r>
          </w:p>
        </w:tc>
      </w:tr>
      <w:tr w:rsidR="00323BB2" w:rsidRPr="0061063C" w14:paraId="69ED3E49" w14:textId="77777777" w:rsidTr="00453AFA">
        <w:trPr>
          <w:trHeight w:val="148"/>
        </w:trPr>
        <w:tc>
          <w:tcPr>
            <w:tcW w:w="3478" w:type="dxa"/>
          </w:tcPr>
          <w:p w14:paraId="08976A1F" w14:textId="77777777" w:rsidR="00323BB2" w:rsidRPr="0061063C" w:rsidRDefault="00323BB2" w:rsidP="00453AFA">
            <w:pPr>
              <w:widowControl w:val="0"/>
              <w:autoSpaceDE w:val="0"/>
              <w:autoSpaceDN w:val="0"/>
              <w:adjustRightInd w:val="0"/>
              <w:ind w:left="-82"/>
              <w:rPr>
                <w:rFonts w:asciiTheme="minorHAnsi" w:hAnsiTheme="minorHAnsi"/>
                <w:sz w:val="20"/>
              </w:rPr>
            </w:pPr>
            <w:r w:rsidRPr="0061063C">
              <w:rPr>
                <w:rFonts w:asciiTheme="minorHAnsi" w:hAnsiTheme="minorHAnsi"/>
                <w:sz w:val="20"/>
              </w:rPr>
              <w:t>Combination fees and associated costs</w:t>
            </w:r>
            <w:r w:rsidRPr="0061063C">
              <w:rPr>
                <w:rFonts w:asciiTheme="minorHAnsi" w:hAnsiTheme="minorHAnsi"/>
                <w:sz w:val="20"/>
                <w:vertAlign w:val="superscript"/>
              </w:rPr>
              <w:t>2</w:t>
            </w:r>
          </w:p>
        </w:tc>
        <w:tc>
          <w:tcPr>
            <w:tcW w:w="850" w:type="dxa"/>
            <w:tcBorders>
              <w:top w:val="single" w:sz="4" w:space="0" w:color="auto"/>
            </w:tcBorders>
            <w:shd w:val="clear" w:color="auto" w:fill="auto"/>
            <w:vAlign w:val="bottom"/>
          </w:tcPr>
          <w:p w14:paraId="33CECADB"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418" w:type="dxa"/>
            <w:tcBorders>
              <w:top w:val="single" w:sz="4" w:space="0" w:color="auto"/>
            </w:tcBorders>
            <w:shd w:val="clear" w:color="auto" w:fill="auto"/>
            <w:vAlign w:val="bottom"/>
          </w:tcPr>
          <w:p w14:paraId="1F48F1C0"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275" w:type="dxa"/>
            <w:tcBorders>
              <w:top w:val="single" w:sz="4" w:space="0" w:color="auto"/>
            </w:tcBorders>
            <w:shd w:val="clear" w:color="auto" w:fill="auto"/>
            <w:vAlign w:val="bottom"/>
          </w:tcPr>
          <w:p w14:paraId="4C6F2373"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tcBorders>
              <w:top w:val="single" w:sz="4" w:space="0" w:color="auto"/>
            </w:tcBorders>
            <w:shd w:val="clear" w:color="auto" w:fill="auto"/>
            <w:vAlign w:val="bottom"/>
          </w:tcPr>
          <w:p w14:paraId="5EAFBE4E"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851" w:type="dxa"/>
            <w:tcBorders>
              <w:top w:val="single" w:sz="4" w:space="0" w:color="auto"/>
            </w:tcBorders>
            <w:shd w:val="clear" w:color="auto" w:fill="auto"/>
            <w:vAlign w:val="bottom"/>
          </w:tcPr>
          <w:p w14:paraId="172493C6"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tcBorders>
              <w:top w:val="single" w:sz="4" w:space="0" w:color="auto"/>
            </w:tcBorders>
            <w:shd w:val="clear" w:color="auto" w:fill="auto"/>
            <w:vAlign w:val="bottom"/>
          </w:tcPr>
          <w:p w14:paraId="7145D9CF"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850" w:type="dxa"/>
            <w:shd w:val="clear" w:color="auto" w:fill="auto"/>
            <w:vAlign w:val="bottom"/>
          </w:tcPr>
          <w:p w14:paraId="1FC1D3F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(26.3)</w:t>
            </w:r>
          </w:p>
        </w:tc>
      </w:tr>
      <w:tr w:rsidR="00323BB2" w:rsidRPr="0061063C" w14:paraId="3626B19A" w14:textId="77777777" w:rsidTr="00453AFA">
        <w:trPr>
          <w:trHeight w:val="148"/>
        </w:trPr>
        <w:tc>
          <w:tcPr>
            <w:tcW w:w="3478" w:type="dxa"/>
          </w:tcPr>
          <w:p w14:paraId="4D7B6005" w14:textId="77777777" w:rsidR="00323BB2" w:rsidRPr="0061063C" w:rsidRDefault="00323BB2" w:rsidP="00453AFA">
            <w:pPr>
              <w:widowControl w:val="0"/>
              <w:autoSpaceDE w:val="0"/>
              <w:autoSpaceDN w:val="0"/>
              <w:adjustRightInd w:val="0"/>
              <w:ind w:left="-82"/>
              <w:rPr>
                <w:rFonts w:asciiTheme="minorHAnsi" w:hAnsiTheme="minorHAnsi"/>
                <w:sz w:val="20"/>
              </w:rPr>
            </w:pPr>
            <w:r w:rsidRPr="0061063C">
              <w:rPr>
                <w:rFonts w:asciiTheme="minorHAnsi" w:hAnsiTheme="minorHAnsi"/>
                <w:sz w:val="20"/>
              </w:rPr>
              <w:t>Restructuring and Integration costs</w:t>
            </w:r>
            <w:r w:rsidRPr="0061063C">
              <w:rPr>
                <w:rFonts w:asciiTheme="minorHAnsi" w:hAnsiTheme="minorHAnsi"/>
                <w:sz w:val="20"/>
                <w:vertAlign w:val="superscript"/>
              </w:rPr>
              <w:t>2</w:t>
            </w:r>
          </w:p>
        </w:tc>
        <w:tc>
          <w:tcPr>
            <w:tcW w:w="850" w:type="dxa"/>
            <w:shd w:val="clear" w:color="auto" w:fill="auto"/>
            <w:vAlign w:val="bottom"/>
          </w:tcPr>
          <w:p w14:paraId="111F7011"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418" w:type="dxa"/>
            <w:shd w:val="clear" w:color="auto" w:fill="auto"/>
            <w:vAlign w:val="bottom"/>
          </w:tcPr>
          <w:p w14:paraId="7E1B0441"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275" w:type="dxa"/>
            <w:shd w:val="clear" w:color="auto" w:fill="auto"/>
            <w:vAlign w:val="bottom"/>
          </w:tcPr>
          <w:p w14:paraId="6D7F27C6"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shd w:val="clear" w:color="auto" w:fill="auto"/>
            <w:vAlign w:val="bottom"/>
          </w:tcPr>
          <w:p w14:paraId="4225C201"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851" w:type="dxa"/>
            <w:shd w:val="clear" w:color="auto" w:fill="auto"/>
            <w:vAlign w:val="bottom"/>
          </w:tcPr>
          <w:p w14:paraId="3D906992"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shd w:val="clear" w:color="auto" w:fill="auto"/>
            <w:vAlign w:val="bottom"/>
          </w:tcPr>
          <w:p w14:paraId="682ECB45"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850" w:type="dxa"/>
            <w:tcBorders>
              <w:bottom w:val="single" w:sz="4" w:space="0" w:color="auto"/>
            </w:tcBorders>
            <w:shd w:val="clear" w:color="auto" w:fill="auto"/>
            <w:vAlign w:val="bottom"/>
          </w:tcPr>
          <w:p w14:paraId="66390FF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(41.2)</w:t>
            </w:r>
          </w:p>
        </w:tc>
      </w:tr>
      <w:tr w:rsidR="00323BB2" w:rsidRPr="0061063C" w14:paraId="71B5FA87" w14:textId="77777777" w:rsidTr="00453AFA">
        <w:trPr>
          <w:trHeight w:val="148"/>
        </w:trPr>
        <w:tc>
          <w:tcPr>
            <w:tcW w:w="3478" w:type="dxa"/>
            <w:tcBorders>
              <w:bottom w:val="single" w:sz="4" w:space="0" w:color="auto"/>
            </w:tcBorders>
          </w:tcPr>
          <w:p w14:paraId="05783B3D" w14:textId="77777777" w:rsidR="00323BB2" w:rsidRPr="0061063C" w:rsidRDefault="00323BB2" w:rsidP="00453AFA">
            <w:pPr>
              <w:widowControl w:val="0"/>
              <w:autoSpaceDE w:val="0"/>
              <w:autoSpaceDN w:val="0"/>
              <w:adjustRightInd w:val="0"/>
              <w:ind w:left="-82"/>
              <w:rPr>
                <w:rFonts w:asciiTheme="minorHAnsi" w:hAnsiTheme="minorHAnsi"/>
                <w:sz w:val="20"/>
              </w:rPr>
            </w:pPr>
            <w:r w:rsidRPr="0061063C">
              <w:rPr>
                <w:rFonts w:asciiTheme="minorHAnsi" w:hAnsiTheme="minorHAnsi"/>
                <w:sz w:val="20"/>
              </w:rPr>
              <w:t>Operating profit</w:t>
            </w:r>
          </w:p>
        </w:tc>
        <w:tc>
          <w:tcPr>
            <w:tcW w:w="850" w:type="dxa"/>
            <w:tcBorders>
              <w:bottom w:val="single" w:sz="4" w:space="0" w:color="auto"/>
            </w:tcBorders>
            <w:vAlign w:val="bottom"/>
          </w:tcPr>
          <w:p w14:paraId="708541EA"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418" w:type="dxa"/>
            <w:tcBorders>
              <w:bottom w:val="single" w:sz="4" w:space="0" w:color="auto"/>
            </w:tcBorders>
            <w:shd w:val="clear" w:color="auto" w:fill="auto"/>
            <w:vAlign w:val="bottom"/>
          </w:tcPr>
          <w:p w14:paraId="433E9509"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275" w:type="dxa"/>
            <w:tcBorders>
              <w:bottom w:val="single" w:sz="4" w:space="0" w:color="auto"/>
            </w:tcBorders>
            <w:vAlign w:val="bottom"/>
          </w:tcPr>
          <w:p w14:paraId="52E84AD1"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tcBorders>
              <w:bottom w:val="single" w:sz="4" w:space="0" w:color="auto"/>
            </w:tcBorders>
            <w:shd w:val="clear" w:color="auto" w:fill="auto"/>
            <w:vAlign w:val="bottom"/>
          </w:tcPr>
          <w:p w14:paraId="348B17E2"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851" w:type="dxa"/>
            <w:tcBorders>
              <w:bottom w:val="single" w:sz="4" w:space="0" w:color="auto"/>
            </w:tcBorders>
            <w:vAlign w:val="bottom"/>
          </w:tcPr>
          <w:p w14:paraId="571FF86A"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134" w:type="dxa"/>
            <w:tcBorders>
              <w:bottom w:val="single" w:sz="4" w:space="0" w:color="auto"/>
            </w:tcBorders>
            <w:vAlign w:val="bottom"/>
          </w:tcPr>
          <w:p w14:paraId="0089E702"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850" w:type="dxa"/>
            <w:tcBorders>
              <w:top w:val="single" w:sz="4" w:space="0" w:color="auto"/>
              <w:bottom w:val="single" w:sz="4" w:space="0" w:color="auto"/>
            </w:tcBorders>
            <w:shd w:val="clear" w:color="auto" w:fill="auto"/>
            <w:vAlign w:val="bottom"/>
          </w:tcPr>
          <w:p w14:paraId="456FEBC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67.8</w:t>
            </w:r>
          </w:p>
        </w:tc>
      </w:tr>
    </w:tbl>
    <w:p w14:paraId="6D58F74A" w14:textId="77777777" w:rsidR="00323BB2" w:rsidRPr="0061063C" w:rsidRDefault="00323BB2" w:rsidP="00323BB2">
      <w:pPr>
        <w:rPr>
          <w:rFonts w:asciiTheme="minorHAnsi" w:hAnsiTheme="minorHAnsi"/>
          <w:sz w:val="22"/>
          <w:szCs w:val="22"/>
          <w:lang w:val="en-IE"/>
        </w:rPr>
      </w:pPr>
    </w:p>
    <w:p w14:paraId="0913C19B" w14:textId="77777777" w:rsidR="00323BB2" w:rsidRPr="0061063C" w:rsidRDefault="00323BB2" w:rsidP="00323BB2">
      <w:pPr>
        <w:rPr>
          <w:rFonts w:asciiTheme="minorHAnsi" w:hAnsiTheme="minorHAnsi"/>
          <w:sz w:val="20"/>
          <w:szCs w:val="22"/>
          <w:lang w:val="en-IE"/>
        </w:rPr>
      </w:pPr>
      <w:r w:rsidRPr="0061063C">
        <w:rPr>
          <w:rFonts w:asciiTheme="minorHAnsi" w:hAnsiTheme="minorHAnsi"/>
          <w:sz w:val="20"/>
          <w:szCs w:val="22"/>
          <w:lang w:val="en-IE"/>
        </w:rPr>
        <w:t>Reportable business segment information for the six months ended 30 June 2019:</w:t>
      </w:r>
    </w:p>
    <w:p w14:paraId="55F70431" w14:textId="77777777" w:rsidR="00323BB2" w:rsidRPr="0061063C" w:rsidRDefault="00323BB2" w:rsidP="00323BB2">
      <w:pPr>
        <w:rPr>
          <w:rFonts w:asciiTheme="minorHAnsi" w:hAnsiTheme="minorHAnsi"/>
          <w:sz w:val="20"/>
          <w:szCs w:val="22"/>
          <w:lang w:val="en-IE"/>
        </w:rPr>
      </w:pPr>
    </w:p>
    <w:p w14:paraId="00689E14" w14:textId="77777777" w:rsidR="00323BB2" w:rsidRPr="0061063C" w:rsidRDefault="00323BB2" w:rsidP="00323BB2">
      <w:pPr>
        <w:rPr>
          <w:rFonts w:asciiTheme="minorHAnsi" w:hAnsiTheme="minorHAnsi"/>
          <w:sz w:val="20"/>
          <w:szCs w:val="22"/>
          <w:lang w:val="en-IE"/>
        </w:rPr>
      </w:pPr>
    </w:p>
    <w:tbl>
      <w:tblPr>
        <w:tblW w:w="10996" w:type="dxa"/>
        <w:tblInd w:w="-784" w:type="dxa"/>
        <w:tblLayout w:type="fixed"/>
        <w:tblLook w:val="01E0" w:firstRow="1" w:lastRow="1" w:firstColumn="1" w:lastColumn="1" w:noHBand="0" w:noVBand="0"/>
      </w:tblPr>
      <w:tblGrid>
        <w:gridCol w:w="3478"/>
        <w:gridCol w:w="850"/>
        <w:gridCol w:w="1276"/>
        <w:gridCol w:w="1417"/>
        <w:gridCol w:w="1134"/>
        <w:gridCol w:w="851"/>
        <w:gridCol w:w="1134"/>
        <w:gridCol w:w="856"/>
      </w:tblGrid>
      <w:tr w:rsidR="00323BB2" w:rsidRPr="0061063C" w14:paraId="2AED9888" w14:textId="77777777" w:rsidTr="00453AFA">
        <w:trPr>
          <w:trHeight w:val="147"/>
        </w:trPr>
        <w:tc>
          <w:tcPr>
            <w:tcW w:w="3478" w:type="dxa"/>
            <w:tcBorders>
              <w:top w:val="single" w:sz="4" w:space="0" w:color="auto"/>
            </w:tcBorders>
            <w:shd w:val="clear" w:color="auto" w:fill="auto"/>
          </w:tcPr>
          <w:p w14:paraId="48850350"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850" w:type="dxa"/>
            <w:tcBorders>
              <w:top w:val="single" w:sz="4" w:space="0" w:color="auto"/>
            </w:tcBorders>
            <w:shd w:val="clear" w:color="auto" w:fill="auto"/>
          </w:tcPr>
          <w:p w14:paraId="31DCE7AF"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02B101B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PPB</w:t>
            </w:r>
          </w:p>
        </w:tc>
        <w:tc>
          <w:tcPr>
            <w:tcW w:w="1276" w:type="dxa"/>
            <w:tcBorders>
              <w:top w:val="single" w:sz="4" w:space="0" w:color="auto"/>
            </w:tcBorders>
          </w:tcPr>
          <w:p w14:paraId="5B9B747D"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75D0C34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PokerStars</w:t>
            </w:r>
          </w:p>
        </w:tc>
        <w:tc>
          <w:tcPr>
            <w:tcW w:w="1417" w:type="dxa"/>
            <w:tcBorders>
              <w:top w:val="single" w:sz="4" w:space="0" w:color="auto"/>
            </w:tcBorders>
          </w:tcPr>
          <w:p w14:paraId="64E0E39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Sky Betting and Gaming</w:t>
            </w:r>
          </w:p>
        </w:tc>
        <w:tc>
          <w:tcPr>
            <w:tcW w:w="1134" w:type="dxa"/>
            <w:tcBorders>
              <w:top w:val="single" w:sz="4" w:space="0" w:color="auto"/>
            </w:tcBorders>
            <w:shd w:val="clear" w:color="auto" w:fill="auto"/>
          </w:tcPr>
          <w:p w14:paraId="228825D9"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5C20B15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Australia</w:t>
            </w:r>
          </w:p>
        </w:tc>
        <w:tc>
          <w:tcPr>
            <w:tcW w:w="851" w:type="dxa"/>
            <w:tcBorders>
              <w:top w:val="single" w:sz="4" w:space="0" w:color="auto"/>
            </w:tcBorders>
          </w:tcPr>
          <w:p w14:paraId="6D3F9F88"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3CD8113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US</w:t>
            </w:r>
          </w:p>
        </w:tc>
        <w:tc>
          <w:tcPr>
            <w:tcW w:w="1134" w:type="dxa"/>
            <w:tcBorders>
              <w:top w:val="single" w:sz="4" w:space="0" w:color="auto"/>
            </w:tcBorders>
          </w:tcPr>
          <w:p w14:paraId="4818C7D7"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79B755A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Corporate</w:t>
            </w:r>
          </w:p>
        </w:tc>
        <w:tc>
          <w:tcPr>
            <w:tcW w:w="856" w:type="dxa"/>
            <w:tcBorders>
              <w:top w:val="single" w:sz="4" w:space="0" w:color="auto"/>
            </w:tcBorders>
            <w:shd w:val="clear" w:color="auto" w:fill="auto"/>
          </w:tcPr>
          <w:p w14:paraId="095EAE22"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104B119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Total</w:t>
            </w:r>
          </w:p>
        </w:tc>
      </w:tr>
      <w:tr w:rsidR="00323BB2" w:rsidRPr="0061063C" w14:paraId="6FDE847B" w14:textId="77777777" w:rsidTr="00453AFA">
        <w:trPr>
          <w:trHeight w:val="70"/>
        </w:trPr>
        <w:tc>
          <w:tcPr>
            <w:tcW w:w="3478" w:type="dxa"/>
            <w:tcBorders>
              <w:bottom w:val="single" w:sz="4" w:space="0" w:color="auto"/>
            </w:tcBorders>
            <w:shd w:val="clear" w:color="auto" w:fill="auto"/>
          </w:tcPr>
          <w:p w14:paraId="78015D5D"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850" w:type="dxa"/>
            <w:tcBorders>
              <w:bottom w:val="single" w:sz="4" w:space="0" w:color="auto"/>
            </w:tcBorders>
            <w:shd w:val="clear" w:color="auto" w:fill="auto"/>
          </w:tcPr>
          <w:p w14:paraId="6767AF5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276" w:type="dxa"/>
            <w:tcBorders>
              <w:bottom w:val="single" w:sz="4" w:space="0" w:color="auto"/>
            </w:tcBorders>
          </w:tcPr>
          <w:p w14:paraId="0FBDC46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417" w:type="dxa"/>
            <w:tcBorders>
              <w:bottom w:val="single" w:sz="4" w:space="0" w:color="auto"/>
            </w:tcBorders>
          </w:tcPr>
          <w:p w14:paraId="7E24F85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134" w:type="dxa"/>
            <w:tcBorders>
              <w:bottom w:val="single" w:sz="4" w:space="0" w:color="auto"/>
            </w:tcBorders>
            <w:shd w:val="clear" w:color="auto" w:fill="auto"/>
          </w:tcPr>
          <w:p w14:paraId="6B58EA2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851" w:type="dxa"/>
            <w:tcBorders>
              <w:bottom w:val="single" w:sz="4" w:space="0" w:color="auto"/>
            </w:tcBorders>
          </w:tcPr>
          <w:p w14:paraId="4D1C3A2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134" w:type="dxa"/>
            <w:tcBorders>
              <w:bottom w:val="single" w:sz="4" w:space="0" w:color="auto"/>
            </w:tcBorders>
          </w:tcPr>
          <w:p w14:paraId="4EEEDAF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856" w:type="dxa"/>
            <w:tcBorders>
              <w:bottom w:val="single" w:sz="4" w:space="0" w:color="auto"/>
            </w:tcBorders>
            <w:shd w:val="clear" w:color="auto" w:fill="auto"/>
          </w:tcPr>
          <w:p w14:paraId="3C53A49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r>
      <w:tr w:rsidR="00323BB2" w:rsidRPr="0061063C" w14:paraId="373E26C8" w14:textId="77777777" w:rsidTr="00453AFA">
        <w:trPr>
          <w:trHeight w:val="102"/>
        </w:trPr>
        <w:tc>
          <w:tcPr>
            <w:tcW w:w="3478" w:type="dxa"/>
            <w:tcBorders>
              <w:top w:val="single" w:sz="4" w:space="0" w:color="auto"/>
            </w:tcBorders>
          </w:tcPr>
          <w:p w14:paraId="468D4909"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Revenue from external customers</w:t>
            </w:r>
          </w:p>
        </w:tc>
        <w:tc>
          <w:tcPr>
            <w:tcW w:w="850" w:type="dxa"/>
            <w:tcBorders>
              <w:top w:val="single" w:sz="4" w:space="0" w:color="auto"/>
            </w:tcBorders>
            <w:shd w:val="clear" w:color="auto" w:fill="auto"/>
            <w:vAlign w:val="bottom"/>
          </w:tcPr>
          <w:p w14:paraId="3537BCE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653.2</w:t>
            </w:r>
          </w:p>
        </w:tc>
        <w:tc>
          <w:tcPr>
            <w:tcW w:w="1276" w:type="dxa"/>
            <w:tcBorders>
              <w:top w:val="single" w:sz="4" w:space="0" w:color="auto"/>
            </w:tcBorders>
            <w:shd w:val="clear" w:color="auto" w:fill="auto"/>
            <w:vAlign w:val="bottom"/>
          </w:tcPr>
          <w:p w14:paraId="3656D39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tcBorders>
            <w:vAlign w:val="bottom"/>
          </w:tcPr>
          <w:p w14:paraId="3BFF3FD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tcBorders>
            <w:shd w:val="clear" w:color="auto" w:fill="auto"/>
            <w:vAlign w:val="bottom"/>
          </w:tcPr>
          <w:p w14:paraId="4A41C12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206.8</w:t>
            </w:r>
          </w:p>
        </w:tc>
        <w:tc>
          <w:tcPr>
            <w:tcW w:w="851" w:type="dxa"/>
            <w:tcBorders>
              <w:top w:val="single" w:sz="4" w:space="0" w:color="auto"/>
            </w:tcBorders>
            <w:shd w:val="clear" w:color="auto" w:fill="auto"/>
            <w:vAlign w:val="bottom"/>
          </w:tcPr>
          <w:p w14:paraId="579AB92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159.9</w:t>
            </w:r>
          </w:p>
        </w:tc>
        <w:tc>
          <w:tcPr>
            <w:tcW w:w="1134" w:type="dxa"/>
            <w:tcBorders>
              <w:top w:val="single" w:sz="4" w:space="0" w:color="auto"/>
            </w:tcBorders>
            <w:shd w:val="clear" w:color="auto" w:fill="auto"/>
            <w:vAlign w:val="bottom"/>
          </w:tcPr>
          <w:p w14:paraId="65BEB0F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6" w:type="dxa"/>
            <w:tcBorders>
              <w:top w:val="single" w:sz="4" w:space="0" w:color="auto"/>
            </w:tcBorders>
            <w:shd w:val="clear" w:color="auto" w:fill="auto"/>
            <w:vAlign w:val="bottom"/>
          </w:tcPr>
          <w:p w14:paraId="5F96CCD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1,019.9</w:t>
            </w:r>
          </w:p>
        </w:tc>
      </w:tr>
      <w:tr w:rsidR="00323BB2" w:rsidRPr="0061063C" w14:paraId="41F14D96" w14:textId="77777777" w:rsidTr="00453AFA">
        <w:tc>
          <w:tcPr>
            <w:tcW w:w="3478" w:type="dxa"/>
          </w:tcPr>
          <w:p w14:paraId="6662A118"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Cost of sales</w:t>
            </w:r>
          </w:p>
        </w:tc>
        <w:tc>
          <w:tcPr>
            <w:tcW w:w="850" w:type="dxa"/>
            <w:tcBorders>
              <w:bottom w:val="single" w:sz="4" w:space="0" w:color="auto"/>
            </w:tcBorders>
            <w:shd w:val="clear" w:color="auto" w:fill="auto"/>
            <w:vAlign w:val="bottom"/>
          </w:tcPr>
          <w:p w14:paraId="70CAF8C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(173.6)</w:t>
            </w:r>
          </w:p>
        </w:tc>
        <w:tc>
          <w:tcPr>
            <w:tcW w:w="1276" w:type="dxa"/>
            <w:tcBorders>
              <w:bottom w:val="single" w:sz="4" w:space="0" w:color="auto"/>
            </w:tcBorders>
            <w:shd w:val="clear" w:color="auto" w:fill="auto"/>
            <w:vAlign w:val="bottom"/>
          </w:tcPr>
          <w:p w14:paraId="35B6A2B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bottom w:val="single" w:sz="4" w:space="0" w:color="auto"/>
            </w:tcBorders>
            <w:vAlign w:val="bottom"/>
          </w:tcPr>
          <w:p w14:paraId="3A8D17C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bottom w:val="single" w:sz="4" w:space="0" w:color="auto"/>
            </w:tcBorders>
            <w:shd w:val="clear" w:color="auto" w:fill="auto"/>
            <w:vAlign w:val="bottom"/>
          </w:tcPr>
          <w:p w14:paraId="51D60A3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(83.1)</w:t>
            </w:r>
          </w:p>
        </w:tc>
        <w:tc>
          <w:tcPr>
            <w:tcW w:w="851" w:type="dxa"/>
            <w:tcBorders>
              <w:bottom w:val="single" w:sz="4" w:space="0" w:color="auto"/>
            </w:tcBorders>
            <w:shd w:val="clear" w:color="auto" w:fill="auto"/>
            <w:vAlign w:val="bottom"/>
          </w:tcPr>
          <w:p w14:paraId="1B524FB9" w14:textId="77777777" w:rsidR="00323BB2" w:rsidRPr="0061063C" w:rsidDel="00924819"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(44.3)</w:t>
            </w:r>
          </w:p>
        </w:tc>
        <w:tc>
          <w:tcPr>
            <w:tcW w:w="1134" w:type="dxa"/>
            <w:tcBorders>
              <w:bottom w:val="single" w:sz="4" w:space="0" w:color="auto"/>
            </w:tcBorders>
            <w:shd w:val="clear" w:color="auto" w:fill="auto"/>
            <w:vAlign w:val="bottom"/>
          </w:tcPr>
          <w:p w14:paraId="3FC93616" w14:textId="77777777" w:rsidR="00323BB2" w:rsidRPr="0061063C" w:rsidDel="00924819"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6" w:type="dxa"/>
            <w:tcBorders>
              <w:bottom w:val="single" w:sz="4" w:space="0" w:color="auto"/>
            </w:tcBorders>
            <w:shd w:val="clear" w:color="auto" w:fill="auto"/>
            <w:vAlign w:val="bottom"/>
          </w:tcPr>
          <w:p w14:paraId="252CC79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(301.0)</w:t>
            </w:r>
          </w:p>
        </w:tc>
      </w:tr>
      <w:tr w:rsidR="00323BB2" w:rsidRPr="0061063C" w14:paraId="4EAE7EB6" w14:textId="77777777" w:rsidTr="00453AFA">
        <w:tc>
          <w:tcPr>
            <w:tcW w:w="3478" w:type="dxa"/>
          </w:tcPr>
          <w:p w14:paraId="613A3EA5"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Gross profit</w:t>
            </w:r>
          </w:p>
        </w:tc>
        <w:tc>
          <w:tcPr>
            <w:tcW w:w="850" w:type="dxa"/>
            <w:tcBorders>
              <w:top w:val="single" w:sz="4" w:space="0" w:color="auto"/>
            </w:tcBorders>
            <w:shd w:val="clear" w:color="auto" w:fill="auto"/>
            <w:vAlign w:val="bottom"/>
          </w:tcPr>
          <w:p w14:paraId="128220E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479.6</w:t>
            </w:r>
          </w:p>
        </w:tc>
        <w:tc>
          <w:tcPr>
            <w:tcW w:w="1276" w:type="dxa"/>
            <w:tcBorders>
              <w:top w:val="single" w:sz="4" w:space="0" w:color="auto"/>
            </w:tcBorders>
            <w:shd w:val="clear" w:color="auto" w:fill="auto"/>
            <w:vAlign w:val="bottom"/>
          </w:tcPr>
          <w:p w14:paraId="2534F30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tcBorders>
            <w:vAlign w:val="bottom"/>
          </w:tcPr>
          <w:p w14:paraId="7B5CBE8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tcBorders>
            <w:shd w:val="clear" w:color="auto" w:fill="auto"/>
            <w:vAlign w:val="bottom"/>
          </w:tcPr>
          <w:p w14:paraId="3005BFC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123.7</w:t>
            </w:r>
          </w:p>
        </w:tc>
        <w:tc>
          <w:tcPr>
            <w:tcW w:w="851" w:type="dxa"/>
            <w:tcBorders>
              <w:top w:val="single" w:sz="4" w:space="0" w:color="auto"/>
            </w:tcBorders>
            <w:shd w:val="clear" w:color="auto" w:fill="auto"/>
            <w:vAlign w:val="bottom"/>
          </w:tcPr>
          <w:p w14:paraId="679ABF1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115.6</w:t>
            </w:r>
          </w:p>
        </w:tc>
        <w:tc>
          <w:tcPr>
            <w:tcW w:w="1134" w:type="dxa"/>
            <w:tcBorders>
              <w:top w:val="single" w:sz="4" w:space="0" w:color="auto"/>
            </w:tcBorders>
            <w:shd w:val="clear" w:color="auto" w:fill="auto"/>
            <w:vAlign w:val="bottom"/>
          </w:tcPr>
          <w:p w14:paraId="36A2672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6" w:type="dxa"/>
            <w:tcBorders>
              <w:top w:val="single" w:sz="4" w:space="0" w:color="auto"/>
            </w:tcBorders>
            <w:shd w:val="clear" w:color="auto" w:fill="auto"/>
            <w:vAlign w:val="bottom"/>
          </w:tcPr>
          <w:p w14:paraId="0F5BC55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718.9</w:t>
            </w:r>
          </w:p>
        </w:tc>
      </w:tr>
      <w:tr w:rsidR="00323BB2" w:rsidRPr="0061063C" w14:paraId="17774D79" w14:textId="77777777" w:rsidTr="00453AFA">
        <w:tc>
          <w:tcPr>
            <w:tcW w:w="3478" w:type="dxa"/>
          </w:tcPr>
          <w:p w14:paraId="173FD95F"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 xml:space="preserve">Operating costs excluding depreciation and amortisation </w:t>
            </w:r>
          </w:p>
        </w:tc>
        <w:tc>
          <w:tcPr>
            <w:tcW w:w="850" w:type="dxa"/>
            <w:tcBorders>
              <w:bottom w:val="single" w:sz="4" w:space="0" w:color="auto"/>
            </w:tcBorders>
            <w:shd w:val="clear" w:color="auto" w:fill="auto"/>
            <w:vAlign w:val="bottom"/>
          </w:tcPr>
          <w:p w14:paraId="0782CF6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(300.8)</w:t>
            </w:r>
          </w:p>
        </w:tc>
        <w:tc>
          <w:tcPr>
            <w:tcW w:w="1276" w:type="dxa"/>
            <w:tcBorders>
              <w:bottom w:val="single" w:sz="4" w:space="0" w:color="auto"/>
            </w:tcBorders>
            <w:shd w:val="clear" w:color="auto" w:fill="auto"/>
            <w:vAlign w:val="bottom"/>
          </w:tcPr>
          <w:p w14:paraId="405B7D9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bottom w:val="single" w:sz="4" w:space="0" w:color="auto"/>
            </w:tcBorders>
            <w:vAlign w:val="bottom"/>
          </w:tcPr>
          <w:p w14:paraId="10EE7F5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bottom w:val="single" w:sz="4" w:space="0" w:color="auto"/>
            </w:tcBorders>
            <w:shd w:val="clear" w:color="auto" w:fill="auto"/>
            <w:vAlign w:val="bottom"/>
          </w:tcPr>
          <w:p w14:paraId="289748B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(65.2)</w:t>
            </w:r>
          </w:p>
        </w:tc>
        <w:tc>
          <w:tcPr>
            <w:tcW w:w="851" w:type="dxa"/>
            <w:tcBorders>
              <w:bottom w:val="single" w:sz="4" w:space="0" w:color="auto"/>
            </w:tcBorders>
            <w:shd w:val="clear" w:color="auto" w:fill="auto"/>
            <w:vAlign w:val="bottom"/>
          </w:tcPr>
          <w:p w14:paraId="4ECDDC8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(111.2)</w:t>
            </w:r>
          </w:p>
        </w:tc>
        <w:tc>
          <w:tcPr>
            <w:tcW w:w="1134" w:type="dxa"/>
            <w:tcBorders>
              <w:bottom w:val="single" w:sz="4" w:space="0" w:color="auto"/>
            </w:tcBorders>
            <w:shd w:val="clear" w:color="auto" w:fill="auto"/>
            <w:vAlign w:val="bottom"/>
          </w:tcPr>
          <w:p w14:paraId="4A92733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(25.9)</w:t>
            </w:r>
          </w:p>
        </w:tc>
        <w:tc>
          <w:tcPr>
            <w:tcW w:w="856" w:type="dxa"/>
            <w:tcBorders>
              <w:bottom w:val="single" w:sz="4" w:space="0" w:color="auto"/>
            </w:tcBorders>
            <w:shd w:val="clear" w:color="auto" w:fill="auto"/>
            <w:vAlign w:val="bottom"/>
          </w:tcPr>
          <w:p w14:paraId="6F5B2A6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(503.1)</w:t>
            </w:r>
          </w:p>
        </w:tc>
      </w:tr>
      <w:tr w:rsidR="00323BB2" w:rsidRPr="0061063C" w14:paraId="173EFCE0" w14:textId="77777777" w:rsidTr="00453AFA">
        <w:trPr>
          <w:trHeight w:val="210"/>
        </w:trPr>
        <w:tc>
          <w:tcPr>
            <w:tcW w:w="3478" w:type="dxa"/>
          </w:tcPr>
          <w:p w14:paraId="56E3E582"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 xml:space="preserve">Adjusted EBITDA </w:t>
            </w:r>
            <w:r w:rsidRPr="0061063C">
              <w:rPr>
                <w:rFonts w:asciiTheme="minorHAnsi" w:hAnsiTheme="minorHAnsi"/>
                <w:sz w:val="20"/>
                <w:vertAlign w:val="superscript"/>
              </w:rPr>
              <w:t>1</w:t>
            </w:r>
          </w:p>
        </w:tc>
        <w:tc>
          <w:tcPr>
            <w:tcW w:w="850" w:type="dxa"/>
            <w:tcBorders>
              <w:top w:val="single" w:sz="4" w:space="0" w:color="auto"/>
            </w:tcBorders>
            <w:vAlign w:val="bottom"/>
          </w:tcPr>
          <w:p w14:paraId="7FE8A22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178.8</w:t>
            </w:r>
          </w:p>
        </w:tc>
        <w:tc>
          <w:tcPr>
            <w:tcW w:w="1276" w:type="dxa"/>
            <w:tcBorders>
              <w:top w:val="single" w:sz="4" w:space="0" w:color="auto"/>
            </w:tcBorders>
            <w:shd w:val="clear" w:color="auto" w:fill="auto"/>
            <w:vAlign w:val="bottom"/>
          </w:tcPr>
          <w:p w14:paraId="1AA1FB5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tcBorders>
            <w:vAlign w:val="bottom"/>
          </w:tcPr>
          <w:p w14:paraId="53347A4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tcBorders>
            <w:shd w:val="clear" w:color="auto" w:fill="auto"/>
            <w:vAlign w:val="bottom"/>
          </w:tcPr>
          <w:p w14:paraId="1F447DD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58.5</w:t>
            </w:r>
          </w:p>
        </w:tc>
        <w:tc>
          <w:tcPr>
            <w:tcW w:w="851" w:type="dxa"/>
            <w:tcBorders>
              <w:top w:val="single" w:sz="4" w:space="0" w:color="auto"/>
            </w:tcBorders>
            <w:vAlign w:val="bottom"/>
          </w:tcPr>
          <w:p w14:paraId="219C7ED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4.4</w:t>
            </w:r>
          </w:p>
        </w:tc>
        <w:tc>
          <w:tcPr>
            <w:tcW w:w="1134" w:type="dxa"/>
            <w:tcBorders>
              <w:top w:val="single" w:sz="4" w:space="0" w:color="auto"/>
            </w:tcBorders>
            <w:vAlign w:val="bottom"/>
          </w:tcPr>
          <w:p w14:paraId="0BBAE0D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(25.9)</w:t>
            </w:r>
          </w:p>
        </w:tc>
        <w:tc>
          <w:tcPr>
            <w:tcW w:w="856" w:type="dxa"/>
            <w:tcBorders>
              <w:top w:val="single" w:sz="4" w:space="0" w:color="auto"/>
            </w:tcBorders>
            <w:shd w:val="clear" w:color="auto" w:fill="auto"/>
            <w:vAlign w:val="bottom"/>
          </w:tcPr>
          <w:p w14:paraId="1B51413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215.8</w:t>
            </w:r>
          </w:p>
        </w:tc>
      </w:tr>
      <w:tr w:rsidR="00323BB2" w:rsidRPr="0061063C" w14:paraId="1F466C16" w14:textId="77777777" w:rsidTr="00453AFA">
        <w:trPr>
          <w:trHeight w:val="210"/>
        </w:trPr>
        <w:tc>
          <w:tcPr>
            <w:tcW w:w="3478" w:type="dxa"/>
          </w:tcPr>
          <w:p w14:paraId="6677CB74"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Depreciation and amortisation</w:t>
            </w:r>
          </w:p>
        </w:tc>
        <w:tc>
          <w:tcPr>
            <w:tcW w:w="850" w:type="dxa"/>
            <w:shd w:val="clear" w:color="auto" w:fill="auto"/>
            <w:vAlign w:val="bottom"/>
          </w:tcPr>
          <w:p w14:paraId="1CC5162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(45.2)</w:t>
            </w:r>
          </w:p>
        </w:tc>
        <w:tc>
          <w:tcPr>
            <w:tcW w:w="1276" w:type="dxa"/>
            <w:shd w:val="clear" w:color="auto" w:fill="auto"/>
            <w:vAlign w:val="bottom"/>
          </w:tcPr>
          <w:p w14:paraId="4FF0B1E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vAlign w:val="bottom"/>
          </w:tcPr>
          <w:p w14:paraId="5FE6114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shd w:val="clear" w:color="auto" w:fill="auto"/>
            <w:vAlign w:val="bottom"/>
          </w:tcPr>
          <w:p w14:paraId="1830F41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(11.6)</w:t>
            </w:r>
          </w:p>
        </w:tc>
        <w:tc>
          <w:tcPr>
            <w:tcW w:w="851" w:type="dxa"/>
            <w:shd w:val="clear" w:color="auto" w:fill="auto"/>
            <w:vAlign w:val="bottom"/>
          </w:tcPr>
          <w:p w14:paraId="2911959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(10.1)</w:t>
            </w:r>
          </w:p>
        </w:tc>
        <w:tc>
          <w:tcPr>
            <w:tcW w:w="1134" w:type="dxa"/>
            <w:shd w:val="clear" w:color="auto" w:fill="auto"/>
            <w:vAlign w:val="bottom"/>
          </w:tcPr>
          <w:p w14:paraId="22A3826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(2.4)</w:t>
            </w:r>
          </w:p>
        </w:tc>
        <w:tc>
          <w:tcPr>
            <w:tcW w:w="856" w:type="dxa"/>
            <w:tcBorders>
              <w:bottom w:val="single" w:sz="4" w:space="0" w:color="auto"/>
            </w:tcBorders>
            <w:shd w:val="clear" w:color="auto" w:fill="auto"/>
            <w:vAlign w:val="bottom"/>
          </w:tcPr>
          <w:p w14:paraId="75CEF2D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(69.3)</w:t>
            </w:r>
          </w:p>
        </w:tc>
      </w:tr>
      <w:tr w:rsidR="00323BB2" w:rsidRPr="0061063C" w14:paraId="2AB42211" w14:textId="77777777" w:rsidTr="00453AFA">
        <w:trPr>
          <w:trHeight w:val="148"/>
        </w:trPr>
        <w:tc>
          <w:tcPr>
            <w:tcW w:w="3478" w:type="dxa"/>
            <w:tcBorders>
              <w:top w:val="single" w:sz="4" w:space="0" w:color="auto"/>
            </w:tcBorders>
          </w:tcPr>
          <w:p w14:paraId="6BAD3CF7"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Reportable segment profit / (loss) before separately disclosed items</w:t>
            </w:r>
          </w:p>
        </w:tc>
        <w:tc>
          <w:tcPr>
            <w:tcW w:w="850" w:type="dxa"/>
            <w:tcBorders>
              <w:top w:val="single" w:sz="4" w:space="0" w:color="auto"/>
            </w:tcBorders>
            <w:vAlign w:val="bottom"/>
          </w:tcPr>
          <w:p w14:paraId="7008B9A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133.6</w:t>
            </w:r>
          </w:p>
        </w:tc>
        <w:tc>
          <w:tcPr>
            <w:tcW w:w="1276" w:type="dxa"/>
            <w:tcBorders>
              <w:top w:val="single" w:sz="4" w:space="0" w:color="auto"/>
            </w:tcBorders>
            <w:shd w:val="clear" w:color="auto" w:fill="auto"/>
            <w:vAlign w:val="bottom"/>
          </w:tcPr>
          <w:p w14:paraId="19C81C0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tcBorders>
            <w:vAlign w:val="bottom"/>
          </w:tcPr>
          <w:p w14:paraId="2CE928D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tcBorders>
            <w:shd w:val="clear" w:color="auto" w:fill="auto"/>
            <w:vAlign w:val="bottom"/>
          </w:tcPr>
          <w:p w14:paraId="07CFAAB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46.9</w:t>
            </w:r>
          </w:p>
        </w:tc>
        <w:tc>
          <w:tcPr>
            <w:tcW w:w="851" w:type="dxa"/>
            <w:tcBorders>
              <w:top w:val="single" w:sz="4" w:space="0" w:color="auto"/>
            </w:tcBorders>
            <w:vAlign w:val="bottom"/>
          </w:tcPr>
          <w:p w14:paraId="44D4678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(5.7)</w:t>
            </w:r>
          </w:p>
        </w:tc>
        <w:tc>
          <w:tcPr>
            <w:tcW w:w="1134" w:type="dxa"/>
            <w:tcBorders>
              <w:top w:val="single" w:sz="4" w:space="0" w:color="auto"/>
            </w:tcBorders>
            <w:vAlign w:val="bottom"/>
          </w:tcPr>
          <w:p w14:paraId="239458F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(28.3)</w:t>
            </w:r>
          </w:p>
        </w:tc>
        <w:tc>
          <w:tcPr>
            <w:tcW w:w="856" w:type="dxa"/>
            <w:tcBorders>
              <w:top w:val="single" w:sz="4" w:space="0" w:color="auto"/>
            </w:tcBorders>
            <w:shd w:val="clear" w:color="auto" w:fill="auto"/>
            <w:vAlign w:val="bottom"/>
          </w:tcPr>
          <w:p w14:paraId="0D26F5E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146.5</w:t>
            </w:r>
          </w:p>
        </w:tc>
      </w:tr>
      <w:tr w:rsidR="00323BB2" w:rsidRPr="0061063C" w14:paraId="1363595B" w14:textId="77777777" w:rsidTr="00453AFA">
        <w:trPr>
          <w:trHeight w:val="148"/>
        </w:trPr>
        <w:tc>
          <w:tcPr>
            <w:tcW w:w="3478" w:type="dxa"/>
            <w:tcBorders>
              <w:bottom w:val="single" w:sz="4" w:space="0" w:color="auto"/>
            </w:tcBorders>
            <w:shd w:val="clear" w:color="auto" w:fill="auto"/>
          </w:tcPr>
          <w:p w14:paraId="5B8BB1C7"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Amortisation of acquisition related intangible assets (Note 5)</w:t>
            </w:r>
          </w:p>
        </w:tc>
        <w:tc>
          <w:tcPr>
            <w:tcW w:w="850" w:type="dxa"/>
            <w:tcBorders>
              <w:bottom w:val="single" w:sz="4" w:space="0" w:color="auto"/>
            </w:tcBorders>
            <w:shd w:val="clear" w:color="auto" w:fill="auto"/>
            <w:vAlign w:val="bottom"/>
          </w:tcPr>
          <w:p w14:paraId="193003B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(38.5)</w:t>
            </w:r>
          </w:p>
        </w:tc>
        <w:tc>
          <w:tcPr>
            <w:tcW w:w="1276" w:type="dxa"/>
            <w:tcBorders>
              <w:bottom w:val="single" w:sz="4" w:space="0" w:color="auto"/>
            </w:tcBorders>
            <w:shd w:val="clear" w:color="auto" w:fill="auto"/>
            <w:vAlign w:val="bottom"/>
          </w:tcPr>
          <w:p w14:paraId="620AACC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bottom w:val="single" w:sz="4" w:space="0" w:color="auto"/>
            </w:tcBorders>
            <w:vAlign w:val="bottom"/>
          </w:tcPr>
          <w:p w14:paraId="4E93952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bottom w:val="single" w:sz="4" w:space="0" w:color="auto"/>
            </w:tcBorders>
            <w:shd w:val="clear" w:color="auto" w:fill="auto"/>
            <w:vAlign w:val="bottom"/>
          </w:tcPr>
          <w:p w14:paraId="0ECDD5D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1" w:type="dxa"/>
            <w:tcBorders>
              <w:bottom w:val="single" w:sz="4" w:space="0" w:color="auto"/>
            </w:tcBorders>
            <w:shd w:val="clear" w:color="auto" w:fill="auto"/>
            <w:vAlign w:val="bottom"/>
          </w:tcPr>
          <w:p w14:paraId="0992007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(20.3)</w:t>
            </w:r>
          </w:p>
        </w:tc>
        <w:tc>
          <w:tcPr>
            <w:tcW w:w="1134" w:type="dxa"/>
            <w:tcBorders>
              <w:bottom w:val="single" w:sz="4" w:space="0" w:color="auto"/>
            </w:tcBorders>
            <w:shd w:val="clear" w:color="auto" w:fill="auto"/>
            <w:vAlign w:val="bottom"/>
          </w:tcPr>
          <w:p w14:paraId="41296B4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6" w:type="dxa"/>
            <w:tcBorders>
              <w:bottom w:val="single" w:sz="4" w:space="0" w:color="auto"/>
            </w:tcBorders>
            <w:shd w:val="clear" w:color="auto" w:fill="auto"/>
            <w:vAlign w:val="bottom"/>
          </w:tcPr>
          <w:p w14:paraId="6D05D25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(58.8)</w:t>
            </w:r>
          </w:p>
        </w:tc>
      </w:tr>
      <w:tr w:rsidR="00323BB2" w:rsidRPr="0061063C" w14:paraId="2EADD878" w14:textId="77777777" w:rsidTr="00453AFA">
        <w:trPr>
          <w:trHeight w:val="148"/>
        </w:trPr>
        <w:tc>
          <w:tcPr>
            <w:tcW w:w="3478" w:type="dxa"/>
            <w:tcBorders>
              <w:top w:val="single" w:sz="4" w:space="0" w:color="auto"/>
              <w:bottom w:val="single" w:sz="4" w:space="0" w:color="auto"/>
            </w:tcBorders>
          </w:tcPr>
          <w:p w14:paraId="6567B460" w14:textId="77777777" w:rsidR="00323BB2" w:rsidRPr="0061063C" w:rsidRDefault="00323BB2" w:rsidP="00453AFA">
            <w:pPr>
              <w:widowControl w:val="0"/>
              <w:autoSpaceDE w:val="0"/>
              <w:autoSpaceDN w:val="0"/>
              <w:adjustRightInd w:val="0"/>
              <w:ind w:left="-82"/>
              <w:rPr>
                <w:rFonts w:asciiTheme="minorHAnsi" w:hAnsiTheme="minorHAnsi"/>
                <w:sz w:val="20"/>
              </w:rPr>
            </w:pPr>
            <w:r w:rsidRPr="0061063C">
              <w:rPr>
                <w:rFonts w:asciiTheme="minorHAnsi" w:hAnsiTheme="minorHAnsi"/>
                <w:sz w:val="20"/>
              </w:rPr>
              <w:t>Operating profit</w:t>
            </w:r>
          </w:p>
        </w:tc>
        <w:tc>
          <w:tcPr>
            <w:tcW w:w="850" w:type="dxa"/>
            <w:tcBorders>
              <w:top w:val="single" w:sz="4" w:space="0" w:color="auto"/>
              <w:bottom w:val="single" w:sz="4" w:space="0" w:color="auto"/>
            </w:tcBorders>
            <w:vAlign w:val="bottom"/>
          </w:tcPr>
          <w:p w14:paraId="567FA92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95.1</w:t>
            </w:r>
          </w:p>
        </w:tc>
        <w:tc>
          <w:tcPr>
            <w:tcW w:w="1276" w:type="dxa"/>
            <w:tcBorders>
              <w:top w:val="single" w:sz="4" w:space="0" w:color="auto"/>
              <w:bottom w:val="single" w:sz="4" w:space="0" w:color="auto"/>
            </w:tcBorders>
            <w:shd w:val="clear" w:color="auto" w:fill="auto"/>
            <w:vAlign w:val="bottom"/>
          </w:tcPr>
          <w:p w14:paraId="7A8A2F8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bottom w:val="single" w:sz="4" w:space="0" w:color="auto"/>
            </w:tcBorders>
            <w:vAlign w:val="bottom"/>
          </w:tcPr>
          <w:p w14:paraId="224E953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bottom w:val="single" w:sz="4" w:space="0" w:color="auto"/>
            </w:tcBorders>
            <w:shd w:val="clear" w:color="auto" w:fill="auto"/>
            <w:vAlign w:val="bottom"/>
          </w:tcPr>
          <w:p w14:paraId="3BBEBE3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46.9</w:t>
            </w:r>
          </w:p>
        </w:tc>
        <w:tc>
          <w:tcPr>
            <w:tcW w:w="851" w:type="dxa"/>
            <w:tcBorders>
              <w:top w:val="single" w:sz="4" w:space="0" w:color="auto"/>
              <w:bottom w:val="single" w:sz="4" w:space="0" w:color="auto"/>
            </w:tcBorders>
            <w:vAlign w:val="bottom"/>
          </w:tcPr>
          <w:p w14:paraId="1F94F58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(26.0)</w:t>
            </w:r>
          </w:p>
        </w:tc>
        <w:tc>
          <w:tcPr>
            <w:tcW w:w="1134" w:type="dxa"/>
            <w:tcBorders>
              <w:top w:val="single" w:sz="4" w:space="0" w:color="auto"/>
              <w:bottom w:val="single" w:sz="4" w:space="0" w:color="auto"/>
            </w:tcBorders>
            <w:vAlign w:val="bottom"/>
          </w:tcPr>
          <w:p w14:paraId="309C7EA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(28.3)</w:t>
            </w:r>
          </w:p>
        </w:tc>
        <w:tc>
          <w:tcPr>
            <w:tcW w:w="856" w:type="dxa"/>
            <w:tcBorders>
              <w:top w:val="single" w:sz="4" w:space="0" w:color="auto"/>
              <w:bottom w:val="single" w:sz="4" w:space="0" w:color="auto"/>
            </w:tcBorders>
            <w:shd w:val="clear" w:color="auto" w:fill="auto"/>
            <w:vAlign w:val="bottom"/>
          </w:tcPr>
          <w:p w14:paraId="7EB2DBF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87.7</w:t>
            </w:r>
          </w:p>
        </w:tc>
      </w:tr>
    </w:tbl>
    <w:p w14:paraId="5E56348E" w14:textId="77777777" w:rsidR="00323BB2" w:rsidRPr="0061063C" w:rsidRDefault="00323BB2" w:rsidP="00323BB2">
      <w:pPr>
        <w:rPr>
          <w:rFonts w:asciiTheme="minorHAnsi" w:hAnsiTheme="minorHAnsi"/>
          <w:sz w:val="20"/>
          <w:szCs w:val="22"/>
          <w:lang w:val="en-IE"/>
        </w:rPr>
      </w:pPr>
    </w:p>
    <w:tbl>
      <w:tblPr>
        <w:tblpPr w:leftFromText="180" w:rightFromText="180" w:vertAnchor="text" w:horzAnchor="page" w:tblpX="481" w:tblpY="13"/>
        <w:tblW w:w="9531" w:type="dxa"/>
        <w:tblLook w:val="01E0" w:firstRow="1" w:lastRow="1" w:firstColumn="1" w:lastColumn="1" w:noHBand="0" w:noVBand="0"/>
      </w:tblPr>
      <w:tblGrid>
        <w:gridCol w:w="358"/>
        <w:gridCol w:w="9173"/>
      </w:tblGrid>
      <w:tr w:rsidR="00323BB2" w:rsidRPr="0061063C" w14:paraId="59E07373" w14:textId="77777777" w:rsidTr="00453AFA">
        <w:trPr>
          <w:trHeight w:val="694"/>
        </w:trPr>
        <w:tc>
          <w:tcPr>
            <w:tcW w:w="358" w:type="dxa"/>
            <w:shd w:val="clear" w:color="auto" w:fill="auto"/>
          </w:tcPr>
          <w:p w14:paraId="2C2B17EF" w14:textId="77777777" w:rsidR="00323BB2" w:rsidRPr="0061063C" w:rsidRDefault="00323BB2" w:rsidP="00453AFA">
            <w:pPr>
              <w:widowControl w:val="0"/>
              <w:autoSpaceDE w:val="0"/>
              <w:autoSpaceDN w:val="0"/>
              <w:adjustRightInd w:val="0"/>
              <w:ind w:hanging="108"/>
              <w:rPr>
                <w:rFonts w:asciiTheme="minorHAnsi" w:hAnsiTheme="minorHAnsi"/>
                <w:sz w:val="18"/>
              </w:rPr>
            </w:pPr>
            <w:r w:rsidRPr="0061063C">
              <w:rPr>
                <w:rFonts w:asciiTheme="minorHAnsi" w:hAnsiTheme="minorHAnsi"/>
                <w:sz w:val="18"/>
              </w:rPr>
              <w:t>1</w:t>
            </w:r>
          </w:p>
        </w:tc>
        <w:tc>
          <w:tcPr>
            <w:tcW w:w="9173" w:type="dxa"/>
            <w:shd w:val="clear" w:color="auto" w:fill="auto"/>
          </w:tcPr>
          <w:p w14:paraId="0C41F854" w14:textId="77777777" w:rsidR="00323BB2" w:rsidRPr="0061063C" w:rsidRDefault="00323BB2" w:rsidP="00453AFA">
            <w:pPr>
              <w:widowControl w:val="0"/>
              <w:autoSpaceDE w:val="0"/>
              <w:autoSpaceDN w:val="0"/>
              <w:adjustRightInd w:val="0"/>
              <w:ind w:left="-108"/>
              <w:rPr>
                <w:rFonts w:asciiTheme="minorHAnsi" w:hAnsiTheme="minorHAnsi"/>
                <w:sz w:val="18"/>
              </w:rPr>
            </w:pPr>
            <w:r w:rsidRPr="0061063C">
              <w:rPr>
                <w:rFonts w:asciiTheme="minorHAnsi" w:hAnsiTheme="minorHAnsi"/>
                <w:sz w:val="18"/>
                <w:lang w:val="en-IE" w:eastAsia="en-IE"/>
              </w:rPr>
              <w:t>Adjusted EBITDA which is a non-GAAP measure in the above segment note is defined as profit for the period before separately disclosed items, depreciation, amortisation and impairment, financial income, financial expense and tax expense / credit. It is considered by the Directors to be a key measure of the Group’s financial performance.</w:t>
            </w:r>
          </w:p>
        </w:tc>
      </w:tr>
      <w:tr w:rsidR="00323BB2" w:rsidRPr="0061063C" w14:paraId="10EC94CF" w14:textId="77777777" w:rsidTr="00453AFA">
        <w:tc>
          <w:tcPr>
            <w:tcW w:w="358" w:type="dxa"/>
            <w:shd w:val="clear" w:color="auto" w:fill="auto"/>
          </w:tcPr>
          <w:p w14:paraId="12B9E0D1" w14:textId="77777777" w:rsidR="00323BB2" w:rsidRPr="0061063C" w:rsidRDefault="00323BB2" w:rsidP="00453AFA">
            <w:pPr>
              <w:widowControl w:val="0"/>
              <w:autoSpaceDE w:val="0"/>
              <w:autoSpaceDN w:val="0"/>
              <w:adjustRightInd w:val="0"/>
              <w:ind w:hanging="108"/>
              <w:rPr>
                <w:rFonts w:asciiTheme="minorHAnsi" w:hAnsiTheme="minorHAnsi"/>
                <w:sz w:val="18"/>
              </w:rPr>
            </w:pPr>
            <w:r w:rsidRPr="0061063C">
              <w:rPr>
                <w:rFonts w:asciiTheme="minorHAnsi" w:hAnsiTheme="minorHAnsi"/>
                <w:sz w:val="18"/>
              </w:rPr>
              <w:t>2</w:t>
            </w:r>
          </w:p>
        </w:tc>
        <w:tc>
          <w:tcPr>
            <w:tcW w:w="9173" w:type="dxa"/>
            <w:shd w:val="clear" w:color="auto" w:fill="auto"/>
          </w:tcPr>
          <w:p w14:paraId="7FF263D3" w14:textId="77777777" w:rsidR="00323BB2" w:rsidRPr="0061063C" w:rsidRDefault="00323BB2" w:rsidP="00453AFA">
            <w:pPr>
              <w:widowControl w:val="0"/>
              <w:autoSpaceDE w:val="0"/>
              <w:autoSpaceDN w:val="0"/>
              <w:adjustRightInd w:val="0"/>
              <w:ind w:left="-108"/>
              <w:rPr>
                <w:rFonts w:asciiTheme="minorHAnsi" w:hAnsiTheme="minorHAnsi"/>
                <w:sz w:val="18"/>
                <w:lang w:val="en-IE" w:eastAsia="en-IE"/>
              </w:rPr>
            </w:pPr>
            <w:r w:rsidRPr="0061063C">
              <w:rPr>
                <w:rFonts w:asciiTheme="minorHAnsi" w:hAnsiTheme="minorHAnsi"/>
                <w:sz w:val="18"/>
                <w:lang w:val="en-IE" w:eastAsia="en-IE"/>
              </w:rPr>
              <w:t>The Group does not allocate Combination fees and associated costs and restructuring and integration costs to reportable segments.</w:t>
            </w:r>
          </w:p>
        </w:tc>
      </w:tr>
    </w:tbl>
    <w:p w14:paraId="5F15861D" w14:textId="77777777" w:rsidR="00323BB2" w:rsidRPr="0061063C" w:rsidRDefault="00323BB2" w:rsidP="00323BB2">
      <w:pPr>
        <w:rPr>
          <w:rFonts w:asciiTheme="minorHAnsi" w:hAnsiTheme="minorHAnsi"/>
          <w:sz w:val="22"/>
          <w:szCs w:val="22"/>
          <w:lang w:val="en-IE"/>
        </w:rPr>
      </w:pPr>
    </w:p>
    <w:p w14:paraId="57C6FA39" w14:textId="77777777" w:rsidR="00323BB2" w:rsidRPr="0061063C" w:rsidRDefault="00323BB2" w:rsidP="00323BB2">
      <w:pPr>
        <w:rPr>
          <w:rFonts w:asciiTheme="minorHAnsi" w:hAnsiTheme="minorHAnsi"/>
          <w:b/>
          <w:sz w:val="22"/>
          <w:szCs w:val="22"/>
        </w:rPr>
      </w:pPr>
      <w:r w:rsidRPr="0061063C">
        <w:rPr>
          <w:rFonts w:asciiTheme="minorHAnsi" w:hAnsiTheme="minorHAnsi"/>
          <w:b/>
          <w:sz w:val="22"/>
          <w:szCs w:val="22"/>
        </w:rPr>
        <w:br w:type="page"/>
      </w:r>
    </w:p>
    <w:p w14:paraId="077A47EF"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lastRenderedPageBreak/>
        <w:t>4. Operating segments (continued)</w:t>
      </w:r>
    </w:p>
    <w:p w14:paraId="79264C86" w14:textId="77777777" w:rsidR="00323BB2" w:rsidRPr="0061063C" w:rsidRDefault="00323BB2" w:rsidP="00323BB2">
      <w:pPr>
        <w:spacing w:line="260" w:lineRule="exact"/>
        <w:ind w:hanging="426"/>
        <w:rPr>
          <w:rFonts w:asciiTheme="minorHAnsi" w:hAnsiTheme="minorHAnsi"/>
          <w:b/>
          <w:sz w:val="12"/>
          <w:szCs w:val="12"/>
        </w:rPr>
      </w:pPr>
    </w:p>
    <w:p w14:paraId="4D52B36E" w14:textId="77777777" w:rsidR="00323BB2" w:rsidRPr="0061063C" w:rsidRDefault="00323BB2" w:rsidP="00323BB2">
      <w:pPr>
        <w:spacing w:line="260" w:lineRule="exact"/>
        <w:rPr>
          <w:rFonts w:asciiTheme="minorHAnsi" w:hAnsiTheme="minorHAnsi"/>
          <w:b/>
          <w:sz w:val="20"/>
        </w:rPr>
      </w:pPr>
      <w:r w:rsidRPr="0061063C">
        <w:rPr>
          <w:rFonts w:asciiTheme="minorHAnsi" w:hAnsiTheme="minorHAnsi"/>
          <w:b/>
          <w:sz w:val="20"/>
        </w:rPr>
        <w:t>Reconciliation of reportable segments to Group totals:</w:t>
      </w:r>
    </w:p>
    <w:tbl>
      <w:tblPr>
        <w:tblW w:w="9957" w:type="dxa"/>
        <w:tblInd w:w="108" w:type="dxa"/>
        <w:tblLayout w:type="fixed"/>
        <w:tblLook w:val="01E0" w:firstRow="1" w:lastRow="1" w:firstColumn="1" w:lastColumn="1" w:noHBand="0" w:noVBand="0"/>
      </w:tblPr>
      <w:tblGrid>
        <w:gridCol w:w="5846"/>
        <w:gridCol w:w="1701"/>
        <w:gridCol w:w="2410"/>
      </w:tblGrid>
      <w:tr w:rsidR="00323BB2" w:rsidRPr="0061063C" w14:paraId="072FB67A" w14:textId="77777777" w:rsidTr="00453AFA">
        <w:trPr>
          <w:trHeight w:val="169"/>
        </w:trPr>
        <w:tc>
          <w:tcPr>
            <w:tcW w:w="5846" w:type="dxa"/>
            <w:tcBorders>
              <w:top w:val="single" w:sz="4" w:space="0" w:color="auto"/>
            </w:tcBorders>
            <w:shd w:val="clear" w:color="auto" w:fill="auto"/>
          </w:tcPr>
          <w:p w14:paraId="78BA5B73" w14:textId="77777777" w:rsidR="00323BB2" w:rsidRPr="0061063C" w:rsidRDefault="00323BB2" w:rsidP="00453AFA">
            <w:pPr>
              <w:widowControl w:val="0"/>
              <w:autoSpaceDE w:val="0"/>
              <w:autoSpaceDN w:val="0"/>
              <w:adjustRightInd w:val="0"/>
              <w:rPr>
                <w:rFonts w:asciiTheme="minorHAnsi" w:hAnsiTheme="minorHAnsi"/>
                <w:sz w:val="20"/>
              </w:rPr>
            </w:pPr>
          </w:p>
        </w:tc>
        <w:tc>
          <w:tcPr>
            <w:tcW w:w="1701" w:type="dxa"/>
            <w:tcBorders>
              <w:top w:val="single" w:sz="4" w:space="0" w:color="auto"/>
            </w:tcBorders>
            <w:shd w:val="clear" w:color="auto" w:fill="auto"/>
          </w:tcPr>
          <w:p w14:paraId="2053387A" w14:textId="77777777" w:rsidR="00323BB2" w:rsidRPr="0061063C" w:rsidRDefault="00323BB2" w:rsidP="00453AFA">
            <w:pPr>
              <w:widowControl w:val="0"/>
              <w:autoSpaceDE w:val="0"/>
              <w:autoSpaceDN w:val="0"/>
              <w:adjustRightInd w:val="0"/>
              <w:jc w:val="center"/>
              <w:rPr>
                <w:rFonts w:asciiTheme="minorHAnsi" w:hAnsiTheme="minorHAnsi"/>
                <w:b/>
                <w:sz w:val="20"/>
              </w:rPr>
            </w:pPr>
            <w:r w:rsidRPr="0061063C">
              <w:rPr>
                <w:rFonts w:asciiTheme="minorHAnsi" w:hAnsiTheme="minorHAnsi"/>
                <w:b/>
                <w:sz w:val="20"/>
              </w:rPr>
              <w:t>Six months ended</w:t>
            </w:r>
          </w:p>
          <w:p w14:paraId="33AA50C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30 June 2020</w:t>
            </w:r>
          </w:p>
        </w:tc>
        <w:tc>
          <w:tcPr>
            <w:tcW w:w="2410" w:type="dxa"/>
            <w:tcBorders>
              <w:top w:val="single" w:sz="4" w:space="0" w:color="auto"/>
            </w:tcBorders>
          </w:tcPr>
          <w:p w14:paraId="27EA8FF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Six months ended</w:t>
            </w:r>
          </w:p>
          <w:p w14:paraId="6CA1686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30 June 2019</w:t>
            </w:r>
          </w:p>
        </w:tc>
      </w:tr>
      <w:tr w:rsidR="00323BB2" w:rsidRPr="0061063C" w14:paraId="7E51FC36" w14:textId="77777777" w:rsidTr="00453AFA">
        <w:trPr>
          <w:trHeight w:val="188"/>
        </w:trPr>
        <w:tc>
          <w:tcPr>
            <w:tcW w:w="5846" w:type="dxa"/>
            <w:tcBorders>
              <w:bottom w:val="single" w:sz="4" w:space="0" w:color="auto"/>
            </w:tcBorders>
            <w:shd w:val="clear" w:color="auto" w:fill="auto"/>
          </w:tcPr>
          <w:p w14:paraId="4C78257C" w14:textId="77777777" w:rsidR="00323BB2" w:rsidRPr="0061063C" w:rsidRDefault="00323BB2" w:rsidP="00453AFA">
            <w:pPr>
              <w:widowControl w:val="0"/>
              <w:autoSpaceDE w:val="0"/>
              <w:autoSpaceDN w:val="0"/>
              <w:adjustRightInd w:val="0"/>
              <w:rPr>
                <w:rFonts w:asciiTheme="minorHAnsi" w:hAnsiTheme="minorHAnsi"/>
                <w:sz w:val="20"/>
              </w:rPr>
            </w:pPr>
          </w:p>
        </w:tc>
        <w:tc>
          <w:tcPr>
            <w:tcW w:w="1701" w:type="dxa"/>
            <w:tcBorders>
              <w:bottom w:val="single" w:sz="4" w:space="0" w:color="auto"/>
            </w:tcBorders>
            <w:shd w:val="clear" w:color="auto" w:fill="auto"/>
          </w:tcPr>
          <w:p w14:paraId="3842E49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2410" w:type="dxa"/>
            <w:tcBorders>
              <w:bottom w:val="single" w:sz="4" w:space="0" w:color="auto"/>
            </w:tcBorders>
          </w:tcPr>
          <w:p w14:paraId="7948F0F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r>
      <w:tr w:rsidR="00323BB2" w:rsidRPr="0061063C" w14:paraId="6D940908" w14:textId="77777777" w:rsidTr="00453AFA">
        <w:trPr>
          <w:trHeight w:val="196"/>
        </w:trPr>
        <w:tc>
          <w:tcPr>
            <w:tcW w:w="5846" w:type="dxa"/>
            <w:tcBorders>
              <w:top w:val="single" w:sz="4" w:space="0" w:color="auto"/>
            </w:tcBorders>
            <w:shd w:val="clear" w:color="auto" w:fill="auto"/>
          </w:tcPr>
          <w:p w14:paraId="2A45AFCF" w14:textId="77777777" w:rsidR="00323BB2" w:rsidRPr="0061063C" w:rsidRDefault="00323BB2" w:rsidP="00453AFA">
            <w:pPr>
              <w:widowControl w:val="0"/>
              <w:autoSpaceDE w:val="0"/>
              <w:autoSpaceDN w:val="0"/>
              <w:adjustRightInd w:val="0"/>
              <w:ind w:left="-90"/>
              <w:jc w:val="both"/>
              <w:rPr>
                <w:rFonts w:asciiTheme="minorHAnsi" w:hAnsiTheme="minorHAnsi"/>
                <w:b/>
                <w:sz w:val="20"/>
              </w:rPr>
            </w:pPr>
            <w:r w:rsidRPr="0061063C">
              <w:rPr>
                <w:rFonts w:asciiTheme="minorHAnsi" w:hAnsiTheme="minorHAnsi"/>
                <w:b/>
                <w:sz w:val="20"/>
              </w:rPr>
              <w:t>Revenue</w:t>
            </w:r>
          </w:p>
        </w:tc>
        <w:tc>
          <w:tcPr>
            <w:tcW w:w="1701" w:type="dxa"/>
            <w:tcBorders>
              <w:top w:val="single" w:sz="4" w:space="0" w:color="auto"/>
            </w:tcBorders>
            <w:shd w:val="clear" w:color="auto" w:fill="auto"/>
          </w:tcPr>
          <w:p w14:paraId="4E766C58"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2410" w:type="dxa"/>
            <w:tcBorders>
              <w:top w:val="single" w:sz="4" w:space="0" w:color="auto"/>
            </w:tcBorders>
          </w:tcPr>
          <w:p w14:paraId="30274522"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56A6B414" w14:textId="77777777" w:rsidTr="00453AFA">
        <w:trPr>
          <w:trHeight w:val="207"/>
        </w:trPr>
        <w:tc>
          <w:tcPr>
            <w:tcW w:w="5846" w:type="dxa"/>
            <w:shd w:val="clear" w:color="auto" w:fill="auto"/>
          </w:tcPr>
          <w:p w14:paraId="632B7662" w14:textId="77777777" w:rsidR="00323BB2" w:rsidRPr="0061063C" w:rsidRDefault="00323BB2" w:rsidP="00453AFA">
            <w:pPr>
              <w:ind w:left="-90"/>
              <w:rPr>
                <w:rFonts w:asciiTheme="minorHAnsi" w:hAnsiTheme="minorHAnsi"/>
                <w:sz w:val="20"/>
              </w:rPr>
            </w:pPr>
            <w:r w:rsidRPr="0061063C">
              <w:rPr>
                <w:rFonts w:asciiTheme="minorHAnsi" w:hAnsiTheme="minorHAnsi"/>
                <w:sz w:val="20"/>
              </w:rPr>
              <w:t>Total revenue from reportable segments, being total Group revenue before VAT refund</w:t>
            </w:r>
          </w:p>
        </w:tc>
        <w:tc>
          <w:tcPr>
            <w:tcW w:w="1701" w:type="dxa"/>
            <w:shd w:val="clear" w:color="auto" w:fill="auto"/>
          </w:tcPr>
          <w:p w14:paraId="15697ED2"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0B33036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1,522.4</w:t>
            </w:r>
          </w:p>
        </w:tc>
        <w:tc>
          <w:tcPr>
            <w:tcW w:w="2410" w:type="dxa"/>
            <w:shd w:val="clear" w:color="auto" w:fill="auto"/>
          </w:tcPr>
          <w:p w14:paraId="3F153F7C"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2D31481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1,019.9</w:t>
            </w:r>
          </w:p>
        </w:tc>
      </w:tr>
      <w:tr w:rsidR="00323BB2" w:rsidRPr="0061063C" w14:paraId="2B1D3B6A" w14:textId="77777777" w:rsidTr="00453AFA">
        <w:trPr>
          <w:trHeight w:val="207"/>
        </w:trPr>
        <w:tc>
          <w:tcPr>
            <w:tcW w:w="5846" w:type="dxa"/>
            <w:tcBorders>
              <w:bottom w:val="single" w:sz="4" w:space="0" w:color="auto"/>
            </w:tcBorders>
            <w:shd w:val="clear" w:color="auto" w:fill="auto"/>
          </w:tcPr>
          <w:p w14:paraId="54573F6D" w14:textId="77777777" w:rsidR="00323BB2" w:rsidRPr="0061063C" w:rsidRDefault="00323BB2" w:rsidP="00453AFA">
            <w:pPr>
              <w:ind w:left="-90"/>
              <w:rPr>
                <w:rFonts w:asciiTheme="minorHAnsi" w:hAnsiTheme="minorHAnsi"/>
                <w:sz w:val="20"/>
              </w:rPr>
            </w:pPr>
            <w:r w:rsidRPr="0061063C">
              <w:rPr>
                <w:rFonts w:asciiTheme="minorHAnsi" w:hAnsiTheme="minorHAnsi"/>
                <w:sz w:val="20"/>
              </w:rPr>
              <w:t>VAT refund</w:t>
            </w:r>
          </w:p>
        </w:tc>
        <w:tc>
          <w:tcPr>
            <w:tcW w:w="1701" w:type="dxa"/>
            <w:tcBorders>
              <w:bottom w:val="single" w:sz="4" w:space="0" w:color="auto"/>
            </w:tcBorders>
            <w:shd w:val="clear" w:color="auto" w:fill="auto"/>
          </w:tcPr>
          <w:p w14:paraId="3229227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13.7</w:t>
            </w:r>
          </w:p>
        </w:tc>
        <w:tc>
          <w:tcPr>
            <w:tcW w:w="2410" w:type="dxa"/>
            <w:tcBorders>
              <w:bottom w:val="single" w:sz="4" w:space="0" w:color="auto"/>
            </w:tcBorders>
            <w:shd w:val="clear" w:color="auto" w:fill="auto"/>
          </w:tcPr>
          <w:p w14:paraId="6F1C48A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r>
      <w:tr w:rsidR="00323BB2" w:rsidRPr="0061063C" w14:paraId="2BA5C671" w14:textId="77777777" w:rsidTr="00453AFA">
        <w:trPr>
          <w:trHeight w:val="207"/>
        </w:trPr>
        <w:tc>
          <w:tcPr>
            <w:tcW w:w="5846" w:type="dxa"/>
            <w:tcBorders>
              <w:bottom w:val="single" w:sz="4" w:space="0" w:color="auto"/>
            </w:tcBorders>
            <w:shd w:val="clear" w:color="auto" w:fill="auto"/>
          </w:tcPr>
          <w:p w14:paraId="1B7D2342" w14:textId="77777777" w:rsidR="00323BB2" w:rsidRPr="0061063C" w:rsidRDefault="00323BB2" w:rsidP="00453AFA">
            <w:pPr>
              <w:ind w:left="-90"/>
              <w:rPr>
                <w:rFonts w:asciiTheme="minorHAnsi" w:hAnsiTheme="minorHAnsi"/>
                <w:sz w:val="20"/>
              </w:rPr>
            </w:pPr>
            <w:r w:rsidRPr="0061063C">
              <w:rPr>
                <w:rFonts w:asciiTheme="minorHAnsi" w:hAnsiTheme="minorHAnsi"/>
                <w:sz w:val="20"/>
              </w:rPr>
              <w:t>Total revenue from reportable segments, being total Group revenue</w:t>
            </w:r>
          </w:p>
        </w:tc>
        <w:tc>
          <w:tcPr>
            <w:tcW w:w="1701" w:type="dxa"/>
            <w:tcBorders>
              <w:bottom w:val="single" w:sz="4" w:space="0" w:color="auto"/>
            </w:tcBorders>
            <w:shd w:val="clear" w:color="auto" w:fill="auto"/>
          </w:tcPr>
          <w:p w14:paraId="2ABE54F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1,536.1</w:t>
            </w:r>
          </w:p>
        </w:tc>
        <w:tc>
          <w:tcPr>
            <w:tcW w:w="2410" w:type="dxa"/>
            <w:tcBorders>
              <w:bottom w:val="single" w:sz="4" w:space="0" w:color="auto"/>
            </w:tcBorders>
            <w:shd w:val="clear" w:color="auto" w:fill="auto"/>
          </w:tcPr>
          <w:p w14:paraId="62CE9E8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1019.9</w:t>
            </w:r>
          </w:p>
        </w:tc>
      </w:tr>
      <w:tr w:rsidR="00323BB2" w:rsidRPr="0061063C" w14:paraId="7E783F02" w14:textId="77777777" w:rsidTr="00453AFA">
        <w:trPr>
          <w:trHeight w:val="207"/>
        </w:trPr>
        <w:tc>
          <w:tcPr>
            <w:tcW w:w="5846" w:type="dxa"/>
            <w:tcBorders>
              <w:top w:val="single" w:sz="4" w:space="0" w:color="auto"/>
            </w:tcBorders>
            <w:shd w:val="clear" w:color="auto" w:fill="auto"/>
          </w:tcPr>
          <w:p w14:paraId="11BAA582" w14:textId="77777777" w:rsidR="00323BB2" w:rsidRPr="0061063C" w:rsidRDefault="00323BB2" w:rsidP="00453AFA">
            <w:pPr>
              <w:ind w:left="-90"/>
              <w:rPr>
                <w:rFonts w:asciiTheme="minorHAnsi" w:hAnsiTheme="minorHAnsi"/>
                <w:b/>
                <w:sz w:val="20"/>
              </w:rPr>
            </w:pPr>
            <w:r w:rsidRPr="0061063C">
              <w:rPr>
                <w:rFonts w:asciiTheme="minorHAnsi" w:hAnsiTheme="minorHAnsi"/>
                <w:b/>
                <w:sz w:val="20"/>
              </w:rPr>
              <w:t>Profit and loss</w:t>
            </w:r>
          </w:p>
        </w:tc>
        <w:tc>
          <w:tcPr>
            <w:tcW w:w="1701" w:type="dxa"/>
            <w:tcBorders>
              <w:top w:val="single" w:sz="4" w:space="0" w:color="auto"/>
            </w:tcBorders>
            <w:shd w:val="clear" w:color="auto" w:fill="auto"/>
          </w:tcPr>
          <w:p w14:paraId="406C3881"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2410" w:type="dxa"/>
            <w:tcBorders>
              <w:top w:val="single" w:sz="4" w:space="0" w:color="auto"/>
            </w:tcBorders>
            <w:shd w:val="clear" w:color="auto" w:fill="auto"/>
          </w:tcPr>
          <w:p w14:paraId="12C08342"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4AC33DFD" w14:textId="77777777" w:rsidTr="00453AFA">
        <w:trPr>
          <w:trHeight w:val="206"/>
        </w:trPr>
        <w:tc>
          <w:tcPr>
            <w:tcW w:w="5846" w:type="dxa"/>
            <w:shd w:val="clear" w:color="auto" w:fill="auto"/>
          </w:tcPr>
          <w:p w14:paraId="66162D3B" w14:textId="77777777" w:rsidR="00323BB2" w:rsidRPr="0061063C" w:rsidRDefault="00323BB2" w:rsidP="00453AFA">
            <w:pPr>
              <w:ind w:left="-90"/>
              <w:rPr>
                <w:rFonts w:asciiTheme="minorHAnsi" w:hAnsiTheme="minorHAnsi"/>
                <w:sz w:val="20"/>
              </w:rPr>
            </w:pPr>
            <w:r w:rsidRPr="0061063C">
              <w:rPr>
                <w:rFonts w:asciiTheme="minorHAnsi" w:hAnsiTheme="minorHAnsi"/>
                <w:sz w:val="20"/>
              </w:rPr>
              <w:t>Operating profit</w:t>
            </w:r>
          </w:p>
        </w:tc>
        <w:tc>
          <w:tcPr>
            <w:tcW w:w="1701" w:type="dxa"/>
            <w:shd w:val="clear" w:color="auto" w:fill="auto"/>
          </w:tcPr>
          <w:p w14:paraId="7BD213D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67.8</w:t>
            </w:r>
          </w:p>
        </w:tc>
        <w:tc>
          <w:tcPr>
            <w:tcW w:w="2410" w:type="dxa"/>
            <w:shd w:val="clear" w:color="auto" w:fill="auto"/>
          </w:tcPr>
          <w:p w14:paraId="4550E08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87.7</w:t>
            </w:r>
          </w:p>
        </w:tc>
      </w:tr>
      <w:tr w:rsidR="00323BB2" w:rsidRPr="0061063C" w14:paraId="21AEAB98" w14:textId="77777777" w:rsidTr="00453AFA">
        <w:trPr>
          <w:trHeight w:val="123"/>
        </w:trPr>
        <w:tc>
          <w:tcPr>
            <w:tcW w:w="5846" w:type="dxa"/>
            <w:shd w:val="clear" w:color="auto" w:fill="auto"/>
          </w:tcPr>
          <w:p w14:paraId="3F2DF8AA" w14:textId="77777777" w:rsidR="00323BB2" w:rsidRPr="0061063C" w:rsidRDefault="00323BB2" w:rsidP="00453AFA">
            <w:pPr>
              <w:ind w:left="-90"/>
              <w:rPr>
                <w:rFonts w:asciiTheme="minorHAnsi" w:hAnsiTheme="minorHAnsi"/>
                <w:i/>
                <w:sz w:val="20"/>
              </w:rPr>
            </w:pPr>
            <w:r w:rsidRPr="0061063C">
              <w:rPr>
                <w:rFonts w:asciiTheme="minorHAnsi" w:hAnsiTheme="minorHAnsi"/>
                <w:i/>
                <w:sz w:val="20"/>
              </w:rPr>
              <w:t>Unallocated amounts:</w:t>
            </w:r>
          </w:p>
        </w:tc>
        <w:tc>
          <w:tcPr>
            <w:tcW w:w="1701" w:type="dxa"/>
            <w:shd w:val="clear" w:color="auto" w:fill="auto"/>
          </w:tcPr>
          <w:p w14:paraId="61A95EDB"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2410" w:type="dxa"/>
            <w:shd w:val="clear" w:color="auto" w:fill="auto"/>
          </w:tcPr>
          <w:p w14:paraId="39A8F43D"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73803FED" w14:textId="77777777" w:rsidTr="00453AFA">
        <w:trPr>
          <w:trHeight w:val="225"/>
        </w:trPr>
        <w:tc>
          <w:tcPr>
            <w:tcW w:w="5846" w:type="dxa"/>
            <w:shd w:val="clear" w:color="auto" w:fill="auto"/>
          </w:tcPr>
          <w:p w14:paraId="44F99B1E" w14:textId="77777777" w:rsidR="00323BB2" w:rsidRPr="0061063C" w:rsidRDefault="00323BB2" w:rsidP="00453AFA">
            <w:pPr>
              <w:ind w:left="-90"/>
              <w:rPr>
                <w:rFonts w:asciiTheme="minorHAnsi" w:hAnsiTheme="minorHAnsi"/>
                <w:sz w:val="20"/>
                <w:lang w:val="it-IT"/>
              </w:rPr>
            </w:pPr>
            <w:r w:rsidRPr="0061063C">
              <w:rPr>
                <w:rFonts w:asciiTheme="minorHAnsi" w:hAnsiTheme="minorHAnsi"/>
                <w:sz w:val="20"/>
                <w:lang w:val="it-IT"/>
              </w:rPr>
              <w:t xml:space="preserve">Financial income </w:t>
            </w:r>
          </w:p>
        </w:tc>
        <w:tc>
          <w:tcPr>
            <w:tcW w:w="1701" w:type="dxa"/>
            <w:shd w:val="clear" w:color="auto" w:fill="auto"/>
          </w:tcPr>
          <w:p w14:paraId="36C0B0E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49.6</w:t>
            </w:r>
          </w:p>
        </w:tc>
        <w:tc>
          <w:tcPr>
            <w:tcW w:w="2410" w:type="dxa"/>
            <w:shd w:val="clear" w:color="auto" w:fill="auto"/>
          </w:tcPr>
          <w:p w14:paraId="194E7F8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0.4</w:t>
            </w:r>
          </w:p>
        </w:tc>
      </w:tr>
      <w:tr w:rsidR="00323BB2" w:rsidRPr="0061063C" w14:paraId="528E6054" w14:textId="77777777" w:rsidTr="00453AFA">
        <w:trPr>
          <w:trHeight w:val="123"/>
        </w:trPr>
        <w:tc>
          <w:tcPr>
            <w:tcW w:w="5846" w:type="dxa"/>
            <w:shd w:val="clear" w:color="auto" w:fill="auto"/>
          </w:tcPr>
          <w:p w14:paraId="1A216308" w14:textId="77777777" w:rsidR="00323BB2" w:rsidRPr="0061063C" w:rsidRDefault="00323BB2" w:rsidP="00453AFA">
            <w:pPr>
              <w:ind w:left="-90"/>
              <w:rPr>
                <w:rFonts w:asciiTheme="minorHAnsi" w:hAnsiTheme="minorHAnsi"/>
                <w:sz w:val="20"/>
              </w:rPr>
            </w:pPr>
            <w:r w:rsidRPr="0061063C">
              <w:rPr>
                <w:rFonts w:asciiTheme="minorHAnsi" w:hAnsiTheme="minorHAnsi"/>
                <w:sz w:val="20"/>
              </w:rPr>
              <w:t>Financial expense</w:t>
            </w:r>
          </w:p>
        </w:tc>
        <w:tc>
          <w:tcPr>
            <w:tcW w:w="1701" w:type="dxa"/>
            <w:shd w:val="clear" w:color="auto" w:fill="auto"/>
          </w:tcPr>
          <w:p w14:paraId="0DE0EE2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(93.4)</w:t>
            </w:r>
          </w:p>
        </w:tc>
        <w:tc>
          <w:tcPr>
            <w:tcW w:w="2410" w:type="dxa"/>
            <w:shd w:val="clear" w:color="auto" w:fill="auto"/>
          </w:tcPr>
          <w:p w14:paraId="091DAD4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(7.1)</w:t>
            </w:r>
          </w:p>
        </w:tc>
      </w:tr>
      <w:tr w:rsidR="00323BB2" w:rsidRPr="0061063C" w14:paraId="08BA696B" w14:textId="77777777" w:rsidTr="00453AFA">
        <w:trPr>
          <w:trHeight w:val="123"/>
        </w:trPr>
        <w:tc>
          <w:tcPr>
            <w:tcW w:w="5846" w:type="dxa"/>
            <w:tcBorders>
              <w:top w:val="single" w:sz="4" w:space="0" w:color="auto"/>
              <w:bottom w:val="single" w:sz="4" w:space="0" w:color="auto"/>
            </w:tcBorders>
            <w:shd w:val="clear" w:color="auto" w:fill="auto"/>
          </w:tcPr>
          <w:p w14:paraId="3B124BEF" w14:textId="77777777" w:rsidR="00323BB2" w:rsidRPr="0061063C" w:rsidRDefault="00323BB2" w:rsidP="00453AFA">
            <w:pPr>
              <w:ind w:left="-90"/>
              <w:rPr>
                <w:rFonts w:asciiTheme="minorHAnsi" w:hAnsiTheme="minorHAnsi"/>
                <w:sz w:val="20"/>
              </w:rPr>
            </w:pPr>
            <w:r w:rsidRPr="0061063C">
              <w:rPr>
                <w:rFonts w:asciiTheme="minorHAnsi" w:hAnsiTheme="minorHAnsi"/>
                <w:sz w:val="20"/>
              </w:rPr>
              <w:t>Profit before tax</w:t>
            </w:r>
          </w:p>
        </w:tc>
        <w:tc>
          <w:tcPr>
            <w:tcW w:w="1701" w:type="dxa"/>
            <w:tcBorders>
              <w:top w:val="single" w:sz="4" w:space="0" w:color="auto"/>
              <w:bottom w:val="single" w:sz="4" w:space="0" w:color="auto"/>
            </w:tcBorders>
            <w:shd w:val="clear" w:color="auto" w:fill="auto"/>
          </w:tcPr>
          <w:p w14:paraId="47F7EC5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24.0</w:t>
            </w:r>
          </w:p>
        </w:tc>
        <w:tc>
          <w:tcPr>
            <w:tcW w:w="2410" w:type="dxa"/>
            <w:tcBorders>
              <w:top w:val="single" w:sz="4" w:space="0" w:color="auto"/>
              <w:bottom w:val="single" w:sz="4" w:space="0" w:color="auto"/>
            </w:tcBorders>
            <w:shd w:val="clear" w:color="auto" w:fill="auto"/>
          </w:tcPr>
          <w:p w14:paraId="0D336BC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81.0</w:t>
            </w:r>
          </w:p>
        </w:tc>
      </w:tr>
    </w:tbl>
    <w:p w14:paraId="726AE338" w14:textId="77777777" w:rsidR="00323BB2" w:rsidRPr="0061063C" w:rsidRDefault="00323BB2" w:rsidP="00323BB2">
      <w:pPr>
        <w:widowControl w:val="0"/>
        <w:autoSpaceDE w:val="0"/>
        <w:autoSpaceDN w:val="0"/>
        <w:adjustRightInd w:val="0"/>
        <w:rPr>
          <w:rFonts w:asciiTheme="minorHAnsi" w:hAnsiTheme="minorHAnsi"/>
          <w:sz w:val="12"/>
          <w:szCs w:val="12"/>
        </w:rPr>
      </w:pPr>
    </w:p>
    <w:p w14:paraId="099BC1C6"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t>Disaggregation of revenue under IFRS 15</w:t>
      </w:r>
    </w:p>
    <w:p w14:paraId="37658818" w14:textId="77777777" w:rsidR="00323BB2" w:rsidRPr="0061063C" w:rsidRDefault="00323BB2" w:rsidP="00323BB2">
      <w:pPr>
        <w:ind w:right="-287"/>
        <w:rPr>
          <w:rFonts w:asciiTheme="minorHAnsi" w:hAnsiTheme="minorHAnsi"/>
          <w:sz w:val="20"/>
          <w:lang w:val="en-IE"/>
        </w:rPr>
      </w:pPr>
      <w:r w:rsidRPr="0061063C">
        <w:rPr>
          <w:rFonts w:asciiTheme="minorHAnsi" w:hAnsiTheme="minorHAnsi"/>
          <w:sz w:val="20"/>
          <w:lang w:val="en-IE"/>
        </w:rPr>
        <w:t>Group revenue after the VAT refund (see Note 5) disaggregated by product line for the six months ended 30 June 2020:</w:t>
      </w:r>
    </w:p>
    <w:p w14:paraId="4D22DF47" w14:textId="77777777" w:rsidR="00323BB2" w:rsidRPr="0061063C" w:rsidRDefault="00323BB2" w:rsidP="00323BB2">
      <w:pPr>
        <w:rPr>
          <w:rFonts w:asciiTheme="minorHAnsi" w:hAnsiTheme="minorHAnsi"/>
          <w:b/>
          <w:sz w:val="20"/>
          <w:lang w:val="en-IE"/>
        </w:rPr>
      </w:pPr>
    </w:p>
    <w:tbl>
      <w:tblPr>
        <w:tblW w:w="10478" w:type="dxa"/>
        <w:tblLayout w:type="fixed"/>
        <w:tblLook w:val="01E0" w:firstRow="1" w:lastRow="1" w:firstColumn="1" w:lastColumn="1" w:noHBand="0" w:noVBand="0"/>
      </w:tblPr>
      <w:tblGrid>
        <w:gridCol w:w="2552"/>
        <w:gridCol w:w="1876"/>
        <w:gridCol w:w="1560"/>
        <w:gridCol w:w="1418"/>
        <w:gridCol w:w="1039"/>
        <w:gridCol w:w="1040"/>
        <w:gridCol w:w="993"/>
      </w:tblGrid>
      <w:tr w:rsidR="00323BB2" w:rsidRPr="0061063C" w14:paraId="409839B0" w14:textId="77777777" w:rsidTr="00453AFA">
        <w:trPr>
          <w:trHeight w:val="147"/>
        </w:trPr>
        <w:tc>
          <w:tcPr>
            <w:tcW w:w="2552" w:type="dxa"/>
            <w:tcBorders>
              <w:top w:val="single" w:sz="4" w:space="0" w:color="auto"/>
            </w:tcBorders>
            <w:shd w:val="clear" w:color="auto" w:fill="auto"/>
          </w:tcPr>
          <w:p w14:paraId="4DDC8979"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1876" w:type="dxa"/>
            <w:tcBorders>
              <w:top w:val="single" w:sz="4" w:space="0" w:color="auto"/>
            </w:tcBorders>
            <w:shd w:val="clear" w:color="auto" w:fill="auto"/>
          </w:tcPr>
          <w:p w14:paraId="2092C944"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3A3FF52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PPB</w:t>
            </w:r>
          </w:p>
        </w:tc>
        <w:tc>
          <w:tcPr>
            <w:tcW w:w="1560" w:type="dxa"/>
            <w:tcBorders>
              <w:top w:val="single" w:sz="4" w:space="0" w:color="auto"/>
            </w:tcBorders>
          </w:tcPr>
          <w:p w14:paraId="42AD46B1"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0C7DC68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PokerStars</w:t>
            </w:r>
          </w:p>
        </w:tc>
        <w:tc>
          <w:tcPr>
            <w:tcW w:w="1418" w:type="dxa"/>
            <w:tcBorders>
              <w:top w:val="single" w:sz="4" w:space="0" w:color="auto"/>
            </w:tcBorders>
          </w:tcPr>
          <w:p w14:paraId="5034D9F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Sky Betting and Gaming</w:t>
            </w:r>
          </w:p>
        </w:tc>
        <w:tc>
          <w:tcPr>
            <w:tcW w:w="1039" w:type="dxa"/>
            <w:tcBorders>
              <w:top w:val="single" w:sz="4" w:space="0" w:color="auto"/>
            </w:tcBorders>
            <w:shd w:val="clear" w:color="auto" w:fill="auto"/>
          </w:tcPr>
          <w:p w14:paraId="1699CA4B"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24F26DA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Australia</w:t>
            </w:r>
          </w:p>
        </w:tc>
        <w:tc>
          <w:tcPr>
            <w:tcW w:w="1040" w:type="dxa"/>
            <w:tcBorders>
              <w:top w:val="single" w:sz="4" w:space="0" w:color="auto"/>
            </w:tcBorders>
          </w:tcPr>
          <w:p w14:paraId="03644674"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38EF93E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US</w:t>
            </w:r>
          </w:p>
        </w:tc>
        <w:tc>
          <w:tcPr>
            <w:tcW w:w="993" w:type="dxa"/>
            <w:tcBorders>
              <w:top w:val="single" w:sz="4" w:space="0" w:color="auto"/>
            </w:tcBorders>
            <w:shd w:val="clear" w:color="auto" w:fill="auto"/>
          </w:tcPr>
          <w:p w14:paraId="5A08DA01"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20A04C3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Total</w:t>
            </w:r>
          </w:p>
        </w:tc>
      </w:tr>
      <w:tr w:rsidR="00323BB2" w:rsidRPr="0061063C" w14:paraId="3B9C313D" w14:textId="77777777" w:rsidTr="00453AFA">
        <w:trPr>
          <w:trHeight w:val="70"/>
        </w:trPr>
        <w:tc>
          <w:tcPr>
            <w:tcW w:w="2552" w:type="dxa"/>
            <w:tcBorders>
              <w:bottom w:val="single" w:sz="4" w:space="0" w:color="auto"/>
            </w:tcBorders>
            <w:shd w:val="clear" w:color="auto" w:fill="auto"/>
          </w:tcPr>
          <w:p w14:paraId="2AE9E3C4"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1876" w:type="dxa"/>
            <w:tcBorders>
              <w:bottom w:val="single" w:sz="4" w:space="0" w:color="auto"/>
            </w:tcBorders>
            <w:shd w:val="clear" w:color="auto" w:fill="auto"/>
          </w:tcPr>
          <w:p w14:paraId="69D38CF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560" w:type="dxa"/>
            <w:tcBorders>
              <w:bottom w:val="single" w:sz="4" w:space="0" w:color="auto"/>
            </w:tcBorders>
          </w:tcPr>
          <w:p w14:paraId="73D4243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418" w:type="dxa"/>
            <w:tcBorders>
              <w:bottom w:val="single" w:sz="4" w:space="0" w:color="auto"/>
            </w:tcBorders>
          </w:tcPr>
          <w:p w14:paraId="2C7D4FA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039" w:type="dxa"/>
            <w:tcBorders>
              <w:bottom w:val="single" w:sz="4" w:space="0" w:color="auto"/>
            </w:tcBorders>
            <w:shd w:val="clear" w:color="auto" w:fill="auto"/>
          </w:tcPr>
          <w:p w14:paraId="5E66A4F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040" w:type="dxa"/>
            <w:tcBorders>
              <w:bottom w:val="single" w:sz="4" w:space="0" w:color="auto"/>
            </w:tcBorders>
          </w:tcPr>
          <w:p w14:paraId="22D49BD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993" w:type="dxa"/>
            <w:tcBorders>
              <w:bottom w:val="single" w:sz="4" w:space="0" w:color="auto"/>
            </w:tcBorders>
            <w:shd w:val="clear" w:color="auto" w:fill="auto"/>
          </w:tcPr>
          <w:p w14:paraId="516C1CD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r>
      <w:tr w:rsidR="00323BB2" w:rsidRPr="0061063C" w14:paraId="4059932B" w14:textId="77777777" w:rsidTr="00453AFA">
        <w:trPr>
          <w:trHeight w:val="102"/>
        </w:trPr>
        <w:tc>
          <w:tcPr>
            <w:tcW w:w="2552" w:type="dxa"/>
            <w:tcBorders>
              <w:top w:val="single" w:sz="4" w:space="0" w:color="auto"/>
            </w:tcBorders>
          </w:tcPr>
          <w:p w14:paraId="7219BAA9"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Sports revenue</w:t>
            </w:r>
            <w:r w:rsidRPr="0061063C">
              <w:rPr>
                <w:rFonts w:asciiTheme="minorHAnsi" w:hAnsiTheme="minorHAnsi"/>
                <w:sz w:val="20"/>
                <w:vertAlign w:val="superscript"/>
              </w:rPr>
              <w:t>1</w:t>
            </w:r>
          </w:p>
        </w:tc>
        <w:tc>
          <w:tcPr>
            <w:tcW w:w="1876" w:type="dxa"/>
            <w:tcBorders>
              <w:top w:val="single" w:sz="4" w:space="0" w:color="auto"/>
            </w:tcBorders>
            <w:shd w:val="clear" w:color="auto" w:fill="auto"/>
            <w:vAlign w:val="bottom"/>
          </w:tcPr>
          <w:p w14:paraId="601AECD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320.1</w:t>
            </w:r>
          </w:p>
        </w:tc>
        <w:tc>
          <w:tcPr>
            <w:tcW w:w="1560" w:type="dxa"/>
            <w:tcBorders>
              <w:top w:val="single" w:sz="4" w:space="0" w:color="auto"/>
            </w:tcBorders>
          </w:tcPr>
          <w:p w14:paraId="03FDC3B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8.3</w:t>
            </w:r>
          </w:p>
        </w:tc>
        <w:tc>
          <w:tcPr>
            <w:tcW w:w="1418" w:type="dxa"/>
            <w:tcBorders>
              <w:top w:val="single" w:sz="4" w:space="0" w:color="auto"/>
            </w:tcBorders>
            <w:shd w:val="clear" w:color="auto" w:fill="auto"/>
            <w:vAlign w:val="bottom"/>
          </w:tcPr>
          <w:p w14:paraId="3949E66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84.5</w:t>
            </w:r>
          </w:p>
        </w:tc>
        <w:tc>
          <w:tcPr>
            <w:tcW w:w="1039" w:type="dxa"/>
            <w:tcBorders>
              <w:top w:val="single" w:sz="4" w:space="0" w:color="auto"/>
            </w:tcBorders>
            <w:shd w:val="clear" w:color="auto" w:fill="auto"/>
            <w:vAlign w:val="bottom"/>
          </w:tcPr>
          <w:p w14:paraId="6318A34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348.0</w:t>
            </w:r>
          </w:p>
        </w:tc>
        <w:tc>
          <w:tcPr>
            <w:tcW w:w="1040" w:type="dxa"/>
            <w:tcBorders>
              <w:top w:val="single" w:sz="4" w:space="0" w:color="auto"/>
            </w:tcBorders>
            <w:shd w:val="clear" w:color="auto" w:fill="auto"/>
            <w:vAlign w:val="bottom"/>
          </w:tcPr>
          <w:p w14:paraId="433BEA6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163.3</w:t>
            </w:r>
          </w:p>
        </w:tc>
        <w:tc>
          <w:tcPr>
            <w:tcW w:w="993" w:type="dxa"/>
            <w:tcBorders>
              <w:top w:val="single" w:sz="4" w:space="0" w:color="auto"/>
            </w:tcBorders>
            <w:shd w:val="clear" w:color="auto" w:fill="auto"/>
            <w:vAlign w:val="bottom"/>
          </w:tcPr>
          <w:p w14:paraId="6C9C399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924.2</w:t>
            </w:r>
          </w:p>
        </w:tc>
      </w:tr>
      <w:tr w:rsidR="00323BB2" w:rsidRPr="0061063C" w14:paraId="69F31D8D" w14:textId="77777777" w:rsidTr="00453AFA">
        <w:tc>
          <w:tcPr>
            <w:tcW w:w="2552" w:type="dxa"/>
            <w:tcBorders>
              <w:bottom w:val="single" w:sz="4" w:space="0" w:color="auto"/>
            </w:tcBorders>
          </w:tcPr>
          <w:p w14:paraId="476FBFA6"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Gaming revenue</w:t>
            </w:r>
            <w:r w:rsidRPr="0061063C">
              <w:rPr>
                <w:rFonts w:asciiTheme="minorHAnsi" w:hAnsiTheme="minorHAnsi"/>
                <w:sz w:val="20"/>
                <w:vertAlign w:val="superscript"/>
              </w:rPr>
              <w:t>2</w:t>
            </w:r>
            <w:r w:rsidRPr="0061063C">
              <w:rPr>
                <w:rFonts w:asciiTheme="minorHAnsi" w:hAnsiTheme="minorHAnsi"/>
                <w:sz w:val="20"/>
              </w:rPr>
              <w:t xml:space="preserve"> </w:t>
            </w:r>
          </w:p>
        </w:tc>
        <w:tc>
          <w:tcPr>
            <w:tcW w:w="1876" w:type="dxa"/>
            <w:tcBorders>
              <w:bottom w:val="single" w:sz="4" w:space="0" w:color="auto"/>
            </w:tcBorders>
            <w:shd w:val="clear" w:color="auto" w:fill="auto"/>
            <w:vAlign w:val="bottom"/>
          </w:tcPr>
          <w:p w14:paraId="251813C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233.7</w:t>
            </w:r>
          </w:p>
        </w:tc>
        <w:tc>
          <w:tcPr>
            <w:tcW w:w="1560" w:type="dxa"/>
            <w:tcBorders>
              <w:bottom w:val="single" w:sz="4" w:space="0" w:color="auto"/>
            </w:tcBorders>
          </w:tcPr>
          <w:p w14:paraId="27BB964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221.4</w:t>
            </w:r>
          </w:p>
        </w:tc>
        <w:tc>
          <w:tcPr>
            <w:tcW w:w="1418" w:type="dxa"/>
            <w:tcBorders>
              <w:bottom w:val="single" w:sz="4" w:space="0" w:color="auto"/>
            </w:tcBorders>
            <w:shd w:val="clear" w:color="auto" w:fill="auto"/>
            <w:vAlign w:val="bottom"/>
          </w:tcPr>
          <w:p w14:paraId="62810B9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64.3</w:t>
            </w:r>
          </w:p>
        </w:tc>
        <w:tc>
          <w:tcPr>
            <w:tcW w:w="1039" w:type="dxa"/>
            <w:tcBorders>
              <w:bottom w:val="single" w:sz="4" w:space="0" w:color="auto"/>
            </w:tcBorders>
            <w:shd w:val="clear" w:color="auto" w:fill="auto"/>
            <w:vAlign w:val="bottom"/>
          </w:tcPr>
          <w:p w14:paraId="0BA68BF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040" w:type="dxa"/>
            <w:tcBorders>
              <w:bottom w:val="single" w:sz="4" w:space="0" w:color="auto"/>
            </w:tcBorders>
            <w:shd w:val="clear" w:color="auto" w:fill="auto"/>
            <w:vAlign w:val="bottom"/>
          </w:tcPr>
          <w:p w14:paraId="0F54D3C9" w14:textId="77777777" w:rsidR="00323BB2" w:rsidRPr="001F1D18" w:rsidDel="00924819" w:rsidRDefault="00323BB2" w:rsidP="00453AFA">
            <w:pPr>
              <w:widowControl w:val="0"/>
              <w:autoSpaceDE w:val="0"/>
              <w:autoSpaceDN w:val="0"/>
              <w:adjustRightInd w:val="0"/>
              <w:jc w:val="right"/>
              <w:rPr>
                <w:rFonts w:asciiTheme="minorHAnsi" w:hAnsiTheme="minorHAnsi"/>
                <w:b/>
                <w:sz w:val="20"/>
              </w:rPr>
            </w:pPr>
            <w:r w:rsidRPr="001F1D18">
              <w:rPr>
                <w:rFonts w:asciiTheme="minorHAnsi" w:hAnsiTheme="minorHAnsi"/>
                <w:b/>
                <w:sz w:val="20"/>
              </w:rPr>
              <w:t>92.5</w:t>
            </w:r>
          </w:p>
        </w:tc>
        <w:tc>
          <w:tcPr>
            <w:tcW w:w="993" w:type="dxa"/>
            <w:tcBorders>
              <w:bottom w:val="single" w:sz="4" w:space="0" w:color="auto"/>
            </w:tcBorders>
            <w:shd w:val="clear" w:color="auto" w:fill="auto"/>
            <w:vAlign w:val="bottom"/>
          </w:tcPr>
          <w:p w14:paraId="444D70F4" w14:textId="77777777" w:rsidR="00323BB2" w:rsidRPr="001F1D18" w:rsidRDefault="00323BB2" w:rsidP="00453AFA">
            <w:pPr>
              <w:widowControl w:val="0"/>
              <w:autoSpaceDE w:val="0"/>
              <w:autoSpaceDN w:val="0"/>
              <w:adjustRightInd w:val="0"/>
              <w:jc w:val="right"/>
              <w:rPr>
                <w:rFonts w:asciiTheme="minorHAnsi" w:hAnsiTheme="minorHAnsi"/>
                <w:b/>
                <w:sz w:val="20"/>
              </w:rPr>
            </w:pPr>
            <w:r w:rsidRPr="001F1D18">
              <w:rPr>
                <w:rFonts w:asciiTheme="minorHAnsi" w:hAnsiTheme="minorHAnsi"/>
                <w:b/>
                <w:sz w:val="20"/>
              </w:rPr>
              <w:t>611.9</w:t>
            </w:r>
          </w:p>
        </w:tc>
      </w:tr>
      <w:tr w:rsidR="00323BB2" w:rsidRPr="0061063C" w14:paraId="2EEA017E" w14:textId="77777777" w:rsidTr="00453AFA">
        <w:tc>
          <w:tcPr>
            <w:tcW w:w="2552" w:type="dxa"/>
            <w:tcBorders>
              <w:top w:val="single" w:sz="4" w:space="0" w:color="auto"/>
              <w:bottom w:val="single" w:sz="4" w:space="0" w:color="auto"/>
            </w:tcBorders>
          </w:tcPr>
          <w:p w14:paraId="2EC18D0E"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Total Group revenue</w:t>
            </w:r>
          </w:p>
        </w:tc>
        <w:tc>
          <w:tcPr>
            <w:tcW w:w="1876" w:type="dxa"/>
            <w:tcBorders>
              <w:top w:val="single" w:sz="4" w:space="0" w:color="auto"/>
              <w:bottom w:val="single" w:sz="4" w:space="0" w:color="auto"/>
            </w:tcBorders>
            <w:shd w:val="clear" w:color="auto" w:fill="auto"/>
            <w:vAlign w:val="bottom"/>
          </w:tcPr>
          <w:p w14:paraId="524D1BF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553.8</w:t>
            </w:r>
          </w:p>
        </w:tc>
        <w:tc>
          <w:tcPr>
            <w:tcW w:w="1560" w:type="dxa"/>
            <w:tcBorders>
              <w:top w:val="single" w:sz="4" w:space="0" w:color="auto"/>
              <w:bottom w:val="single" w:sz="4" w:space="0" w:color="auto"/>
            </w:tcBorders>
          </w:tcPr>
          <w:p w14:paraId="7336B05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229.7</w:t>
            </w:r>
          </w:p>
        </w:tc>
        <w:tc>
          <w:tcPr>
            <w:tcW w:w="1418" w:type="dxa"/>
            <w:tcBorders>
              <w:top w:val="single" w:sz="4" w:space="0" w:color="auto"/>
              <w:bottom w:val="single" w:sz="4" w:space="0" w:color="auto"/>
            </w:tcBorders>
            <w:shd w:val="clear" w:color="auto" w:fill="auto"/>
            <w:vAlign w:val="bottom"/>
          </w:tcPr>
          <w:p w14:paraId="1416E83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148.8</w:t>
            </w:r>
          </w:p>
        </w:tc>
        <w:tc>
          <w:tcPr>
            <w:tcW w:w="1039" w:type="dxa"/>
            <w:tcBorders>
              <w:top w:val="single" w:sz="4" w:space="0" w:color="auto"/>
              <w:bottom w:val="single" w:sz="4" w:space="0" w:color="auto"/>
            </w:tcBorders>
            <w:shd w:val="clear" w:color="auto" w:fill="auto"/>
            <w:vAlign w:val="bottom"/>
          </w:tcPr>
          <w:p w14:paraId="4DD8840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348.0</w:t>
            </w:r>
          </w:p>
        </w:tc>
        <w:tc>
          <w:tcPr>
            <w:tcW w:w="1040" w:type="dxa"/>
            <w:tcBorders>
              <w:top w:val="single" w:sz="4" w:space="0" w:color="auto"/>
              <w:bottom w:val="single" w:sz="4" w:space="0" w:color="auto"/>
            </w:tcBorders>
            <w:shd w:val="clear" w:color="auto" w:fill="auto"/>
            <w:vAlign w:val="bottom"/>
          </w:tcPr>
          <w:p w14:paraId="064E549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255.8</w:t>
            </w:r>
          </w:p>
        </w:tc>
        <w:tc>
          <w:tcPr>
            <w:tcW w:w="993" w:type="dxa"/>
            <w:tcBorders>
              <w:top w:val="single" w:sz="4" w:space="0" w:color="auto"/>
              <w:bottom w:val="single" w:sz="4" w:space="0" w:color="auto"/>
            </w:tcBorders>
            <w:shd w:val="clear" w:color="auto" w:fill="auto"/>
            <w:vAlign w:val="bottom"/>
          </w:tcPr>
          <w:p w14:paraId="0610005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1,536.1</w:t>
            </w:r>
          </w:p>
        </w:tc>
      </w:tr>
    </w:tbl>
    <w:p w14:paraId="62480A39" w14:textId="77777777" w:rsidR="00323BB2" w:rsidRPr="0061063C" w:rsidRDefault="00323BB2" w:rsidP="00323BB2">
      <w:pPr>
        <w:rPr>
          <w:rFonts w:asciiTheme="minorHAnsi" w:hAnsiTheme="minorHAnsi"/>
          <w:b/>
          <w:sz w:val="12"/>
          <w:szCs w:val="12"/>
          <w:lang w:val="en-IE"/>
        </w:rPr>
      </w:pPr>
    </w:p>
    <w:p w14:paraId="00BD298B"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Group revenue disaggregated by product line for the six months ended 30 June 2019:</w:t>
      </w:r>
    </w:p>
    <w:tbl>
      <w:tblPr>
        <w:tblpPr w:leftFromText="180" w:rightFromText="180" w:vertAnchor="text" w:horzAnchor="margin" w:tblpY="152"/>
        <w:tblW w:w="10478" w:type="dxa"/>
        <w:tblLayout w:type="fixed"/>
        <w:tblLook w:val="01E0" w:firstRow="1" w:lastRow="1" w:firstColumn="1" w:lastColumn="1" w:noHBand="0" w:noVBand="0"/>
      </w:tblPr>
      <w:tblGrid>
        <w:gridCol w:w="3153"/>
        <w:gridCol w:w="1275"/>
        <w:gridCol w:w="1560"/>
        <w:gridCol w:w="1417"/>
        <w:gridCol w:w="1040"/>
        <w:gridCol w:w="1040"/>
        <w:gridCol w:w="993"/>
      </w:tblGrid>
      <w:tr w:rsidR="00323BB2" w:rsidRPr="0061063C" w14:paraId="7EBF3A90" w14:textId="77777777" w:rsidTr="00453AFA">
        <w:trPr>
          <w:trHeight w:val="147"/>
        </w:trPr>
        <w:tc>
          <w:tcPr>
            <w:tcW w:w="3153" w:type="dxa"/>
            <w:tcBorders>
              <w:top w:val="single" w:sz="4" w:space="0" w:color="auto"/>
            </w:tcBorders>
            <w:shd w:val="clear" w:color="auto" w:fill="auto"/>
          </w:tcPr>
          <w:p w14:paraId="73EF5E22"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1275" w:type="dxa"/>
            <w:tcBorders>
              <w:top w:val="single" w:sz="4" w:space="0" w:color="auto"/>
            </w:tcBorders>
            <w:shd w:val="clear" w:color="auto" w:fill="auto"/>
          </w:tcPr>
          <w:p w14:paraId="40FB37BD"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0096169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PPB</w:t>
            </w:r>
          </w:p>
        </w:tc>
        <w:tc>
          <w:tcPr>
            <w:tcW w:w="1560" w:type="dxa"/>
            <w:tcBorders>
              <w:top w:val="single" w:sz="4" w:space="0" w:color="auto"/>
            </w:tcBorders>
          </w:tcPr>
          <w:p w14:paraId="18EC8867"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4539951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PokerStars</w:t>
            </w:r>
          </w:p>
        </w:tc>
        <w:tc>
          <w:tcPr>
            <w:tcW w:w="1417" w:type="dxa"/>
            <w:tcBorders>
              <w:top w:val="single" w:sz="4" w:space="0" w:color="auto"/>
            </w:tcBorders>
            <w:shd w:val="clear" w:color="auto" w:fill="auto"/>
          </w:tcPr>
          <w:p w14:paraId="4D193EC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Sky Betting and Gaming</w:t>
            </w:r>
          </w:p>
        </w:tc>
        <w:tc>
          <w:tcPr>
            <w:tcW w:w="1040" w:type="dxa"/>
            <w:tcBorders>
              <w:top w:val="single" w:sz="4" w:space="0" w:color="auto"/>
            </w:tcBorders>
          </w:tcPr>
          <w:p w14:paraId="5C8A28EA"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3B5083E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Australia</w:t>
            </w:r>
          </w:p>
        </w:tc>
        <w:tc>
          <w:tcPr>
            <w:tcW w:w="1040" w:type="dxa"/>
            <w:tcBorders>
              <w:top w:val="single" w:sz="4" w:space="0" w:color="auto"/>
            </w:tcBorders>
          </w:tcPr>
          <w:p w14:paraId="1AE22305"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70663D5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US</w:t>
            </w:r>
          </w:p>
        </w:tc>
        <w:tc>
          <w:tcPr>
            <w:tcW w:w="993" w:type="dxa"/>
            <w:tcBorders>
              <w:top w:val="single" w:sz="4" w:space="0" w:color="auto"/>
            </w:tcBorders>
            <w:shd w:val="clear" w:color="auto" w:fill="auto"/>
          </w:tcPr>
          <w:p w14:paraId="1D4B7012"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721730F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Total</w:t>
            </w:r>
          </w:p>
        </w:tc>
      </w:tr>
      <w:tr w:rsidR="00323BB2" w:rsidRPr="0061063C" w14:paraId="6FEE19C6" w14:textId="77777777" w:rsidTr="00453AFA">
        <w:trPr>
          <w:trHeight w:val="70"/>
        </w:trPr>
        <w:tc>
          <w:tcPr>
            <w:tcW w:w="3153" w:type="dxa"/>
            <w:tcBorders>
              <w:bottom w:val="single" w:sz="4" w:space="0" w:color="auto"/>
            </w:tcBorders>
            <w:shd w:val="clear" w:color="auto" w:fill="auto"/>
          </w:tcPr>
          <w:p w14:paraId="0936B2CF"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1275" w:type="dxa"/>
            <w:tcBorders>
              <w:bottom w:val="single" w:sz="4" w:space="0" w:color="auto"/>
            </w:tcBorders>
            <w:shd w:val="clear" w:color="auto" w:fill="auto"/>
          </w:tcPr>
          <w:p w14:paraId="1276527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560" w:type="dxa"/>
            <w:tcBorders>
              <w:bottom w:val="single" w:sz="4" w:space="0" w:color="auto"/>
            </w:tcBorders>
          </w:tcPr>
          <w:p w14:paraId="6047747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417" w:type="dxa"/>
            <w:tcBorders>
              <w:bottom w:val="single" w:sz="4" w:space="0" w:color="auto"/>
            </w:tcBorders>
            <w:shd w:val="clear" w:color="auto" w:fill="auto"/>
          </w:tcPr>
          <w:p w14:paraId="304B675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040" w:type="dxa"/>
            <w:tcBorders>
              <w:bottom w:val="single" w:sz="4" w:space="0" w:color="auto"/>
            </w:tcBorders>
          </w:tcPr>
          <w:p w14:paraId="57C7A52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040" w:type="dxa"/>
            <w:tcBorders>
              <w:bottom w:val="single" w:sz="4" w:space="0" w:color="auto"/>
            </w:tcBorders>
          </w:tcPr>
          <w:p w14:paraId="2118C13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993" w:type="dxa"/>
            <w:tcBorders>
              <w:bottom w:val="single" w:sz="4" w:space="0" w:color="auto"/>
            </w:tcBorders>
            <w:shd w:val="clear" w:color="auto" w:fill="auto"/>
          </w:tcPr>
          <w:p w14:paraId="4DB9E76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r>
      <w:tr w:rsidR="00323BB2" w:rsidRPr="0061063C" w14:paraId="7A06EA35" w14:textId="77777777" w:rsidTr="00453AFA">
        <w:trPr>
          <w:trHeight w:val="102"/>
        </w:trPr>
        <w:tc>
          <w:tcPr>
            <w:tcW w:w="3153" w:type="dxa"/>
            <w:tcBorders>
              <w:top w:val="single" w:sz="4" w:space="0" w:color="auto"/>
            </w:tcBorders>
          </w:tcPr>
          <w:p w14:paraId="1C5FC136"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Sports revenue</w:t>
            </w:r>
            <w:r w:rsidRPr="0061063C">
              <w:rPr>
                <w:rFonts w:asciiTheme="minorHAnsi" w:hAnsiTheme="minorHAnsi"/>
                <w:sz w:val="20"/>
                <w:vertAlign w:val="superscript"/>
              </w:rPr>
              <w:t>1</w:t>
            </w:r>
          </w:p>
        </w:tc>
        <w:tc>
          <w:tcPr>
            <w:tcW w:w="1275" w:type="dxa"/>
            <w:tcBorders>
              <w:top w:val="single" w:sz="4" w:space="0" w:color="auto"/>
            </w:tcBorders>
            <w:shd w:val="clear" w:color="auto" w:fill="auto"/>
            <w:vAlign w:val="bottom"/>
          </w:tcPr>
          <w:p w14:paraId="2083E6E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447.6</w:t>
            </w:r>
          </w:p>
        </w:tc>
        <w:tc>
          <w:tcPr>
            <w:tcW w:w="1560" w:type="dxa"/>
            <w:tcBorders>
              <w:top w:val="single" w:sz="4" w:space="0" w:color="auto"/>
            </w:tcBorders>
            <w:shd w:val="clear" w:color="auto" w:fill="auto"/>
            <w:vAlign w:val="bottom"/>
          </w:tcPr>
          <w:p w14:paraId="7F3DB47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tcBorders>
            <w:shd w:val="clear" w:color="auto" w:fill="auto"/>
            <w:vAlign w:val="bottom"/>
          </w:tcPr>
          <w:p w14:paraId="7D40E17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040" w:type="dxa"/>
            <w:tcBorders>
              <w:top w:val="single" w:sz="4" w:space="0" w:color="auto"/>
            </w:tcBorders>
            <w:vAlign w:val="bottom"/>
          </w:tcPr>
          <w:p w14:paraId="3D1680E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206.8</w:t>
            </w:r>
          </w:p>
        </w:tc>
        <w:tc>
          <w:tcPr>
            <w:tcW w:w="1040" w:type="dxa"/>
            <w:tcBorders>
              <w:top w:val="single" w:sz="4" w:space="0" w:color="auto"/>
            </w:tcBorders>
            <w:shd w:val="clear" w:color="auto" w:fill="auto"/>
            <w:vAlign w:val="bottom"/>
          </w:tcPr>
          <w:p w14:paraId="235BDC5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140.0</w:t>
            </w:r>
          </w:p>
        </w:tc>
        <w:tc>
          <w:tcPr>
            <w:tcW w:w="993" w:type="dxa"/>
            <w:tcBorders>
              <w:top w:val="single" w:sz="4" w:space="0" w:color="auto"/>
            </w:tcBorders>
            <w:shd w:val="clear" w:color="auto" w:fill="auto"/>
            <w:vAlign w:val="bottom"/>
          </w:tcPr>
          <w:p w14:paraId="16208E7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794.4</w:t>
            </w:r>
          </w:p>
        </w:tc>
      </w:tr>
      <w:tr w:rsidR="00323BB2" w:rsidRPr="0061063C" w14:paraId="25DF9260" w14:textId="77777777" w:rsidTr="00453AFA">
        <w:tc>
          <w:tcPr>
            <w:tcW w:w="3153" w:type="dxa"/>
            <w:tcBorders>
              <w:bottom w:val="single" w:sz="4" w:space="0" w:color="auto"/>
            </w:tcBorders>
          </w:tcPr>
          <w:p w14:paraId="7653F82C"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Gaming revenue</w:t>
            </w:r>
          </w:p>
        </w:tc>
        <w:tc>
          <w:tcPr>
            <w:tcW w:w="1275" w:type="dxa"/>
            <w:tcBorders>
              <w:bottom w:val="single" w:sz="4" w:space="0" w:color="auto"/>
            </w:tcBorders>
            <w:shd w:val="clear" w:color="auto" w:fill="auto"/>
            <w:vAlign w:val="bottom"/>
          </w:tcPr>
          <w:p w14:paraId="0E64B92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205.6</w:t>
            </w:r>
          </w:p>
        </w:tc>
        <w:tc>
          <w:tcPr>
            <w:tcW w:w="1560" w:type="dxa"/>
            <w:tcBorders>
              <w:bottom w:val="single" w:sz="4" w:space="0" w:color="auto"/>
            </w:tcBorders>
            <w:shd w:val="clear" w:color="auto" w:fill="auto"/>
            <w:vAlign w:val="bottom"/>
          </w:tcPr>
          <w:p w14:paraId="4920E3A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bottom w:val="single" w:sz="4" w:space="0" w:color="auto"/>
            </w:tcBorders>
            <w:shd w:val="clear" w:color="auto" w:fill="auto"/>
            <w:vAlign w:val="bottom"/>
          </w:tcPr>
          <w:p w14:paraId="0DCAD55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040" w:type="dxa"/>
            <w:tcBorders>
              <w:bottom w:val="single" w:sz="4" w:space="0" w:color="auto"/>
            </w:tcBorders>
            <w:vAlign w:val="bottom"/>
          </w:tcPr>
          <w:p w14:paraId="39662EC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040" w:type="dxa"/>
            <w:tcBorders>
              <w:bottom w:val="single" w:sz="4" w:space="0" w:color="auto"/>
            </w:tcBorders>
            <w:shd w:val="clear" w:color="auto" w:fill="auto"/>
            <w:vAlign w:val="bottom"/>
          </w:tcPr>
          <w:p w14:paraId="201CBA5F" w14:textId="77777777" w:rsidR="00323BB2" w:rsidRPr="0061063C" w:rsidDel="00924819"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19.9</w:t>
            </w:r>
          </w:p>
        </w:tc>
        <w:tc>
          <w:tcPr>
            <w:tcW w:w="993" w:type="dxa"/>
            <w:tcBorders>
              <w:bottom w:val="single" w:sz="4" w:space="0" w:color="auto"/>
            </w:tcBorders>
            <w:shd w:val="clear" w:color="auto" w:fill="auto"/>
            <w:vAlign w:val="bottom"/>
          </w:tcPr>
          <w:p w14:paraId="0926859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225.5</w:t>
            </w:r>
          </w:p>
        </w:tc>
      </w:tr>
      <w:tr w:rsidR="00323BB2" w:rsidRPr="0061063C" w14:paraId="24EF5C08" w14:textId="77777777" w:rsidTr="00453AFA">
        <w:tc>
          <w:tcPr>
            <w:tcW w:w="3153" w:type="dxa"/>
            <w:tcBorders>
              <w:top w:val="single" w:sz="4" w:space="0" w:color="auto"/>
              <w:bottom w:val="single" w:sz="4" w:space="0" w:color="auto"/>
            </w:tcBorders>
          </w:tcPr>
          <w:p w14:paraId="0CFF4046"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Total Group revenue</w:t>
            </w:r>
          </w:p>
        </w:tc>
        <w:tc>
          <w:tcPr>
            <w:tcW w:w="1275" w:type="dxa"/>
            <w:tcBorders>
              <w:top w:val="single" w:sz="4" w:space="0" w:color="auto"/>
              <w:bottom w:val="single" w:sz="4" w:space="0" w:color="auto"/>
            </w:tcBorders>
            <w:shd w:val="clear" w:color="auto" w:fill="auto"/>
            <w:vAlign w:val="bottom"/>
          </w:tcPr>
          <w:p w14:paraId="3751774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653.2</w:t>
            </w:r>
          </w:p>
        </w:tc>
        <w:tc>
          <w:tcPr>
            <w:tcW w:w="1560" w:type="dxa"/>
            <w:tcBorders>
              <w:top w:val="single" w:sz="4" w:space="0" w:color="auto"/>
              <w:bottom w:val="single" w:sz="4" w:space="0" w:color="auto"/>
            </w:tcBorders>
            <w:shd w:val="clear" w:color="auto" w:fill="auto"/>
            <w:vAlign w:val="bottom"/>
          </w:tcPr>
          <w:p w14:paraId="4B599AF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7" w:type="dxa"/>
            <w:tcBorders>
              <w:top w:val="single" w:sz="4" w:space="0" w:color="auto"/>
              <w:bottom w:val="single" w:sz="4" w:space="0" w:color="auto"/>
            </w:tcBorders>
            <w:shd w:val="clear" w:color="auto" w:fill="auto"/>
            <w:vAlign w:val="bottom"/>
          </w:tcPr>
          <w:p w14:paraId="479AA3B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040" w:type="dxa"/>
            <w:tcBorders>
              <w:top w:val="single" w:sz="4" w:space="0" w:color="auto"/>
              <w:bottom w:val="single" w:sz="4" w:space="0" w:color="auto"/>
            </w:tcBorders>
            <w:vAlign w:val="bottom"/>
          </w:tcPr>
          <w:p w14:paraId="1288515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206.8</w:t>
            </w:r>
          </w:p>
        </w:tc>
        <w:tc>
          <w:tcPr>
            <w:tcW w:w="1040" w:type="dxa"/>
            <w:tcBorders>
              <w:top w:val="single" w:sz="4" w:space="0" w:color="auto"/>
              <w:bottom w:val="single" w:sz="4" w:space="0" w:color="auto"/>
            </w:tcBorders>
            <w:shd w:val="clear" w:color="auto" w:fill="auto"/>
            <w:vAlign w:val="bottom"/>
          </w:tcPr>
          <w:p w14:paraId="12A6567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159.9</w:t>
            </w:r>
          </w:p>
        </w:tc>
        <w:tc>
          <w:tcPr>
            <w:tcW w:w="993" w:type="dxa"/>
            <w:tcBorders>
              <w:top w:val="single" w:sz="4" w:space="0" w:color="auto"/>
              <w:bottom w:val="single" w:sz="4" w:space="0" w:color="auto"/>
            </w:tcBorders>
            <w:shd w:val="clear" w:color="auto" w:fill="auto"/>
            <w:vAlign w:val="bottom"/>
          </w:tcPr>
          <w:p w14:paraId="125012D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1,019.9</w:t>
            </w:r>
          </w:p>
        </w:tc>
      </w:tr>
    </w:tbl>
    <w:p w14:paraId="0DAA72E7" w14:textId="77777777" w:rsidR="00323BB2" w:rsidRPr="0061063C" w:rsidRDefault="00323BB2" w:rsidP="00323BB2">
      <w:pPr>
        <w:pStyle w:val="BodyText"/>
        <w:rPr>
          <w:rFonts w:asciiTheme="minorHAnsi" w:hAnsiTheme="minorHAnsi" w:cs="Bliss-Regular"/>
          <w:sz w:val="12"/>
          <w:szCs w:val="12"/>
          <w:vertAlign w:val="superscript"/>
        </w:rPr>
      </w:pPr>
    </w:p>
    <w:p w14:paraId="5F06D325" w14:textId="77777777" w:rsidR="00323BB2" w:rsidRPr="0061063C" w:rsidRDefault="00323BB2" w:rsidP="00323BB2">
      <w:pPr>
        <w:pStyle w:val="BodyText"/>
        <w:spacing w:after="0"/>
        <w:rPr>
          <w:rFonts w:asciiTheme="minorHAnsi" w:hAnsiTheme="minorHAnsi" w:cs="Bliss-Regular"/>
          <w:sz w:val="18"/>
          <w:szCs w:val="18"/>
        </w:rPr>
      </w:pPr>
      <w:r w:rsidRPr="0061063C">
        <w:rPr>
          <w:rFonts w:asciiTheme="minorHAnsi" w:hAnsiTheme="minorHAnsi" w:cs="Bliss-Regular"/>
          <w:sz w:val="18"/>
          <w:szCs w:val="18"/>
          <w:vertAlign w:val="superscript"/>
        </w:rPr>
        <w:t>1</w:t>
      </w:r>
      <w:r w:rsidRPr="0061063C">
        <w:rPr>
          <w:rFonts w:asciiTheme="minorHAnsi" w:hAnsiTheme="minorHAnsi"/>
          <w:vertAlign w:val="superscript"/>
        </w:rPr>
        <w:t xml:space="preserve"> </w:t>
      </w:r>
      <w:r w:rsidRPr="0061063C">
        <w:rPr>
          <w:rFonts w:asciiTheme="minorHAnsi" w:hAnsiTheme="minorHAnsi" w:cs="Bliss-Regular"/>
          <w:sz w:val="18"/>
          <w:szCs w:val="18"/>
        </w:rPr>
        <w:t>Sports revenue comprises sportsbook, exchange sports betting, daily fantasy sports and pari-mutuel betting.</w:t>
      </w:r>
    </w:p>
    <w:p w14:paraId="23DF1A5E" w14:textId="77777777" w:rsidR="00323BB2" w:rsidRPr="0061063C" w:rsidRDefault="00323BB2" w:rsidP="00323BB2">
      <w:pPr>
        <w:pStyle w:val="BodyText"/>
        <w:spacing w:after="0"/>
        <w:rPr>
          <w:rFonts w:asciiTheme="minorHAnsi" w:hAnsiTheme="minorHAnsi" w:cs="Bliss-Regular"/>
          <w:sz w:val="18"/>
          <w:szCs w:val="18"/>
        </w:rPr>
      </w:pPr>
      <w:r w:rsidRPr="0061063C">
        <w:rPr>
          <w:rFonts w:asciiTheme="minorHAnsi" w:hAnsiTheme="minorHAnsi" w:cs="Bliss-Regular"/>
          <w:sz w:val="18"/>
          <w:szCs w:val="18"/>
          <w:vertAlign w:val="superscript"/>
        </w:rPr>
        <w:t>2</w:t>
      </w:r>
      <w:r w:rsidRPr="0061063C">
        <w:rPr>
          <w:rFonts w:asciiTheme="minorHAnsi" w:hAnsiTheme="minorHAnsi" w:cs="Bliss-Regular"/>
          <w:sz w:val="18"/>
          <w:szCs w:val="18"/>
        </w:rPr>
        <w:t xml:space="preserve"> Gaming revenue includes Games, Poker, Casino and Bingo and in PPB includes the VAT refund (see Note 5).</w:t>
      </w:r>
    </w:p>
    <w:p w14:paraId="41035F84" w14:textId="77777777" w:rsidR="00323BB2" w:rsidRPr="0061063C" w:rsidRDefault="00323BB2" w:rsidP="00323BB2">
      <w:pPr>
        <w:ind w:right="-996"/>
        <w:rPr>
          <w:rFonts w:asciiTheme="minorHAnsi" w:hAnsiTheme="minorHAnsi" w:cs="Bliss-Regular"/>
          <w:sz w:val="12"/>
          <w:szCs w:val="12"/>
        </w:rPr>
      </w:pPr>
    </w:p>
    <w:p w14:paraId="39741CDA" w14:textId="77777777" w:rsidR="00323BB2" w:rsidRPr="0061063C" w:rsidRDefault="00323BB2" w:rsidP="00323BB2">
      <w:pPr>
        <w:ind w:right="-996"/>
        <w:rPr>
          <w:rFonts w:asciiTheme="minorHAnsi" w:hAnsiTheme="minorHAnsi"/>
          <w:sz w:val="20"/>
          <w:lang w:val="en-IE"/>
        </w:rPr>
      </w:pPr>
      <w:r w:rsidRPr="0061063C">
        <w:rPr>
          <w:rFonts w:asciiTheme="minorHAnsi" w:hAnsiTheme="minorHAnsi"/>
          <w:sz w:val="20"/>
          <w:lang w:val="en-IE"/>
        </w:rPr>
        <w:t>Group revenue after the VAT refund (see Note 5) disaggregated by geographical market for the six months ended 30 June 2020:</w:t>
      </w:r>
    </w:p>
    <w:tbl>
      <w:tblPr>
        <w:tblW w:w="10490" w:type="dxa"/>
        <w:tblLayout w:type="fixed"/>
        <w:tblLook w:val="01E0" w:firstRow="1" w:lastRow="1" w:firstColumn="1" w:lastColumn="1" w:noHBand="0" w:noVBand="0"/>
      </w:tblPr>
      <w:tblGrid>
        <w:gridCol w:w="3544"/>
        <w:gridCol w:w="992"/>
        <w:gridCol w:w="1418"/>
        <w:gridCol w:w="1276"/>
        <w:gridCol w:w="1134"/>
        <w:gridCol w:w="1134"/>
        <w:gridCol w:w="992"/>
      </w:tblGrid>
      <w:tr w:rsidR="00323BB2" w:rsidRPr="0061063C" w14:paraId="3ECCEA7A" w14:textId="77777777" w:rsidTr="00453AFA">
        <w:trPr>
          <w:trHeight w:val="147"/>
        </w:trPr>
        <w:tc>
          <w:tcPr>
            <w:tcW w:w="3544" w:type="dxa"/>
            <w:tcBorders>
              <w:top w:val="single" w:sz="4" w:space="0" w:color="auto"/>
            </w:tcBorders>
            <w:shd w:val="clear" w:color="auto" w:fill="auto"/>
          </w:tcPr>
          <w:p w14:paraId="36839F21"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bookmarkStart w:id="14" w:name="_Hlk44261557"/>
          </w:p>
        </w:tc>
        <w:tc>
          <w:tcPr>
            <w:tcW w:w="992" w:type="dxa"/>
            <w:tcBorders>
              <w:top w:val="single" w:sz="4" w:space="0" w:color="auto"/>
            </w:tcBorders>
            <w:shd w:val="clear" w:color="auto" w:fill="auto"/>
          </w:tcPr>
          <w:p w14:paraId="727C76D9"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2BE8561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PPB</w:t>
            </w:r>
          </w:p>
        </w:tc>
        <w:tc>
          <w:tcPr>
            <w:tcW w:w="1418" w:type="dxa"/>
            <w:tcBorders>
              <w:top w:val="single" w:sz="4" w:space="0" w:color="auto"/>
            </w:tcBorders>
          </w:tcPr>
          <w:p w14:paraId="0B3AD878"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6B8F249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PokerStars</w:t>
            </w:r>
          </w:p>
        </w:tc>
        <w:tc>
          <w:tcPr>
            <w:tcW w:w="1276" w:type="dxa"/>
            <w:tcBorders>
              <w:top w:val="single" w:sz="4" w:space="0" w:color="auto"/>
            </w:tcBorders>
            <w:shd w:val="clear" w:color="auto" w:fill="auto"/>
          </w:tcPr>
          <w:p w14:paraId="6D7BD37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Sky Betting and Gaming</w:t>
            </w:r>
          </w:p>
        </w:tc>
        <w:tc>
          <w:tcPr>
            <w:tcW w:w="1134" w:type="dxa"/>
            <w:tcBorders>
              <w:top w:val="single" w:sz="4" w:space="0" w:color="auto"/>
            </w:tcBorders>
          </w:tcPr>
          <w:p w14:paraId="426CDDB1"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6581983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Australia</w:t>
            </w:r>
          </w:p>
        </w:tc>
        <w:tc>
          <w:tcPr>
            <w:tcW w:w="1134" w:type="dxa"/>
            <w:tcBorders>
              <w:top w:val="single" w:sz="4" w:space="0" w:color="auto"/>
            </w:tcBorders>
          </w:tcPr>
          <w:p w14:paraId="37B8F8FA"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4E3472D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US</w:t>
            </w:r>
          </w:p>
        </w:tc>
        <w:tc>
          <w:tcPr>
            <w:tcW w:w="992" w:type="dxa"/>
            <w:tcBorders>
              <w:top w:val="single" w:sz="4" w:space="0" w:color="auto"/>
            </w:tcBorders>
            <w:shd w:val="clear" w:color="auto" w:fill="auto"/>
          </w:tcPr>
          <w:p w14:paraId="4D26DB7A"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66BEBFB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Total</w:t>
            </w:r>
          </w:p>
        </w:tc>
      </w:tr>
      <w:tr w:rsidR="00323BB2" w:rsidRPr="0061063C" w14:paraId="5B7F21EC" w14:textId="77777777" w:rsidTr="00453AFA">
        <w:trPr>
          <w:trHeight w:val="158"/>
        </w:trPr>
        <w:tc>
          <w:tcPr>
            <w:tcW w:w="3544" w:type="dxa"/>
            <w:tcBorders>
              <w:bottom w:val="single" w:sz="4" w:space="0" w:color="auto"/>
            </w:tcBorders>
            <w:shd w:val="clear" w:color="auto" w:fill="auto"/>
          </w:tcPr>
          <w:p w14:paraId="564C29DA"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992" w:type="dxa"/>
            <w:tcBorders>
              <w:bottom w:val="single" w:sz="4" w:space="0" w:color="auto"/>
            </w:tcBorders>
            <w:shd w:val="clear" w:color="auto" w:fill="auto"/>
          </w:tcPr>
          <w:p w14:paraId="42EE80B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418" w:type="dxa"/>
            <w:tcBorders>
              <w:bottom w:val="single" w:sz="4" w:space="0" w:color="auto"/>
            </w:tcBorders>
          </w:tcPr>
          <w:p w14:paraId="52CDA5C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276" w:type="dxa"/>
            <w:tcBorders>
              <w:bottom w:val="single" w:sz="4" w:space="0" w:color="auto"/>
            </w:tcBorders>
            <w:shd w:val="clear" w:color="auto" w:fill="auto"/>
          </w:tcPr>
          <w:p w14:paraId="365CC7D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134" w:type="dxa"/>
            <w:tcBorders>
              <w:bottom w:val="single" w:sz="4" w:space="0" w:color="auto"/>
            </w:tcBorders>
          </w:tcPr>
          <w:p w14:paraId="206A433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1134" w:type="dxa"/>
            <w:tcBorders>
              <w:bottom w:val="single" w:sz="4" w:space="0" w:color="auto"/>
            </w:tcBorders>
          </w:tcPr>
          <w:p w14:paraId="27A167D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c>
          <w:tcPr>
            <w:tcW w:w="992" w:type="dxa"/>
            <w:tcBorders>
              <w:bottom w:val="single" w:sz="4" w:space="0" w:color="auto"/>
            </w:tcBorders>
            <w:shd w:val="clear" w:color="auto" w:fill="auto"/>
          </w:tcPr>
          <w:p w14:paraId="7619EBF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£m</w:t>
            </w:r>
          </w:p>
        </w:tc>
      </w:tr>
      <w:tr w:rsidR="00323BB2" w:rsidRPr="0061063C" w14:paraId="1100E6F9" w14:textId="77777777" w:rsidTr="00453AFA">
        <w:trPr>
          <w:trHeight w:val="102"/>
        </w:trPr>
        <w:tc>
          <w:tcPr>
            <w:tcW w:w="3544" w:type="dxa"/>
            <w:tcBorders>
              <w:top w:val="single" w:sz="4" w:space="0" w:color="auto"/>
            </w:tcBorders>
          </w:tcPr>
          <w:p w14:paraId="374552D8"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 xml:space="preserve">UK </w:t>
            </w:r>
          </w:p>
        </w:tc>
        <w:tc>
          <w:tcPr>
            <w:tcW w:w="992" w:type="dxa"/>
            <w:tcBorders>
              <w:top w:val="single" w:sz="4" w:space="0" w:color="auto"/>
            </w:tcBorders>
            <w:shd w:val="clear" w:color="auto" w:fill="auto"/>
            <w:vAlign w:val="bottom"/>
          </w:tcPr>
          <w:p w14:paraId="798808D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378.4</w:t>
            </w:r>
          </w:p>
        </w:tc>
        <w:tc>
          <w:tcPr>
            <w:tcW w:w="1418" w:type="dxa"/>
            <w:tcBorders>
              <w:top w:val="single" w:sz="4" w:space="0" w:color="auto"/>
            </w:tcBorders>
            <w:shd w:val="clear" w:color="auto" w:fill="auto"/>
            <w:vAlign w:val="bottom"/>
          </w:tcPr>
          <w:p w14:paraId="72C7771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21.8</w:t>
            </w:r>
          </w:p>
        </w:tc>
        <w:tc>
          <w:tcPr>
            <w:tcW w:w="1276" w:type="dxa"/>
            <w:tcBorders>
              <w:top w:val="single" w:sz="4" w:space="0" w:color="auto"/>
            </w:tcBorders>
            <w:shd w:val="clear" w:color="auto" w:fill="auto"/>
            <w:vAlign w:val="bottom"/>
          </w:tcPr>
          <w:p w14:paraId="6931AC7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147.9</w:t>
            </w:r>
          </w:p>
        </w:tc>
        <w:tc>
          <w:tcPr>
            <w:tcW w:w="1134" w:type="dxa"/>
            <w:tcBorders>
              <w:top w:val="single" w:sz="4" w:space="0" w:color="auto"/>
            </w:tcBorders>
            <w:vAlign w:val="bottom"/>
          </w:tcPr>
          <w:p w14:paraId="31B220B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tcBorders>
              <w:top w:val="single" w:sz="4" w:space="0" w:color="auto"/>
            </w:tcBorders>
            <w:shd w:val="clear" w:color="auto" w:fill="auto"/>
            <w:vAlign w:val="bottom"/>
          </w:tcPr>
          <w:p w14:paraId="199E750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992" w:type="dxa"/>
            <w:tcBorders>
              <w:top w:val="single" w:sz="4" w:space="0" w:color="auto"/>
            </w:tcBorders>
            <w:shd w:val="clear" w:color="auto" w:fill="auto"/>
            <w:vAlign w:val="bottom"/>
          </w:tcPr>
          <w:p w14:paraId="6EFD931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548.1</w:t>
            </w:r>
          </w:p>
        </w:tc>
      </w:tr>
      <w:tr w:rsidR="00323BB2" w:rsidRPr="0061063C" w14:paraId="69EF4703" w14:textId="77777777" w:rsidTr="00453AFA">
        <w:tc>
          <w:tcPr>
            <w:tcW w:w="3544" w:type="dxa"/>
          </w:tcPr>
          <w:p w14:paraId="6AA99D9F"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Ireland</w:t>
            </w:r>
          </w:p>
        </w:tc>
        <w:tc>
          <w:tcPr>
            <w:tcW w:w="992" w:type="dxa"/>
            <w:shd w:val="clear" w:color="auto" w:fill="auto"/>
            <w:vAlign w:val="bottom"/>
          </w:tcPr>
          <w:p w14:paraId="0810BB5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78.3</w:t>
            </w:r>
          </w:p>
        </w:tc>
        <w:tc>
          <w:tcPr>
            <w:tcW w:w="1418" w:type="dxa"/>
            <w:shd w:val="clear" w:color="auto" w:fill="auto"/>
            <w:vAlign w:val="bottom"/>
          </w:tcPr>
          <w:p w14:paraId="04EF1B7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2.7</w:t>
            </w:r>
          </w:p>
        </w:tc>
        <w:tc>
          <w:tcPr>
            <w:tcW w:w="1276" w:type="dxa"/>
            <w:shd w:val="clear" w:color="auto" w:fill="auto"/>
            <w:vAlign w:val="bottom"/>
          </w:tcPr>
          <w:p w14:paraId="63FDACE6"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0.9</w:t>
            </w:r>
          </w:p>
        </w:tc>
        <w:tc>
          <w:tcPr>
            <w:tcW w:w="1134" w:type="dxa"/>
            <w:vAlign w:val="bottom"/>
          </w:tcPr>
          <w:p w14:paraId="15DED96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shd w:val="clear" w:color="auto" w:fill="auto"/>
            <w:vAlign w:val="bottom"/>
          </w:tcPr>
          <w:p w14:paraId="214658A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992" w:type="dxa"/>
            <w:shd w:val="clear" w:color="auto" w:fill="auto"/>
            <w:vAlign w:val="bottom"/>
          </w:tcPr>
          <w:p w14:paraId="22C490A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81.9</w:t>
            </w:r>
          </w:p>
        </w:tc>
      </w:tr>
      <w:tr w:rsidR="00323BB2" w:rsidRPr="0061063C" w14:paraId="5DCB84C9" w14:textId="77777777" w:rsidTr="00453AFA">
        <w:tc>
          <w:tcPr>
            <w:tcW w:w="3544" w:type="dxa"/>
          </w:tcPr>
          <w:p w14:paraId="1B843C32"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Australia</w:t>
            </w:r>
          </w:p>
        </w:tc>
        <w:tc>
          <w:tcPr>
            <w:tcW w:w="992" w:type="dxa"/>
            <w:shd w:val="clear" w:color="auto" w:fill="auto"/>
            <w:vAlign w:val="bottom"/>
          </w:tcPr>
          <w:p w14:paraId="3B06188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418" w:type="dxa"/>
            <w:shd w:val="clear" w:color="auto" w:fill="auto"/>
            <w:vAlign w:val="bottom"/>
          </w:tcPr>
          <w:p w14:paraId="73E83FD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276" w:type="dxa"/>
            <w:shd w:val="clear" w:color="auto" w:fill="auto"/>
            <w:vAlign w:val="bottom"/>
          </w:tcPr>
          <w:p w14:paraId="2FE5456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vAlign w:val="bottom"/>
          </w:tcPr>
          <w:p w14:paraId="09A3C89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348.0</w:t>
            </w:r>
          </w:p>
        </w:tc>
        <w:tc>
          <w:tcPr>
            <w:tcW w:w="1134" w:type="dxa"/>
            <w:shd w:val="clear" w:color="auto" w:fill="auto"/>
            <w:vAlign w:val="bottom"/>
          </w:tcPr>
          <w:p w14:paraId="6B53630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992" w:type="dxa"/>
            <w:shd w:val="clear" w:color="auto" w:fill="auto"/>
            <w:vAlign w:val="bottom"/>
          </w:tcPr>
          <w:p w14:paraId="790C093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348.0</w:t>
            </w:r>
          </w:p>
        </w:tc>
      </w:tr>
      <w:tr w:rsidR="00323BB2" w:rsidRPr="0061063C" w14:paraId="16AC5740" w14:textId="77777777" w:rsidTr="00453AFA">
        <w:tc>
          <w:tcPr>
            <w:tcW w:w="3544" w:type="dxa"/>
          </w:tcPr>
          <w:p w14:paraId="63B1F732"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US</w:t>
            </w:r>
          </w:p>
        </w:tc>
        <w:tc>
          <w:tcPr>
            <w:tcW w:w="992" w:type="dxa"/>
            <w:shd w:val="clear" w:color="auto" w:fill="auto"/>
            <w:vAlign w:val="bottom"/>
          </w:tcPr>
          <w:p w14:paraId="3D6533B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418" w:type="dxa"/>
            <w:shd w:val="clear" w:color="auto" w:fill="auto"/>
            <w:vAlign w:val="bottom"/>
          </w:tcPr>
          <w:p w14:paraId="6E7F068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276" w:type="dxa"/>
            <w:shd w:val="clear" w:color="auto" w:fill="auto"/>
            <w:vAlign w:val="bottom"/>
          </w:tcPr>
          <w:p w14:paraId="1A29F7E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vAlign w:val="bottom"/>
          </w:tcPr>
          <w:p w14:paraId="57174B6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shd w:val="clear" w:color="auto" w:fill="auto"/>
            <w:vAlign w:val="bottom"/>
          </w:tcPr>
          <w:p w14:paraId="33B39D82"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255.8</w:t>
            </w:r>
          </w:p>
        </w:tc>
        <w:tc>
          <w:tcPr>
            <w:tcW w:w="992" w:type="dxa"/>
            <w:shd w:val="clear" w:color="auto" w:fill="auto"/>
            <w:vAlign w:val="bottom"/>
          </w:tcPr>
          <w:p w14:paraId="0CAE52D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255.8</w:t>
            </w:r>
          </w:p>
        </w:tc>
      </w:tr>
      <w:tr w:rsidR="00323BB2" w:rsidRPr="0061063C" w14:paraId="43E07B5F" w14:textId="77777777" w:rsidTr="00453AFA">
        <w:tc>
          <w:tcPr>
            <w:tcW w:w="3544" w:type="dxa"/>
            <w:tcBorders>
              <w:bottom w:val="single" w:sz="4" w:space="0" w:color="auto"/>
            </w:tcBorders>
          </w:tcPr>
          <w:p w14:paraId="6C9BE99F"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Rest of World</w:t>
            </w:r>
          </w:p>
        </w:tc>
        <w:tc>
          <w:tcPr>
            <w:tcW w:w="992" w:type="dxa"/>
            <w:tcBorders>
              <w:bottom w:val="single" w:sz="4" w:space="0" w:color="auto"/>
            </w:tcBorders>
            <w:shd w:val="clear" w:color="auto" w:fill="auto"/>
            <w:vAlign w:val="bottom"/>
          </w:tcPr>
          <w:p w14:paraId="345E5B8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97.1</w:t>
            </w:r>
          </w:p>
        </w:tc>
        <w:tc>
          <w:tcPr>
            <w:tcW w:w="1418" w:type="dxa"/>
            <w:tcBorders>
              <w:bottom w:val="single" w:sz="4" w:space="0" w:color="auto"/>
            </w:tcBorders>
            <w:shd w:val="clear" w:color="auto" w:fill="auto"/>
            <w:vAlign w:val="bottom"/>
          </w:tcPr>
          <w:p w14:paraId="22E9C06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205.2</w:t>
            </w:r>
          </w:p>
        </w:tc>
        <w:tc>
          <w:tcPr>
            <w:tcW w:w="1276" w:type="dxa"/>
            <w:tcBorders>
              <w:bottom w:val="single" w:sz="4" w:space="0" w:color="auto"/>
            </w:tcBorders>
            <w:shd w:val="clear" w:color="auto" w:fill="auto"/>
            <w:vAlign w:val="bottom"/>
          </w:tcPr>
          <w:p w14:paraId="7C86128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tcBorders>
              <w:bottom w:val="single" w:sz="4" w:space="0" w:color="auto"/>
            </w:tcBorders>
            <w:vAlign w:val="bottom"/>
          </w:tcPr>
          <w:p w14:paraId="3E81448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1134" w:type="dxa"/>
            <w:tcBorders>
              <w:bottom w:val="single" w:sz="4" w:space="0" w:color="auto"/>
            </w:tcBorders>
            <w:shd w:val="clear" w:color="auto" w:fill="auto"/>
            <w:vAlign w:val="bottom"/>
          </w:tcPr>
          <w:p w14:paraId="002E71D2" w14:textId="77777777" w:rsidR="00323BB2" w:rsidRPr="0061063C" w:rsidDel="00924819"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w:t>
            </w:r>
          </w:p>
        </w:tc>
        <w:tc>
          <w:tcPr>
            <w:tcW w:w="992" w:type="dxa"/>
            <w:tcBorders>
              <w:bottom w:val="single" w:sz="4" w:space="0" w:color="auto"/>
            </w:tcBorders>
            <w:shd w:val="clear" w:color="auto" w:fill="auto"/>
            <w:vAlign w:val="bottom"/>
          </w:tcPr>
          <w:p w14:paraId="10D12E0E"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302.3</w:t>
            </w:r>
          </w:p>
        </w:tc>
      </w:tr>
      <w:tr w:rsidR="00323BB2" w:rsidRPr="0061063C" w14:paraId="23A99455" w14:textId="77777777" w:rsidTr="00453AFA">
        <w:tc>
          <w:tcPr>
            <w:tcW w:w="3544" w:type="dxa"/>
            <w:tcBorders>
              <w:top w:val="single" w:sz="4" w:space="0" w:color="auto"/>
              <w:bottom w:val="single" w:sz="4" w:space="0" w:color="auto"/>
            </w:tcBorders>
          </w:tcPr>
          <w:p w14:paraId="15E9BAC5"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Total Group revenue</w:t>
            </w:r>
          </w:p>
        </w:tc>
        <w:tc>
          <w:tcPr>
            <w:tcW w:w="992" w:type="dxa"/>
            <w:tcBorders>
              <w:top w:val="single" w:sz="4" w:space="0" w:color="auto"/>
              <w:bottom w:val="single" w:sz="4" w:space="0" w:color="auto"/>
            </w:tcBorders>
            <w:shd w:val="clear" w:color="auto" w:fill="auto"/>
            <w:vAlign w:val="bottom"/>
          </w:tcPr>
          <w:p w14:paraId="42AED9A7"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553.8</w:t>
            </w:r>
          </w:p>
        </w:tc>
        <w:tc>
          <w:tcPr>
            <w:tcW w:w="1418" w:type="dxa"/>
            <w:tcBorders>
              <w:top w:val="single" w:sz="4" w:space="0" w:color="auto"/>
              <w:bottom w:val="single" w:sz="4" w:space="0" w:color="auto"/>
            </w:tcBorders>
            <w:shd w:val="clear" w:color="auto" w:fill="auto"/>
            <w:vAlign w:val="bottom"/>
          </w:tcPr>
          <w:p w14:paraId="48E0BD73"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229.7</w:t>
            </w:r>
          </w:p>
        </w:tc>
        <w:tc>
          <w:tcPr>
            <w:tcW w:w="1276" w:type="dxa"/>
            <w:tcBorders>
              <w:top w:val="single" w:sz="4" w:space="0" w:color="auto"/>
              <w:bottom w:val="single" w:sz="4" w:space="0" w:color="auto"/>
            </w:tcBorders>
            <w:shd w:val="clear" w:color="auto" w:fill="auto"/>
            <w:vAlign w:val="bottom"/>
          </w:tcPr>
          <w:p w14:paraId="70D0C03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148.8</w:t>
            </w:r>
          </w:p>
        </w:tc>
        <w:tc>
          <w:tcPr>
            <w:tcW w:w="1134" w:type="dxa"/>
            <w:tcBorders>
              <w:top w:val="single" w:sz="4" w:space="0" w:color="auto"/>
              <w:bottom w:val="single" w:sz="4" w:space="0" w:color="auto"/>
            </w:tcBorders>
            <w:vAlign w:val="bottom"/>
          </w:tcPr>
          <w:p w14:paraId="1369E25C"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348.0</w:t>
            </w:r>
          </w:p>
        </w:tc>
        <w:tc>
          <w:tcPr>
            <w:tcW w:w="1134" w:type="dxa"/>
            <w:tcBorders>
              <w:top w:val="single" w:sz="4" w:space="0" w:color="auto"/>
              <w:bottom w:val="single" w:sz="4" w:space="0" w:color="auto"/>
            </w:tcBorders>
            <w:shd w:val="clear" w:color="auto" w:fill="auto"/>
            <w:vAlign w:val="bottom"/>
          </w:tcPr>
          <w:p w14:paraId="601D8CB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255.8</w:t>
            </w:r>
          </w:p>
        </w:tc>
        <w:tc>
          <w:tcPr>
            <w:tcW w:w="992" w:type="dxa"/>
            <w:tcBorders>
              <w:top w:val="single" w:sz="4" w:space="0" w:color="auto"/>
              <w:bottom w:val="single" w:sz="4" w:space="0" w:color="auto"/>
            </w:tcBorders>
            <w:shd w:val="clear" w:color="auto" w:fill="auto"/>
            <w:vAlign w:val="bottom"/>
          </w:tcPr>
          <w:p w14:paraId="68ABD8D0"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1,536.1</w:t>
            </w:r>
          </w:p>
        </w:tc>
      </w:tr>
      <w:bookmarkEnd w:id="14"/>
    </w:tbl>
    <w:p w14:paraId="3BAC4284" w14:textId="77777777" w:rsidR="00323BB2" w:rsidRPr="0061063C" w:rsidRDefault="00323BB2" w:rsidP="00323BB2">
      <w:pPr>
        <w:rPr>
          <w:rFonts w:asciiTheme="minorHAnsi" w:hAnsiTheme="minorHAnsi"/>
          <w:b/>
          <w:sz w:val="12"/>
          <w:szCs w:val="12"/>
          <w:lang w:val="en-IE"/>
        </w:rPr>
      </w:pPr>
    </w:p>
    <w:p w14:paraId="5A80A049"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Group revenue disaggregated by geographical market for the six months ended 30 June 2019:</w:t>
      </w:r>
    </w:p>
    <w:tbl>
      <w:tblPr>
        <w:tblW w:w="10490" w:type="dxa"/>
        <w:tblLayout w:type="fixed"/>
        <w:tblLook w:val="01E0" w:firstRow="1" w:lastRow="1" w:firstColumn="1" w:lastColumn="1" w:noHBand="0" w:noVBand="0"/>
      </w:tblPr>
      <w:tblGrid>
        <w:gridCol w:w="3544"/>
        <w:gridCol w:w="992"/>
        <w:gridCol w:w="1418"/>
        <w:gridCol w:w="1276"/>
        <w:gridCol w:w="1134"/>
        <w:gridCol w:w="1275"/>
        <w:gridCol w:w="851"/>
      </w:tblGrid>
      <w:tr w:rsidR="00323BB2" w:rsidRPr="0061063C" w14:paraId="64C8C0EF" w14:textId="77777777" w:rsidTr="00453AFA">
        <w:trPr>
          <w:trHeight w:val="147"/>
        </w:trPr>
        <w:tc>
          <w:tcPr>
            <w:tcW w:w="3544" w:type="dxa"/>
            <w:tcBorders>
              <w:top w:val="single" w:sz="4" w:space="0" w:color="auto"/>
            </w:tcBorders>
            <w:shd w:val="clear" w:color="auto" w:fill="auto"/>
          </w:tcPr>
          <w:p w14:paraId="139204A9"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992" w:type="dxa"/>
            <w:tcBorders>
              <w:top w:val="single" w:sz="4" w:space="0" w:color="auto"/>
            </w:tcBorders>
            <w:shd w:val="clear" w:color="auto" w:fill="auto"/>
          </w:tcPr>
          <w:p w14:paraId="63C98FB3"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469AAAB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PPB</w:t>
            </w:r>
          </w:p>
        </w:tc>
        <w:tc>
          <w:tcPr>
            <w:tcW w:w="1418" w:type="dxa"/>
            <w:tcBorders>
              <w:top w:val="single" w:sz="4" w:space="0" w:color="auto"/>
            </w:tcBorders>
          </w:tcPr>
          <w:p w14:paraId="3694A692"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7FC6F25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PokerStars</w:t>
            </w:r>
          </w:p>
        </w:tc>
        <w:tc>
          <w:tcPr>
            <w:tcW w:w="1276" w:type="dxa"/>
            <w:tcBorders>
              <w:top w:val="single" w:sz="4" w:space="0" w:color="auto"/>
            </w:tcBorders>
          </w:tcPr>
          <w:p w14:paraId="0E4B385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Sky Betting and Gaming</w:t>
            </w:r>
          </w:p>
        </w:tc>
        <w:tc>
          <w:tcPr>
            <w:tcW w:w="1134" w:type="dxa"/>
            <w:tcBorders>
              <w:top w:val="single" w:sz="4" w:space="0" w:color="auto"/>
            </w:tcBorders>
          </w:tcPr>
          <w:p w14:paraId="76BD2184"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50BBC2D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Australia</w:t>
            </w:r>
          </w:p>
        </w:tc>
        <w:tc>
          <w:tcPr>
            <w:tcW w:w="1275" w:type="dxa"/>
            <w:tcBorders>
              <w:top w:val="single" w:sz="4" w:space="0" w:color="auto"/>
            </w:tcBorders>
          </w:tcPr>
          <w:p w14:paraId="4E2E4536"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60220EAB"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US</w:t>
            </w:r>
          </w:p>
        </w:tc>
        <w:tc>
          <w:tcPr>
            <w:tcW w:w="851" w:type="dxa"/>
            <w:tcBorders>
              <w:top w:val="single" w:sz="4" w:space="0" w:color="auto"/>
            </w:tcBorders>
            <w:shd w:val="clear" w:color="auto" w:fill="auto"/>
          </w:tcPr>
          <w:p w14:paraId="15999F19"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417947E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Total</w:t>
            </w:r>
          </w:p>
        </w:tc>
      </w:tr>
      <w:tr w:rsidR="00323BB2" w:rsidRPr="0061063C" w14:paraId="1B66E7C2" w14:textId="77777777" w:rsidTr="00453AFA">
        <w:trPr>
          <w:trHeight w:val="70"/>
        </w:trPr>
        <w:tc>
          <w:tcPr>
            <w:tcW w:w="3544" w:type="dxa"/>
            <w:tcBorders>
              <w:bottom w:val="single" w:sz="4" w:space="0" w:color="auto"/>
            </w:tcBorders>
            <w:shd w:val="clear" w:color="auto" w:fill="auto"/>
          </w:tcPr>
          <w:p w14:paraId="049E845E" w14:textId="77777777" w:rsidR="00323BB2" w:rsidRPr="0061063C" w:rsidRDefault="00323BB2" w:rsidP="00453AFA">
            <w:pPr>
              <w:widowControl w:val="0"/>
              <w:autoSpaceDE w:val="0"/>
              <w:autoSpaceDN w:val="0"/>
              <w:adjustRightInd w:val="0"/>
              <w:ind w:left="-108"/>
              <w:jc w:val="both"/>
              <w:rPr>
                <w:rFonts w:asciiTheme="minorHAnsi" w:hAnsiTheme="minorHAnsi"/>
                <w:b/>
                <w:sz w:val="20"/>
              </w:rPr>
            </w:pPr>
          </w:p>
        </w:tc>
        <w:tc>
          <w:tcPr>
            <w:tcW w:w="992" w:type="dxa"/>
            <w:tcBorders>
              <w:bottom w:val="single" w:sz="4" w:space="0" w:color="auto"/>
            </w:tcBorders>
            <w:shd w:val="clear" w:color="auto" w:fill="auto"/>
          </w:tcPr>
          <w:p w14:paraId="5048C11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418" w:type="dxa"/>
            <w:tcBorders>
              <w:bottom w:val="single" w:sz="4" w:space="0" w:color="auto"/>
            </w:tcBorders>
          </w:tcPr>
          <w:p w14:paraId="1223AED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276" w:type="dxa"/>
            <w:tcBorders>
              <w:bottom w:val="single" w:sz="4" w:space="0" w:color="auto"/>
            </w:tcBorders>
          </w:tcPr>
          <w:p w14:paraId="7DF7967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134" w:type="dxa"/>
            <w:tcBorders>
              <w:bottom w:val="single" w:sz="4" w:space="0" w:color="auto"/>
            </w:tcBorders>
          </w:tcPr>
          <w:p w14:paraId="1E54590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1275" w:type="dxa"/>
            <w:tcBorders>
              <w:bottom w:val="single" w:sz="4" w:space="0" w:color="auto"/>
            </w:tcBorders>
          </w:tcPr>
          <w:p w14:paraId="24E9317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c>
          <w:tcPr>
            <w:tcW w:w="851" w:type="dxa"/>
            <w:tcBorders>
              <w:bottom w:val="single" w:sz="4" w:space="0" w:color="auto"/>
            </w:tcBorders>
            <w:shd w:val="clear" w:color="auto" w:fill="auto"/>
          </w:tcPr>
          <w:p w14:paraId="211AC79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£m</w:t>
            </w:r>
          </w:p>
        </w:tc>
      </w:tr>
      <w:tr w:rsidR="00323BB2" w:rsidRPr="0061063C" w14:paraId="1F237434" w14:textId="77777777" w:rsidTr="00453AFA">
        <w:trPr>
          <w:trHeight w:val="102"/>
        </w:trPr>
        <w:tc>
          <w:tcPr>
            <w:tcW w:w="3544" w:type="dxa"/>
            <w:tcBorders>
              <w:top w:val="single" w:sz="4" w:space="0" w:color="auto"/>
            </w:tcBorders>
          </w:tcPr>
          <w:p w14:paraId="55D5CE66"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sz w:val="20"/>
              </w:rPr>
              <w:t xml:space="preserve">UK </w:t>
            </w:r>
          </w:p>
        </w:tc>
        <w:tc>
          <w:tcPr>
            <w:tcW w:w="992" w:type="dxa"/>
            <w:tcBorders>
              <w:top w:val="single" w:sz="4" w:space="0" w:color="auto"/>
            </w:tcBorders>
            <w:shd w:val="clear" w:color="auto" w:fill="auto"/>
            <w:vAlign w:val="bottom"/>
          </w:tcPr>
          <w:p w14:paraId="065BFF7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421.5</w:t>
            </w:r>
          </w:p>
        </w:tc>
        <w:tc>
          <w:tcPr>
            <w:tcW w:w="1418" w:type="dxa"/>
            <w:tcBorders>
              <w:top w:val="single" w:sz="4" w:space="0" w:color="auto"/>
            </w:tcBorders>
            <w:shd w:val="clear" w:color="auto" w:fill="auto"/>
            <w:vAlign w:val="bottom"/>
          </w:tcPr>
          <w:p w14:paraId="12652F7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6" w:type="dxa"/>
            <w:tcBorders>
              <w:top w:val="single" w:sz="4" w:space="0" w:color="auto"/>
            </w:tcBorders>
            <w:vAlign w:val="bottom"/>
          </w:tcPr>
          <w:p w14:paraId="4EDB700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tcBorders>
            <w:vAlign w:val="bottom"/>
          </w:tcPr>
          <w:p w14:paraId="536691E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5" w:type="dxa"/>
            <w:tcBorders>
              <w:top w:val="single" w:sz="4" w:space="0" w:color="auto"/>
            </w:tcBorders>
            <w:shd w:val="clear" w:color="auto" w:fill="auto"/>
            <w:vAlign w:val="bottom"/>
          </w:tcPr>
          <w:p w14:paraId="20F8AD2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1" w:type="dxa"/>
            <w:tcBorders>
              <w:top w:val="single" w:sz="4" w:space="0" w:color="auto"/>
            </w:tcBorders>
            <w:shd w:val="clear" w:color="auto" w:fill="auto"/>
            <w:vAlign w:val="bottom"/>
          </w:tcPr>
          <w:p w14:paraId="7F168CC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421.5</w:t>
            </w:r>
          </w:p>
        </w:tc>
      </w:tr>
      <w:tr w:rsidR="00323BB2" w:rsidRPr="0061063C" w14:paraId="52B041C7" w14:textId="77777777" w:rsidTr="00453AFA">
        <w:tc>
          <w:tcPr>
            <w:tcW w:w="3544" w:type="dxa"/>
          </w:tcPr>
          <w:p w14:paraId="2E2DB480"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Ireland</w:t>
            </w:r>
          </w:p>
        </w:tc>
        <w:tc>
          <w:tcPr>
            <w:tcW w:w="992" w:type="dxa"/>
            <w:shd w:val="clear" w:color="auto" w:fill="auto"/>
            <w:vAlign w:val="bottom"/>
          </w:tcPr>
          <w:p w14:paraId="2A72628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123.7</w:t>
            </w:r>
          </w:p>
        </w:tc>
        <w:tc>
          <w:tcPr>
            <w:tcW w:w="1418" w:type="dxa"/>
            <w:shd w:val="clear" w:color="auto" w:fill="auto"/>
            <w:vAlign w:val="bottom"/>
          </w:tcPr>
          <w:p w14:paraId="013A883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6" w:type="dxa"/>
            <w:vAlign w:val="bottom"/>
          </w:tcPr>
          <w:p w14:paraId="3D88A88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vAlign w:val="bottom"/>
          </w:tcPr>
          <w:p w14:paraId="3EB546B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5" w:type="dxa"/>
            <w:shd w:val="clear" w:color="auto" w:fill="auto"/>
            <w:vAlign w:val="bottom"/>
          </w:tcPr>
          <w:p w14:paraId="4B6798D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1" w:type="dxa"/>
            <w:shd w:val="clear" w:color="auto" w:fill="auto"/>
            <w:vAlign w:val="bottom"/>
          </w:tcPr>
          <w:p w14:paraId="605FB50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123.7</w:t>
            </w:r>
          </w:p>
        </w:tc>
      </w:tr>
      <w:tr w:rsidR="00323BB2" w:rsidRPr="0061063C" w14:paraId="7F5F8333" w14:textId="77777777" w:rsidTr="00453AFA">
        <w:tc>
          <w:tcPr>
            <w:tcW w:w="3544" w:type="dxa"/>
          </w:tcPr>
          <w:p w14:paraId="4ED85BA4"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Australia</w:t>
            </w:r>
          </w:p>
        </w:tc>
        <w:tc>
          <w:tcPr>
            <w:tcW w:w="992" w:type="dxa"/>
            <w:shd w:val="clear" w:color="auto" w:fill="auto"/>
            <w:vAlign w:val="bottom"/>
          </w:tcPr>
          <w:p w14:paraId="5D406F1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8" w:type="dxa"/>
            <w:shd w:val="clear" w:color="auto" w:fill="auto"/>
            <w:vAlign w:val="bottom"/>
          </w:tcPr>
          <w:p w14:paraId="0BF23D9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6" w:type="dxa"/>
            <w:vAlign w:val="bottom"/>
          </w:tcPr>
          <w:p w14:paraId="67309B5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vAlign w:val="bottom"/>
          </w:tcPr>
          <w:p w14:paraId="4EC47D9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206.8</w:t>
            </w:r>
          </w:p>
        </w:tc>
        <w:tc>
          <w:tcPr>
            <w:tcW w:w="1275" w:type="dxa"/>
            <w:shd w:val="clear" w:color="auto" w:fill="auto"/>
            <w:vAlign w:val="bottom"/>
          </w:tcPr>
          <w:p w14:paraId="63132F5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1" w:type="dxa"/>
            <w:shd w:val="clear" w:color="auto" w:fill="auto"/>
            <w:vAlign w:val="bottom"/>
          </w:tcPr>
          <w:p w14:paraId="720D32B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206.8</w:t>
            </w:r>
          </w:p>
        </w:tc>
      </w:tr>
      <w:tr w:rsidR="00323BB2" w:rsidRPr="0061063C" w14:paraId="4F3A8A54" w14:textId="77777777" w:rsidTr="00453AFA">
        <w:tc>
          <w:tcPr>
            <w:tcW w:w="3544" w:type="dxa"/>
          </w:tcPr>
          <w:p w14:paraId="0E392AF3"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US</w:t>
            </w:r>
          </w:p>
        </w:tc>
        <w:tc>
          <w:tcPr>
            <w:tcW w:w="992" w:type="dxa"/>
            <w:shd w:val="clear" w:color="auto" w:fill="auto"/>
            <w:vAlign w:val="bottom"/>
          </w:tcPr>
          <w:p w14:paraId="423163A6"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418" w:type="dxa"/>
            <w:shd w:val="clear" w:color="auto" w:fill="auto"/>
            <w:vAlign w:val="bottom"/>
          </w:tcPr>
          <w:p w14:paraId="7BC8BA0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6" w:type="dxa"/>
            <w:vAlign w:val="bottom"/>
          </w:tcPr>
          <w:p w14:paraId="5E96BAB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vAlign w:val="bottom"/>
          </w:tcPr>
          <w:p w14:paraId="57862CF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5" w:type="dxa"/>
            <w:shd w:val="clear" w:color="auto" w:fill="auto"/>
            <w:vAlign w:val="bottom"/>
          </w:tcPr>
          <w:p w14:paraId="5178C15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159.9</w:t>
            </w:r>
          </w:p>
        </w:tc>
        <w:tc>
          <w:tcPr>
            <w:tcW w:w="851" w:type="dxa"/>
            <w:shd w:val="clear" w:color="auto" w:fill="auto"/>
            <w:vAlign w:val="bottom"/>
          </w:tcPr>
          <w:p w14:paraId="209D57B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159.9</w:t>
            </w:r>
          </w:p>
        </w:tc>
      </w:tr>
      <w:tr w:rsidR="00323BB2" w:rsidRPr="0061063C" w14:paraId="2B42882A" w14:textId="77777777" w:rsidTr="00453AFA">
        <w:tc>
          <w:tcPr>
            <w:tcW w:w="3544" w:type="dxa"/>
            <w:tcBorders>
              <w:bottom w:val="single" w:sz="4" w:space="0" w:color="auto"/>
            </w:tcBorders>
          </w:tcPr>
          <w:p w14:paraId="13D98E9C"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Rest of World</w:t>
            </w:r>
          </w:p>
        </w:tc>
        <w:tc>
          <w:tcPr>
            <w:tcW w:w="992" w:type="dxa"/>
            <w:tcBorders>
              <w:bottom w:val="single" w:sz="4" w:space="0" w:color="auto"/>
            </w:tcBorders>
            <w:shd w:val="clear" w:color="auto" w:fill="auto"/>
            <w:vAlign w:val="bottom"/>
          </w:tcPr>
          <w:p w14:paraId="1C40C533"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108.0</w:t>
            </w:r>
          </w:p>
        </w:tc>
        <w:tc>
          <w:tcPr>
            <w:tcW w:w="1418" w:type="dxa"/>
            <w:tcBorders>
              <w:bottom w:val="single" w:sz="4" w:space="0" w:color="auto"/>
            </w:tcBorders>
            <w:shd w:val="clear" w:color="auto" w:fill="auto"/>
            <w:vAlign w:val="bottom"/>
          </w:tcPr>
          <w:p w14:paraId="7BD9F6C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6" w:type="dxa"/>
            <w:tcBorders>
              <w:bottom w:val="single" w:sz="4" w:space="0" w:color="auto"/>
            </w:tcBorders>
            <w:vAlign w:val="bottom"/>
          </w:tcPr>
          <w:p w14:paraId="73DD853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bottom w:val="single" w:sz="4" w:space="0" w:color="auto"/>
            </w:tcBorders>
            <w:vAlign w:val="bottom"/>
          </w:tcPr>
          <w:p w14:paraId="144D57B2"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5" w:type="dxa"/>
            <w:tcBorders>
              <w:bottom w:val="single" w:sz="4" w:space="0" w:color="auto"/>
            </w:tcBorders>
            <w:shd w:val="clear" w:color="auto" w:fill="auto"/>
            <w:vAlign w:val="bottom"/>
          </w:tcPr>
          <w:p w14:paraId="7629F5BE" w14:textId="77777777" w:rsidR="00323BB2" w:rsidRPr="0061063C" w:rsidDel="00924819"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851" w:type="dxa"/>
            <w:tcBorders>
              <w:bottom w:val="single" w:sz="4" w:space="0" w:color="auto"/>
            </w:tcBorders>
            <w:shd w:val="clear" w:color="auto" w:fill="auto"/>
            <w:vAlign w:val="bottom"/>
          </w:tcPr>
          <w:p w14:paraId="42C56F1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108.0</w:t>
            </w:r>
          </w:p>
        </w:tc>
      </w:tr>
      <w:tr w:rsidR="00323BB2" w:rsidRPr="0061063C" w14:paraId="0D740FB1" w14:textId="77777777" w:rsidTr="00453AFA">
        <w:tc>
          <w:tcPr>
            <w:tcW w:w="3544" w:type="dxa"/>
            <w:tcBorders>
              <w:top w:val="single" w:sz="4" w:space="0" w:color="auto"/>
              <w:bottom w:val="single" w:sz="4" w:space="0" w:color="auto"/>
            </w:tcBorders>
          </w:tcPr>
          <w:p w14:paraId="326E7472"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Total Group revenue</w:t>
            </w:r>
          </w:p>
        </w:tc>
        <w:tc>
          <w:tcPr>
            <w:tcW w:w="992" w:type="dxa"/>
            <w:tcBorders>
              <w:top w:val="single" w:sz="4" w:space="0" w:color="auto"/>
              <w:bottom w:val="single" w:sz="4" w:space="0" w:color="auto"/>
            </w:tcBorders>
            <w:shd w:val="clear" w:color="auto" w:fill="auto"/>
            <w:vAlign w:val="bottom"/>
          </w:tcPr>
          <w:p w14:paraId="5276144D"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653.2</w:t>
            </w:r>
          </w:p>
        </w:tc>
        <w:tc>
          <w:tcPr>
            <w:tcW w:w="1418" w:type="dxa"/>
            <w:tcBorders>
              <w:top w:val="single" w:sz="4" w:space="0" w:color="auto"/>
              <w:bottom w:val="single" w:sz="4" w:space="0" w:color="auto"/>
            </w:tcBorders>
            <w:shd w:val="clear" w:color="auto" w:fill="auto"/>
            <w:vAlign w:val="bottom"/>
          </w:tcPr>
          <w:p w14:paraId="16F5B47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276" w:type="dxa"/>
            <w:tcBorders>
              <w:top w:val="single" w:sz="4" w:space="0" w:color="auto"/>
              <w:bottom w:val="single" w:sz="4" w:space="0" w:color="auto"/>
            </w:tcBorders>
            <w:vAlign w:val="bottom"/>
          </w:tcPr>
          <w:p w14:paraId="6B19726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w:t>
            </w:r>
          </w:p>
        </w:tc>
        <w:tc>
          <w:tcPr>
            <w:tcW w:w="1134" w:type="dxa"/>
            <w:tcBorders>
              <w:top w:val="single" w:sz="4" w:space="0" w:color="auto"/>
              <w:bottom w:val="single" w:sz="4" w:space="0" w:color="auto"/>
            </w:tcBorders>
            <w:vAlign w:val="bottom"/>
          </w:tcPr>
          <w:p w14:paraId="4A45C6B5"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206.8</w:t>
            </w:r>
          </w:p>
        </w:tc>
        <w:tc>
          <w:tcPr>
            <w:tcW w:w="1275" w:type="dxa"/>
            <w:tcBorders>
              <w:top w:val="single" w:sz="4" w:space="0" w:color="auto"/>
              <w:bottom w:val="single" w:sz="4" w:space="0" w:color="auto"/>
            </w:tcBorders>
            <w:shd w:val="clear" w:color="auto" w:fill="auto"/>
            <w:vAlign w:val="bottom"/>
          </w:tcPr>
          <w:p w14:paraId="71E4F51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159.9</w:t>
            </w:r>
          </w:p>
        </w:tc>
        <w:tc>
          <w:tcPr>
            <w:tcW w:w="851" w:type="dxa"/>
            <w:tcBorders>
              <w:top w:val="single" w:sz="4" w:space="0" w:color="auto"/>
              <w:bottom w:val="single" w:sz="4" w:space="0" w:color="auto"/>
            </w:tcBorders>
            <w:shd w:val="clear" w:color="auto" w:fill="auto"/>
            <w:vAlign w:val="bottom"/>
          </w:tcPr>
          <w:p w14:paraId="779AEC9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1,019.9</w:t>
            </w:r>
          </w:p>
        </w:tc>
      </w:tr>
    </w:tbl>
    <w:p w14:paraId="388AA5E2" w14:textId="77777777" w:rsidR="00323BB2" w:rsidRPr="0061063C" w:rsidRDefault="00323BB2" w:rsidP="00323BB2">
      <w:pPr>
        <w:rPr>
          <w:rFonts w:asciiTheme="minorHAnsi" w:hAnsiTheme="minorHAnsi"/>
          <w:sz w:val="20"/>
          <w:szCs w:val="16"/>
          <w:lang w:val="en-IE"/>
        </w:rPr>
      </w:pPr>
      <w:r w:rsidRPr="0061063C">
        <w:rPr>
          <w:rFonts w:asciiTheme="minorHAnsi" w:hAnsiTheme="minorHAnsi"/>
          <w:sz w:val="20"/>
          <w:szCs w:val="16"/>
          <w:lang w:val="en-IE"/>
        </w:rPr>
        <w:t xml:space="preserve">Revenues are attributable to geographical location </w:t>
      </w:r>
      <w:proofErr w:type="gramStart"/>
      <w:r w:rsidRPr="0061063C">
        <w:rPr>
          <w:rFonts w:asciiTheme="minorHAnsi" w:hAnsiTheme="minorHAnsi"/>
          <w:sz w:val="20"/>
          <w:szCs w:val="16"/>
          <w:lang w:val="en-IE"/>
        </w:rPr>
        <w:t>on the basis of</w:t>
      </w:r>
      <w:proofErr w:type="gramEnd"/>
      <w:r w:rsidRPr="0061063C">
        <w:rPr>
          <w:rFonts w:asciiTheme="minorHAnsi" w:hAnsiTheme="minorHAnsi"/>
          <w:sz w:val="20"/>
          <w:szCs w:val="16"/>
          <w:lang w:val="en-IE"/>
        </w:rPr>
        <w:t xml:space="preserve"> the customers location.</w:t>
      </w:r>
    </w:p>
    <w:p w14:paraId="3A0AABDD"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4670122E"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lastRenderedPageBreak/>
        <w:t>5. Separately disclosed items</w:t>
      </w:r>
    </w:p>
    <w:p w14:paraId="547640D5" w14:textId="77777777" w:rsidR="00323BB2" w:rsidRPr="0061063C" w:rsidRDefault="00323BB2" w:rsidP="00323BB2">
      <w:pPr>
        <w:rPr>
          <w:rFonts w:asciiTheme="minorHAnsi" w:hAnsiTheme="minorHAnsi"/>
          <w:b/>
          <w:bCs/>
          <w:sz w:val="12"/>
          <w:szCs w:val="12"/>
        </w:rPr>
      </w:pPr>
    </w:p>
    <w:tbl>
      <w:tblPr>
        <w:tblW w:w="9390" w:type="dxa"/>
        <w:tblInd w:w="108" w:type="dxa"/>
        <w:tblLayout w:type="fixed"/>
        <w:tblLook w:val="0000" w:firstRow="0" w:lastRow="0" w:firstColumn="0" w:lastColumn="0" w:noHBand="0" w:noVBand="0"/>
      </w:tblPr>
      <w:tblGrid>
        <w:gridCol w:w="5704"/>
        <w:gridCol w:w="1843"/>
        <w:gridCol w:w="1843"/>
      </w:tblGrid>
      <w:tr w:rsidR="00323BB2" w:rsidRPr="0061063C" w14:paraId="62370F92" w14:textId="77777777" w:rsidTr="00453AFA">
        <w:tc>
          <w:tcPr>
            <w:tcW w:w="5704" w:type="dxa"/>
            <w:tcBorders>
              <w:top w:val="single" w:sz="4" w:space="0" w:color="auto"/>
              <w:left w:val="nil"/>
              <w:bottom w:val="nil"/>
            </w:tcBorders>
          </w:tcPr>
          <w:p w14:paraId="57A20837" w14:textId="77777777" w:rsidR="00323BB2" w:rsidRPr="0061063C" w:rsidRDefault="00323BB2" w:rsidP="00453AFA">
            <w:pPr>
              <w:rPr>
                <w:rFonts w:asciiTheme="minorHAnsi" w:hAnsiTheme="minorHAnsi"/>
                <w:sz w:val="20"/>
              </w:rPr>
            </w:pPr>
          </w:p>
        </w:tc>
        <w:tc>
          <w:tcPr>
            <w:tcW w:w="1843" w:type="dxa"/>
            <w:tcBorders>
              <w:top w:val="single" w:sz="4" w:space="0" w:color="auto"/>
              <w:left w:val="nil"/>
              <w:bottom w:val="nil"/>
            </w:tcBorders>
          </w:tcPr>
          <w:p w14:paraId="7E2201D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Six months</w:t>
            </w:r>
          </w:p>
          <w:p w14:paraId="79AD897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ended</w:t>
            </w:r>
          </w:p>
          <w:p w14:paraId="117F9DE2"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30 June 2020</w:t>
            </w:r>
          </w:p>
        </w:tc>
        <w:tc>
          <w:tcPr>
            <w:tcW w:w="1843" w:type="dxa"/>
            <w:tcBorders>
              <w:top w:val="single" w:sz="4" w:space="0" w:color="auto"/>
              <w:left w:val="nil"/>
              <w:bottom w:val="nil"/>
              <w:right w:val="nil"/>
            </w:tcBorders>
          </w:tcPr>
          <w:p w14:paraId="67D8A01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Six months</w:t>
            </w:r>
          </w:p>
          <w:p w14:paraId="7C83A7D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ended</w:t>
            </w:r>
          </w:p>
          <w:p w14:paraId="61CBCAF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30 June 2019</w:t>
            </w:r>
          </w:p>
        </w:tc>
      </w:tr>
      <w:tr w:rsidR="00323BB2" w:rsidRPr="0061063C" w14:paraId="6D943B18" w14:textId="77777777" w:rsidTr="00453AFA">
        <w:tc>
          <w:tcPr>
            <w:tcW w:w="5704" w:type="dxa"/>
            <w:tcBorders>
              <w:left w:val="nil"/>
              <w:bottom w:val="nil"/>
            </w:tcBorders>
          </w:tcPr>
          <w:p w14:paraId="755D2EB3" w14:textId="77777777" w:rsidR="00323BB2" w:rsidRPr="0061063C" w:rsidRDefault="00323BB2" w:rsidP="00453AFA">
            <w:pPr>
              <w:rPr>
                <w:rFonts w:asciiTheme="minorHAnsi" w:hAnsiTheme="minorHAnsi"/>
                <w:sz w:val="20"/>
              </w:rPr>
            </w:pPr>
          </w:p>
        </w:tc>
        <w:tc>
          <w:tcPr>
            <w:tcW w:w="1843" w:type="dxa"/>
            <w:tcBorders>
              <w:left w:val="nil"/>
              <w:bottom w:val="nil"/>
            </w:tcBorders>
          </w:tcPr>
          <w:p w14:paraId="12D580FE"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£m</w:t>
            </w:r>
          </w:p>
        </w:tc>
        <w:tc>
          <w:tcPr>
            <w:tcW w:w="1843" w:type="dxa"/>
            <w:tcBorders>
              <w:left w:val="nil"/>
              <w:bottom w:val="nil"/>
              <w:right w:val="nil"/>
            </w:tcBorders>
          </w:tcPr>
          <w:p w14:paraId="23C23C6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£m</w:t>
            </w:r>
          </w:p>
        </w:tc>
      </w:tr>
      <w:tr w:rsidR="00323BB2" w:rsidRPr="0061063C" w14:paraId="25967AD1" w14:textId="77777777" w:rsidTr="00453AFA">
        <w:tc>
          <w:tcPr>
            <w:tcW w:w="5704" w:type="dxa"/>
            <w:tcBorders>
              <w:top w:val="single" w:sz="4" w:space="0" w:color="auto"/>
              <w:left w:val="nil"/>
              <w:bottom w:val="nil"/>
            </w:tcBorders>
          </w:tcPr>
          <w:p w14:paraId="6AABF556"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Amortisation of acquisition related intangible assets</w:t>
            </w:r>
          </w:p>
        </w:tc>
        <w:tc>
          <w:tcPr>
            <w:tcW w:w="1843" w:type="dxa"/>
            <w:tcBorders>
              <w:top w:val="single" w:sz="4" w:space="0" w:color="auto"/>
              <w:left w:val="nil"/>
              <w:bottom w:val="nil"/>
            </w:tcBorders>
          </w:tcPr>
          <w:p w14:paraId="61EFDA8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(127.8)</w:t>
            </w:r>
          </w:p>
        </w:tc>
        <w:tc>
          <w:tcPr>
            <w:tcW w:w="1843" w:type="dxa"/>
            <w:tcBorders>
              <w:top w:val="single" w:sz="4" w:space="0" w:color="auto"/>
              <w:left w:val="nil"/>
              <w:bottom w:val="nil"/>
              <w:right w:val="nil"/>
            </w:tcBorders>
          </w:tcPr>
          <w:p w14:paraId="49A04C2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(58.8)</w:t>
            </w:r>
          </w:p>
        </w:tc>
      </w:tr>
      <w:tr w:rsidR="00323BB2" w:rsidRPr="0061063C" w14:paraId="3663E2FE" w14:textId="77777777" w:rsidTr="00453AFA">
        <w:tc>
          <w:tcPr>
            <w:tcW w:w="5704" w:type="dxa"/>
            <w:tcBorders>
              <w:top w:val="nil"/>
              <w:left w:val="nil"/>
            </w:tcBorders>
          </w:tcPr>
          <w:p w14:paraId="18F2671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Combination fees and associated costs</w:t>
            </w:r>
          </w:p>
        </w:tc>
        <w:tc>
          <w:tcPr>
            <w:tcW w:w="1843" w:type="dxa"/>
            <w:tcBorders>
              <w:top w:val="nil"/>
              <w:left w:val="nil"/>
            </w:tcBorders>
          </w:tcPr>
          <w:p w14:paraId="2668A11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(26.3)</w:t>
            </w:r>
          </w:p>
        </w:tc>
        <w:tc>
          <w:tcPr>
            <w:tcW w:w="1843" w:type="dxa"/>
            <w:tcBorders>
              <w:top w:val="nil"/>
              <w:left w:val="nil"/>
              <w:right w:val="nil"/>
            </w:tcBorders>
          </w:tcPr>
          <w:p w14:paraId="16F7AAE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29164EC9" w14:textId="77777777" w:rsidTr="00453AFA">
        <w:tc>
          <w:tcPr>
            <w:tcW w:w="5704" w:type="dxa"/>
            <w:tcBorders>
              <w:top w:val="nil"/>
              <w:left w:val="nil"/>
            </w:tcBorders>
          </w:tcPr>
          <w:p w14:paraId="3107EEE9"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Restructuring and integration costs</w:t>
            </w:r>
          </w:p>
        </w:tc>
        <w:tc>
          <w:tcPr>
            <w:tcW w:w="1843" w:type="dxa"/>
            <w:tcBorders>
              <w:top w:val="nil"/>
              <w:left w:val="nil"/>
            </w:tcBorders>
          </w:tcPr>
          <w:p w14:paraId="186522C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(41.2)</w:t>
            </w:r>
          </w:p>
        </w:tc>
        <w:tc>
          <w:tcPr>
            <w:tcW w:w="1843" w:type="dxa"/>
            <w:tcBorders>
              <w:top w:val="nil"/>
              <w:left w:val="nil"/>
              <w:right w:val="nil"/>
            </w:tcBorders>
          </w:tcPr>
          <w:p w14:paraId="7AF5219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15559DC1" w14:textId="77777777" w:rsidTr="00453AFA">
        <w:tc>
          <w:tcPr>
            <w:tcW w:w="5704" w:type="dxa"/>
            <w:tcBorders>
              <w:top w:val="nil"/>
              <w:left w:val="nil"/>
            </w:tcBorders>
          </w:tcPr>
          <w:p w14:paraId="57D94006"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VAT refund</w:t>
            </w:r>
          </w:p>
        </w:tc>
        <w:tc>
          <w:tcPr>
            <w:tcW w:w="1843" w:type="dxa"/>
            <w:tcBorders>
              <w:top w:val="nil"/>
              <w:left w:val="nil"/>
            </w:tcBorders>
          </w:tcPr>
          <w:p w14:paraId="4479F933"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10.3</w:t>
            </w:r>
          </w:p>
        </w:tc>
        <w:tc>
          <w:tcPr>
            <w:tcW w:w="1843" w:type="dxa"/>
            <w:tcBorders>
              <w:top w:val="nil"/>
              <w:left w:val="nil"/>
              <w:right w:val="nil"/>
            </w:tcBorders>
          </w:tcPr>
          <w:p w14:paraId="1659FD4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39F9CAAE" w14:textId="77777777" w:rsidTr="00453AFA">
        <w:tc>
          <w:tcPr>
            <w:tcW w:w="5704" w:type="dxa"/>
            <w:tcBorders>
              <w:top w:val="single" w:sz="4" w:space="0" w:color="auto"/>
              <w:left w:val="nil"/>
              <w:bottom w:val="single" w:sz="4" w:space="0" w:color="auto"/>
            </w:tcBorders>
          </w:tcPr>
          <w:p w14:paraId="1091A140" w14:textId="77777777" w:rsidR="00323BB2" w:rsidRPr="0061063C" w:rsidRDefault="00323BB2" w:rsidP="00453AFA">
            <w:pPr>
              <w:ind w:left="-108"/>
              <w:rPr>
                <w:rFonts w:asciiTheme="minorHAnsi" w:hAnsiTheme="minorHAnsi"/>
                <w:b/>
                <w:sz w:val="20"/>
              </w:rPr>
            </w:pPr>
            <w:r w:rsidRPr="0061063C">
              <w:rPr>
                <w:rFonts w:asciiTheme="minorHAnsi" w:hAnsiTheme="minorHAnsi"/>
                <w:b/>
                <w:sz w:val="20"/>
              </w:rPr>
              <w:t>Operating profit impact of separately disclosed items</w:t>
            </w:r>
          </w:p>
        </w:tc>
        <w:tc>
          <w:tcPr>
            <w:tcW w:w="1843" w:type="dxa"/>
            <w:tcBorders>
              <w:top w:val="single" w:sz="4" w:space="0" w:color="auto"/>
              <w:left w:val="nil"/>
              <w:bottom w:val="single" w:sz="4" w:space="0" w:color="auto"/>
            </w:tcBorders>
          </w:tcPr>
          <w:p w14:paraId="3DE3C73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(185.0)</w:t>
            </w:r>
          </w:p>
        </w:tc>
        <w:tc>
          <w:tcPr>
            <w:tcW w:w="1843" w:type="dxa"/>
            <w:tcBorders>
              <w:top w:val="single" w:sz="4" w:space="0" w:color="auto"/>
              <w:left w:val="nil"/>
              <w:bottom w:val="single" w:sz="4" w:space="0" w:color="auto"/>
              <w:right w:val="nil"/>
            </w:tcBorders>
          </w:tcPr>
          <w:p w14:paraId="665DDD2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(58.8)</w:t>
            </w:r>
          </w:p>
        </w:tc>
      </w:tr>
      <w:tr w:rsidR="00323BB2" w:rsidRPr="0061063C" w14:paraId="67696854" w14:textId="77777777" w:rsidTr="00453AFA">
        <w:tc>
          <w:tcPr>
            <w:tcW w:w="5704" w:type="dxa"/>
            <w:tcBorders>
              <w:top w:val="single" w:sz="4" w:space="0" w:color="auto"/>
              <w:left w:val="nil"/>
            </w:tcBorders>
          </w:tcPr>
          <w:p w14:paraId="3EE140D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Income</w:t>
            </w:r>
          </w:p>
        </w:tc>
        <w:tc>
          <w:tcPr>
            <w:tcW w:w="1843" w:type="dxa"/>
            <w:tcBorders>
              <w:top w:val="single" w:sz="4" w:space="0" w:color="auto"/>
              <w:left w:val="nil"/>
            </w:tcBorders>
          </w:tcPr>
          <w:p w14:paraId="62804FF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49.2</w:t>
            </w:r>
          </w:p>
        </w:tc>
        <w:tc>
          <w:tcPr>
            <w:tcW w:w="1843" w:type="dxa"/>
            <w:tcBorders>
              <w:top w:val="single" w:sz="4" w:space="0" w:color="auto"/>
              <w:left w:val="nil"/>
              <w:right w:val="nil"/>
            </w:tcBorders>
          </w:tcPr>
          <w:p w14:paraId="6F889FD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7646F57C" w14:textId="77777777" w:rsidTr="00453AFA">
        <w:tc>
          <w:tcPr>
            <w:tcW w:w="5704" w:type="dxa"/>
            <w:tcBorders>
              <w:left w:val="nil"/>
            </w:tcBorders>
          </w:tcPr>
          <w:p w14:paraId="51D43B5A"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Expense</w:t>
            </w:r>
          </w:p>
        </w:tc>
        <w:tc>
          <w:tcPr>
            <w:tcW w:w="1843" w:type="dxa"/>
            <w:tcBorders>
              <w:left w:val="nil"/>
            </w:tcBorders>
          </w:tcPr>
          <w:p w14:paraId="55F5C78E"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(58.5)</w:t>
            </w:r>
          </w:p>
        </w:tc>
        <w:tc>
          <w:tcPr>
            <w:tcW w:w="1843" w:type="dxa"/>
            <w:tcBorders>
              <w:left w:val="nil"/>
              <w:right w:val="nil"/>
            </w:tcBorders>
          </w:tcPr>
          <w:p w14:paraId="50F586F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76F650AF" w14:textId="77777777" w:rsidTr="00453AFA">
        <w:tc>
          <w:tcPr>
            <w:tcW w:w="5704" w:type="dxa"/>
            <w:tcBorders>
              <w:top w:val="single" w:sz="4" w:space="0" w:color="auto"/>
              <w:left w:val="nil"/>
            </w:tcBorders>
          </w:tcPr>
          <w:p w14:paraId="1B4494C1" w14:textId="77777777" w:rsidR="00323BB2" w:rsidRPr="0061063C" w:rsidRDefault="00323BB2" w:rsidP="00453AFA">
            <w:pPr>
              <w:ind w:left="-108"/>
              <w:rPr>
                <w:rFonts w:asciiTheme="minorHAnsi" w:hAnsiTheme="minorHAnsi"/>
                <w:b/>
                <w:sz w:val="20"/>
              </w:rPr>
            </w:pPr>
            <w:r w:rsidRPr="0061063C">
              <w:rPr>
                <w:rFonts w:asciiTheme="minorHAnsi" w:hAnsiTheme="minorHAnsi"/>
                <w:b/>
                <w:sz w:val="20"/>
              </w:rPr>
              <w:t>Profit before tax impact of separately disclosed items</w:t>
            </w:r>
          </w:p>
        </w:tc>
        <w:tc>
          <w:tcPr>
            <w:tcW w:w="1843" w:type="dxa"/>
            <w:tcBorders>
              <w:top w:val="single" w:sz="4" w:space="0" w:color="auto"/>
              <w:left w:val="nil"/>
            </w:tcBorders>
          </w:tcPr>
          <w:p w14:paraId="310B699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(194.3)</w:t>
            </w:r>
          </w:p>
        </w:tc>
        <w:tc>
          <w:tcPr>
            <w:tcW w:w="1843" w:type="dxa"/>
            <w:tcBorders>
              <w:top w:val="single" w:sz="4" w:space="0" w:color="auto"/>
              <w:left w:val="nil"/>
              <w:right w:val="nil"/>
            </w:tcBorders>
          </w:tcPr>
          <w:p w14:paraId="1DDE5F2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(58.8)</w:t>
            </w:r>
          </w:p>
        </w:tc>
      </w:tr>
      <w:tr w:rsidR="00323BB2" w:rsidRPr="0061063C" w14:paraId="3EC97E59" w14:textId="77777777" w:rsidTr="00453AFA">
        <w:tc>
          <w:tcPr>
            <w:tcW w:w="5704" w:type="dxa"/>
            <w:tcBorders>
              <w:top w:val="single" w:sz="4" w:space="0" w:color="auto"/>
              <w:left w:val="nil"/>
            </w:tcBorders>
          </w:tcPr>
          <w:p w14:paraId="628235C5"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Tax credit on separately disclosed items</w:t>
            </w:r>
          </w:p>
        </w:tc>
        <w:tc>
          <w:tcPr>
            <w:tcW w:w="1843" w:type="dxa"/>
            <w:tcBorders>
              <w:top w:val="single" w:sz="4" w:space="0" w:color="auto"/>
              <w:left w:val="nil"/>
            </w:tcBorders>
          </w:tcPr>
          <w:p w14:paraId="3855AB7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14.1</w:t>
            </w:r>
          </w:p>
        </w:tc>
        <w:tc>
          <w:tcPr>
            <w:tcW w:w="1843" w:type="dxa"/>
            <w:tcBorders>
              <w:top w:val="single" w:sz="4" w:space="0" w:color="auto"/>
              <w:left w:val="nil"/>
              <w:right w:val="nil"/>
            </w:tcBorders>
          </w:tcPr>
          <w:p w14:paraId="49A0F45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9.4</w:t>
            </w:r>
          </w:p>
        </w:tc>
      </w:tr>
      <w:tr w:rsidR="00323BB2" w:rsidRPr="0061063C" w14:paraId="1C8B4944" w14:textId="77777777" w:rsidTr="00453AFA">
        <w:tc>
          <w:tcPr>
            <w:tcW w:w="5704" w:type="dxa"/>
            <w:tcBorders>
              <w:top w:val="single" w:sz="4" w:space="0" w:color="auto"/>
              <w:left w:val="nil"/>
              <w:bottom w:val="single" w:sz="4" w:space="0" w:color="auto"/>
            </w:tcBorders>
          </w:tcPr>
          <w:p w14:paraId="5300FBA4" w14:textId="77777777" w:rsidR="00323BB2" w:rsidRPr="0061063C" w:rsidRDefault="00323BB2" w:rsidP="00453AFA">
            <w:pPr>
              <w:ind w:left="-108"/>
              <w:rPr>
                <w:rFonts w:asciiTheme="minorHAnsi" w:hAnsiTheme="minorHAnsi"/>
                <w:b/>
                <w:sz w:val="20"/>
              </w:rPr>
            </w:pPr>
            <w:r w:rsidRPr="0061063C">
              <w:rPr>
                <w:rFonts w:asciiTheme="minorHAnsi" w:hAnsiTheme="minorHAnsi"/>
                <w:b/>
                <w:sz w:val="20"/>
              </w:rPr>
              <w:t>Total separately disclosed items</w:t>
            </w:r>
          </w:p>
        </w:tc>
        <w:tc>
          <w:tcPr>
            <w:tcW w:w="1843" w:type="dxa"/>
            <w:tcBorders>
              <w:top w:val="single" w:sz="4" w:space="0" w:color="auto"/>
              <w:left w:val="nil"/>
              <w:bottom w:val="single" w:sz="4" w:space="0" w:color="auto"/>
            </w:tcBorders>
          </w:tcPr>
          <w:p w14:paraId="67C29E3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(180.2)</w:t>
            </w:r>
          </w:p>
        </w:tc>
        <w:tc>
          <w:tcPr>
            <w:tcW w:w="1843" w:type="dxa"/>
            <w:tcBorders>
              <w:top w:val="single" w:sz="4" w:space="0" w:color="auto"/>
              <w:left w:val="nil"/>
              <w:bottom w:val="single" w:sz="4" w:space="0" w:color="auto"/>
              <w:right w:val="nil"/>
            </w:tcBorders>
          </w:tcPr>
          <w:p w14:paraId="303C837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(49.4)</w:t>
            </w:r>
          </w:p>
        </w:tc>
      </w:tr>
      <w:tr w:rsidR="00323BB2" w:rsidRPr="0061063C" w14:paraId="7E744266" w14:textId="77777777" w:rsidTr="00453AFA">
        <w:tc>
          <w:tcPr>
            <w:tcW w:w="5704" w:type="dxa"/>
            <w:tcBorders>
              <w:top w:val="single" w:sz="4" w:space="0" w:color="auto"/>
              <w:left w:val="nil"/>
            </w:tcBorders>
          </w:tcPr>
          <w:p w14:paraId="2686668F" w14:textId="77777777" w:rsidR="00323BB2" w:rsidRPr="0061063C" w:rsidRDefault="00323BB2" w:rsidP="00453AFA">
            <w:pPr>
              <w:ind w:left="-108"/>
              <w:rPr>
                <w:rFonts w:asciiTheme="minorHAnsi" w:hAnsiTheme="minorHAnsi"/>
                <w:sz w:val="20"/>
              </w:rPr>
            </w:pPr>
          </w:p>
        </w:tc>
        <w:tc>
          <w:tcPr>
            <w:tcW w:w="1843" w:type="dxa"/>
            <w:tcBorders>
              <w:top w:val="single" w:sz="4" w:space="0" w:color="auto"/>
              <w:left w:val="nil"/>
            </w:tcBorders>
          </w:tcPr>
          <w:p w14:paraId="0D193FEA" w14:textId="77777777" w:rsidR="00323BB2" w:rsidRPr="0061063C" w:rsidRDefault="00323BB2" w:rsidP="00453AFA">
            <w:pPr>
              <w:jc w:val="right"/>
              <w:rPr>
                <w:rFonts w:asciiTheme="minorHAnsi" w:hAnsiTheme="minorHAnsi"/>
                <w:b/>
                <w:bCs/>
                <w:sz w:val="20"/>
              </w:rPr>
            </w:pPr>
          </w:p>
        </w:tc>
        <w:tc>
          <w:tcPr>
            <w:tcW w:w="1843" w:type="dxa"/>
            <w:tcBorders>
              <w:top w:val="single" w:sz="4" w:space="0" w:color="auto"/>
              <w:left w:val="nil"/>
              <w:right w:val="nil"/>
            </w:tcBorders>
          </w:tcPr>
          <w:p w14:paraId="1CB59DD2" w14:textId="77777777" w:rsidR="00323BB2" w:rsidRPr="0061063C" w:rsidRDefault="00323BB2" w:rsidP="00453AFA">
            <w:pPr>
              <w:jc w:val="right"/>
              <w:rPr>
                <w:rFonts w:asciiTheme="minorHAnsi" w:hAnsiTheme="minorHAnsi"/>
                <w:bCs/>
                <w:sz w:val="20"/>
              </w:rPr>
            </w:pPr>
          </w:p>
        </w:tc>
      </w:tr>
      <w:tr w:rsidR="00323BB2" w:rsidRPr="0061063C" w14:paraId="2F475BE0" w14:textId="77777777" w:rsidTr="00453AFA">
        <w:tc>
          <w:tcPr>
            <w:tcW w:w="5704" w:type="dxa"/>
            <w:tcBorders>
              <w:left w:val="nil"/>
            </w:tcBorders>
          </w:tcPr>
          <w:p w14:paraId="4D243D56" w14:textId="77777777" w:rsidR="00323BB2" w:rsidRPr="0061063C" w:rsidRDefault="00323BB2" w:rsidP="00453AFA">
            <w:pPr>
              <w:ind w:left="-108"/>
              <w:rPr>
                <w:rFonts w:asciiTheme="minorHAnsi" w:hAnsiTheme="minorHAnsi"/>
                <w:b/>
                <w:sz w:val="20"/>
              </w:rPr>
            </w:pPr>
            <w:r w:rsidRPr="0061063C">
              <w:rPr>
                <w:rFonts w:asciiTheme="minorHAnsi" w:hAnsiTheme="minorHAnsi"/>
                <w:b/>
                <w:sz w:val="20"/>
              </w:rPr>
              <w:t>Attributable to:</w:t>
            </w:r>
          </w:p>
        </w:tc>
        <w:tc>
          <w:tcPr>
            <w:tcW w:w="1843" w:type="dxa"/>
            <w:tcBorders>
              <w:left w:val="nil"/>
            </w:tcBorders>
          </w:tcPr>
          <w:p w14:paraId="0251F6DF" w14:textId="77777777" w:rsidR="00323BB2" w:rsidRPr="0061063C" w:rsidRDefault="00323BB2" w:rsidP="00453AFA">
            <w:pPr>
              <w:jc w:val="right"/>
              <w:rPr>
                <w:rFonts w:asciiTheme="minorHAnsi" w:hAnsiTheme="minorHAnsi"/>
                <w:b/>
                <w:bCs/>
                <w:sz w:val="20"/>
              </w:rPr>
            </w:pPr>
          </w:p>
        </w:tc>
        <w:tc>
          <w:tcPr>
            <w:tcW w:w="1843" w:type="dxa"/>
            <w:tcBorders>
              <w:left w:val="nil"/>
              <w:right w:val="nil"/>
            </w:tcBorders>
          </w:tcPr>
          <w:p w14:paraId="1D786856" w14:textId="77777777" w:rsidR="00323BB2" w:rsidRPr="0061063C" w:rsidRDefault="00323BB2" w:rsidP="00453AFA">
            <w:pPr>
              <w:jc w:val="right"/>
              <w:rPr>
                <w:rFonts w:asciiTheme="minorHAnsi" w:hAnsiTheme="minorHAnsi"/>
                <w:bCs/>
                <w:sz w:val="20"/>
              </w:rPr>
            </w:pPr>
          </w:p>
        </w:tc>
      </w:tr>
      <w:tr w:rsidR="00323BB2" w:rsidRPr="0061063C" w14:paraId="5C58E125" w14:textId="77777777" w:rsidTr="00453AFA">
        <w:tc>
          <w:tcPr>
            <w:tcW w:w="5704" w:type="dxa"/>
            <w:tcBorders>
              <w:left w:val="nil"/>
            </w:tcBorders>
          </w:tcPr>
          <w:p w14:paraId="5F9C666E"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Equity holders of the Company</w:t>
            </w:r>
          </w:p>
        </w:tc>
        <w:tc>
          <w:tcPr>
            <w:tcW w:w="1843" w:type="dxa"/>
            <w:tcBorders>
              <w:left w:val="nil"/>
            </w:tcBorders>
          </w:tcPr>
          <w:p w14:paraId="0E1283C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(172.8)</w:t>
            </w:r>
          </w:p>
        </w:tc>
        <w:tc>
          <w:tcPr>
            <w:tcW w:w="1843" w:type="dxa"/>
            <w:tcBorders>
              <w:left w:val="nil"/>
              <w:right w:val="nil"/>
            </w:tcBorders>
          </w:tcPr>
          <w:p w14:paraId="7756E9E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(39.4)</w:t>
            </w:r>
          </w:p>
        </w:tc>
      </w:tr>
      <w:tr w:rsidR="00323BB2" w:rsidRPr="0061063C" w14:paraId="7DD2D937" w14:textId="77777777" w:rsidTr="00453AFA">
        <w:tc>
          <w:tcPr>
            <w:tcW w:w="5704" w:type="dxa"/>
            <w:tcBorders>
              <w:left w:val="nil"/>
              <w:bottom w:val="single" w:sz="4" w:space="0" w:color="auto"/>
            </w:tcBorders>
          </w:tcPr>
          <w:p w14:paraId="58C21D2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Non-controlling interest</w:t>
            </w:r>
          </w:p>
        </w:tc>
        <w:tc>
          <w:tcPr>
            <w:tcW w:w="1843" w:type="dxa"/>
            <w:tcBorders>
              <w:left w:val="nil"/>
              <w:bottom w:val="single" w:sz="4" w:space="0" w:color="auto"/>
            </w:tcBorders>
          </w:tcPr>
          <w:p w14:paraId="29E67EA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(7.4)</w:t>
            </w:r>
          </w:p>
        </w:tc>
        <w:tc>
          <w:tcPr>
            <w:tcW w:w="1843" w:type="dxa"/>
            <w:tcBorders>
              <w:left w:val="nil"/>
              <w:bottom w:val="single" w:sz="4" w:space="0" w:color="auto"/>
              <w:right w:val="nil"/>
            </w:tcBorders>
          </w:tcPr>
          <w:p w14:paraId="0A947ED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(10.0)</w:t>
            </w:r>
          </w:p>
        </w:tc>
      </w:tr>
      <w:tr w:rsidR="00323BB2" w:rsidRPr="0061063C" w14:paraId="348DB095" w14:textId="77777777" w:rsidTr="00453AFA">
        <w:tc>
          <w:tcPr>
            <w:tcW w:w="5704" w:type="dxa"/>
            <w:tcBorders>
              <w:top w:val="single" w:sz="4" w:space="0" w:color="auto"/>
              <w:left w:val="nil"/>
              <w:bottom w:val="single" w:sz="4" w:space="0" w:color="auto"/>
            </w:tcBorders>
          </w:tcPr>
          <w:p w14:paraId="1CE40E64" w14:textId="77777777" w:rsidR="00323BB2" w:rsidRPr="0061063C" w:rsidRDefault="00323BB2" w:rsidP="00453AFA">
            <w:pPr>
              <w:ind w:left="-108"/>
              <w:rPr>
                <w:rFonts w:asciiTheme="minorHAnsi" w:hAnsiTheme="minorHAnsi"/>
                <w:sz w:val="20"/>
              </w:rPr>
            </w:pPr>
          </w:p>
        </w:tc>
        <w:tc>
          <w:tcPr>
            <w:tcW w:w="1843" w:type="dxa"/>
            <w:tcBorders>
              <w:top w:val="single" w:sz="4" w:space="0" w:color="auto"/>
              <w:left w:val="nil"/>
              <w:bottom w:val="single" w:sz="4" w:space="0" w:color="auto"/>
            </w:tcBorders>
          </w:tcPr>
          <w:p w14:paraId="7408CC1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(180.2)</w:t>
            </w:r>
          </w:p>
        </w:tc>
        <w:tc>
          <w:tcPr>
            <w:tcW w:w="1843" w:type="dxa"/>
            <w:tcBorders>
              <w:top w:val="single" w:sz="4" w:space="0" w:color="auto"/>
              <w:left w:val="nil"/>
              <w:bottom w:val="single" w:sz="4" w:space="0" w:color="auto"/>
              <w:right w:val="nil"/>
            </w:tcBorders>
          </w:tcPr>
          <w:p w14:paraId="108AB6A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(49.4)</w:t>
            </w:r>
          </w:p>
        </w:tc>
      </w:tr>
    </w:tbl>
    <w:p w14:paraId="3ABC1966" w14:textId="77777777" w:rsidR="00323BB2" w:rsidRPr="0061063C" w:rsidRDefault="00323BB2" w:rsidP="00323BB2">
      <w:pPr>
        <w:rPr>
          <w:rFonts w:asciiTheme="minorHAnsi" w:hAnsiTheme="minorHAnsi"/>
          <w:sz w:val="12"/>
          <w:szCs w:val="12"/>
          <w:lang w:val="en-IE"/>
        </w:rPr>
      </w:pPr>
    </w:p>
    <w:p w14:paraId="5D272CA7" w14:textId="77777777" w:rsidR="00323BB2" w:rsidRPr="0061063C" w:rsidRDefault="00323BB2" w:rsidP="00323BB2">
      <w:pPr>
        <w:rPr>
          <w:rFonts w:asciiTheme="minorHAnsi" w:hAnsiTheme="minorHAnsi"/>
          <w:b/>
          <w:sz w:val="20"/>
          <w:szCs w:val="22"/>
        </w:rPr>
      </w:pPr>
      <w:r w:rsidRPr="0061063C">
        <w:rPr>
          <w:rFonts w:asciiTheme="minorHAnsi" w:hAnsiTheme="minorHAnsi"/>
          <w:b/>
          <w:sz w:val="20"/>
          <w:szCs w:val="22"/>
        </w:rPr>
        <w:t>Amortisation of acquisition related intangible assets</w:t>
      </w:r>
    </w:p>
    <w:p w14:paraId="42E8F143" w14:textId="77777777" w:rsidR="00323BB2" w:rsidRPr="0061063C" w:rsidRDefault="00323BB2" w:rsidP="00323BB2">
      <w:pPr>
        <w:pStyle w:val="BodyText"/>
        <w:rPr>
          <w:rFonts w:asciiTheme="minorHAnsi" w:hAnsiTheme="minorHAnsi"/>
          <w:sz w:val="20"/>
          <w:szCs w:val="22"/>
          <w:lang w:val="en-IE"/>
        </w:rPr>
      </w:pPr>
      <w:r w:rsidRPr="0061063C">
        <w:rPr>
          <w:rFonts w:asciiTheme="minorHAnsi" w:hAnsiTheme="minorHAnsi"/>
          <w:sz w:val="20"/>
          <w:szCs w:val="22"/>
          <w:lang w:val="en-IE"/>
        </w:rPr>
        <w:t>Non-cash amortisation of £127.8m has been incurred in the period (six months ended 30 June 2019: £58.8m) as a result of intangible assets separately identified under IFRS 3 as a result of the merger with Betfair in 2016</w:t>
      </w:r>
      <w:r>
        <w:rPr>
          <w:rFonts w:asciiTheme="minorHAnsi" w:hAnsiTheme="minorHAnsi"/>
          <w:sz w:val="20"/>
          <w:szCs w:val="22"/>
          <w:lang w:val="en-IE"/>
        </w:rPr>
        <w:t xml:space="preserve">, </w:t>
      </w:r>
      <w:r w:rsidRPr="0061063C">
        <w:rPr>
          <w:rFonts w:asciiTheme="minorHAnsi" w:hAnsiTheme="minorHAnsi"/>
          <w:sz w:val="20"/>
          <w:szCs w:val="22"/>
          <w:lang w:val="en-IE"/>
        </w:rPr>
        <w:t>the acquisitions of FanDuel Limited in 2018</w:t>
      </w:r>
      <w:r>
        <w:rPr>
          <w:rFonts w:asciiTheme="minorHAnsi" w:hAnsiTheme="minorHAnsi"/>
          <w:sz w:val="20"/>
          <w:szCs w:val="22"/>
          <w:lang w:val="en-IE"/>
        </w:rPr>
        <w:t xml:space="preserve"> and </w:t>
      </w:r>
      <w:r w:rsidRPr="0061063C">
        <w:rPr>
          <w:rFonts w:asciiTheme="minorHAnsi" w:hAnsiTheme="minorHAnsi"/>
          <w:sz w:val="20"/>
          <w:szCs w:val="22"/>
          <w:lang w:val="en-IE"/>
        </w:rPr>
        <w:t>Adjarabet in 2019 and the Combination with TSG in 2020.</w:t>
      </w:r>
    </w:p>
    <w:p w14:paraId="7D7C7512" w14:textId="77777777" w:rsidR="00323BB2" w:rsidRPr="0061063C" w:rsidRDefault="00323BB2" w:rsidP="00323BB2">
      <w:pPr>
        <w:rPr>
          <w:rFonts w:asciiTheme="minorHAnsi" w:hAnsiTheme="minorHAnsi"/>
          <w:b/>
          <w:sz w:val="20"/>
        </w:rPr>
      </w:pPr>
      <w:r w:rsidRPr="0061063C">
        <w:rPr>
          <w:rFonts w:asciiTheme="minorHAnsi" w:hAnsiTheme="minorHAnsi"/>
          <w:b/>
          <w:sz w:val="20"/>
        </w:rPr>
        <w:t>Combination fees and associated costs</w:t>
      </w:r>
    </w:p>
    <w:p w14:paraId="2AA43CA9"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 xml:space="preserve">Combination fees and associated costs of £26.3m relate to costs incurred in the period directly as a result of the Combination. This does not include any professional fees incurred by TSG prior to the Combination. </w:t>
      </w:r>
    </w:p>
    <w:p w14:paraId="79B7E274" w14:textId="77777777" w:rsidR="00323BB2" w:rsidRPr="0061063C" w:rsidRDefault="00323BB2" w:rsidP="00323BB2">
      <w:pPr>
        <w:pStyle w:val="BodyText"/>
        <w:spacing w:after="0"/>
        <w:rPr>
          <w:rFonts w:asciiTheme="minorHAnsi" w:hAnsiTheme="minorHAnsi"/>
          <w:sz w:val="12"/>
          <w:szCs w:val="12"/>
          <w:lang w:val="en-IE"/>
        </w:rPr>
      </w:pPr>
    </w:p>
    <w:p w14:paraId="1E776BC9" w14:textId="77777777" w:rsidR="00323BB2" w:rsidRPr="0061063C" w:rsidRDefault="00323BB2" w:rsidP="00323BB2">
      <w:pPr>
        <w:rPr>
          <w:rFonts w:asciiTheme="minorHAnsi" w:hAnsiTheme="minorHAnsi"/>
          <w:b/>
          <w:sz w:val="20"/>
          <w:szCs w:val="22"/>
        </w:rPr>
      </w:pPr>
      <w:bookmarkStart w:id="15" w:name="_Hlk42256691"/>
      <w:r w:rsidRPr="0061063C">
        <w:rPr>
          <w:rFonts w:asciiTheme="minorHAnsi" w:hAnsiTheme="minorHAnsi"/>
          <w:b/>
          <w:sz w:val="20"/>
          <w:szCs w:val="22"/>
        </w:rPr>
        <w:t>Restructuring and integration costs</w:t>
      </w:r>
    </w:p>
    <w:bookmarkEnd w:id="15"/>
    <w:p w14:paraId="666ECA5F" w14:textId="77777777" w:rsidR="00323BB2" w:rsidRPr="0061063C" w:rsidRDefault="00323BB2" w:rsidP="00323BB2">
      <w:pPr>
        <w:pStyle w:val="BodyText"/>
        <w:spacing w:after="0"/>
        <w:rPr>
          <w:rFonts w:asciiTheme="minorHAnsi" w:hAnsiTheme="minorHAnsi"/>
          <w:sz w:val="20"/>
          <w:szCs w:val="22"/>
          <w:lang w:val="en-IE"/>
        </w:rPr>
      </w:pPr>
      <w:r w:rsidRPr="0061063C">
        <w:rPr>
          <w:rFonts w:asciiTheme="minorHAnsi" w:hAnsiTheme="minorHAnsi"/>
          <w:sz w:val="20"/>
          <w:szCs w:val="22"/>
          <w:lang w:val="en-IE"/>
        </w:rPr>
        <w:t xml:space="preserve">This relates to incremental, one-off costs incurred during the six months ended 30 June 2020, as a result of significant restructuring and integration initiatives due to the Combination with TSG. No such costs were incurred in 2019. </w:t>
      </w:r>
    </w:p>
    <w:p w14:paraId="43567BDF" w14:textId="77777777" w:rsidR="00323BB2" w:rsidRPr="0061063C" w:rsidRDefault="00323BB2" w:rsidP="00323BB2">
      <w:pPr>
        <w:pStyle w:val="BodyText"/>
        <w:spacing w:after="0"/>
        <w:rPr>
          <w:rFonts w:asciiTheme="minorHAnsi" w:hAnsiTheme="minorHAnsi"/>
          <w:sz w:val="12"/>
          <w:szCs w:val="12"/>
          <w:lang w:val="en-IE"/>
        </w:rPr>
      </w:pPr>
    </w:p>
    <w:p w14:paraId="67DB0049" w14:textId="77777777" w:rsidR="00323BB2" w:rsidRPr="0061063C" w:rsidRDefault="00323BB2" w:rsidP="00323BB2">
      <w:pPr>
        <w:pStyle w:val="BodyText"/>
        <w:spacing w:after="0"/>
        <w:rPr>
          <w:rFonts w:asciiTheme="minorHAnsi" w:hAnsiTheme="minorHAnsi"/>
          <w:b/>
          <w:sz w:val="20"/>
          <w:szCs w:val="22"/>
          <w:lang w:val="en-IE"/>
        </w:rPr>
      </w:pPr>
      <w:r w:rsidRPr="0061063C">
        <w:rPr>
          <w:rFonts w:asciiTheme="minorHAnsi" w:hAnsiTheme="minorHAnsi"/>
          <w:b/>
          <w:sz w:val="20"/>
          <w:szCs w:val="22"/>
          <w:lang w:val="en-IE"/>
        </w:rPr>
        <w:t>VAT refund</w:t>
      </w:r>
    </w:p>
    <w:p w14:paraId="57A6EE66" w14:textId="77777777" w:rsidR="00323BB2" w:rsidRPr="0061063C" w:rsidRDefault="00323BB2" w:rsidP="00323BB2">
      <w:pPr>
        <w:pStyle w:val="BodyText"/>
        <w:rPr>
          <w:rFonts w:asciiTheme="minorHAnsi" w:hAnsiTheme="minorHAnsi"/>
          <w:sz w:val="20"/>
          <w:szCs w:val="20"/>
          <w:lang w:val="en-IE"/>
        </w:rPr>
      </w:pPr>
      <w:r w:rsidRPr="0061063C">
        <w:rPr>
          <w:rFonts w:asciiTheme="minorHAnsi" w:hAnsiTheme="minorHAnsi"/>
          <w:sz w:val="20"/>
          <w:szCs w:val="20"/>
          <w:lang w:val="en-IE"/>
        </w:rPr>
        <w:t xml:space="preserve">In May 2020, HMRC confirmed it would not appeal the ruling of the Upper Tier Tribunal in the cases of Rank Group Plc and Done Brothers (Cash Betting) Ltd (trading as Betfred) that VAT was incorrectly applied to revenues earned from certain gaming machines prior to 2013. The </w:t>
      </w:r>
      <w:r w:rsidRPr="0061063C">
        <w:rPr>
          <w:rFonts w:asciiTheme="minorHAnsi" w:hAnsiTheme="minorHAnsi" w:cstheme="minorHAnsi"/>
          <w:sz w:val="20"/>
          <w:szCs w:val="20"/>
          <w:lang w:val="en-IE"/>
        </w:rPr>
        <w:t xml:space="preserve">Group </w:t>
      </w:r>
      <w:r w:rsidRPr="0061063C">
        <w:rPr>
          <w:rFonts w:asciiTheme="minorHAnsi" w:hAnsiTheme="minorHAnsi" w:cstheme="minorHAnsi"/>
          <w:sz w:val="20"/>
          <w:szCs w:val="20"/>
        </w:rPr>
        <w:t>has submitted protective claims for the period and are in the process of formally requesting repayment from HMRC</w:t>
      </w:r>
      <w:r w:rsidRPr="0061063C">
        <w:rPr>
          <w:rFonts w:asciiTheme="minorHAnsi" w:hAnsiTheme="minorHAnsi" w:cstheme="minorHAnsi"/>
          <w:sz w:val="20"/>
          <w:szCs w:val="20"/>
          <w:lang w:val="en-IE"/>
        </w:rPr>
        <w:t>.  The Group continues to engage with HMRC to agree the quantum and timing of the refund. Accordingly, it has recognised</w:t>
      </w:r>
      <w:r w:rsidRPr="0061063C">
        <w:rPr>
          <w:rFonts w:asciiTheme="minorHAnsi" w:hAnsiTheme="minorHAnsi"/>
          <w:sz w:val="20"/>
          <w:szCs w:val="20"/>
          <w:lang w:val="en-IE"/>
        </w:rPr>
        <w:t xml:space="preserve"> income to the extent that the Group consider it is virtually certain it will receive the refund, net of the best estimate of associated third party costs expected to be incurred as a result of the refund. </w:t>
      </w:r>
    </w:p>
    <w:p w14:paraId="3A149EE3" w14:textId="77777777" w:rsidR="00323BB2" w:rsidRPr="0061063C" w:rsidRDefault="00323BB2" w:rsidP="00323BB2">
      <w:pPr>
        <w:pStyle w:val="BodyText"/>
        <w:spacing w:after="0"/>
        <w:rPr>
          <w:rFonts w:asciiTheme="minorHAnsi" w:hAnsiTheme="minorHAnsi"/>
          <w:b/>
          <w:sz w:val="20"/>
          <w:lang w:val="en-IE"/>
        </w:rPr>
      </w:pPr>
      <w:r w:rsidRPr="0061063C">
        <w:rPr>
          <w:rFonts w:asciiTheme="minorHAnsi" w:hAnsiTheme="minorHAnsi"/>
          <w:sz w:val="20"/>
          <w:szCs w:val="20"/>
          <w:lang w:val="en-IE"/>
        </w:rPr>
        <w:t>The refund of VAT due from HMRC of £13.7m has been booked as revenue with associated third-party costs of £2.0m and £1.4m recorded in cost of sales and operating expenses respectively.</w:t>
      </w:r>
    </w:p>
    <w:p w14:paraId="44205084" w14:textId="77777777" w:rsidR="00323BB2" w:rsidRPr="0061063C" w:rsidRDefault="00323BB2" w:rsidP="00323BB2">
      <w:pPr>
        <w:pStyle w:val="BodyText"/>
        <w:spacing w:after="0"/>
        <w:rPr>
          <w:rFonts w:asciiTheme="minorHAnsi" w:hAnsiTheme="minorHAnsi"/>
          <w:b/>
          <w:sz w:val="12"/>
          <w:szCs w:val="12"/>
          <w:lang w:val="en-IE"/>
        </w:rPr>
      </w:pPr>
    </w:p>
    <w:p w14:paraId="26BDC0EE" w14:textId="77777777" w:rsidR="00323BB2" w:rsidRPr="0061063C" w:rsidRDefault="00323BB2" w:rsidP="00323BB2">
      <w:pPr>
        <w:pStyle w:val="BodyText"/>
        <w:spacing w:after="0"/>
        <w:rPr>
          <w:rFonts w:asciiTheme="minorHAnsi" w:hAnsiTheme="minorHAnsi"/>
          <w:b/>
          <w:sz w:val="20"/>
          <w:szCs w:val="22"/>
          <w:lang w:val="en-IE"/>
        </w:rPr>
      </w:pPr>
      <w:r w:rsidRPr="0061063C">
        <w:rPr>
          <w:rFonts w:asciiTheme="minorHAnsi" w:hAnsiTheme="minorHAnsi"/>
          <w:b/>
          <w:sz w:val="20"/>
          <w:szCs w:val="22"/>
          <w:lang w:val="en-IE"/>
        </w:rPr>
        <w:t>Financial Income</w:t>
      </w:r>
    </w:p>
    <w:p w14:paraId="589F304B"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As detailed in Note 6, this comprises the gain of £36.9m on the remeasurement of the embedded derivatives and the FX gain of £12.3m on financial instruments associated with financing activities.</w:t>
      </w:r>
    </w:p>
    <w:p w14:paraId="6E0C922C" w14:textId="77777777" w:rsidR="00323BB2" w:rsidRPr="0061063C" w:rsidRDefault="00323BB2" w:rsidP="00323BB2">
      <w:pPr>
        <w:rPr>
          <w:rFonts w:asciiTheme="minorHAnsi" w:hAnsiTheme="minorHAnsi" w:cstheme="minorHAnsi"/>
          <w:sz w:val="12"/>
          <w:szCs w:val="12"/>
        </w:rPr>
      </w:pPr>
    </w:p>
    <w:p w14:paraId="73509585" w14:textId="77777777" w:rsidR="00323BB2" w:rsidRPr="0061063C" w:rsidRDefault="00323BB2" w:rsidP="00323BB2">
      <w:pPr>
        <w:rPr>
          <w:rFonts w:asciiTheme="minorHAnsi" w:hAnsiTheme="minorHAnsi" w:cstheme="minorHAnsi"/>
          <w:b/>
          <w:sz w:val="20"/>
        </w:rPr>
      </w:pPr>
      <w:r w:rsidRPr="0061063C">
        <w:rPr>
          <w:rFonts w:asciiTheme="minorHAnsi" w:hAnsiTheme="minorHAnsi" w:cstheme="minorHAnsi"/>
          <w:b/>
          <w:sz w:val="20"/>
        </w:rPr>
        <w:t>Financial expense</w:t>
      </w:r>
    </w:p>
    <w:p w14:paraId="7585131D" w14:textId="77777777" w:rsidR="00323BB2" w:rsidRPr="0061063C" w:rsidRDefault="00323BB2" w:rsidP="00323BB2">
      <w:pPr>
        <w:rPr>
          <w:rFonts w:asciiTheme="minorHAnsi" w:hAnsiTheme="minorHAnsi" w:cstheme="minorHAnsi"/>
          <w:sz w:val="20"/>
        </w:rPr>
      </w:pPr>
      <w:r w:rsidRPr="0061063C">
        <w:rPr>
          <w:rFonts w:asciiTheme="minorHAnsi" w:hAnsiTheme="minorHAnsi" w:cstheme="minorHAnsi"/>
          <w:sz w:val="20"/>
        </w:rPr>
        <w:t>As detailed in Note 6, this comprises the loss of £9.5m on the remeasurement of the HRTV contingent consideration (see Note 13), the FX loss on the forward contract of £11.2m, a loss of £32.8m relating to accelerated debt repayments and £5.0m relating to the expensing of one-off financing related fees not eligible for capitalisation.</w:t>
      </w:r>
    </w:p>
    <w:p w14:paraId="0D3B2CDC" w14:textId="77777777" w:rsidR="00323BB2" w:rsidRPr="0061063C" w:rsidRDefault="00323BB2" w:rsidP="00323BB2">
      <w:pPr>
        <w:pStyle w:val="BodyText"/>
        <w:spacing w:after="0"/>
        <w:rPr>
          <w:rFonts w:asciiTheme="minorHAnsi" w:hAnsiTheme="minorHAnsi"/>
          <w:sz w:val="20"/>
          <w:szCs w:val="22"/>
          <w:lang w:val="en-IE"/>
        </w:rPr>
      </w:pPr>
    </w:p>
    <w:p w14:paraId="3234A800" w14:textId="77777777" w:rsidR="00323BB2" w:rsidRPr="0061063C" w:rsidRDefault="00323BB2" w:rsidP="00323BB2">
      <w:pPr>
        <w:pStyle w:val="BodyText"/>
        <w:spacing w:after="0"/>
        <w:rPr>
          <w:rFonts w:asciiTheme="minorHAnsi" w:hAnsiTheme="minorHAnsi"/>
          <w:b/>
          <w:sz w:val="20"/>
          <w:szCs w:val="22"/>
          <w:lang w:val="en-IE"/>
        </w:rPr>
      </w:pPr>
      <w:r w:rsidRPr="0061063C">
        <w:rPr>
          <w:rFonts w:asciiTheme="minorHAnsi" w:hAnsiTheme="minorHAnsi"/>
          <w:sz w:val="20"/>
          <w:szCs w:val="20"/>
          <w:lang w:val="en-IE"/>
        </w:rPr>
        <w:t>Combination fees and associated costs</w:t>
      </w:r>
      <w:r>
        <w:rPr>
          <w:rFonts w:asciiTheme="minorHAnsi" w:hAnsiTheme="minorHAnsi"/>
          <w:sz w:val="20"/>
          <w:szCs w:val="20"/>
          <w:lang w:val="en-IE"/>
        </w:rPr>
        <w:t xml:space="preserve"> and </w:t>
      </w:r>
      <w:r w:rsidRPr="0061063C">
        <w:rPr>
          <w:rFonts w:asciiTheme="minorHAnsi" w:hAnsiTheme="minorHAnsi"/>
          <w:sz w:val="20"/>
          <w:szCs w:val="22"/>
          <w:lang w:val="en-IE"/>
        </w:rPr>
        <w:t>restructuring and integration costs are included in the Condensed Consolidated Interim Income Statement within operating costs excluding depreciation, amortisation and impairment. Amortisation of acquisition related intangible assets is included within depreciation and amortisation.</w:t>
      </w:r>
      <w:r w:rsidRPr="0061063C">
        <w:rPr>
          <w:rFonts w:asciiTheme="minorHAnsi" w:hAnsiTheme="minorHAnsi"/>
          <w:b/>
          <w:sz w:val="20"/>
          <w:szCs w:val="22"/>
          <w:lang w:val="en-IE"/>
        </w:rPr>
        <w:br w:type="page"/>
      </w:r>
    </w:p>
    <w:p w14:paraId="291DC4B2" w14:textId="77777777" w:rsidR="00323BB2" w:rsidRPr="0061063C" w:rsidRDefault="00323BB2" w:rsidP="00323BB2">
      <w:pPr>
        <w:rPr>
          <w:rFonts w:asciiTheme="minorHAnsi" w:hAnsiTheme="minorHAnsi"/>
          <w:b/>
          <w:bCs/>
          <w:sz w:val="20"/>
        </w:rPr>
      </w:pPr>
      <w:r w:rsidRPr="0061063C">
        <w:rPr>
          <w:rFonts w:asciiTheme="minorHAnsi" w:hAnsiTheme="minorHAnsi"/>
          <w:b/>
          <w:bCs/>
          <w:sz w:val="20"/>
        </w:rPr>
        <w:lastRenderedPageBreak/>
        <w:t>6. Financial income and expense</w:t>
      </w:r>
    </w:p>
    <w:p w14:paraId="760F9915" w14:textId="77777777" w:rsidR="00323BB2" w:rsidRPr="0061063C" w:rsidRDefault="00323BB2" w:rsidP="00323BB2">
      <w:pPr>
        <w:jc w:val="both"/>
        <w:rPr>
          <w:rFonts w:asciiTheme="minorHAnsi" w:hAnsiTheme="minorHAnsi"/>
          <w:sz w:val="12"/>
          <w:szCs w:val="12"/>
        </w:rPr>
      </w:pPr>
    </w:p>
    <w:tbl>
      <w:tblPr>
        <w:tblW w:w="9673" w:type="dxa"/>
        <w:tblInd w:w="108" w:type="dxa"/>
        <w:tblLayout w:type="fixed"/>
        <w:tblLook w:val="0000" w:firstRow="0" w:lastRow="0" w:firstColumn="0" w:lastColumn="0" w:noHBand="0" w:noVBand="0"/>
      </w:tblPr>
      <w:tblGrid>
        <w:gridCol w:w="6838"/>
        <w:gridCol w:w="1559"/>
        <w:gridCol w:w="1276"/>
      </w:tblGrid>
      <w:tr w:rsidR="00323BB2" w:rsidRPr="0061063C" w14:paraId="58D2E947" w14:textId="77777777" w:rsidTr="00453AFA">
        <w:trPr>
          <w:trHeight w:val="390"/>
        </w:trPr>
        <w:tc>
          <w:tcPr>
            <w:tcW w:w="6838" w:type="dxa"/>
            <w:tcBorders>
              <w:left w:val="nil"/>
              <w:right w:val="nil"/>
            </w:tcBorders>
          </w:tcPr>
          <w:p w14:paraId="4F70B237" w14:textId="77777777" w:rsidR="00323BB2" w:rsidRPr="0061063C" w:rsidRDefault="00323BB2" w:rsidP="00453AFA">
            <w:pPr>
              <w:jc w:val="both"/>
              <w:rPr>
                <w:rFonts w:asciiTheme="minorHAnsi" w:hAnsiTheme="minorHAnsi"/>
                <w:sz w:val="20"/>
              </w:rPr>
            </w:pPr>
          </w:p>
        </w:tc>
        <w:tc>
          <w:tcPr>
            <w:tcW w:w="1559" w:type="dxa"/>
            <w:tcBorders>
              <w:left w:val="nil"/>
              <w:right w:val="nil"/>
            </w:tcBorders>
          </w:tcPr>
          <w:p w14:paraId="3171BDE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Six months</w:t>
            </w:r>
          </w:p>
          <w:p w14:paraId="738FEDA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ended</w:t>
            </w:r>
          </w:p>
          <w:p w14:paraId="739E4270"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 xml:space="preserve">30 June </w:t>
            </w:r>
          </w:p>
          <w:p w14:paraId="1967CA3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2020</w:t>
            </w:r>
          </w:p>
        </w:tc>
        <w:tc>
          <w:tcPr>
            <w:tcW w:w="1276" w:type="dxa"/>
            <w:tcBorders>
              <w:left w:val="nil"/>
              <w:right w:val="nil"/>
            </w:tcBorders>
          </w:tcPr>
          <w:p w14:paraId="3DC629E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Six months</w:t>
            </w:r>
          </w:p>
          <w:p w14:paraId="76424F0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ended</w:t>
            </w:r>
          </w:p>
          <w:p w14:paraId="68DF47D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30 June 2019</w:t>
            </w:r>
          </w:p>
        </w:tc>
      </w:tr>
      <w:tr w:rsidR="00323BB2" w:rsidRPr="0061063C" w14:paraId="7741324B" w14:textId="77777777" w:rsidTr="00453AFA">
        <w:trPr>
          <w:trHeight w:val="276"/>
        </w:trPr>
        <w:tc>
          <w:tcPr>
            <w:tcW w:w="6838" w:type="dxa"/>
            <w:tcBorders>
              <w:left w:val="nil"/>
              <w:right w:val="nil"/>
            </w:tcBorders>
          </w:tcPr>
          <w:p w14:paraId="2E4C2628" w14:textId="77777777" w:rsidR="00323BB2" w:rsidRPr="0061063C" w:rsidRDefault="00323BB2" w:rsidP="00453AFA">
            <w:pPr>
              <w:ind w:left="-108"/>
              <w:rPr>
                <w:rFonts w:asciiTheme="minorHAnsi" w:hAnsiTheme="minorHAnsi"/>
                <w:b/>
                <w:sz w:val="20"/>
              </w:rPr>
            </w:pPr>
          </w:p>
        </w:tc>
        <w:tc>
          <w:tcPr>
            <w:tcW w:w="1559" w:type="dxa"/>
            <w:tcBorders>
              <w:left w:val="nil"/>
              <w:right w:val="nil"/>
            </w:tcBorders>
          </w:tcPr>
          <w:p w14:paraId="3A608C72"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£m</w:t>
            </w:r>
          </w:p>
        </w:tc>
        <w:tc>
          <w:tcPr>
            <w:tcW w:w="1276" w:type="dxa"/>
            <w:tcBorders>
              <w:left w:val="nil"/>
              <w:right w:val="nil"/>
            </w:tcBorders>
          </w:tcPr>
          <w:p w14:paraId="24F8C8E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£m</w:t>
            </w:r>
          </w:p>
        </w:tc>
      </w:tr>
      <w:tr w:rsidR="00323BB2" w:rsidRPr="0061063C" w14:paraId="0C4C95DE" w14:textId="77777777" w:rsidTr="00453AFA">
        <w:trPr>
          <w:trHeight w:val="276"/>
        </w:trPr>
        <w:tc>
          <w:tcPr>
            <w:tcW w:w="6838" w:type="dxa"/>
            <w:tcBorders>
              <w:top w:val="single" w:sz="4" w:space="0" w:color="auto"/>
              <w:left w:val="nil"/>
              <w:right w:val="nil"/>
            </w:tcBorders>
          </w:tcPr>
          <w:p w14:paraId="1B334D4D" w14:textId="77777777" w:rsidR="00323BB2" w:rsidRPr="0061063C" w:rsidRDefault="00323BB2" w:rsidP="00453AFA">
            <w:pPr>
              <w:ind w:left="-108"/>
              <w:rPr>
                <w:rFonts w:asciiTheme="minorHAnsi" w:hAnsiTheme="minorHAnsi"/>
                <w:sz w:val="20"/>
              </w:rPr>
            </w:pPr>
            <w:r w:rsidRPr="0061063C">
              <w:rPr>
                <w:rFonts w:asciiTheme="minorHAnsi" w:hAnsiTheme="minorHAnsi"/>
                <w:b/>
                <w:sz w:val="20"/>
              </w:rPr>
              <w:t>Recognised in profit or loss:</w:t>
            </w:r>
          </w:p>
        </w:tc>
        <w:tc>
          <w:tcPr>
            <w:tcW w:w="1559" w:type="dxa"/>
            <w:tcBorders>
              <w:top w:val="single" w:sz="4" w:space="0" w:color="auto"/>
              <w:left w:val="nil"/>
              <w:right w:val="nil"/>
            </w:tcBorders>
          </w:tcPr>
          <w:p w14:paraId="1A2945BD" w14:textId="77777777" w:rsidR="00323BB2" w:rsidRPr="0061063C" w:rsidRDefault="00323BB2" w:rsidP="00453AFA">
            <w:pPr>
              <w:jc w:val="right"/>
              <w:rPr>
                <w:rFonts w:asciiTheme="minorHAnsi" w:hAnsiTheme="minorHAnsi"/>
                <w:b/>
                <w:bCs/>
                <w:sz w:val="20"/>
              </w:rPr>
            </w:pPr>
          </w:p>
        </w:tc>
        <w:tc>
          <w:tcPr>
            <w:tcW w:w="1276" w:type="dxa"/>
            <w:tcBorders>
              <w:top w:val="single" w:sz="4" w:space="0" w:color="auto"/>
              <w:left w:val="nil"/>
              <w:right w:val="nil"/>
            </w:tcBorders>
          </w:tcPr>
          <w:p w14:paraId="3C651111" w14:textId="77777777" w:rsidR="00323BB2" w:rsidRPr="0061063C" w:rsidRDefault="00323BB2" w:rsidP="00453AFA">
            <w:pPr>
              <w:jc w:val="right"/>
              <w:rPr>
                <w:rFonts w:asciiTheme="minorHAnsi" w:hAnsiTheme="minorHAnsi"/>
                <w:bCs/>
                <w:sz w:val="20"/>
              </w:rPr>
            </w:pPr>
          </w:p>
        </w:tc>
      </w:tr>
      <w:tr w:rsidR="00323BB2" w:rsidRPr="0061063C" w14:paraId="3861C8DB" w14:textId="77777777" w:rsidTr="00453AFA">
        <w:trPr>
          <w:trHeight w:val="164"/>
        </w:trPr>
        <w:tc>
          <w:tcPr>
            <w:tcW w:w="6838" w:type="dxa"/>
            <w:tcBorders>
              <w:top w:val="nil"/>
              <w:left w:val="nil"/>
              <w:right w:val="nil"/>
            </w:tcBorders>
          </w:tcPr>
          <w:p w14:paraId="711E0D35"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income:</w:t>
            </w:r>
          </w:p>
        </w:tc>
        <w:tc>
          <w:tcPr>
            <w:tcW w:w="1559" w:type="dxa"/>
            <w:tcBorders>
              <w:top w:val="nil"/>
              <w:left w:val="nil"/>
              <w:right w:val="nil"/>
            </w:tcBorders>
          </w:tcPr>
          <w:p w14:paraId="28EDA6DD" w14:textId="77777777" w:rsidR="00323BB2" w:rsidRPr="0061063C" w:rsidRDefault="00323BB2" w:rsidP="00453AFA">
            <w:pPr>
              <w:jc w:val="right"/>
              <w:rPr>
                <w:rFonts w:asciiTheme="minorHAnsi" w:hAnsiTheme="minorHAnsi"/>
                <w:b/>
                <w:bCs/>
                <w:sz w:val="20"/>
              </w:rPr>
            </w:pPr>
          </w:p>
        </w:tc>
        <w:tc>
          <w:tcPr>
            <w:tcW w:w="1276" w:type="dxa"/>
            <w:tcBorders>
              <w:top w:val="nil"/>
              <w:left w:val="nil"/>
              <w:right w:val="nil"/>
            </w:tcBorders>
          </w:tcPr>
          <w:p w14:paraId="40272275" w14:textId="77777777" w:rsidR="00323BB2" w:rsidRPr="0061063C" w:rsidRDefault="00323BB2" w:rsidP="00453AFA">
            <w:pPr>
              <w:jc w:val="right"/>
              <w:rPr>
                <w:rFonts w:asciiTheme="minorHAnsi" w:hAnsiTheme="minorHAnsi"/>
                <w:bCs/>
                <w:sz w:val="20"/>
              </w:rPr>
            </w:pPr>
          </w:p>
        </w:tc>
      </w:tr>
      <w:tr w:rsidR="00323BB2" w:rsidRPr="0061063C" w14:paraId="44D2F93D" w14:textId="77777777" w:rsidTr="00453AFA">
        <w:trPr>
          <w:trHeight w:val="148"/>
        </w:trPr>
        <w:tc>
          <w:tcPr>
            <w:tcW w:w="6838" w:type="dxa"/>
            <w:tcBorders>
              <w:left w:val="nil"/>
              <w:right w:val="nil"/>
            </w:tcBorders>
          </w:tcPr>
          <w:p w14:paraId="1A63580C"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Gain on remeasurement of embedded derivatives (see Note 5 and Note 15)</w:t>
            </w:r>
          </w:p>
        </w:tc>
        <w:tc>
          <w:tcPr>
            <w:tcW w:w="1559" w:type="dxa"/>
            <w:tcBorders>
              <w:left w:val="nil"/>
              <w:right w:val="nil"/>
            </w:tcBorders>
          </w:tcPr>
          <w:p w14:paraId="703579B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36.9</w:t>
            </w:r>
          </w:p>
        </w:tc>
        <w:tc>
          <w:tcPr>
            <w:tcW w:w="1276" w:type="dxa"/>
            <w:tcBorders>
              <w:left w:val="nil"/>
              <w:right w:val="nil"/>
            </w:tcBorders>
          </w:tcPr>
          <w:p w14:paraId="4E8AFB2E"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FA13351" w14:textId="77777777" w:rsidTr="00453AFA">
        <w:trPr>
          <w:trHeight w:val="148"/>
        </w:trPr>
        <w:tc>
          <w:tcPr>
            <w:tcW w:w="6838" w:type="dxa"/>
            <w:tcBorders>
              <w:left w:val="nil"/>
              <w:right w:val="nil"/>
            </w:tcBorders>
            <w:shd w:val="clear" w:color="auto" w:fill="auto"/>
          </w:tcPr>
          <w:p w14:paraId="6CB077B8"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Foreign exchange gain on financing instruments associated with financing activities (Note 5)</w:t>
            </w:r>
          </w:p>
        </w:tc>
        <w:tc>
          <w:tcPr>
            <w:tcW w:w="1559" w:type="dxa"/>
            <w:tcBorders>
              <w:left w:val="nil"/>
              <w:right w:val="nil"/>
            </w:tcBorders>
          </w:tcPr>
          <w:p w14:paraId="48EDB086" w14:textId="77777777" w:rsidR="00323BB2" w:rsidRPr="0061063C" w:rsidRDefault="00323BB2" w:rsidP="00453AFA">
            <w:pPr>
              <w:jc w:val="right"/>
              <w:rPr>
                <w:rFonts w:asciiTheme="minorHAnsi" w:hAnsiTheme="minorHAnsi"/>
                <w:b/>
                <w:bCs/>
                <w:sz w:val="20"/>
              </w:rPr>
            </w:pPr>
          </w:p>
          <w:p w14:paraId="6199E70F"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12.3</w:t>
            </w:r>
          </w:p>
        </w:tc>
        <w:tc>
          <w:tcPr>
            <w:tcW w:w="1276" w:type="dxa"/>
            <w:tcBorders>
              <w:left w:val="nil"/>
              <w:right w:val="nil"/>
            </w:tcBorders>
          </w:tcPr>
          <w:p w14:paraId="6842173E" w14:textId="77777777" w:rsidR="00323BB2" w:rsidRPr="0061063C" w:rsidRDefault="00323BB2" w:rsidP="00453AFA">
            <w:pPr>
              <w:jc w:val="right"/>
              <w:rPr>
                <w:rFonts w:asciiTheme="minorHAnsi" w:hAnsiTheme="minorHAnsi"/>
                <w:bCs/>
                <w:sz w:val="20"/>
              </w:rPr>
            </w:pPr>
          </w:p>
          <w:p w14:paraId="4A829BD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53B57AA0" w14:textId="77777777" w:rsidTr="00453AFA">
        <w:trPr>
          <w:trHeight w:val="148"/>
        </w:trPr>
        <w:tc>
          <w:tcPr>
            <w:tcW w:w="6838" w:type="dxa"/>
            <w:tcBorders>
              <w:left w:val="nil"/>
              <w:right w:val="nil"/>
            </w:tcBorders>
          </w:tcPr>
          <w:p w14:paraId="363A6459"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Movement in fair value of investment</w:t>
            </w:r>
          </w:p>
        </w:tc>
        <w:tc>
          <w:tcPr>
            <w:tcW w:w="1559" w:type="dxa"/>
            <w:tcBorders>
              <w:left w:val="nil"/>
              <w:right w:val="nil"/>
            </w:tcBorders>
          </w:tcPr>
          <w:p w14:paraId="79286D7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0.1</w:t>
            </w:r>
          </w:p>
        </w:tc>
        <w:tc>
          <w:tcPr>
            <w:tcW w:w="1276" w:type="dxa"/>
            <w:tcBorders>
              <w:left w:val="nil"/>
              <w:right w:val="nil"/>
            </w:tcBorders>
          </w:tcPr>
          <w:p w14:paraId="1EFC64D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01BF8FC" w14:textId="77777777" w:rsidTr="00453AFA">
        <w:trPr>
          <w:trHeight w:val="121"/>
        </w:trPr>
        <w:tc>
          <w:tcPr>
            <w:tcW w:w="6838" w:type="dxa"/>
            <w:tcBorders>
              <w:left w:val="nil"/>
              <w:right w:val="nil"/>
            </w:tcBorders>
          </w:tcPr>
          <w:p w14:paraId="742E22E4" w14:textId="77777777" w:rsidR="00323BB2" w:rsidRPr="0061063C" w:rsidRDefault="00323BB2" w:rsidP="00453AFA">
            <w:pPr>
              <w:ind w:left="-108"/>
              <w:rPr>
                <w:rFonts w:asciiTheme="minorHAnsi" w:hAnsiTheme="minorHAnsi"/>
                <w:i/>
                <w:sz w:val="20"/>
              </w:rPr>
            </w:pPr>
          </w:p>
        </w:tc>
        <w:tc>
          <w:tcPr>
            <w:tcW w:w="1559" w:type="dxa"/>
            <w:tcBorders>
              <w:left w:val="nil"/>
              <w:right w:val="nil"/>
            </w:tcBorders>
          </w:tcPr>
          <w:p w14:paraId="28FD6BB5" w14:textId="77777777" w:rsidR="00323BB2" w:rsidRPr="0061063C" w:rsidRDefault="00323BB2" w:rsidP="00453AFA">
            <w:pPr>
              <w:jc w:val="right"/>
              <w:rPr>
                <w:rFonts w:asciiTheme="minorHAnsi" w:hAnsiTheme="minorHAnsi"/>
                <w:b/>
                <w:bCs/>
                <w:sz w:val="20"/>
              </w:rPr>
            </w:pPr>
          </w:p>
        </w:tc>
        <w:tc>
          <w:tcPr>
            <w:tcW w:w="1276" w:type="dxa"/>
            <w:tcBorders>
              <w:left w:val="nil"/>
              <w:right w:val="nil"/>
            </w:tcBorders>
          </w:tcPr>
          <w:p w14:paraId="1D19C15E" w14:textId="77777777" w:rsidR="00323BB2" w:rsidRPr="0061063C" w:rsidRDefault="00323BB2" w:rsidP="00453AFA">
            <w:pPr>
              <w:jc w:val="right"/>
              <w:rPr>
                <w:rFonts w:asciiTheme="minorHAnsi" w:hAnsiTheme="minorHAnsi"/>
                <w:bCs/>
                <w:sz w:val="20"/>
              </w:rPr>
            </w:pPr>
          </w:p>
        </w:tc>
      </w:tr>
      <w:tr w:rsidR="00323BB2" w:rsidRPr="0061063C" w14:paraId="6EFBFBE5" w14:textId="77777777" w:rsidTr="00453AFA">
        <w:trPr>
          <w:trHeight w:val="121"/>
        </w:trPr>
        <w:tc>
          <w:tcPr>
            <w:tcW w:w="6838" w:type="dxa"/>
            <w:tcBorders>
              <w:top w:val="nil"/>
              <w:left w:val="nil"/>
              <w:right w:val="nil"/>
            </w:tcBorders>
          </w:tcPr>
          <w:p w14:paraId="4C2B9A1D" w14:textId="77777777" w:rsidR="00323BB2" w:rsidRPr="0061063C" w:rsidRDefault="00323BB2" w:rsidP="00453AFA">
            <w:pPr>
              <w:ind w:left="-108"/>
              <w:rPr>
                <w:rFonts w:asciiTheme="minorHAnsi" w:hAnsiTheme="minorHAnsi"/>
                <w:sz w:val="20"/>
              </w:rPr>
            </w:pPr>
            <w:r w:rsidRPr="0061063C">
              <w:rPr>
                <w:rFonts w:asciiTheme="minorHAnsi" w:hAnsiTheme="minorHAnsi"/>
                <w:i/>
                <w:sz w:val="20"/>
              </w:rPr>
              <w:t>On financial assets at amortised cost</w:t>
            </w:r>
          </w:p>
        </w:tc>
        <w:tc>
          <w:tcPr>
            <w:tcW w:w="1559" w:type="dxa"/>
            <w:tcBorders>
              <w:top w:val="nil"/>
              <w:left w:val="nil"/>
              <w:right w:val="nil"/>
            </w:tcBorders>
          </w:tcPr>
          <w:p w14:paraId="3FC417B7" w14:textId="77777777" w:rsidR="00323BB2" w:rsidRPr="0061063C" w:rsidRDefault="00323BB2" w:rsidP="00453AFA">
            <w:pPr>
              <w:jc w:val="right"/>
              <w:rPr>
                <w:rFonts w:asciiTheme="minorHAnsi" w:hAnsiTheme="minorHAnsi"/>
                <w:b/>
                <w:bCs/>
                <w:sz w:val="20"/>
              </w:rPr>
            </w:pPr>
          </w:p>
        </w:tc>
        <w:tc>
          <w:tcPr>
            <w:tcW w:w="1276" w:type="dxa"/>
            <w:tcBorders>
              <w:top w:val="nil"/>
              <w:left w:val="nil"/>
              <w:right w:val="nil"/>
            </w:tcBorders>
          </w:tcPr>
          <w:p w14:paraId="60CE8CCA" w14:textId="77777777" w:rsidR="00323BB2" w:rsidRPr="0061063C" w:rsidRDefault="00323BB2" w:rsidP="00453AFA">
            <w:pPr>
              <w:jc w:val="right"/>
              <w:rPr>
                <w:rFonts w:asciiTheme="minorHAnsi" w:hAnsiTheme="minorHAnsi"/>
                <w:bCs/>
                <w:sz w:val="20"/>
              </w:rPr>
            </w:pPr>
          </w:p>
        </w:tc>
      </w:tr>
      <w:tr w:rsidR="00323BB2" w:rsidRPr="0061063C" w14:paraId="23AE5399" w14:textId="77777777" w:rsidTr="00453AFA">
        <w:trPr>
          <w:trHeight w:val="148"/>
        </w:trPr>
        <w:tc>
          <w:tcPr>
            <w:tcW w:w="6838" w:type="dxa"/>
            <w:tcBorders>
              <w:top w:val="nil"/>
              <w:left w:val="nil"/>
              <w:right w:val="nil"/>
            </w:tcBorders>
          </w:tcPr>
          <w:p w14:paraId="53FB6A37"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 xml:space="preserve">Interest income </w:t>
            </w:r>
          </w:p>
        </w:tc>
        <w:tc>
          <w:tcPr>
            <w:tcW w:w="1559" w:type="dxa"/>
            <w:tcBorders>
              <w:top w:val="nil"/>
              <w:left w:val="nil"/>
              <w:right w:val="nil"/>
            </w:tcBorders>
          </w:tcPr>
          <w:p w14:paraId="6F269AB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0.3</w:t>
            </w:r>
          </w:p>
        </w:tc>
        <w:tc>
          <w:tcPr>
            <w:tcW w:w="1276" w:type="dxa"/>
            <w:tcBorders>
              <w:top w:val="nil"/>
              <w:left w:val="nil"/>
              <w:right w:val="nil"/>
            </w:tcBorders>
          </w:tcPr>
          <w:p w14:paraId="370A5D6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0.4</w:t>
            </w:r>
          </w:p>
        </w:tc>
      </w:tr>
      <w:tr w:rsidR="00323BB2" w:rsidRPr="0061063C" w14:paraId="77EA3E36" w14:textId="77777777" w:rsidTr="00453AFA">
        <w:trPr>
          <w:trHeight w:val="148"/>
        </w:trPr>
        <w:tc>
          <w:tcPr>
            <w:tcW w:w="6838" w:type="dxa"/>
            <w:tcBorders>
              <w:top w:val="nil"/>
              <w:left w:val="nil"/>
              <w:right w:val="nil"/>
            </w:tcBorders>
          </w:tcPr>
          <w:p w14:paraId="71C9CEE0" w14:textId="77777777" w:rsidR="00323BB2" w:rsidRPr="0061063C" w:rsidRDefault="00323BB2" w:rsidP="00453AFA">
            <w:pPr>
              <w:ind w:left="-108"/>
              <w:rPr>
                <w:rFonts w:asciiTheme="minorHAnsi" w:hAnsiTheme="minorHAnsi"/>
                <w:sz w:val="20"/>
              </w:rPr>
            </w:pPr>
          </w:p>
        </w:tc>
        <w:tc>
          <w:tcPr>
            <w:tcW w:w="1559" w:type="dxa"/>
            <w:tcBorders>
              <w:top w:val="nil"/>
              <w:left w:val="nil"/>
              <w:right w:val="nil"/>
            </w:tcBorders>
          </w:tcPr>
          <w:p w14:paraId="66124D5A" w14:textId="77777777" w:rsidR="00323BB2" w:rsidRPr="0061063C" w:rsidRDefault="00323BB2" w:rsidP="00453AFA">
            <w:pPr>
              <w:jc w:val="right"/>
              <w:rPr>
                <w:rFonts w:asciiTheme="minorHAnsi" w:hAnsiTheme="minorHAnsi"/>
                <w:b/>
                <w:bCs/>
                <w:sz w:val="20"/>
              </w:rPr>
            </w:pPr>
          </w:p>
        </w:tc>
        <w:tc>
          <w:tcPr>
            <w:tcW w:w="1276" w:type="dxa"/>
            <w:tcBorders>
              <w:top w:val="nil"/>
              <w:left w:val="nil"/>
              <w:right w:val="nil"/>
            </w:tcBorders>
          </w:tcPr>
          <w:p w14:paraId="672E57C6" w14:textId="77777777" w:rsidR="00323BB2" w:rsidRPr="0061063C" w:rsidRDefault="00323BB2" w:rsidP="00453AFA">
            <w:pPr>
              <w:jc w:val="right"/>
              <w:rPr>
                <w:rFonts w:asciiTheme="minorHAnsi" w:hAnsiTheme="minorHAnsi"/>
                <w:bCs/>
                <w:sz w:val="20"/>
              </w:rPr>
            </w:pPr>
          </w:p>
        </w:tc>
      </w:tr>
      <w:tr w:rsidR="00323BB2" w:rsidRPr="0061063C" w14:paraId="47FC3C62" w14:textId="77777777" w:rsidTr="00453AFA">
        <w:tc>
          <w:tcPr>
            <w:tcW w:w="6838" w:type="dxa"/>
            <w:tcBorders>
              <w:top w:val="single" w:sz="4" w:space="0" w:color="auto"/>
              <w:left w:val="nil"/>
              <w:bottom w:val="single" w:sz="4" w:space="0" w:color="auto"/>
              <w:right w:val="nil"/>
            </w:tcBorders>
          </w:tcPr>
          <w:p w14:paraId="7061A469"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Total</w:t>
            </w:r>
          </w:p>
        </w:tc>
        <w:tc>
          <w:tcPr>
            <w:tcW w:w="1559" w:type="dxa"/>
            <w:tcBorders>
              <w:top w:val="single" w:sz="4" w:space="0" w:color="auto"/>
              <w:left w:val="nil"/>
              <w:bottom w:val="single" w:sz="4" w:space="0" w:color="auto"/>
              <w:right w:val="nil"/>
            </w:tcBorders>
          </w:tcPr>
          <w:p w14:paraId="6CED47A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49.6</w:t>
            </w:r>
          </w:p>
        </w:tc>
        <w:tc>
          <w:tcPr>
            <w:tcW w:w="1276" w:type="dxa"/>
            <w:tcBorders>
              <w:top w:val="single" w:sz="4" w:space="0" w:color="auto"/>
              <w:left w:val="nil"/>
              <w:bottom w:val="single" w:sz="4" w:space="0" w:color="auto"/>
              <w:right w:val="nil"/>
            </w:tcBorders>
          </w:tcPr>
          <w:p w14:paraId="65E2C71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0.4</w:t>
            </w:r>
          </w:p>
        </w:tc>
      </w:tr>
      <w:tr w:rsidR="00323BB2" w:rsidRPr="0061063C" w14:paraId="5425394B" w14:textId="77777777" w:rsidTr="00453AFA">
        <w:tc>
          <w:tcPr>
            <w:tcW w:w="6838" w:type="dxa"/>
            <w:tcBorders>
              <w:top w:val="single" w:sz="4" w:space="0" w:color="auto"/>
              <w:left w:val="nil"/>
              <w:bottom w:val="nil"/>
              <w:right w:val="nil"/>
            </w:tcBorders>
          </w:tcPr>
          <w:p w14:paraId="32A54794" w14:textId="77777777" w:rsidR="00323BB2" w:rsidRPr="0061063C" w:rsidRDefault="00323BB2" w:rsidP="00453AFA">
            <w:pPr>
              <w:ind w:left="-108"/>
              <w:rPr>
                <w:rFonts w:asciiTheme="minorHAnsi" w:hAnsiTheme="minorHAnsi"/>
                <w:sz w:val="20"/>
              </w:rPr>
            </w:pPr>
          </w:p>
        </w:tc>
        <w:tc>
          <w:tcPr>
            <w:tcW w:w="1559" w:type="dxa"/>
            <w:tcBorders>
              <w:top w:val="single" w:sz="4" w:space="0" w:color="auto"/>
              <w:left w:val="nil"/>
              <w:bottom w:val="nil"/>
              <w:right w:val="nil"/>
            </w:tcBorders>
          </w:tcPr>
          <w:p w14:paraId="09B7D9A7" w14:textId="77777777" w:rsidR="00323BB2" w:rsidRPr="0061063C" w:rsidRDefault="00323BB2" w:rsidP="00453AFA">
            <w:pPr>
              <w:jc w:val="right"/>
              <w:rPr>
                <w:rFonts w:asciiTheme="minorHAnsi" w:hAnsiTheme="minorHAnsi"/>
                <w:b/>
                <w:bCs/>
                <w:sz w:val="20"/>
              </w:rPr>
            </w:pPr>
          </w:p>
        </w:tc>
        <w:tc>
          <w:tcPr>
            <w:tcW w:w="1276" w:type="dxa"/>
            <w:tcBorders>
              <w:top w:val="single" w:sz="4" w:space="0" w:color="auto"/>
              <w:left w:val="nil"/>
              <w:bottom w:val="nil"/>
              <w:right w:val="nil"/>
            </w:tcBorders>
          </w:tcPr>
          <w:p w14:paraId="6D2589D2" w14:textId="77777777" w:rsidR="00323BB2" w:rsidRPr="0061063C" w:rsidRDefault="00323BB2" w:rsidP="00453AFA">
            <w:pPr>
              <w:jc w:val="right"/>
              <w:rPr>
                <w:rFonts w:asciiTheme="minorHAnsi" w:hAnsiTheme="minorHAnsi"/>
                <w:bCs/>
                <w:sz w:val="20"/>
              </w:rPr>
            </w:pPr>
          </w:p>
        </w:tc>
      </w:tr>
      <w:tr w:rsidR="00323BB2" w:rsidRPr="0061063C" w14:paraId="1D56681B" w14:textId="77777777" w:rsidTr="00453AFA">
        <w:tc>
          <w:tcPr>
            <w:tcW w:w="6838" w:type="dxa"/>
            <w:tcBorders>
              <w:left w:val="nil"/>
              <w:bottom w:val="nil"/>
              <w:right w:val="nil"/>
            </w:tcBorders>
          </w:tcPr>
          <w:p w14:paraId="3313E3C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expense:</w:t>
            </w:r>
          </w:p>
        </w:tc>
        <w:tc>
          <w:tcPr>
            <w:tcW w:w="1559" w:type="dxa"/>
            <w:tcBorders>
              <w:left w:val="nil"/>
              <w:bottom w:val="nil"/>
              <w:right w:val="nil"/>
            </w:tcBorders>
          </w:tcPr>
          <w:p w14:paraId="1D1590CD" w14:textId="77777777" w:rsidR="00323BB2" w:rsidRPr="0061063C" w:rsidRDefault="00323BB2" w:rsidP="00453AFA">
            <w:pPr>
              <w:jc w:val="right"/>
              <w:rPr>
                <w:rFonts w:asciiTheme="minorHAnsi" w:hAnsiTheme="minorHAnsi"/>
                <w:b/>
                <w:bCs/>
                <w:sz w:val="20"/>
              </w:rPr>
            </w:pPr>
          </w:p>
        </w:tc>
        <w:tc>
          <w:tcPr>
            <w:tcW w:w="1276" w:type="dxa"/>
            <w:tcBorders>
              <w:left w:val="nil"/>
              <w:bottom w:val="nil"/>
              <w:right w:val="nil"/>
            </w:tcBorders>
          </w:tcPr>
          <w:p w14:paraId="5F60BD98" w14:textId="77777777" w:rsidR="00323BB2" w:rsidRPr="0061063C" w:rsidRDefault="00323BB2" w:rsidP="00453AFA">
            <w:pPr>
              <w:jc w:val="right"/>
              <w:rPr>
                <w:rFonts w:asciiTheme="minorHAnsi" w:hAnsiTheme="minorHAnsi"/>
                <w:bCs/>
                <w:sz w:val="20"/>
              </w:rPr>
            </w:pPr>
          </w:p>
        </w:tc>
      </w:tr>
      <w:tr w:rsidR="00323BB2" w:rsidRPr="0061063C" w14:paraId="5EE428E9" w14:textId="77777777" w:rsidTr="00453AFA">
        <w:tc>
          <w:tcPr>
            <w:tcW w:w="6838" w:type="dxa"/>
            <w:tcBorders>
              <w:top w:val="nil"/>
              <w:left w:val="nil"/>
              <w:right w:val="nil"/>
            </w:tcBorders>
          </w:tcPr>
          <w:p w14:paraId="16E49F44" w14:textId="77777777" w:rsidR="00323BB2" w:rsidRPr="0061063C" w:rsidRDefault="00323BB2" w:rsidP="00453AFA">
            <w:pPr>
              <w:ind w:left="-108"/>
              <w:rPr>
                <w:rFonts w:asciiTheme="minorHAnsi" w:hAnsiTheme="minorHAnsi"/>
                <w:i/>
                <w:sz w:val="20"/>
              </w:rPr>
            </w:pPr>
            <w:r w:rsidRPr="0061063C">
              <w:rPr>
                <w:rFonts w:asciiTheme="minorHAnsi" w:hAnsiTheme="minorHAnsi"/>
                <w:sz w:val="20"/>
              </w:rPr>
              <w:t>Change in fair value of contingent consideration (see Note 5)</w:t>
            </w:r>
          </w:p>
        </w:tc>
        <w:tc>
          <w:tcPr>
            <w:tcW w:w="1559" w:type="dxa"/>
            <w:tcBorders>
              <w:top w:val="nil"/>
              <w:left w:val="nil"/>
              <w:right w:val="nil"/>
            </w:tcBorders>
          </w:tcPr>
          <w:p w14:paraId="5BBEA3CE"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9.5</w:t>
            </w:r>
          </w:p>
        </w:tc>
        <w:tc>
          <w:tcPr>
            <w:tcW w:w="1276" w:type="dxa"/>
            <w:tcBorders>
              <w:top w:val="nil"/>
              <w:left w:val="nil"/>
              <w:right w:val="nil"/>
            </w:tcBorders>
          </w:tcPr>
          <w:p w14:paraId="3B9F073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6D42F3DB" w14:textId="77777777" w:rsidTr="00453AFA">
        <w:tc>
          <w:tcPr>
            <w:tcW w:w="6838" w:type="dxa"/>
          </w:tcPr>
          <w:p w14:paraId="7202565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Foreign exchange loss on forward contract associated with financing activities (see Note 5)</w:t>
            </w:r>
          </w:p>
        </w:tc>
        <w:tc>
          <w:tcPr>
            <w:tcW w:w="1559" w:type="dxa"/>
          </w:tcPr>
          <w:p w14:paraId="5EB871A5" w14:textId="77777777" w:rsidR="00323BB2" w:rsidRPr="0061063C" w:rsidRDefault="00323BB2" w:rsidP="00453AFA">
            <w:pPr>
              <w:jc w:val="right"/>
              <w:rPr>
                <w:rFonts w:asciiTheme="minorHAnsi" w:hAnsiTheme="minorHAnsi"/>
                <w:b/>
                <w:bCs/>
                <w:sz w:val="20"/>
              </w:rPr>
            </w:pPr>
          </w:p>
          <w:p w14:paraId="64ECBFF3"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11.2</w:t>
            </w:r>
          </w:p>
        </w:tc>
        <w:tc>
          <w:tcPr>
            <w:tcW w:w="1276" w:type="dxa"/>
          </w:tcPr>
          <w:p w14:paraId="698CB487" w14:textId="77777777" w:rsidR="00323BB2" w:rsidRPr="0061063C" w:rsidRDefault="00323BB2" w:rsidP="00453AFA">
            <w:pPr>
              <w:jc w:val="right"/>
              <w:rPr>
                <w:rFonts w:asciiTheme="minorHAnsi" w:hAnsiTheme="minorHAnsi"/>
                <w:bCs/>
                <w:sz w:val="20"/>
              </w:rPr>
            </w:pPr>
          </w:p>
          <w:p w14:paraId="55F6846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7AB67FB6" w14:textId="77777777" w:rsidTr="00453AFA">
        <w:tc>
          <w:tcPr>
            <w:tcW w:w="6838" w:type="dxa"/>
            <w:tcBorders>
              <w:left w:val="nil"/>
              <w:right w:val="nil"/>
            </w:tcBorders>
            <w:shd w:val="clear" w:color="auto" w:fill="auto"/>
          </w:tcPr>
          <w:p w14:paraId="3C92037B"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 xml:space="preserve">Financing related fees not eligible for capitalisation (See Note 5 and Note 15) </w:t>
            </w:r>
          </w:p>
        </w:tc>
        <w:tc>
          <w:tcPr>
            <w:tcW w:w="1559" w:type="dxa"/>
            <w:tcBorders>
              <w:left w:val="nil"/>
              <w:right w:val="nil"/>
            </w:tcBorders>
            <w:shd w:val="clear" w:color="auto" w:fill="auto"/>
          </w:tcPr>
          <w:p w14:paraId="489C6751"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5.0</w:t>
            </w:r>
          </w:p>
        </w:tc>
        <w:tc>
          <w:tcPr>
            <w:tcW w:w="1276" w:type="dxa"/>
            <w:tcBorders>
              <w:left w:val="nil"/>
              <w:right w:val="nil"/>
            </w:tcBorders>
            <w:shd w:val="clear" w:color="auto" w:fill="auto"/>
          </w:tcPr>
          <w:p w14:paraId="33345BE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39C14C65" w14:textId="77777777" w:rsidTr="00453AFA">
        <w:tc>
          <w:tcPr>
            <w:tcW w:w="6838" w:type="dxa"/>
            <w:tcBorders>
              <w:left w:val="nil"/>
              <w:right w:val="nil"/>
            </w:tcBorders>
            <w:shd w:val="clear" w:color="auto" w:fill="auto"/>
          </w:tcPr>
          <w:p w14:paraId="464E5E4E"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Accelerated accretion on debt repayments (See Note 5 and Note 15)</w:t>
            </w:r>
          </w:p>
        </w:tc>
        <w:tc>
          <w:tcPr>
            <w:tcW w:w="1559" w:type="dxa"/>
            <w:tcBorders>
              <w:left w:val="nil"/>
              <w:right w:val="nil"/>
            </w:tcBorders>
            <w:shd w:val="clear" w:color="auto" w:fill="auto"/>
          </w:tcPr>
          <w:p w14:paraId="4784B379"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32.8</w:t>
            </w:r>
          </w:p>
        </w:tc>
        <w:tc>
          <w:tcPr>
            <w:tcW w:w="1276" w:type="dxa"/>
            <w:tcBorders>
              <w:left w:val="nil"/>
              <w:right w:val="nil"/>
            </w:tcBorders>
            <w:shd w:val="clear" w:color="auto" w:fill="auto"/>
          </w:tcPr>
          <w:p w14:paraId="48E5FA5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01DED371" w14:textId="77777777" w:rsidTr="00453AFA">
        <w:tc>
          <w:tcPr>
            <w:tcW w:w="6838" w:type="dxa"/>
            <w:tcBorders>
              <w:left w:val="nil"/>
              <w:right w:val="nil"/>
            </w:tcBorders>
            <w:shd w:val="clear" w:color="auto" w:fill="auto"/>
          </w:tcPr>
          <w:p w14:paraId="479C9D67" w14:textId="77777777" w:rsidR="00323BB2" w:rsidRPr="0061063C" w:rsidRDefault="00323BB2" w:rsidP="00453AFA">
            <w:pPr>
              <w:ind w:left="-108"/>
              <w:rPr>
                <w:rFonts w:asciiTheme="minorHAnsi" w:hAnsiTheme="minorHAnsi"/>
                <w:i/>
                <w:sz w:val="20"/>
              </w:rPr>
            </w:pPr>
            <w:r w:rsidRPr="0061063C">
              <w:rPr>
                <w:rFonts w:asciiTheme="minorHAnsi" w:hAnsiTheme="minorHAnsi"/>
                <w:i/>
                <w:sz w:val="20"/>
              </w:rPr>
              <w:t>On financial liabilities at amortised cost</w:t>
            </w:r>
          </w:p>
        </w:tc>
        <w:tc>
          <w:tcPr>
            <w:tcW w:w="1559" w:type="dxa"/>
            <w:tcBorders>
              <w:left w:val="nil"/>
              <w:right w:val="nil"/>
            </w:tcBorders>
            <w:shd w:val="clear" w:color="auto" w:fill="auto"/>
          </w:tcPr>
          <w:p w14:paraId="5E4F42AC" w14:textId="77777777" w:rsidR="00323BB2" w:rsidRPr="0061063C" w:rsidRDefault="00323BB2" w:rsidP="00453AFA">
            <w:pPr>
              <w:jc w:val="right"/>
              <w:rPr>
                <w:rFonts w:asciiTheme="minorHAnsi" w:hAnsiTheme="minorHAnsi"/>
                <w:b/>
                <w:bCs/>
                <w:sz w:val="20"/>
              </w:rPr>
            </w:pPr>
          </w:p>
        </w:tc>
        <w:tc>
          <w:tcPr>
            <w:tcW w:w="1276" w:type="dxa"/>
            <w:tcBorders>
              <w:left w:val="nil"/>
              <w:right w:val="nil"/>
            </w:tcBorders>
            <w:shd w:val="clear" w:color="auto" w:fill="auto"/>
          </w:tcPr>
          <w:p w14:paraId="21BD9A8D" w14:textId="77777777" w:rsidR="00323BB2" w:rsidRPr="0061063C" w:rsidRDefault="00323BB2" w:rsidP="00453AFA">
            <w:pPr>
              <w:jc w:val="right"/>
              <w:rPr>
                <w:rFonts w:asciiTheme="minorHAnsi" w:hAnsiTheme="minorHAnsi"/>
                <w:bCs/>
                <w:sz w:val="20"/>
              </w:rPr>
            </w:pPr>
          </w:p>
        </w:tc>
      </w:tr>
      <w:tr w:rsidR="00323BB2" w:rsidRPr="0061063C" w14:paraId="2B4808DD" w14:textId="77777777" w:rsidTr="00453AFA">
        <w:tc>
          <w:tcPr>
            <w:tcW w:w="6838" w:type="dxa"/>
            <w:shd w:val="clear" w:color="auto" w:fill="auto"/>
          </w:tcPr>
          <w:p w14:paraId="5C623CB6"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Interest on borrowings, bank guarantees and bank facilities</w:t>
            </w:r>
          </w:p>
        </w:tc>
        <w:tc>
          <w:tcPr>
            <w:tcW w:w="1559" w:type="dxa"/>
            <w:shd w:val="clear" w:color="auto" w:fill="auto"/>
          </w:tcPr>
          <w:p w14:paraId="3FC007D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28.4</w:t>
            </w:r>
          </w:p>
        </w:tc>
        <w:tc>
          <w:tcPr>
            <w:tcW w:w="1276" w:type="dxa"/>
            <w:shd w:val="clear" w:color="auto" w:fill="auto"/>
          </w:tcPr>
          <w:p w14:paraId="44F94E9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3.6</w:t>
            </w:r>
          </w:p>
        </w:tc>
      </w:tr>
      <w:tr w:rsidR="00323BB2" w:rsidRPr="0061063C" w14:paraId="545A98FB" w14:textId="77777777" w:rsidTr="00453AFA">
        <w:tc>
          <w:tcPr>
            <w:tcW w:w="6838" w:type="dxa"/>
            <w:tcBorders>
              <w:bottom w:val="single" w:sz="4" w:space="0" w:color="auto"/>
            </w:tcBorders>
            <w:shd w:val="clear" w:color="auto" w:fill="auto"/>
          </w:tcPr>
          <w:p w14:paraId="0588C74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Other interest</w:t>
            </w:r>
          </w:p>
        </w:tc>
        <w:tc>
          <w:tcPr>
            <w:tcW w:w="1559" w:type="dxa"/>
            <w:tcBorders>
              <w:bottom w:val="single" w:sz="4" w:space="0" w:color="auto"/>
            </w:tcBorders>
            <w:shd w:val="clear" w:color="auto" w:fill="auto"/>
          </w:tcPr>
          <w:p w14:paraId="6B50A83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6.5</w:t>
            </w:r>
          </w:p>
        </w:tc>
        <w:tc>
          <w:tcPr>
            <w:tcW w:w="1276" w:type="dxa"/>
            <w:tcBorders>
              <w:bottom w:val="single" w:sz="4" w:space="0" w:color="auto"/>
            </w:tcBorders>
            <w:shd w:val="clear" w:color="auto" w:fill="auto"/>
          </w:tcPr>
          <w:p w14:paraId="1052D24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3.5</w:t>
            </w:r>
          </w:p>
        </w:tc>
      </w:tr>
      <w:tr w:rsidR="00323BB2" w:rsidRPr="0061063C" w14:paraId="69A104EE" w14:textId="77777777" w:rsidTr="00453AFA">
        <w:trPr>
          <w:trHeight w:val="70"/>
        </w:trPr>
        <w:tc>
          <w:tcPr>
            <w:tcW w:w="6838" w:type="dxa"/>
            <w:tcBorders>
              <w:top w:val="single" w:sz="4" w:space="0" w:color="auto"/>
              <w:left w:val="nil"/>
              <w:bottom w:val="single" w:sz="4" w:space="0" w:color="auto"/>
              <w:right w:val="nil"/>
            </w:tcBorders>
          </w:tcPr>
          <w:p w14:paraId="32ABBA3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Total</w:t>
            </w:r>
          </w:p>
        </w:tc>
        <w:tc>
          <w:tcPr>
            <w:tcW w:w="1559" w:type="dxa"/>
            <w:tcBorders>
              <w:top w:val="single" w:sz="4" w:space="0" w:color="auto"/>
              <w:left w:val="nil"/>
              <w:bottom w:val="single" w:sz="4" w:space="0" w:color="auto"/>
              <w:right w:val="nil"/>
            </w:tcBorders>
          </w:tcPr>
          <w:p w14:paraId="0112979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93.4</w:t>
            </w:r>
          </w:p>
        </w:tc>
        <w:tc>
          <w:tcPr>
            <w:tcW w:w="1276" w:type="dxa"/>
            <w:tcBorders>
              <w:top w:val="single" w:sz="4" w:space="0" w:color="auto"/>
              <w:left w:val="nil"/>
              <w:bottom w:val="single" w:sz="4" w:space="0" w:color="auto"/>
              <w:right w:val="nil"/>
            </w:tcBorders>
          </w:tcPr>
          <w:p w14:paraId="414E084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7.1</w:t>
            </w:r>
          </w:p>
        </w:tc>
      </w:tr>
    </w:tbl>
    <w:p w14:paraId="6147020A" w14:textId="77777777" w:rsidR="00323BB2" w:rsidRPr="0061063C" w:rsidRDefault="00323BB2" w:rsidP="00323BB2">
      <w:pPr>
        <w:jc w:val="both"/>
        <w:rPr>
          <w:rFonts w:asciiTheme="minorHAnsi" w:hAnsiTheme="minorHAnsi"/>
          <w:b/>
          <w:bCs/>
          <w:sz w:val="20"/>
        </w:rPr>
      </w:pPr>
    </w:p>
    <w:tbl>
      <w:tblPr>
        <w:tblW w:w="9673" w:type="dxa"/>
        <w:tblInd w:w="108" w:type="dxa"/>
        <w:tblLayout w:type="fixed"/>
        <w:tblLook w:val="0000" w:firstRow="0" w:lastRow="0" w:firstColumn="0" w:lastColumn="0" w:noHBand="0" w:noVBand="0"/>
      </w:tblPr>
      <w:tblGrid>
        <w:gridCol w:w="6838"/>
        <w:gridCol w:w="1559"/>
        <w:gridCol w:w="1276"/>
      </w:tblGrid>
      <w:tr w:rsidR="00323BB2" w:rsidRPr="0061063C" w14:paraId="0BF4E03C" w14:textId="77777777" w:rsidTr="00453AFA">
        <w:tc>
          <w:tcPr>
            <w:tcW w:w="6838" w:type="dxa"/>
            <w:tcBorders>
              <w:left w:val="nil"/>
              <w:right w:val="nil"/>
            </w:tcBorders>
          </w:tcPr>
          <w:p w14:paraId="7C2622D4" w14:textId="77777777" w:rsidR="00323BB2" w:rsidRPr="0061063C" w:rsidRDefault="00323BB2" w:rsidP="00453AFA">
            <w:pPr>
              <w:ind w:hanging="108"/>
              <w:jc w:val="both"/>
              <w:rPr>
                <w:rFonts w:asciiTheme="minorHAnsi" w:hAnsiTheme="minorHAnsi"/>
                <w:sz w:val="20"/>
              </w:rPr>
            </w:pPr>
          </w:p>
        </w:tc>
        <w:tc>
          <w:tcPr>
            <w:tcW w:w="1559" w:type="dxa"/>
            <w:tcBorders>
              <w:left w:val="nil"/>
              <w:right w:val="nil"/>
            </w:tcBorders>
          </w:tcPr>
          <w:p w14:paraId="5E13201E"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Six months</w:t>
            </w:r>
          </w:p>
          <w:p w14:paraId="1EC3F78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ended</w:t>
            </w:r>
          </w:p>
          <w:p w14:paraId="5EFC3E6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 xml:space="preserve">30 June </w:t>
            </w:r>
          </w:p>
          <w:p w14:paraId="0DF2C40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2020</w:t>
            </w:r>
          </w:p>
        </w:tc>
        <w:tc>
          <w:tcPr>
            <w:tcW w:w="1276" w:type="dxa"/>
            <w:tcBorders>
              <w:left w:val="nil"/>
              <w:right w:val="nil"/>
            </w:tcBorders>
          </w:tcPr>
          <w:p w14:paraId="3556BC0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Six months</w:t>
            </w:r>
          </w:p>
          <w:p w14:paraId="5B78F61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ended</w:t>
            </w:r>
          </w:p>
          <w:p w14:paraId="4A85D97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30 June 2019</w:t>
            </w:r>
          </w:p>
        </w:tc>
      </w:tr>
      <w:tr w:rsidR="00323BB2" w:rsidRPr="0061063C" w14:paraId="58222768" w14:textId="77777777" w:rsidTr="00453AFA">
        <w:trPr>
          <w:trHeight w:val="234"/>
        </w:trPr>
        <w:tc>
          <w:tcPr>
            <w:tcW w:w="6838" w:type="dxa"/>
            <w:tcBorders>
              <w:left w:val="nil"/>
              <w:right w:val="nil"/>
            </w:tcBorders>
            <w:shd w:val="clear" w:color="auto" w:fill="auto"/>
          </w:tcPr>
          <w:p w14:paraId="4C4B1924" w14:textId="77777777" w:rsidR="00323BB2" w:rsidRPr="0061063C" w:rsidRDefault="00323BB2" w:rsidP="00453AFA">
            <w:pPr>
              <w:ind w:left="-108"/>
              <w:rPr>
                <w:rFonts w:asciiTheme="minorHAnsi" w:hAnsiTheme="minorHAnsi"/>
                <w:b/>
                <w:sz w:val="20"/>
              </w:rPr>
            </w:pPr>
          </w:p>
        </w:tc>
        <w:tc>
          <w:tcPr>
            <w:tcW w:w="1559" w:type="dxa"/>
            <w:tcBorders>
              <w:left w:val="nil"/>
              <w:right w:val="nil"/>
            </w:tcBorders>
          </w:tcPr>
          <w:p w14:paraId="78104E8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£m</w:t>
            </w:r>
          </w:p>
        </w:tc>
        <w:tc>
          <w:tcPr>
            <w:tcW w:w="1276" w:type="dxa"/>
            <w:tcBorders>
              <w:left w:val="nil"/>
              <w:right w:val="nil"/>
            </w:tcBorders>
          </w:tcPr>
          <w:p w14:paraId="24A1395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£m</w:t>
            </w:r>
          </w:p>
        </w:tc>
      </w:tr>
      <w:tr w:rsidR="00323BB2" w:rsidRPr="0061063C" w14:paraId="761CCDCF" w14:textId="77777777" w:rsidTr="00453AFA">
        <w:trPr>
          <w:trHeight w:val="234"/>
        </w:trPr>
        <w:tc>
          <w:tcPr>
            <w:tcW w:w="6838" w:type="dxa"/>
            <w:tcBorders>
              <w:top w:val="single" w:sz="4" w:space="0" w:color="auto"/>
              <w:left w:val="nil"/>
              <w:right w:val="nil"/>
            </w:tcBorders>
            <w:shd w:val="clear" w:color="auto" w:fill="auto"/>
          </w:tcPr>
          <w:p w14:paraId="314EA855" w14:textId="77777777" w:rsidR="00323BB2" w:rsidRPr="0061063C" w:rsidRDefault="00323BB2" w:rsidP="00453AFA">
            <w:pPr>
              <w:ind w:left="-108"/>
              <w:rPr>
                <w:rFonts w:asciiTheme="minorHAnsi" w:hAnsiTheme="minorHAnsi"/>
                <w:sz w:val="20"/>
              </w:rPr>
            </w:pPr>
            <w:r w:rsidRPr="0061063C">
              <w:rPr>
                <w:rFonts w:asciiTheme="minorHAnsi" w:hAnsiTheme="minorHAnsi"/>
                <w:b/>
                <w:sz w:val="20"/>
              </w:rPr>
              <w:t>Recognised in other comprehensive income / (loss)</w:t>
            </w:r>
            <w:r w:rsidRPr="0061063C">
              <w:rPr>
                <w:rFonts w:asciiTheme="minorHAnsi" w:hAnsiTheme="minorHAnsi"/>
                <w:sz w:val="20"/>
              </w:rPr>
              <w:t>:</w:t>
            </w:r>
          </w:p>
        </w:tc>
        <w:tc>
          <w:tcPr>
            <w:tcW w:w="1559" w:type="dxa"/>
            <w:tcBorders>
              <w:top w:val="single" w:sz="4" w:space="0" w:color="auto"/>
              <w:left w:val="nil"/>
              <w:right w:val="nil"/>
            </w:tcBorders>
          </w:tcPr>
          <w:p w14:paraId="319C9FC5" w14:textId="77777777" w:rsidR="00323BB2" w:rsidRPr="0061063C" w:rsidRDefault="00323BB2" w:rsidP="00453AFA">
            <w:pPr>
              <w:jc w:val="right"/>
              <w:rPr>
                <w:rFonts w:asciiTheme="minorHAnsi" w:hAnsiTheme="minorHAnsi"/>
                <w:b/>
                <w:bCs/>
                <w:sz w:val="20"/>
              </w:rPr>
            </w:pPr>
          </w:p>
        </w:tc>
        <w:tc>
          <w:tcPr>
            <w:tcW w:w="1276" w:type="dxa"/>
            <w:tcBorders>
              <w:top w:val="single" w:sz="4" w:space="0" w:color="auto"/>
              <w:left w:val="nil"/>
              <w:right w:val="nil"/>
            </w:tcBorders>
          </w:tcPr>
          <w:p w14:paraId="60AA08B4" w14:textId="77777777" w:rsidR="00323BB2" w:rsidRPr="0061063C" w:rsidRDefault="00323BB2" w:rsidP="00453AFA">
            <w:pPr>
              <w:jc w:val="right"/>
              <w:rPr>
                <w:rFonts w:asciiTheme="minorHAnsi" w:hAnsiTheme="minorHAnsi"/>
                <w:bCs/>
                <w:sz w:val="20"/>
              </w:rPr>
            </w:pPr>
          </w:p>
        </w:tc>
      </w:tr>
      <w:tr w:rsidR="00323BB2" w:rsidRPr="0061063C" w14:paraId="725B5E4E" w14:textId="77777777" w:rsidTr="00453AFA">
        <w:tc>
          <w:tcPr>
            <w:tcW w:w="6838" w:type="dxa"/>
            <w:tcBorders>
              <w:left w:val="nil"/>
              <w:right w:val="nil"/>
            </w:tcBorders>
            <w:shd w:val="clear" w:color="auto" w:fill="auto"/>
          </w:tcPr>
          <w:p w14:paraId="4A107808"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Effective portion of changes in fair value of cash flow hedges</w:t>
            </w:r>
          </w:p>
        </w:tc>
        <w:tc>
          <w:tcPr>
            <w:tcW w:w="1559" w:type="dxa"/>
            <w:tcBorders>
              <w:left w:val="nil"/>
              <w:right w:val="nil"/>
            </w:tcBorders>
          </w:tcPr>
          <w:p w14:paraId="74D9B23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(88.2)</w:t>
            </w:r>
          </w:p>
        </w:tc>
        <w:tc>
          <w:tcPr>
            <w:tcW w:w="1276" w:type="dxa"/>
            <w:tcBorders>
              <w:left w:val="nil"/>
              <w:right w:val="nil"/>
            </w:tcBorders>
          </w:tcPr>
          <w:p w14:paraId="5E976DC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2A8FED5F" w14:textId="77777777" w:rsidTr="00453AFA">
        <w:tc>
          <w:tcPr>
            <w:tcW w:w="6838" w:type="dxa"/>
            <w:tcBorders>
              <w:left w:val="nil"/>
              <w:bottom w:val="single" w:sz="4" w:space="0" w:color="auto"/>
              <w:right w:val="nil"/>
            </w:tcBorders>
            <w:shd w:val="clear" w:color="auto" w:fill="auto"/>
          </w:tcPr>
          <w:p w14:paraId="363DCF92"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Fair value of cash flow hedges transferred to income statement</w:t>
            </w:r>
          </w:p>
        </w:tc>
        <w:tc>
          <w:tcPr>
            <w:tcW w:w="1559" w:type="dxa"/>
            <w:tcBorders>
              <w:left w:val="nil"/>
              <w:bottom w:val="single" w:sz="4" w:space="0" w:color="auto"/>
              <w:right w:val="nil"/>
            </w:tcBorders>
          </w:tcPr>
          <w:p w14:paraId="7C50E9F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86.5</w:t>
            </w:r>
          </w:p>
        </w:tc>
        <w:tc>
          <w:tcPr>
            <w:tcW w:w="1276" w:type="dxa"/>
            <w:tcBorders>
              <w:left w:val="nil"/>
              <w:bottom w:val="single" w:sz="4" w:space="0" w:color="auto"/>
              <w:right w:val="nil"/>
            </w:tcBorders>
          </w:tcPr>
          <w:p w14:paraId="472D292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7FF399DE" w14:textId="77777777" w:rsidTr="00453AFA">
        <w:tc>
          <w:tcPr>
            <w:tcW w:w="6838" w:type="dxa"/>
            <w:tcBorders>
              <w:top w:val="single" w:sz="4" w:space="0" w:color="auto"/>
              <w:left w:val="nil"/>
              <w:right w:val="nil"/>
            </w:tcBorders>
            <w:shd w:val="clear" w:color="auto" w:fill="auto"/>
          </w:tcPr>
          <w:p w14:paraId="6E921E31"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Net change in fair value of cash flow hedge reserve</w:t>
            </w:r>
          </w:p>
        </w:tc>
        <w:tc>
          <w:tcPr>
            <w:tcW w:w="1559" w:type="dxa"/>
            <w:tcBorders>
              <w:top w:val="single" w:sz="4" w:space="0" w:color="auto"/>
              <w:left w:val="nil"/>
              <w:right w:val="nil"/>
            </w:tcBorders>
          </w:tcPr>
          <w:p w14:paraId="769D1EF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w:t>
            </w:r>
          </w:p>
        </w:tc>
        <w:tc>
          <w:tcPr>
            <w:tcW w:w="1276" w:type="dxa"/>
            <w:tcBorders>
              <w:top w:val="single" w:sz="4" w:space="0" w:color="auto"/>
              <w:left w:val="nil"/>
              <w:right w:val="nil"/>
            </w:tcBorders>
          </w:tcPr>
          <w:p w14:paraId="04BA73A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498C40AC" w14:textId="77777777" w:rsidTr="00453AFA">
        <w:tc>
          <w:tcPr>
            <w:tcW w:w="6838" w:type="dxa"/>
            <w:tcBorders>
              <w:left w:val="nil"/>
              <w:right w:val="nil"/>
            </w:tcBorders>
            <w:shd w:val="clear" w:color="auto" w:fill="auto"/>
          </w:tcPr>
          <w:p w14:paraId="3F62CF7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Debt instruments at FVOCI</w:t>
            </w:r>
          </w:p>
        </w:tc>
        <w:tc>
          <w:tcPr>
            <w:tcW w:w="1559" w:type="dxa"/>
            <w:tcBorders>
              <w:left w:val="nil"/>
              <w:right w:val="nil"/>
            </w:tcBorders>
          </w:tcPr>
          <w:p w14:paraId="4CBCC3D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0.1</w:t>
            </w:r>
          </w:p>
        </w:tc>
        <w:tc>
          <w:tcPr>
            <w:tcW w:w="1276" w:type="dxa"/>
            <w:tcBorders>
              <w:left w:val="nil"/>
              <w:right w:val="nil"/>
            </w:tcBorders>
          </w:tcPr>
          <w:p w14:paraId="00B20C3D" w14:textId="77777777" w:rsidR="00323BB2" w:rsidRPr="0061063C" w:rsidRDefault="00323BB2" w:rsidP="00453AFA">
            <w:pPr>
              <w:jc w:val="right"/>
              <w:rPr>
                <w:rFonts w:asciiTheme="minorHAnsi" w:hAnsiTheme="minorHAnsi"/>
                <w:bCs/>
                <w:sz w:val="20"/>
              </w:rPr>
            </w:pPr>
            <w:r>
              <w:rPr>
                <w:rFonts w:asciiTheme="minorHAnsi" w:hAnsiTheme="minorHAnsi"/>
                <w:bCs/>
                <w:sz w:val="20"/>
              </w:rPr>
              <w:t>-</w:t>
            </w:r>
          </w:p>
        </w:tc>
      </w:tr>
      <w:tr w:rsidR="00323BB2" w:rsidRPr="0061063C" w14:paraId="1A62D57F" w14:textId="77777777" w:rsidTr="00453AFA">
        <w:tc>
          <w:tcPr>
            <w:tcW w:w="6838" w:type="dxa"/>
            <w:tcBorders>
              <w:left w:val="nil"/>
              <w:right w:val="nil"/>
            </w:tcBorders>
            <w:shd w:val="clear" w:color="auto" w:fill="auto"/>
          </w:tcPr>
          <w:p w14:paraId="2499EF6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Foreign exchange gain on translation of the net assets of foreign currency denominated entities</w:t>
            </w:r>
          </w:p>
        </w:tc>
        <w:tc>
          <w:tcPr>
            <w:tcW w:w="1559" w:type="dxa"/>
            <w:tcBorders>
              <w:left w:val="nil"/>
              <w:right w:val="nil"/>
            </w:tcBorders>
          </w:tcPr>
          <w:p w14:paraId="4081734B" w14:textId="77777777" w:rsidR="00323BB2" w:rsidRPr="0061063C" w:rsidRDefault="00323BB2" w:rsidP="00453AFA">
            <w:pPr>
              <w:jc w:val="right"/>
              <w:rPr>
                <w:rFonts w:asciiTheme="minorHAnsi" w:hAnsiTheme="minorHAnsi"/>
                <w:b/>
                <w:bCs/>
                <w:sz w:val="20"/>
              </w:rPr>
            </w:pPr>
          </w:p>
          <w:p w14:paraId="4130E54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174.7</w:t>
            </w:r>
          </w:p>
        </w:tc>
        <w:tc>
          <w:tcPr>
            <w:tcW w:w="1276" w:type="dxa"/>
            <w:tcBorders>
              <w:left w:val="nil"/>
              <w:right w:val="nil"/>
            </w:tcBorders>
          </w:tcPr>
          <w:p w14:paraId="0BD8B741" w14:textId="77777777" w:rsidR="00323BB2" w:rsidRPr="0061063C" w:rsidRDefault="00323BB2" w:rsidP="00453AFA">
            <w:pPr>
              <w:jc w:val="right"/>
              <w:rPr>
                <w:rFonts w:asciiTheme="minorHAnsi" w:hAnsiTheme="minorHAnsi"/>
                <w:bCs/>
                <w:sz w:val="20"/>
              </w:rPr>
            </w:pPr>
          </w:p>
          <w:p w14:paraId="13FADFA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w:t>
            </w:r>
          </w:p>
        </w:tc>
      </w:tr>
      <w:tr w:rsidR="00323BB2" w:rsidRPr="0061063C" w14:paraId="7E5C07D3" w14:textId="77777777" w:rsidTr="00453AFA">
        <w:tc>
          <w:tcPr>
            <w:tcW w:w="6838" w:type="dxa"/>
            <w:tcBorders>
              <w:top w:val="single" w:sz="4" w:space="0" w:color="auto"/>
              <w:left w:val="nil"/>
              <w:bottom w:val="single" w:sz="4" w:space="0" w:color="auto"/>
              <w:right w:val="nil"/>
            </w:tcBorders>
            <w:shd w:val="clear" w:color="auto" w:fill="auto"/>
          </w:tcPr>
          <w:p w14:paraId="5CA53C15"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Total</w:t>
            </w:r>
          </w:p>
        </w:tc>
        <w:tc>
          <w:tcPr>
            <w:tcW w:w="1559" w:type="dxa"/>
            <w:tcBorders>
              <w:top w:val="single" w:sz="4" w:space="0" w:color="auto"/>
              <w:left w:val="nil"/>
              <w:bottom w:val="single" w:sz="4" w:space="0" w:color="auto"/>
              <w:right w:val="nil"/>
            </w:tcBorders>
          </w:tcPr>
          <w:p w14:paraId="49FECE6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173.1</w:t>
            </w:r>
          </w:p>
        </w:tc>
        <w:tc>
          <w:tcPr>
            <w:tcW w:w="1276" w:type="dxa"/>
            <w:tcBorders>
              <w:top w:val="single" w:sz="4" w:space="0" w:color="auto"/>
              <w:left w:val="nil"/>
              <w:bottom w:val="single" w:sz="4" w:space="0" w:color="auto"/>
              <w:right w:val="nil"/>
            </w:tcBorders>
          </w:tcPr>
          <w:p w14:paraId="4F40A73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2.0</w:t>
            </w:r>
          </w:p>
        </w:tc>
      </w:tr>
    </w:tbl>
    <w:p w14:paraId="2BA52CDA" w14:textId="77777777" w:rsidR="00323BB2" w:rsidRPr="0061063C" w:rsidRDefault="00323BB2" w:rsidP="00323BB2">
      <w:pPr>
        <w:jc w:val="both"/>
        <w:rPr>
          <w:rFonts w:asciiTheme="minorHAnsi" w:hAnsiTheme="minorHAnsi"/>
          <w:bCs/>
          <w:sz w:val="20"/>
        </w:rPr>
      </w:pPr>
    </w:p>
    <w:p w14:paraId="7AB68321" w14:textId="77777777" w:rsidR="00323BB2" w:rsidRPr="0061063C" w:rsidRDefault="00323BB2" w:rsidP="00323BB2">
      <w:pPr>
        <w:rPr>
          <w:rFonts w:asciiTheme="minorHAnsi" w:hAnsiTheme="minorHAnsi"/>
          <w:b/>
          <w:bCs/>
          <w:sz w:val="20"/>
        </w:rPr>
      </w:pPr>
      <w:r w:rsidRPr="0061063C">
        <w:rPr>
          <w:rFonts w:asciiTheme="minorHAnsi" w:hAnsiTheme="minorHAnsi"/>
          <w:bCs/>
          <w:sz w:val="20"/>
        </w:rPr>
        <w:t>No amounts were recorded in the income statement in respect of ineffective cash flow hedges in the six months ended 30 June 2020 (six months ended 30 June 2019: £nil).</w:t>
      </w:r>
    </w:p>
    <w:p w14:paraId="46D18452" w14:textId="77777777" w:rsidR="00323BB2" w:rsidRPr="0061063C" w:rsidRDefault="00323BB2" w:rsidP="00323BB2">
      <w:pPr>
        <w:pStyle w:val="BodyText"/>
        <w:spacing w:after="0"/>
        <w:rPr>
          <w:rFonts w:asciiTheme="minorHAnsi" w:hAnsiTheme="minorHAnsi"/>
          <w:b/>
          <w:sz w:val="20"/>
          <w:szCs w:val="22"/>
          <w:lang w:val="en-IE"/>
        </w:rPr>
      </w:pPr>
    </w:p>
    <w:p w14:paraId="6ECE1707" w14:textId="77777777" w:rsidR="00323BB2" w:rsidRPr="0061063C" w:rsidRDefault="00323BB2" w:rsidP="00323BB2">
      <w:pPr>
        <w:pStyle w:val="BodyText"/>
        <w:spacing w:after="0"/>
        <w:rPr>
          <w:rFonts w:asciiTheme="minorHAnsi" w:hAnsiTheme="minorHAnsi"/>
          <w:b/>
          <w:sz w:val="20"/>
          <w:szCs w:val="22"/>
          <w:lang w:val="en-IE"/>
        </w:rPr>
      </w:pPr>
      <w:r w:rsidRPr="0061063C">
        <w:rPr>
          <w:rFonts w:asciiTheme="minorHAnsi" w:hAnsiTheme="minorHAnsi"/>
          <w:b/>
          <w:sz w:val="20"/>
          <w:szCs w:val="22"/>
          <w:lang w:val="en-IE"/>
        </w:rPr>
        <w:t>7. Tax expense</w:t>
      </w:r>
    </w:p>
    <w:p w14:paraId="73564E31" w14:textId="77777777" w:rsidR="00323BB2" w:rsidRPr="0061063C" w:rsidRDefault="00323BB2" w:rsidP="00323BB2">
      <w:pPr>
        <w:pStyle w:val="BodyText"/>
        <w:spacing w:after="0"/>
        <w:rPr>
          <w:rFonts w:asciiTheme="minorHAnsi" w:hAnsiTheme="minorHAnsi"/>
          <w:b/>
          <w:sz w:val="20"/>
          <w:szCs w:val="22"/>
          <w:lang w:val="en-IE"/>
        </w:rPr>
      </w:pPr>
    </w:p>
    <w:p w14:paraId="5102A84F" w14:textId="77777777" w:rsidR="00323BB2" w:rsidRPr="0061063C" w:rsidRDefault="00323BB2" w:rsidP="00323BB2">
      <w:pPr>
        <w:pStyle w:val="BodyText"/>
        <w:spacing w:after="0"/>
        <w:rPr>
          <w:rFonts w:asciiTheme="minorHAnsi" w:hAnsiTheme="minorHAnsi"/>
          <w:sz w:val="20"/>
          <w:szCs w:val="22"/>
          <w:lang w:val="en-IE"/>
        </w:rPr>
      </w:pPr>
      <w:r w:rsidRPr="0061063C">
        <w:rPr>
          <w:rFonts w:asciiTheme="minorHAnsi" w:hAnsiTheme="minorHAnsi"/>
          <w:sz w:val="20"/>
          <w:szCs w:val="22"/>
          <w:lang w:val="en-IE"/>
        </w:rPr>
        <w:t>Tax is accrued for the interim reporting period using Management’s best estimate of the weighted average tax rate that is expected to be applicable to estimated total annual earnings which may be adjusted for any significant non-recurring events. This expected annual effective tax rate is applied to the taxable income of the interim period.</w:t>
      </w:r>
    </w:p>
    <w:p w14:paraId="6DFFB7F0" w14:textId="77777777" w:rsidR="00323BB2" w:rsidRPr="0061063C" w:rsidRDefault="00323BB2" w:rsidP="00323BB2">
      <w:pPr>
        <w:pStyle w:val="BodyText"/>
        <w:spacing w:after="0"/>
        <w:rPr>
          <w:rFonts w:asciiTheme="minorHAnsi" w:hAnsiTheme="minorHAnsi"/>
          <w:sz w:val="20"/>
          <w:szCs w:val="22"/>
          <w:lang w:val="en-IE"/>
        </w:rPr>
      </w:pPr>
    </w:p>
    <w:p w14:paraId="064058D8" w14:textId="77777777" w:rsidR="00323BB2" w:rsidRPr="0061063C" w:rsidRDefault="00323BB2" w:rsidP="00323BB2">
      <w:pPr>
        <w:pStyle w:val="BodyText"/>
        <w:spacing w:after="0"/>
        <w:rPr>
          <w:rFonts w:asciiTheme="minorHAnsi" w:hAnsiTheme="minorHAnsi"/>
          <w:sz w:val="20"/>
          <w:szCs w:val="22"/>
          <w:lang w:val="en-IE"/>
        </w:rPr>
      </w:pPr>
      <w:r w:rsidRPr="0061063C">
        <w:rPr>
          <w:rFonts w:asciiTheme="minorHAnsi" w:hAnsiTheme="minorHAnsi"/>
          <w:sz w:val="20"/>
          <w:szCs w:val="22"/>
          <w:lang w:val="en-IE"/>
        </w:rPr>
        <w:t>The Group’s adjusted effective tax rate before separately disclosed items for the period was 13.3% (six months ended 30 June 2019: 16.3%), which compares to the standard Irish tax rate of 12.5%. A tax credit on separately disclosed items amounting to £14.1m was accounted for in the period ended 30 June 2020 (six months ended 30 June 2019: £9.4m) (see Note 5).</w:t>
      </w:r>
    </w:p>
    <w:p w14:paraId="6D9D043F" w14:textId="77777777" w:rsidR="00323BB2" w:rsidRPr="0061063C" w:rsidRDefault="00323BB2" w:rsidP="00323BB2">
      <w:pPr>
        <w:pStyle w:val="BodyText"/>
        <w:spacing w:after="0"/>
        <w:rPr>
          <w:rFonts w:asciiTheme="minorHAnsi" w:hAnsiTheme="minorHAnsi"/>
          <w:b/>
          <w:sz w:val="20"/>
          <w:szCs w:val="20"/>
          <w:lang w:val="en-IE"/>
        </w:rPr>
      </w:pPr>
    </w:p>
    <w:p w14:paraId="3BB8E46A"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br w:type="page"/>
      </w:r>
    </w:p>
    <w:p w14:paraId="3F1F9657"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lastRenderedPageBreak/>
        <w:t>8. Earnings per share</w:t>
      </w:r>
    </w:p>
    <w:p w14:paraId="39D76DA9" w14:textId="77777777" w:rsidR="00323BB2" w:rsidRPr="0061063C" w:rsidRDefault="00323BB2" w:rsidP="00323BB2">
      <w:pPr>
        <w:pStyle w:val="BodyText"/>
        <w:spacing w:after="0"/>
        <w:ind w:left="360" w:hanging="360"/>
        <w:rPr>
          <w:rFonts w:asciiTheme="minorHAnsi" w:hAnsiTheme="minorHAnsi"/>
          <w:b/>
          <w:sz w:val="20"/>
          <w:szCs w:val="20"/>
          <w:lang w:val="en-IE"/>
        </w:rPr>
      </w:pPr>
    </w:p>
    <w:p w14:paraId="1896AF02"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 xml:space="preserve">The Group presents basic and diluted earnings per share (“EPS”) data for its ordinary shares. Basic EPS is calculated by dividing the profit or loss attributable to ordinary shareholders of the Company by the weighted average number of ordinary shares outstanding during the period. The weighted average number of shares has been adjusted for amounts held as Treasury Shares and amounts held by the </w:t>
      </w:r>
      <w:r>
        <w:rPr>
          <w:rFonts w:asciiTheme="minorHAnsi" w:hAnsiTheme="minorHAnsi"/>
          <w:sz w:val="20"/>
          <w:lang w:val="en-IE"/>
        </w:rPr>
        <w:t>Paddy Power Betfair plc</w:t>
      </w:r>
      <w:r w:rsidRPr="0061063C">
        <w:rPr>
          <w:rFonts w:asciiTheme="minorHAnsi" w:hAnsiTheme="minorHAnsi"/>
          <w:sz w:val="20"/>
          <w:lang w:val="en-IE"/>
        </w:rPr>
        <w:t xml:space="preserve"> Employee Benefit Trust (“EBT”).</w:t>
      </w:r>
    </w:p>
    <w:p w14:paraId="67C4A58F" w14:textId="77777777" w:rsidR="00323BB2" w:rsidRPr="0061063C" w:rsidRDefault="00323BB2" w:rsidP="00323BB2">
      <w:pPr>
        <w:rPr>
          <w:rFonts w:asciiTheme="minorHAnsi" w:hAnsiTheme="minorHAnsi"/>
          <w:sz w:val="20"/>
          <w:lang w:val="en-IE"/>
        </w:rPr>
      </w:pPr>
    </w:p>
    <w:p w14:paraId="7E1043E0"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 xml:space="preserve">Diluted EPS is determined by adjusting the weighted average number of ordinary shares outstanding for the effects of all dilutive potential ordinary shares. </w:t>
      </w:r>
    </w:p>
    <w:p w14:paraId="5108DBEA" w14:textId="77777777" w:rsidR="00323BB2" w:rsidRPr="0061063C" w:rsidRDefault="00323BB2" w:rsidP="00323BB2">
      <w:pPr>
        <w:rPr>
          <w:rFonts w:asciiTheme="minorHAnsi" w:hAnsiTheme="minorHAnsi"/>
          <w:sz w:val="20"/>
          <w:lang w:val="en-IE"/>
        </w:rPr>
      </w:pPr>
    </w:p>
    <w:p w14:paraId="5BE97D71"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Adjusted EPS is determined by adjusting the profit attributable to ordinary shareholders for the impact of separately disclosed items.</w:t>
      </w:r>
    </w:p>
    <w:p w14:paraId="277E454C" w14:textId="77777777" w:rsidR="00323BB2" w:rsidRPr="0061063C" w:rsidRDefault="00323BB2" w:rsidP="00323BB2">
      <w:pPr>
        <w:rPr>
          <w:rFonts w:asciiTheme="minorHAnsi" w:hAnsiTheme="minorHAnsi"/>
          <w:sz w:val="20"/>
          <w:lang w:val="en-IE"/>
        </w:rPr>
      </w:pPr>
    </w:p>
    <w:p w14:paraId="32354801"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calculation of basic, diluted and adjusted EPS is as follows:</w:t>
      </w:r>
    </w:p>
    <w:p w14:paraId="41182E92" w14:textId="77777777" w:rsidR="00323BB2" w:rsidRPr="0061063C" w:rsidRDefault="00323BB2" w:rsidP="00323BB2">
      <w:pPr>
        <w:rPr>
          <w:rFonts w:asciiTheme="minorHAnsi" w:hAnsiTheme="minorHAnsi"/>
          <w:sz w:val="20"/>
          <w:lang w:val="en-IE"/>
        </w:rPr>
      </w:pPr>
    </w:p>
    <w:tbl>
      <w:tblPr>
        <w:tblW w:w="8930" w:type="dxa"/>
        <w:tblInd w:w="108" w:type="dxa"/>
        <w:tblLayout w:type="fixed"/>
        <w:tblLook w:val="0000" w:firstRow="0" w:lastRow="0" w:firstColumn="0" w:lastColumn="0" w:noHBand="0" w:noVBand="0"/>
      </w:tblPr>
      <w:tblGrid>
        <w:gridCol w:w="5846"/>
        <w:gridCol w:w="1525"/>
        <w:gridCol w:w="1559"/>
      </w:tblGrid>
      <w:tr w:rsidR="00323BB2" w:rsidRPr="0061063C" w14:paraId="134011D6" w14:textId="77777777" w:rsidTr="00453AFA">
        <w:tc>
          <w:tcPr>
            <w:tcW w:w="5846" w:type="dxa"/>
            <w:tcBorders>
              <w:top w:val="single" w:sz="4" w:space="0" w:color="auto"/>
              <w:left w:val="nil"/>
              <w:bottom w:val="single" w:sz="4" w:space="0" w:color="auto"/>
              <w:right w:val="nil"/>
            </w:tcBorders>
          </w:tcPr>
          <w:p w14:paraId="57BF7992" w14:textId="77777777" w:rsidR="00323BB2" w:rsidRPr="0061063C" w:rsidRDefault="00323BB2" w:rsidP="00453AFA">
            <w:pPr>
              <w:widowControl w:val="0"/>
              <w:autoSpaceDE w:val="0"/>
              <w:autoSpaceDN w:val="0"/>
              <w:adjustRightInd w:val="0"/>
              <w:rPr>
                <w:rFonts w:asciiTheme="minorHAnsi" w:hAnsiTheme="minorHAnsi"/>
                <w:sz w:val="20"/>
              </w:rPr>
            </w:pPr>
          </w:p>
        </w:tc>
        <w:tc>
          <w:tcPr>
            <w:tcW w:w="1525" w:type="dxa"/>
            <w:tcBorders>
              <w:top w:val="single" w:sz="4" w:space="0" w:color="auto"/>
              <w:left w:val="nil"/>
              <w:bottom w:val="single" w:sz="4" w:space="0" w:color="auto"/>
              <w:right w:val="nil"/>
            </w:tcBorders>
          </w:tcPr>
          <w:p w14:paraId="67A7AA68"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264145D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Six months</w:t>
            </w:r>
          </w:p>
          <w:p w14:paraId="31218F8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ended</w:t>
            </w:r>
          </w:p>
          <w:p w14:paraId="6F8B943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30 June 2020</w:t>
            </w:r>
          </w:p>
        </w:tc>
        <w:tc>
          <w:tcPr>
            <w:tcW w:w="1559" w:type="dxa"/>
            <w:tcBorders>
              <w:top w:val="single" w:sz="4" w:space="0" w:color="auto"/>
              <w:left w:val="nil"/>
              <w:bottom w:val="single" w:sz="4" w:space="0" w:color="auto"/>
              <w:right w:val="nil"/>
            </w:tcBorders>
          </w:tcPr>
          <w:p w14:paraId="58C1027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Restated</w:t>
            </w:r>
            <w:r w:rsidRPr="0061063C">
              <w:rPr>
                <w:rFonts w:asciiTheme="minorHAnsi" w:hAnsiTheme="minorHAnsi"/>
                <w:sz w:val="20"/>
                <w:vertAlign w:val="superscript"/>
              </w:rPr>
              <w:t>1</w:t>
            </w:r>
          </w:p>
          <w:p w14:paraId="7F87F048"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Six months</w:t>
            </w:r>
          </w:p>
          <w:p w14:paraId="1D19F9B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ended</w:t>
            </w:r>
          </w:p>
          <w:p w14:paraId="088C8E69"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30 June 2019</w:t>
            </w:r>
          </w:p>
        </w:tc>
      </w:tr>
      <w:tr w:rsidR="00323BB2" w:rsidRPr="0061063C" w14:paraId="3DA4FFA7" w14:textId="77777777" w:rsidTr="00453AFA">
        <w:tc>
          <w:tcPr>
            <w:tcW w:w="5846" w:type="dxa"/>
            <w:tcBorders>
              <w:top w:val="single" w:sz="4" w:space="0" w:color="auto"/>
              <w:left w:val="nil"/>
              <w:right w:val="nil"/>
            </w:tcBorders>
          </w:tcPr>
          <w:p w14:paraId="1BF9015B" w14:textId="77777777" w:rsidR="00323BB2" w:rsidRPr="0061063C" w:rsidRDefault="00323BB2" w:rsidP="00453AFA">
            <w:pPr>
              <w:widowControl w:val="0"/>
              <w:autoSpaceDE w:val="0"/>
              <w:autoSpaceDN w:val="0"/>
              <w:adjustRightInd w:val="0"/>
              <w:ind w:left="-108"/>
              <w:rPr>
                <w:rFonts w:asciiTheme="minorHAnsi" w:hAnsiTheme="minorHAnsi"/>
                <w:i/>
                <w:sz w:val="20"/>
              </w:rPr>
            </w:pPr>
            <w:r w:rsidRPr="0061063C">
              <w:rPr>
                <w:rFonts w:asciiTheme="minorHAnsi" w:hAnsiTheme="minorHAnsi"/>
                <w:i/>
                <w:sz w:val="20"/>
              </w:rPr>
              <w:t>Numerator in respect of basic and diluted earnings per share (£m):</w:t>
            </w:r>
          </w:p>
        </w:tc>
        <w:tc>
          <w:tcPr>
            <w:tcW w:w="1525" w:type="dxa"/>
            <w:tcBorders>
              <w:top w:val="single" w:sz="4" w:space="0" w:color="auto"/>
              <w:left w:val="nil"/>
              <w:right w:val="nil"/>
            </w:tcBorders>
          </w:tcPr>
          <w:p w14:paraId="3AB5C5E4" w14:textId="77777777" w:rsidR="00323BB2" w:rsidRPr="0061063C" w:rsidRDefault="00323BB2" w:rsidP="00453AFA">
            <w:pPr>
              <w:widowControl w:val="0"/>
              <w:autoSpaceDE w:val="0"/>
              <w:autoSpaceDN w:val="0"/>
              <w:adjustRightInd w:val="0"/>
              <w:jc w:val="right"/>
              <w:rPr>
                <w:rFonts w:asciiTheme="minorHAnsi" w:hAnsiTheme="minorHAnsi"/>
                <w:sz w:val="20"/>
              </w:rPr>
            </w:pPr>
          </w:p>
        </w:tc>
        <w:tc>
          <w:tcPr>
            <w:tcW w:w="1559" w:type="dxa"/>
            <w:tcBorders>
              <w:top w:val="single" w:sz="4" w:space="0" w:color="auto"/>
              <w:left w:val="nil"/>
              <w:right w:val="nil"/>
            </w:tcBorders>
          </w:tcPr>
          <w:p w14:paraId="6A75A0C1"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4679C677" w14:textId="77777777" w:rsidTr="00453AFA">
        <w:trPr>
          <w:trHeight w:val="157"/>
        </w:trPr>
        <w:tc>
          <w:tcPr>
            <w:tcW w:w="5846" w:type="dxa"/>
            <w:tcBorders>
              <w:top w:val="nil"/>
              <w:left w:val="nil"/>
              <w:bottom w:val="single" w:sz="4" w:space="0" w:color="auto"/>
              <w:right w:val="nil"/>
            </w:tcBorders>
          </w:tcPr>
          <w:p w14:paraId="7DF086F3"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Profit attributable to equity holders of the Company</w:t>
            </w:r>
          </w:p>
        </w:tc>
        <w:tc>
          <w:tcPr>
            <w:tcW w:w="1525" w:type="dxa"/>
            <w:tcBorders>
              <w:top w:val="nil"/>
              <w:left w:val="nil"/>
              <w:bottom w:val="single" w:sz="4" w:space="0" w:color="auto"/>
              <w:right w:val="nil"/>
            </w:tcBorders>
          </w:tcPr>
          <w:p w14:paraId="0F761DF4"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18.5</w:t>
            </w:r>
          </w:p>
        </w:tc>
        <w:tc>
          <w:tcPr>
            <w:tcW w:w="1559" w:type="dxa"/>
            <w:tcBorders>
              <w:top w:val="nil"/>
              <w:left w:val="nil"/>
              <w:bottom w:val="single" w:sz="4" w:space="0" w:color="auto"/>
              <w:right w:val="nil"/>
            </w:tcBorders>
          </w:tcPr>
          <w:p w14:paraId="4167CEEA"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76.9</w:t>
            </w:r>
          </w:p>
        </w:tc>
      </w:tr>
      <w:tr w:rsidR="00323BB2" w:rsidRPr="0061063C" w14:paraId="7711279B" w14:textId="77777777" w:rsidTr="00453AFA">
        <w:trPr>
          <w:trHeight w:val="120"/>
        </w:trPr>
        <w:tc>
          <w:tcPr>
            <w:tcW w:w="5846" w:type="dxa"/>
            <w:tcBorders>
              <w:top w:val="single" w:sz="4" w:space="0" w:color="auto"/>
              <w:left w:val="nil"/>
              <w:right w:val="nil"/>
            </w:tcBorders>
          </w:tcPr>
          <w:p w14:paraId="48BFACCE" w14:textId="77777777" w:rsidR="00323BB2" w:rsidRPr="0061063C" w:rsidRDefault="00323BB2" w:rsidP="00453AFA">
            <w:pPr>
              <w:widowControl w:val="0"/>
              <w:autoSpaceDE w:val="0"/>
              <w:autoSpaceDN w:val="0"/>
              <w:adjustRightInd w:val="0"/>
              <w:ind w:left="-108"/>
              <w:rPr>
                <w:rFonts w:asciiTheme="minorHAnsi" w:hAnsiTheme="minorHAnsi"/>
                <w:sz w:val="20"/>
              </w:rPr>
            </w:pPr>
          </w:p>
        </w:tc>
        <w:tc>
          <w:tcPr>
            <w:tcW w:w="1525" w:type="dxa"/>
            <w:tcBorders>
              <w:top w:val="single" w:sz="4" w:space="0" w:color="auto"/>
              <w:left w:val="nil"/>
              <w:right w:val="nil"/>
            </w:tcBorders>
          </w:tcPr>
          <w:p w14:paraId="7C55320D"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559" w:type="dxa"/>
            <w:tcBorders>
              <w:top w:val="single" w:sz="4" w:space="0" w:color="auto"/>
              <w:left w:val="nil"/>
              <w:right w:val="nil"/>
            </w:tcBorders>
          </w:tcPr>
          <w:p w14:paraId="6B6E070B"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69300932" w14:textId="77777777" w:rsidTr="00453AFA">
        <w:trPr>
          <w:trHeight w:val="120"/>
        </w:trPr>
        <w:tc>
          <w:tcPr>
            <w:tcW w:w="5846" w:type="dxa"/>
            <w:tcBorders>
              <w:left w:val="nil"/>
              <w:right w:val="nil"/>
            </w:tcBorders>
          </w:tcPr>
          <w:p w14:paraId="682953D3"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i/>
                <w:sz w:val="20"/>
              </w:rPr>
              <w:t>Numerator in respect of adjusted earnings per share (£m):</w:t>
            </w:r>
          </w:p>
        </w:tc>
        <w:tc>
          <w:tcPr>
            <w:tcW w:w="1525" w:type="dxa"/>
            <w:tcBorders>
              <w:left w:val="nil"/>
              <w:right w:val="nil"/>
            </w:tcBorders>
          </w:tcPr>
          <w:p w14:paraId="1481C2DC"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559" w:type="dxa"/>
            <w:tcBorders>
              <w:left w:val="nil"/>
              <w:right w:val="nil"/>
            </w:tcBorders>
          </w:tcPr>
          <w:p w14:paraId="511D3967"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30CD2453" w14:textId="77777777" w:rsidTr="00453AFA">
        <w:trPr>
          <w:trHeight w:val="120"/>
        </w:trPr>
        <w:tc>
          <w:tcPr>
            <w:tcW w:w="5846" w:type="dxa"/>
            <w:tcBorders>
              <w:left w:val="nil"/>
              <w:right w:val="nil"/>
            </w:tcBorders>
          </w:tcPr>
          <w:p w14:paraId="72DDA8C4"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Profit attributable to equity holders of the Company</w:t>
            </w:r>
          </w:p>
        </w:tc>
        <w:tc>
          <w:tcPr>
            <w:tcW w:w="1525" w:type="dxa"/>
            <w:tcBorders>
              <w:left w:val="nil"/>
              <w:right w:val="nil"/>
            </w:tcBorders>
          </w:tcPr>
          <w:p w14:paraId="3CA04CBB"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18.5</w:t>
            </w:r>
          </w:p>
        </w:tc>
        <w:tc>
          <w:tcPr>
            <w:tcW w:w="1559" w:type="dxa"/>
            <w:tcBorders>
              <w:left w:val="nil"/>
              <w:right w:val="nil"/>
            </w:tcBorders>
          </w:tcPr>
          <w:p w14:paraId="6CAC809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76.9</w:t>
            </w:r>
          </w:p>
        </w:tc>
      </w:tr>
      <w:tr w:rsidR="00323BB2" w:rsidRPr="0061063C" w14:paraId="2AAD4DBB" w14:textId="77777777" w:rsidTr="00453AFA">
        <w:trPr>
          <w:trHeight w:val="120"/>
        </w:trPr>
        <w:tc>
          <w:tcPr>
            <w:tcW w:w="5846" w:type="dxa"/>
            <w:tcBorders>
              <w:left w:val="nil"/>
              <w:bottom w:val="single" w:sz="4" w:space="0" w:color="auto"/>
              <w:right w:val="nil"/>
            </w:tcBorders>
          </w:tcPr>
          <w:p w14:paraId="48F7627D"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Separately disclosed items (Note 5)</w:t>
            </w:r>
          </w:p>
        </w:tc>
        <w:tc>
          <w:tcPr>
            <w:tcW w:w="1525" w:type="dxa"/>
            <w:tcBorders>
              <w:left w:val="nil"/>
              <w:bottom w:val="single" w:sz="4" w:space="0" w:color="auto"/>
              <w:right w:val="nil"/>
            </w:tcBorders>
          </w:tcPr>
          <w:p w14:paraId="558A232F"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172.8</w:t>
            </w:r>
          </w:p>
        </w:tc>
        <w:tc>
          <w:tcPr>
            <w:tcW w:w="1559" w:type="dxa"/>
            <w:tcBorders>
              <w:left w:val="nil"/>
              <w:bottom w:val="single" w:sz="4" w:space="0" w:color="auto"/>
              <w:right w:val="nil"/>
            </w:tcBorders>
          </w:tcPr>
          <w:p w14:paraId="2F74B0BF"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39.4</w:t>
            </w:r>
          </w:p>
        </w:tc>
      </w:tr>
      <w:tr w:rsidR="00323BB2" w:rsidRPr="0061063C" w14:paraId="70E8CCB3" w14:textId="77777777" w:rsidTr="00453AFA">
        <w:trPr>
          <w:trHeight w:val="120"/>
        </w:trPr>
        <w:tc>
          <w:tcPr>
            <w:tcW w:w="5846" w:type="dxa"/>
            <w:tcBorders>
              <w:top w:val="single" w:sz="4" w:space="0" w:color="auto"/>
              <w:left w:val="nil"/>
              <w:right w:val="nil"/>
            </w:tcBorders>
          </w:tcPr>
          <w:p w14:paraId="558BB734"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Profit for adjusted earnings per share calculation</w:t>
            </w:r>
          </w:p>
        </w:tc>
        <w:tc>
          <w:tcPr>
            <w:tcW w:w="1525" w:type="dxa"/>
            <w:tcBorders>
              <w:top w:val="single" w:sz="4" w:space="0" w:color="auto"/>
              <w:left w:val="nil"/>
              <w:right w:val="nil"/>
            </w:tcBorders>
          </w:tcPr>
          <w:p w14:paraId="6C002F8A"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191.3</w:t>
            </w:r>
          </w:p>
        </w:tc>
        <w:tc>
          <w:tcPr>
            <w:tcW w:w="1559" w:type="dxa"/>
            <w:tcBorders>
              <w:top w:val="single" w:sz="4" w:space="0" w:color="auto"/>
              <w:left w:val="nil"/>
              <w:right w:val="nil"/>
            </w:tcBorders>
          </w:tcPr>
          <w:p w14:paraId="5E2C9F51"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116.3</w:t>
            </w:r>
          </w:p>
        </w:tc>
      </w:tr>
      <w:tr w:rsidR="00323BB2" w:rsidRPr="0061063C" w14:paraId="4A804977" w14:textId="77777777" w:rsidTr="00453AFA">
        <w:trPr>
          <w:trHeight w:val="120"/>
        </w:trPr>
        <w:tc>
          <w:tcPr>
            <w:tcW w:w="5846" w:type="dxa"/>
            <w:tcBorders>
              <w:top w:val="single" w:sz="4" w:space="0" w:color="auto"/>
              <w:left w:val="nil"/>
              <w:right w:val="nil"/>
            </w:tcBorders>
          </w:tcPr>
          <w:p w14:paraId="2E01ECE9" w14:textId="77777777" w:rsidR="00323BB2" w:rsidRPr="0061063C" w:rsidRDefault="00323BB2" w:rsidP="00453AFA">
            <w:pPr>
              <w:widowControl w:val="0"/>
              <w:autoSpaceDE w:val="0"/>
              <w:autoSpaceDN w:val="0"/>
              <w:adjustRightInd w:val="0"/>
              <w:ind w:left="-108"/>
              <w:rPr>
                <w:rFonts w:asciiTheme="minorHAnsi" w:hAnsiTheme="minorHAnsi"/>
                <w:sz w:val="20"/>
              </w:rPr>
            </w:pPr>
          </w:p>
        </w:tc>
        <w:tc>
          <w:tcPr>
            <w:tcW w:w="1525" w:type="dxa"/>
            <w:tcBorders>
              <w:top w:val="single" w:sz="4" w:space="0" w:color="auto"/>
              <w:left w:val="nil"/>
              <w:right w:val="nil"/>
            </w:tcBorders>
          </w:tcPr>
          <w:p w14:paraId="1AEA601E"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559" w:type="dxa"/>
            <w:tcBorders>
              <w:top w:val="single" w:sz="4" w:space="0" w:color="auto"/>
              <w:left w:val="nil"/>
              <w:right w:val="nil"/>
            </w:tcBorders>
          </w:tcPr>
          <w:p w14:paraId="2C761E97"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4A4669BF" w14:textId="77777777" w:rsidTr="00453AFA">
        <w:trPr>
          <w:trHeight w:val="120"/>
        </w:trPr>
        <w:tc>
          <w:tcPr>
            <w:tcW w:w="5846" w:type="dxa"/>
            <w:tcBorders>
              <w:top w:val="single" w:sz="4" w:space="0" w:color="auto"/>
              <w:left w:val="nil"/>
              <w:bottom w:val="single" w:sz="4" w:space="0" w:color="auto"/>
              <w:right w:val="nil"/>
            </w:tcBorders>
          </w:tcPr>
          <w:p w14:paraId="368F466E"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Weighted average number of ordinary shares in issue during the period (in ‘000s)</w:t>
            </w:r>
            <w:r w:rsidRPr="0061063C">
              <w:rPr>
                <w:rFonts w:asciiTheme="minorHAnsi" w:hAnsiTheme="minorHAnsi"/>
                <w:sz w:val="20"/>
                <w:vertAlign w:val="superscript"/>
              </w:rPr>
              <w:t>1</w:t>
            </w:r>
          </w:p>
        </w:tc>
        <w:tc>
          <w:tcPr>
            <w:tcW w:w="1525" w:type="dxa"/>
            <w:tcBorders>
              <w:top w:val="single" w:sz="4" w:space="0" w:color="auto"/>
              <w:left w:val="nil"/>
              <w:bottom w:val="single" w:sz="4" w:space="0" w:color="auto"/>
              <w:right w:val="nil"/>
            </w:tcBorders>
          </w:tcPr>
          <w:p w14:paraId="318DA887"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22871039"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102,042</w:t>
            </w:r>
          </w:p>
        </w:tc>
        <w:tc>
          <w:tcPr>
            <w:tcW w:w="1559" w:type="dxa"/>
            <w:tcBorders>
              <w:top w:val="single" w:sz="4" w:space="0" w:color="auto"/>
              <w:left w:val="nil"/>
              <w:bottom w:val="single" w:sz="4" w:space="0" w:color="auto"/>
              <w:right w:val="nil"/>
            </w:tcBorders>
          </w:tcPr>
          <w:p w14:paraId="328611A1"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5C5F2CCC"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79,947</w:t>
            </w:r>
          </w:p>
        </w:tc>
      </w:tr>
      <w:tr w:rsidR="00323BB2" w:rsidRPr="0061063C" w14:paraId="769621F0" w14:textId="77777777" w:rsidTr="00453AFA">
        <w:trPr>
          <w:trHeight w:val="120"/>
        </w:trPr>
        <w:tc>
          <w:tcPr>
            <w:tcW w:w="5846" w:type="dxa"/>
            <w:tcBorders>
              <w:top w:val="single" w:sz="4" w:space="0" w:color="auto"/>
              <w:left w:val="nil"/>
              <w:right w:val="nil"/>
            </w:tcBorders>
          </w:tcPr>
          <w:p w14:paraId="0A53A3D9" w14:textId="77777777" w:rsidR="00323BB2" w:rsidRPr="0061063C" w:rsidRDefault="00323BB2" w:rsidP="00453AFA">
            <w:pPr>
              <w:widowControl w:val="0"/>
              <w:autoSpaceDE w:val="0"/>
              <w:autoSpaceDN w:val="0"/>
              <w:adjustRightInd w:val="0"/>
              <w:ind w:left="-108"/>
              <w:rPr>
                <w:rFonts w:asciiTheme="minorHAnsi" w:hAnsiTheme="minorHAnsi"/>
                <w:sz w:val="20"/>
              </w:rPr>
            </w:pPr>
          </w:p>
        </w:tc>
        <w:tc>
          <w:tcPr>
            <w:tcW w:w="1525" w:type="dxa"/>
            <w:tcBorders>
              <w:top w:val="single" w:sz="4" w:space="0" w:color="auto"/>
              <w:left w:val="nil"/>
              <w:right w:val="nil"/>
            </w:tcBorders>
          </w:tcPr>
          <w:p w14:paraId="45C17F0B"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559" w:type="dxa"/>
            <w:tcBorders>
              <w:top w:val="single" w:sz="4" w:space="0" w:color="auto"/>
              <w:left w:val="nil"/>
              <w:right w:val="nil"/>
            </w:tcBorders>
          </w:tcPr>
          <w:p w14:paraId="2B33A037"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41C76B0C" w14:textId="77777777" w:rsidTr="00453AFA">
        <w:trPr>
          <w:trHeight w:val="120"/>
        </w:trPr>
        <w:tc>
          <w:tcPr>
            <w:tcW w:w="5846" w:type="dxa"/>
            <w:tcBorders>
              <w:left w:val="nil"/>
              <w:bottom w:val="single" w:sz="4" w:space="0" w:color="auto"/>
              <w:right w:val="nil"/>
            </w:tcBorders>
          </w:tcPr>
          <w:p w14:paraId="78A0EAB9" w14:textId="77777777" w:rsidR="00323BB2" w:rsidRPr="0061063C" w:rsidRDefault="00323BB2" w:rsidP="00453AFA">
            <w:pPr>
              <w:widowControl w:val="0"/>
              <w:autoSpaceDE w:val="0"/>
              <w:autoSpaceDN w:val="0"/>
              <w:adjustRightInd w:val="0"/>
              <w:ind w:left="-115"/>
              <w:rPr>
                <w:rFonts w:asciiTheme="minorHAnsi" w:hAnsiTheme="minorHAnsi"/>
                <w:sz w:val="20"/>
              </w:rPr>
            </w:pPr>
            <w:r w:rsidRPr="0061063C">
              <w:rPr>
                <w:rFonts w:asciiTheme="minorHAnsi" w:hAnsiTheme="minorHAnsi"/>
                <w:b/>
                <w:sz w:val="20"/>
              </w:rPr>
              <w:t>Basic earnings per share</w:t>
            </w:r>
          </w:p>
        </w:tc>
        <w:tc>
          <w:tcPr>
            <w:tcW w:w="1525" w:type="dxa"/>
            <w:tcBorders>
              <w:left w:val="nil"/>
              <w:bottom w:val="single" w:sz="4" w:space="0" w:color="auto"/>
              <w:right w:val="nil"/>
            </w:tcBorders>
          </w:tcPr>
          <w:p w14:paraId="5059A2D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£0.181</w:t>
            </w:r>
          </w:p>
        </w:tc>
        <w:tc>
          <w:tcPr>
            <w:tcW w:w="1559" w:type="dxa"/>
            <w:tcBorders>
              <w:left w:val="nil"/>
              <w:bottom w:val="single" w:sz="4" w:space="0" w:color="auto"/>
              <w:right w:val="nil"/>
            </w:tcBorders>
          </w:tcPr>
          <w:p w14:paraId="19C8A750"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£0.962</w:t>
            </w:r>
          </w:p>
        </w:tc>
      </w:tr>
      <w:tr w:rsidR="00323BB2" w:rsidRPr="0061063C" w14:paraId="0C38B5BF" w14:textId="77777777" w:rsidTr="00453AFA">
        <w:trPr>
          <w:trHeight w:val="120"/>
        </w:trPr>
        <w:tc>
          <w:tcPr>
            <w:tcW w:w="5846" w:type="dxa"/>
            <w:tcBorders>
              <w:top w:val="single" w:sz="4" w:space="0" w:color="auto"/>
              <w:left w:val="nil"/>
              <w:bottom w:val="single" w:sz="4" w:space="0" w:color="auto"/>
              <w:right w:val="nil"/>
            </w:tcBorders>
          </w:tcPr>
          <w:p w14:paraId="1A629409" w14:textId="77777777" w:rsidR="00323BB2" w:rsidRPr="0061063C" w:rsidRDefault="00323BB2" w:rsidP="00453AFA">
            <w:pPr>
              <w:widowControl w:val="0"/>
              <w:autoSpaceDE w:val="0"/>
              <w:autoSpaceDN w:val="0"/>
              <w:adjustRightInd w:val="0"/>
              <w:ind w:left="-115"/>
              <w:rPr>
                <w:rFonts w:asciiTheme="minorHAnsi" w:hAnsiTheme="minorHAnsi"/>
                <w:b/>
                <w:sz w:val="20"/>
              </w:rPr>
            </w:pPr>
            <w:r w:rsidRPr="0061063C">
              <w:rPr>
                <w:rFonts w:asciiTheme="minorHAnsi" w:hAnsiTheme="minorHAnsi"/>
                <w:b/>
                <w:sz w:val="20"/>
              </w:rPr>
              <w:t>Adjusted basic earnings per share</w:t>
            </w:r>
          </w:p>
        </w:tc>
        <w:tc>
          <w:tcPr>
            <w:tcW w:w="1525" w:type="dxa"/>
            <w:tcBorders>
              <w:top w:val="single" w:sz="4" w:space="0" w:color="auto"/>
              <w:left w:val="nil"/>
              <w:bottom w:val="single" w:sz="4" w:space="0" w:color="auto"/>
              <w:right w:val="nil"/>
            </w:tcBorders>
          </w:tcPr>
          <w:p w14:paraId="52D5ED98"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£1.875</w:t>
            </w:r>
          </w:p>
        </w:tc>
        <w:tc>
          <w:tcPr>
            <w:tcW w:w="1559" w:type="dxa"/>
            <w:tcBorders>
              <w:top w:val="single" w:sz="4" w:space="0" w:color="auto"/>
              <w:left w:val="nil"/>
              <w:bottom w:val="single" w:sz="4" w:space="0" w:color="auto"/>
              <w:right w:val="nil"/>
            </w:tcBorders>
          </w:tcPr>
          <w:p w14:paraId="7408AF44"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£1.455</w:t>
            </w:r>
          </w:p>
        </w:tc>
      </w:tr>
      <w:tr w:rsidR="00323BB2" w:rsidRPr="0061063C" w14:paraId="445DF683" w14:textId="77777777" w:rsidTr="00453AFA">
        <w:trPr>
          <w:trHeight w:val="120"/>
        </w:trPr>
        <w:tc>
          <w:tcPr>
            <w:tcW w:w="5846" w:type="dxa"/>
            <w:tcBorders>
              <w:top w:val="single" w:sz="4" w:space="0" w:color="auto"/>
              <w:left w:val="nil"/>
              <w:right w:val="nil"/>
            </w:tcBorders>
          </w:tcPr>
          <w:p w14:paraId="76A1258B" w14:textId="77777777" w:rsidR="00323BB2" w:rsidRPr="0061063C" w:rsidRDefault="00323BB2" w:rsidP="00453AFA">
            <w:pPr>
              <w:widowControl w:val="0"/>
              <w:autoSpaceDE w:val="0"/>
              <w:autoSpaceDN w:val="0"/>
              <w:adjustRightInd w:val="0"/>
              <w:rPr>
                <w:rFonts w:asciiTheme="minorHAnsi" w:hAnsiTheme="minorHAnsi"/>
                <w:sz w:val="20"/>
              </w:rPr>
            </w:pPr>
          </w:p>
        </w:tc>
        <w:tc>
          <w:tcPr>
            <w:tcW w:w="1525" w:type="dxa"/>
            <w:tcBorders>
              <w:top w:val="single" w:sz="4" w:space="0" w:color="auto"/>
              <w:left w:val="nil"/>
              <w:right w:val="nil"/>
            </w:tcBorders>
          </w:tcPr>
          <w:p w14:paraId="1F2A3870" w14:textId="77777777" w:rsidR="00323BB2" w:rsidRPr="0061063C" w:rsidRDefault="00323BB2" w:rsidP="00453AFA">
            <w:pPr>
              <w:widowControl w:val="0"/>
              <w:autoSpaceDE w:val="0"/>
              <w:autoSpaceDN w:val="0"/>
              <w:adjustRightInd w:val="0"/>
              <w:jc w:val="right"/>
              <w:rPr>
                <w:rFonts w:asciiTheme="minorHAnsi" w:hAnsiTheme="minorHAnsi"/>
                <w:b/>
                <w:sz w:val="20"/>
              </w:rPr>
            </w:pPr>
          </w:p>
        </w:tc>
        <w:tc>
          <w:tcPr>
            <w:tcW w:w="1559" w:type="dxa"/>
            <w:tcBorders>
              <w:top w:val="single" w:sz="4" w:space="0" w:color="auto"/>
              <w:left w:val="nil"/>
              <w:right w:val="nil"/>
            </w:tcBorders>
          </w:tcPr>
          <w:p w14:paraId="31C3ECBE"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13E55C05" w14:textId="77777777" w:rsidTr="00453AFA">
        <w:trPr>
          <w:trHeight w:val="120"/>
        </w:trPr>
        <w:tc>
          <w:tcPr>
            <w:tcW w:w="7371" w:type="dxa"/>
            <w:gridSpan w:val="2"/>
            <w:tcBorders>
              <w:left w:val="nil"/>
              <w:right w:val="nil"/>
            </w:tcBorders>
          </w:tcPr>
          <w:p w14:paraId="63C6CFFC" w14:textId="77777777" w:rsidR="00323BB2" w:rsidRPr="0061063C" w:rsidRDefault="00323BB2" w:rsidP="00453AFA">
            <w:pPr>
              <w:widowControl w:val="0"/>
              <w:autoSpaceDE w:val="0"/>
              <w:autoSpaceDN w:val="0"/>
              <w:adjustRightInd w:val="0"/>
              <w:ind w:left="-108"/>
              <w:rPr>
                <w:rFonts w:asciiTheme="minorHAnsi" w:hAnsiTheme="minorHAnsi"/>
                <w:b/>
                <w:sz w:val="20"/>
              </w:rPr>
            </w:pPr>
            <w:r w:rsidRPr="0061063C">
              <w:rPr>
                <w:rFonts w:asciiTheme="minorHAnsi" w:hAnsiTheme="minorHAnsi"/>
                <w:i/>
                <w:sz w:val="20"/>
              </w:rPr>
              <w:t>Adjustments to derive denominator in respect of diluted earnings per share (in ‘000s):</w:t>
            </w:r>
          </w:p>
        </w:tc>
        <w:tc>
          <w:tcPr>
            <w:tcW w:w="1559" w:type="dxa"/>
            <w:tcBorders>
              <w:left w:val="nil"/>
              <w:right w:val="nil"/>
            </w:tcBorders>
          </w:tcPr>
          <w:p w14:paraId="5D25F2ED" w14:textId="77777777" w:rsidR="00323BB2" w:rsidRPr="0061063C" w:rsidRDefault="00323BB2" w:rsidP="00453AFA">
            <w:pPr>
              <w:widowControl w:val="0"/>
              <w:autoSpaceDE w:val="0"/>
              <w:autoSpaceDN w:val="0"/>
              <w:adjustRightInd w:val="0"/>
              <w:jc w:val="right"/>
              <w:rPr>
                <w:rFonts w:asciiTheme="minorHAnsi" w:hAnsiTheme="minorHAnsi"/>
                <w:sz w:val="20"/>
              </w:rPr>
            </w:pPr>
          </w:p>
        </w:tc>
      </w:tr>
      <w:tr w:rsidR="00323BB2" w:rsidRPr="0061063C" w14:paraId="61133813" w14:textId="77777777" w:rsidTr="00453AFA">
        <w:trPr>
          <w:trHeight w:val="120"/>
        </w:trPr>
        <w:tc>
          <w:tcPr>
            <w:tcW w:w="5846" w:type="dxa"/>
            <w:tcBorders>
              <w:left w:val="nil"/>
              <w:right w:val="nil"/>
            </w:tcBorders>
          </w:tcPr>
          <w:p w14:paraId="6107F133"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Weighted average number of ordinary shares in issue during the period</w:t>
            </w:r>
            <w:r w:rsidRPr="0061063C">
              <w:rPr>
                <w:rFonts w:asciiTheme="minorHAnsi" w:hAnsiTheme="minorHAnsi"/>
                <w:sz w:val="20"/>
                <w:vertAlign w:val="superscript"/>
              </w:rPr>
              <w:t>1</w:t>
            </w:r>
          </w:p>
        </w:tc>
        <w:tc>
          <w:tcPr>
            <w:tcW w:w="1525" w:type="dxa"/>
            <w:tcBorders>
              <w:left w:val="nil"/>
              <w:right w:val="nil"/>
            </w:tcBorders>
          </w:tcPr>
          <w:p w14:paraId="08BD1303"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588F19A1"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102,042</w:t>
            </w:r>
          </w:p>
        </w:tc>
        <w:tc>
          <w:tcPr>
            <w:tcW w:w="1559" w:type="dxa"/>
            <w:tcBorders>
              <w:left w:val="nil"/>
              <w:right w:val="nil"/>
            </w:tcBorders>
          </w:tcPr>
          <w:p w14:paraId="04D71088"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49A1D91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79,947</w:t>
            </w:r>
          </w:p>
        </w:tc>
      </w:tr>
      <w:tr w:rsidR="00323BB2" w:rsidRPr="0061063C" w14:paraId="7937CA11" w14:textId="77777777" w:rsidTr="00453AFA">
        <w:trPr>
          <w:trHeight w:val="120"/>
        </w:trPr>
        <w:tc>
          <w:tcPr>
            <w:tcW w:w="5846" w:type="dxa"/>
            <w:tcBorders>
              <w:left w:val="nil"/>
              <w:bottom w:val="single" w:sz="4" w:space="0" w:color="auto"/>
              <w:right w:val="nil"/>
            </w:tcBorders>
          </w:tcPr>
          <w:p w14:paraId="395B2B7C"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Dilutive effect of share options and awards on issue</w:t>
            </w:r>
          </w:p>
        </w:tc>
        <w:tc>
          <w:tcPr>
            <w:tcW w:w="1525" w:type="dxa"/>
            <w:tcBorders>
              <w:left w:val="nil"/>
              <w:bottom w:val="single" w:sz="4" w:space="0" w:color="auto"/>
              <w:right w:val="nil"/>
            </w:tcBorders>
          </w:tcPr>
          <w:p w14:paraId="79A0142D"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582C66">
              <w:rPr>
                <w:rFonts w:asciiTheme="minorHAnsi" w:hAnsiTheme="minorHAnsi"/>
                <w:b/>
                <w:sz w:val="20"/>
              </w:rPr>
              <w:t>1,448</w:t>
            </w:r>
          </w:p>
        </w:tc>
        <w:tc>
          <w:tcPr>
            <w:tcW w:w="1559" w:type="dxa"/>
            <w:tcBorders>
              <w:left w:val="nil"/>
              <w:bottom w:val="single" w:sz="4" w:space="0" w:color="auto"/>
              <w:right w:val="nil"/>
            </w:tcBorders>
          </w:tcPr>
          <w:p w14:paraId="0D330447"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218</w:t>
            </w:r>
          </w:p>
        </w:tc>
      </w:tr>
      <w:tr w:rsidR="00323BB2" w:rsidRPr="0061063C" w14:paraId="4D88EE87" w14:textId="77777777" w:rsidTr="00453AFA">
        <w:trPr>
          <w:trHeight w:val="120"/>
        </w:trPr>
        <w:tc>
          <w:tcPr>
            <w:tcW w:w="5846" w:type="dxa"/>
            <w:tcBorders>
              <w:top w:val="single" w:sz="4" w:space="0" w:color="auto"/>
              <w:left w:val="nil"/>
              <w:bottom w:val="single" w:sz="4" w:space="0" w:color="auto"/>
              <w:right w:val="nil"/>
            </w:tcBorders>
          </w:tcPr>
          <w:p w14:paraId="6C4FE9CE" w14:textId="77777777" w:rsidR="00323BB2" w:rsidRPr="0061063C" w:rsidRDefault="00323BB2" w:rsidP="00453AFA">
            <w:pPr>
              <w:widowControl w:val="0"/>
              <w:autoSpaceDE w:val="0"/>
              <w:autoSpaceDN w:val="0"/>
              <w:adjustRightInd w:val="0"/>
              <w:ind w:left="-108"/>
              <w:rPr>
                <w:rFonts w:asciiTheme="minorHAnsi" w:hAnsiTheme="minorHAnsi"/>
                <w:sz w:val="20"/>
              </w:rPr>
            </w:pPr>
            <w:r w:rsidRPr="0061063C">
              <w:rPr>
                <w:rFonts w:asciiTheme="minorHAnsi" w:hAnsiTheme="minorHAnsi"/>
                <w:sz w:val="20"/>
              </w:rPr>
              <w:t>Adjusted weighted average number of ordinary shares in issue during the period</w:t>
            </w:r>
            <w:r w:rsidRPr="0061063C">
              <w:rPr>
                <w:rFonts w:asciiTheme="minorHAnsi" w:hAnsiTheme="minorHAnsi"/>
                <w:sz w:val="20"/>
                <w:vertAlign w:val="superscript"/>
              </w:rPr>
              <w:t>1</w:t>
            </w:r>
          </w:p>
        </w:tc>
        <w:tc>
          <w:tcPr>
            <w:tcW w:w="1525" w:type="dxa"/>
            <w:tcBorders>
              <w:top w:val="single" w:sz="4" w:space="0" w:color="auto"/>
              <w:left w:val="nil"/>
              <w:bottom w:val="single" w:sz="4" w:space="0" w:color="auto"/>
              <w:right w:val="nil"/>
            </w:tcBorders>
          </w:tcPr>
          <w:p w14:paraId="50C978F3" w14:textId="77777777" w:rsidR="00323BB2" w:rsidRPr="0061063C" w:rsidRDefault="00323BB2" w:rsidP="00453AFA">
            <w:pPr>
              <w:widowControl w:val="0"/>
              <w:autoSpaceDE w:val="0"/>
              <w:autoSpaceDN w:val="0"/>
              <w:adjustRightInd w:val="0"/>
              <w:jc w:val="right"/>
              <w:rPr>
                <w:rFonts w:asciiTheme="minorHAnsi" w:hAnsiTheme="minorHAnsi"/>
                <w:b/>
                <w:sz w:val="20"/>
              </w:rPr>
            </w:pPr>
          </w:p>
          <w:p w14:paraId="5C31D885" w14:textId="77777777" w:rsidR="00323BB2" w:rsidRPr="0061063C" w:rsidRDefault="00323BB2" w:rsidP="00453AFA">
            <w:pPr>
              <w:widowControl w:val="0"/>
              <w:autoSpaceDE w:val="0"/>
              <w:autoSpaceDN w:val="0"/>
              <w:adjustRightInd w:val="0"/>
              <w:jc w:val="right"/>
              <w:rPr>
                <w:rFonts w:asciiTheme="minorHAnsi" w:hAnsiTheme="minorHAnsi"/>
                <w:b/>
                <w:sz w:val="20"/>
              </w:rPr>
            </w:pPr>
            <w:r w:rsidRPr="0061063C">
              <w:rPr>
                <w:rFonts w:asciiTheme="minorHAnsi" w:hAnsiTheme="minorHAnsi"/>
                <w:b/>
                <w:sz w:val="20"/>
              </w:rPr>
              <w:t>10</w:t>
            </w:r>
            <w:r>
              <w:rPr>
                <w:rFonts w:asciiTheme="minorHAnsi" w:hAnsiTheme="minorHAnsi"/>
                <w:b/>
                <w:sz w:val="20"/>
              </w:rPr>
              <w:t>3,490</w:t>
            </w:r>
          </w:p>
        </w:tc>
        <w:tc>
          <w:tcPr>
            <w:tcW w:w="1559" w:type="dxa"/>
            <w:tcBorders>
              <w:top w:val="single" w:sz="4" w:space="0" w:color="auto"/>
              <w:left w:val="nil"/>
              <w:bottom w:val="single" w:sz="4" w:space="0" w:color="auto"/>
              <w:right w:val="nil"/>
            </w:tcBorders>
          </w:tcPr>
          <w:p w14:paraId="7F4C42C6" w14:textId="77777777" w:rsidR="00323BB2" w:rsidRPr="0061063C" w:rsidRDefault="00323BB2" w:rsidP="00453AFA">
            <w:pPr>
              <w:widowControl w:val="0"/>
              <w:autoSpaceDE w:val="0"/>
              <w:autoSpaceDN w:val="0"/>
              <w:adjustRightInd w:val="0"/>
              <w:jc w:val="right"/>
              <w:rPr>
                <w:rFonts w:asciiTheme="minorHAnsi" w:hAnsiTheme="minorHAnsi"/>
                <w:sz w:val="20"/>
              </w:rPr>
            </w:pPr>
          </w:p>
          <w:p w14:paraId="2BAAABAE" w14:textId="77777777" w:rsidR="00323BB2" w:rsidRPr="0061063C" w:rsidRDefault="00323BB2" w:rsidP="00453AFA">
            <w:pPr>
              <w:widowControl w:val="0"/>
              <w:autoSpaceDE w:val="0"/>
              <w:autoSpaceDN w:val="0"/>
              <w:adjustRightInd w:val="0"/>
              <w:jc w:val="right"/>
              <w:rPr>
                <w:rFonts w:asciiTheme="minorHAnsi" w:hAnsiTheme="minorHAnsi"/>
                <w:sz w:val="20"/>
              </w:rPr>
            </w:pPr>
            <w:r w:rsidRPr="0061063C">
              <w:rPr>
                <w:rFonts w:asciiTheme="minorHAnsi" w:hAnsiTheme="minorHAnsi"/>
                <w:sz w:val="20"/>
              </w:rPr>
              <w:t>80,165</w:t>
            </w:r>
          </w:p>
        </w:tc>
      </w:tr>
      <w:tr w:rsidR="00323BB2" w:rsidRPr="0061063C" w14:paraId="164609C6" w14:textId="77777777" w:rsidTr="00453AFA">
        <w:trPr>
          <w:trHeight w:val="374"/>
        </w:trPr>
        <w:tc>
          <w:tcPr>
            <w:tcW w:w="5846" w:type="dxa"/>
            <w:tcBorders>
              <w:top w:val="single" w:sz="4" w:space="0" w:color="auto"/>
              <w:left w:val="nil"/>
              <w:bottom w:val="single" w:sz="4" w:space="0" w:color="auto"/>
              <w:right w:val="nil"/>
            </w:tcBorders>
          </w:tcPr>
          <w:p w14:paraId="1933935A" w14:textId="77777777" w:rsidR="00323BB2" w:rsidRPr="0061063C" w:rsidRDefault="00323BB2" w:rsidP="00453AFA">
            <w:pPr>
              <w:widowControl w:val="0"/>
              <w:autoSpaceDE w:val="0"/>
              <w:autoSpaceDN w:val="0"/>
              <w:adjustRightInd w:val="0"/>
              <w:ind w:left="-115"/>
              <w:rPr>
                <w:rFonts w:asciiTheme="minorHAnsi" w:hAnsiTheme="minorHAnsi"/>
                <w:b/>
                <w:sz w:val="20"/>
              </w:rPr>
            </w:pPr>
          </w:p>
          <w:p w14:paraId="6AA8A328" w14:textId="77777777" w:rsidR="00323BB2" w:rsidRPr="0061063C" w:rsidRDefault="00323BB2" w:rsidP="00453AFA">
            <w:pPr>
              <w:widowControl w:val="0"/>
              <w:autoSpaceDE w:val="0"/>
              <w:autoSpaceDN w:val="0"/>
              <w:adjustRightInd w:val="0"/>
              <w:ind w:left="-115"/>
              <w:rPr>
                <w:rFonts w:asciiTheme="minorHAnsi" w:hAnsiTheme="minorHAnsi"/>
                <w:b/>
                <w:sz w:val="20"/>
              </w:rPr>
            </w:pPr>
            <w:r w:rsidRPr="0061063C">
              <w:rPr>
                <w:rFonts w:asciiTheme="minorHAnsi" w:hAnsiTheme="minorHAnsi"/>
                <w:b/>
                <w:sz w:val="20"/>
              </w:rPr>
              <w:t>Diluted earnings per share</w:t>
            </w:r>
          </w:p>
        </w:tc>
        <w:tc>
          <w:tcPr>
            <w:tcW w:w="1525" w:type="dxa"/>
            <w:tcBorders>
              <w:top w:val="single" w:sz="4" w:space="0" w:color="auto"/>
              <w:left w:val="nil"/>
              <w:bottom w:val="single" w:sz="4" w:space="0" w:color="auto"/>
              <w:right w:val="nil"/>
            </w:tcBorders>
            <w:shd w:val="clear" w:color="auto" w:fill="auto"/>
          </w:tcPr>
          <w:p w14:paraId="62882FF6" w14:textId="77777777" w:rsidR="00323BB2" w:rsidRPr="0061063C" w:rsidRDefault="00323BB2" w:rsidP="00453AFA">
            <w:pPr>
              <w:widowControl w:val="0"/>
              <w:autoSpaceDE w:val="0"/>
              <w:autoSpaceDN w:val="0"/>
              <w:adjustRightInd w:val="0"/>
              <w:ind w:left="-115"/>
              <w:jc w:val="right"/>
              <w:rPr>
                <w:rFonts w:asciiTheme="minorHAnsi" w:hAnsiTheme="minorHAnsi"/>
                <w:b/>
                <w:sz w:val="20"/>
              </w:rPr>
            </w:pPr>
          </w:p>
          <w:p w14:paraId="1DA4E8EE" w14:textId="77777777" w:rsidR="00323BB2" w:rsidRPr="0061063C" w:rsidRDefault="00323BB2" w:rsidP="00453AFA">
            <w:pPr>
              <w:widowControl w:val="0"/>
              <w:autoSpaceDE w:val="0"/>
              <w:autoSpaceDN w:val="0"/>
              <w:adjustRightInd w:val="0"/>
              <w:ind w:left="-115"/>
              <w:jc w:val="right"/>
              <w:rPr>
                <w:rFonts w:asciiTheme="minorHAnsi" w:hAnsiTheme="minorHAnsi"/>
                <w:b/>
                <w:sz w:val="20"/>
              </w:rPr>
            </w:pPr>
            <w:r w:rsidRPr="0061063C">
              <w:rPr>
                <w:rFonts w:asciiTheme="minorHAnsi" w:hAnsiTheme="minorHAnsi"/>
                <w:b/>
                <w:sz w:val="20"/>
              </w:rPr>
              <w:t>£0.1</w:t>
            </w:r>
            <w:r>
              <w:rPr>
                <w:rFonts w:asciiTheme="minorHAnsi" w:hAnsiTheme="minorHAnsi"/>
                <w:b/>
                <w:sz w:val="20"/>
              </w:rPr>
              <w:t>79</w:t>
            </w:r>
          </w:p>
        </w:tc>
        <w:tc>
          <w:tcPr>
            <w:tcW w:w="1559" w:type="dxa"/>
            <w:tcBorders>
              <w:top w:val="single" w:sz="4" w:space="0" w:color="auto"/>
              <w:left w:val="nil"/>
              <w:bottom w:val="single" w:sz="4" w:space="0" w:color="auto"/>
              <w:right w:val="nil"/>
            </w:tcBorders>
          </w:tcPr>
          <w:p w14:paraId="5A88AFE7" w14:textId="77777777" w:rsidR="00323BB2" w:rsidRPr="0061063C" w:rsidRDefault="00323BB2" w:rsidP="00453AFA">
            <w:pPr>
              <w:widowControl w:val="0"/>
              <w:autoSpaceDE w:val="0"/>
              <w:autoSpaceDN w:val="0"/>
              <w:adjustRightInd w:val="0"/>
              <w:ind w:left="-115"/>
              <w:jc w:val="right"/>
              <w:rPr>
                <w:rFonts w:asciiTheme="minorHAnsi" w:hAnsiTheme="minorHAnsi"/>
                <w:sz w:val="20"/>
              </w:rPr>
            </w:pPr>
          </w:p>
          <w:p w14:paraId="48D108A9" w14:textId="77777777" w:rsidR="00323BB2" w:rsidRPr="0061063C" w:rsidRDefault="00323BB2" w:rsidP="00453AFA">
            <w:pPr>
              <w:widowControl w:val="0"/>
              <w:autoSpaceDE w:val="0"/>
              <w:autoSpaceDN w:val="0"/>
              <w:adjustRightInd w:val="0"/>
              <w:ind w:left="-115"/>
              <w:jc w:val="right"/>
              <w:rPr>
                <w:rFonts w:asciiTheme="minorHAnsi" w:hAnsiTheme="minorHAnsi"/>
                <w:sz w:val="20"/>
              </w:rPr>
            </w:pPr>
            <w:r w:rsidRPr="0061063C">
              <w:rPr>
                <w:rFonts w:asciiTheme="minorHAnsi" w:hAnsiTheme="minorHAnsi"/>
                <w:sz w:val="20"/>
              </w:rPr>
              <w:t>£0.959</w:t>
            </w:r>
          </w:p>
        </w:tc>
      </w:tr>
      <w:tr w:rsidR="00323BB2" w:rsidRPr="0061063C" w14:paraId="71761139" w14:textId="77777777" w:rsidTr="00453AFA">
        <w:tc>
          <w:tcPr>
            <w:tcW w:w="5846" w:type="dxa"/>
            <w:tcBorders>
              <w:top w:val="single" w:sz="4" w:space="0" w:color="auto"/>
              <w:left w:val="nil"/>
              <w:bottom w:val="single" w:sz="4" w:space="0" w:color="auto"/>
              <w:right w:val="nil"/>
            </w:tcBorders>
          </w:tcPr>
          <w:p w14:paraId="17F1A442" w14:textId="77777777" w:rsidR="00323BB2" w:rsidRPr="0061063C" w:rsidDel="00A47720" w:rsidRDefault="00323BB2" w:rsidP="00453AFA">
            <w:pPr>
              <w:widowControl w:val="0"/>
              <w:autoSpaceDE w:val="0"/>
              <w:autoSpaceDN w:val="0"/>
              <w:adjustRightInd w:val="0"/>
              <w:ind w:left="-115"/>
              <w:rPr>
                <w:rFonts w:asciiTheme="minorHAnsi" w:hAnsiTheme="minorHAnsi"/>
                <w:b/>
                <w:sz w:val="20"/>
              </w:rPr>
            </w:pPr>
            <w:r w:rsidRPr="0061063C">
              <w:rPr>
                <w:rFonts w:asciiTheme="minorHAnsi" w:hAnsiTheme="minorHAnsi"/>
                <w:b/>
                <w:sz w:val="20"/>
              </w:rPr>
              <w:t>Adjusted diluted earnings per share</w:t>
            </w:r>
          </w:p>
        </w:tc>
        <w:tc>
          <w:tcPr>
            <w:tcW w:w="1525" w:type="dxa"/>
            <w:tcBorders>
              <w:top w:val="single" w:sz="4" w:space="0" w:color="auto"/>
              <w:left w:val="nil"/>
              <w:bottom w:val="single" w:sz="4" w:space="0" w:color="auto"/>
              <w:right w:val="nil"/>
            </w:tcBorders>
            <w:shd w:val="clear" w:color="auto" w:fill="auto"/>
          </w:tcPr>
          <w:p w14:paraId="2C373BB7" w14:textId="77777777" w:rsidR="00323BB2" w:rsidRPr="0061063C" w:rsidDel="00A47720" w:rsidRDefault="00323BB2" w:rsidP="00453AFA">
            <w:pPr>
              <w:widowControl w:val="0"/>
              <w:autoSpaceDE w:val="0"/>
              <w:autoSpaceDN w:val="0"/>
              <w:adjustRightInd w:val="0"/>
              <w:ind w:left="-115"/>
              <w:jc w:val="right"/>
              <w:rPr>
                <w:rFonts w:asciiTheme="minorHAnsi" w:hAnsiTheme="minorHAnsi"/>
                <w:b/>
                <w:sz w:val="20"/>
              </w:rPr>
            </w:pPr>
            <w:r w:rsidRPr="0061063C">
              <w:rPr>
                <w:rFonts w:asciiTheme="minorHAnsi" w:hAnsiTheme="minorHAnsi"/>
                <w:b/>
                <w:sz w:val="20"/>
              </w:rPr>
              <w:t>£1.8</w:t>
            </w:r>
            <w:r>
              <w:rPr>
                <w:rFonts w:asciiTheme="minorHAnsi" w:hAnsiTheme="minorHAnsi"/>
                <w:b/>
                <w:sz w:val="20"/>
              </w:rPr>
              <w:t>48</w:t>
            </w:r>
          </w:p>
        </w:tc>
        <w:tc>
          <w:tcPr>
            <w:tcW w:w="1559" w:type="dxa"/>
            <w:tcBorders>
              <w:top w:val="single" w:sz="4" w:space="0" w:color="auto"/>
              <w:left w:val="nil"/>
              <w:bottom w:val="single" w:sz="4" w:space="0" w:color="auto"/>
              <w:right w:val="nil"/>
            </w:tcBorders>
          </w:tcPr>
          <w:p w14:paraId="5DFA96BF" w14:textId="77777777" w:rsidR="00323BB2" w:rsidRPr="0061063C" w:rsidDel="00A47720" w:rsidRDefault="00323BB2" w:rsidP="00453AFA">
            <w:pPr>
              <w:widowControl w:val="0"/>
              <w:autoSpaceDE w:val="0"/>
              <w:autoSpaceDN w:val="0"/>
              <w:adjustRightInd w:val="0"/>
              <w:ind w:left="-115"/>
              <w:jc w:val="right"/>
              <w:rPr>
                <w:rFonts w:asciiTheme="minorHAnsi" w:hAnsiTheme="minorHAnsi"/>
                <w:sz w:val="20"/>
              </w:rPr>
            </w:pPr>
            <w:r w:rsidRPr="0061063C">
              <w:rPr>
                <w:rFonts w:asciiTheme="minorHAnsi" w:hAnsiTheme="minorHAnsi"/>
                <w:sz w:val="20"/>
              </w:rPr>
              <w:t>£1.451</w:t>
            </w:r>
          </w:p>
        </w:tc>
      </w:tr>
    </w:tbl>
    <w:p w14:paraId="597FB0DD" w14:textId="77777777" w:rsidR="00323BB2" w:rsidRPr="0061063C" w:rsidRDefault="00323BB2" w:rsidP="00323BB2">
      <w:pPr>
        <w:rPr>
          <w:rFonts w:asciiTheme="minorHAnsi" w:hAnsiTheme="minorHAnsi"/>
          <w:sz w:val="20"/>
          <w:lang w:val="en-IE"/>
        </w:rPr>
      </w:pPr>
    </w:p>
    <w:p w14:paraId="12B1038D" w14:textId="77777777" w:rsidR="00323BB2" w:rsidRPr="0061063C" w:rsidRDefault="00323BB2" w:rsidP="009B6BB8">
      <w:pPr>
        <w:pStyle w:val="body"/>
        <w:numPr>
          <w:ilvl w:val="0"/>
          <w:numId w:val="29"/>
        </w:numPr>
        <w:spacing w:line="240" w:lineRule="auto"/>
        <w:ind w:left="426" w:hanging="426"/>
        <w:rPr>
          <w:rFonts w:asciiTheme="minorHAnsi" w:hAnsiTheme="minorHAnsi"/>
          <w:sz w:val="20"/>
          <w:lang w:val="en-IE"/>
        </w:rPr>
      </w:pPr>
      <w:r w:rsidRPr="0061063C">
        <w:rPr>
          <w:rFonts w:asciiTheme="minorHAnsi" w:hAnsiTheme="minorHAnsi"/>
          <w:sz w:val="20"/>
          <w:lang w:val="en-IE"/>
        </w:rPr>
        <w:t>The 2019 earnings per share figures have been restated to incorporate the 1,312,260 new Flutter ordinary shares that were issued in May 2020 as payment of the 2019 final dividend. The weighted average number of shares in issue during the period was adjusted to include these bonus shares as if they were issued 1 January, 2019.</w:t>
      </w:r>
    </w:p>
    <w:p w14:paraId="2BE1F5F7" w14:textId="77777777" w:rsidR="00323BB2" w:rsidRPr="0061063C" w:rsidRDefault="00323BB2" w:rsidP="00323BB2">
      <w:pPr>
        <w:pStyle w:val="BodyText"/>
        <w:spacing w:after="0"/>
        <w:rPr>
          <w:rFonts w:asciiTheme="minorHAnsi" w:hAnsiTheme="minorHAnsi"/>
          <w:sz w:val="20"/>
          <w:szCs w:val="20"/>
          <w:lang w:val="en-IE"/>
        </w:rPr>
      </w:pPr>
    </w:p>
    <w:p w14:paraId="16A5D1FC"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The average market value of the Company’s shares of £90.54 (30 June 2019: £60.15) was used to calculate the dilutive effect of share options based on the market value for the period that the options were outstanding.</w:t>
      </w:r>
    </w:p>
    <w:p w14:paraId="72756E6F" w14:textId="77777777" w:rsidR="00323BB2" w:rsidRPr="0061063C" w:rsidRDefault="00323BB2" w:rsidP="00323BB2">
      <w:pPr>
        <w:pStyle w:val="BodyText"/>
        <w:spacing w:after="0"/>
        <w:rPr>
          <w:rFonts w:asciiTheme="minorHAnsi" w:hAnsiTheme="minorHAnsi"/>
          <w:sz w:val="20"/>
          <w:szCs w:val="20"/>
          <w:lang w:val="en-IE"/>
        </w:rPr>
      </w:pPr>
    </w:p>
    <w:p w14:paraId="1E1A99E1" w14:textId="77777777" w:rsidR="00323BB2" w:rsidRPr="0061063C" w:rsidRDefault="00323BB2" w:rsidP="00323BB2">
      <w:pPr>
        <w:rPr>
          <w:rFonts w:asciiTheme="minorHAnsi" w:hAnsiTheme="minorHAnsi"/>
          <w:sz w:val="20"/>
        </w:rPr>
      </w:pPr>
      <w:r w:rsidRPr="0061063C">
        <w:rPr>
          <w:rFonts w:asciiTheme="minorHAnsi" w:hAnsiTheme="minorHAnsi"/>
          <w:sz w:val="20"/>
        </w:rPr>
        <w:t>The number of options excluded from the diluted weighted average number of ordinary shares calculation due to their effect being anti-dilutive is nil (30 June 2019: 396,342).</w:t>
      </w:r>
    </w:p>
    <w:p w14:paraId="7D8E0275"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Cs w:val="22"/>
          <w:lang w:val="en-IE"/>
        </w:rPr>
        <w:br w:type="page"/>
      </w:r>
    </w:p>
    <w:p w14:paraId="4C014BC6"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lastRenderedPageBreak/>
        <w:t>9. Goodwill</w:t>
      </w:r>
    </w:p>
    <w:p w14:paraId="68C4BBC6" w14:textId="77777777" w:rsidR="00323BB2" w:rsidRPr="0061063C" w:rsidRDefault="00323BB2" w:rsidP="00323BB2">
      <w:pPr>
        <w:pStyle w:val="BodyText"/>
        <w:spacing w:after="0"/>
        <w:ind w:left="360" w:hanging="360"/>
        <w:rPr>
          <w:rFonts w:asciiTheme="minorHAnsi" w:hAnsiTheme="minorHAnsi"/>
          <w:b/>
          <w:sz w:val="20"/>
          <w:szCs w:val="20"/>
          <w:lang w:val="en-IE"/>
        </w:rPr>
      </w:pPr>
    </w:p>
    <w:p w14:paraId="5E649AC1"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The following cash generating units, being the lowest level of asset for which there are separately identifiable cash flows, have the following carrying amounts of goodwill:</w:t>
      </w:r>
    </w:p>
    <w:p w14:paraId="5491D9AB" w14:textId="77777777" w:rsidR="00323BB2" w:rsidRPr="0061063C" w:rsidRDefault="00323BB2" w:rsidP="00323BB2">
      <w:pPr>
        <w:rPr>
          <w:rFonts w:asciiTheme="minorHAnsi" w:hAnsiTheme="minorHAnsi" w:cs="Bliss-Regular"/>
          <w:sz w:val="20"/>
          <w:lang w:val="en-IE"/>
        </w:rPr>
      </w:pPr>
    </w:p>
    <w:tbl>
      <w:tblPr>
        <w:tblW w:w="10761" w:type="dxa"/>
        <w:tblInd w:w="-271" w:type="dxa"/>
        <w:tblLayout w:type="fixed"/>
        <w:tblLook w:val="0000" w:firstRow="0" w:lastRow="0" w:firstColumn="0" w:lastColumn="0" w:noHBand="0" w:noVBand="0"/>
      </w:tblPr>
      <w:tblGrid>
        <w:gridCol w:w="2539"/>
        <w:gridCol w:w="1134"/>
        <w:gridCol w:w="851"/>
        <w:gridCol w:w="850"/>
        <w:gridCol w:w="1276"/>
        <w:gridCol w:w="1134"/>
        <w:gridCol w:w="992"/>
        <w:gridCol w:w="993"/>
        <w:gridCol w:w="992"/>
      </w:tblGrid>
      <w:tr w:rsidR="00323BB2" w:rsidRPr="0061063C" w14:paraId="56ED744B" w14:textId="77777777" w:rsidTr="00453AFA">
        <w:trPr>
          <w:trHeight w:val="654"/>
        </w:trPr>
        <w:tc>
          <w:tcPr>
            <w:tcW w:w="2539" w:type="dxa"/>
            <w:tcBorders>
              <w:top w:val="single" w:sz="4" w:space="0" w:color="auto"/>
              <w:bottom w:val="single" w:sz="4" w:space="0" w:color="auto"/>
            </w:tcBorders>
          </w:tcPr>
          <w:p w14:paraId="7A58631D" w14:textId="77777777" w:rsidR="00323BB2" w:rsidRPr="0061063C" w:rsidRDefault="00323BB2" w:rsidP="00453AFA">
            <w:pPr>
              <w:jc w:val="both"/>
              <w:rPr>
                <w:rFonts w:asciiTheme="minorHAnsi" w:hAnsiTheme="minorHAnsi" w:cs="Bliss-Regular"/>
                <w:sz w:val="18"/>
                <w:szCs w:val="18"/>
                <w:lang w:val="en-IE"/>
              </w:rPr>
            </w:pPr>
          </w:p>
        </w:tc>
        <w:tc>
          <w:tcPr>
            <w:tcW w:w="1134" w:type="dxa"/>
            <w:tcBorders>
              <w:top w:val="single" w:sz="4" w:space="0" w:color="auto"/>
              <w:bottom w:val="single" w:sz="4" w:space="0" w:color="auto"/>
            </w:tcBorders>
          </w:tcPr>
          <w:p w14:paraId="2BDF4240" w14:textId="77777777" w:rsidR="00323BB2" w:rsidRPr="0061063C" w:rsidRDefault="00323BB2" w:rsidP="00453AFA">
            <w:pPr>
              <w:ind w:left="14" w:hanging="14"/>
              <w:jc w:val="right"/>
              <w:rPr>
                <w:rFonts w:asciiTheme="minorHAnsi" w:hAnsiTheme="minorHAnsi"/>
                <w:b/>
                <w:bCs/>
                <w:sz w:val="18"/>
                <w:szCs w:val="18"/>
                <w:lang w:val="en-IE"/>
              </w:rPr>
            </w:pPr>
          </w:p>
          <w:p w14:paraId="2EFD6EB0"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PPB Online</w:t>
            </w:r>
          </w:p>
          <w:p w14:paraId="4B8C1CD2"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851" w:type="dxa"/>
            <w:tcBorders>
              <w:top w:val="single" w:sz="4" w:space="0" w:color="auto"/>
              <w:bottom w:val="single" w:sz="4" w:space="0" w:color="auto"/>
            </w:tcBorders>
          </w:tcPr>
          <w:p w14:paraId="593A77AF"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UK Retail</w:t>
            </w:r>
          </w:p>
          <w:p w14:paraId="330E54C9"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850" w:type="dxa"/>
            <w:tcBorders>
              <w:top w:val="single" w:sz="4" w:space="0" w:color="auto"/>
              <w:bottom w:val="single" w:sz="4" w:space="0" w:color="auto"/>
            </w:tcBorders>
          </w:tcPr>
          <w:p w14:paraId="47D75F30"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Irish Retail</w:t>
            </w:r>
          </w:p>
          <w:p w14:paraId="2C6B88CF"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1276" w:type="dxa"/>
            <w:tcBorders>
              <w:top w:val="single" w:sz="4" w:space="0" w:color="auto"/>
              <w:bottom w:val="single" w:sz="4" w:space="0" w:color="auto"/>
            </w:tcBorders>
          </w:tcPr>
          <w:p w14:paraId="346C34E8" w14:textId="77777777" w:rsidR="00323BB2" w:rsidRPr="0061063C" w:rsidRDefault="00323BB2" w:rsidP="00453AFA">
            <w:pPr>
              <w:ind w:left="14" w:hanging="14"/>
              <w:jc w:val="right"/>
              <w:rPr>
                <w:rFonts w:asciiTheme="minorHAnsi" w:hAnsiTheme="minorHAnsi"/>
                <w:b/>
                <w:bCs/>
                <w:sz w:val="18"/>
                <w:szCs w:val="18"/>
                <w:lang w:val="en-IE"/>
              </w:rPr>
            </w:pPr>
          </w:p>
          <w:p w14:paraId="36367B9A"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PokerStars</w:t>
            </w:r>
          </w:p>
          <w:p w14:paraId="63309C2F"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1134" w:type="dxa"/>
            <w:tcBorders>
              <w:top w:val="single" w:sz="4" w:space="0" w:color="auto"/>
              <w:bottom w:val="single" w:sz="4" w:space="0" w:color="auto"/>
            </w:tcBorders>
          </w:tcPr>
          <w:p w14:paraId="5AE49DBA"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Sky Betting and Gaming</w:t>
            </w:r>
          </w:p>
          <w:p w14:paraId="0F83BC91"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992" w:type="dxa"/>
            <w:tcBorders>
              <w:top w:val="single" w:sz="4" w:space="0" w:color="auto"/>
              <w:bottom w:val="single" w:sz="4" w:space="0" w:color="auto"/>
            </w:tcBorders>
          </w:tcPr>
          <w:p w14:paraId="4BE5D1E7" w14:textId="77777777" w:rsidR="00323BB2" w:rsidRPr="0061063C" w:rsidRDefault="00323BB2" w:rsidP="00453AFA">
            <w:pPr>
              <w:ind w:left="14" w:hanging="14"/>
              <w:jc w:val="right"/>
              <w:rPr>
                <w:rFonts w:asciiTheme="minorHAnsi" w:hAnsiTheme="minorHAnsi"/>
                <w:b/>
                <w:bCs/>
                <w:sz w:val="18"/>
                <w:szCs w:val="18"/>
                <w:lang w:val="en-IE"/>
              </w:rPr>
            </w:pPr>
          </w:p>
          <w:p w14:paraId="4AB272D8"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Australia</w:t>
            </w:r>
          </w:p>
          <w:p w14:paraId="3AEC9FD6"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993" w:type="dxa"/>
            <w:tcBorders>
              <w:top w:val="single" w:sz="4" w:space="0" w:color="auto"/>
              <w:bottom w:val="single" w:sz="4" w:space="0" w:color="auto"/>
            </w:tcBorders>
          </w:tcPr>
          <w:p w14:paraId="22BCA6A4" w14:textId="77777777" w:rsidR="00323BB2" w:rsidRPr="0061063C" w:rsidRDefault="00323BB2" w:rsidP="00453AFA">
            <w:pPr>
              <w:ind w:left="14" w:hanging="14"/>
              <w:jc w:val="right"/>
              <w:rPr>
                <w:rFonts w:asciiTheme="minorHAnsi" w:hAnsiTheme="minorHAnsi"/>
                <w:b/>
                <w:bCs/>
                <w:sz w:val="18"/>
                <w:szCs w:val="18"/>
                <w:lang w:val="en-IE"/>
              </w:rPr>
            </w:pPr>
          </w:p>
          <w:p w14:paraId="3A51A983"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US</w:t>
            </w:r>
          </w:p>
          <w:p w14:paraId="69E0C873"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c>
          <w:tcPr>
            <w:tcW w:w="992" w:type="dxa"/>
            <w:tcBorders>
              <w:top w:val="single" w:sz="4" w:space="0" w:color="auto"/>
              <w:bottom w:val="single" w:sz="4" w:space="0" w:color="auto"/>
            </w:tcBorders>
          </w:tcPr>
          <w:p w14:paraId="6F76D704" w14:textId="77777777" w:rsidR="00323BB2" w:rsidRPr="0061063C" w:rsidRDefault="00323BB2" w:rsidP="00453AFA">
            <w:pPr>
              <w:ind w:left="14" w:hanging="14"/>
              <w:jc w:val="right"/>
              <w:rPr>
                <w:rFonts w:asciiTheme="minorHAnsi" w:hAnsiTheme="minorHAnsi"/>
                <w:b/>
                <w:bCs/>
                <w:sz w:val="18"/>
                <w:szCs w:val="18"/>
                <w:lang w:val="en-IE"/>
              </w:rPr>
            </w:pPr>
          </w:p>
          <w:p w14:paraId="3D239C3B"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Total</w:t>
            </w:r>
          </w:p>
          <w:p w14:paraId="1A2D4CF1" w14:textId="77777777" w:rsidR="00323BB2" w:rsidRPr="0061063C" w:rsidRDefault="00323BB2" w:rsidP="00453AFA">
            <w:pPr>
              <w:ind w:left="14" w:hanging="14"/>
              <w:jc w:val="right"/>
              <w:rPr>
                <w:rFonts w:asciiTheme="minorHAnsi" w:hAnsiTheme="minorHAnsi"/>
                <w:b/>
                <w:bCs/>
                <w:sz w:val="18"/>
                <w:szCs w:val="18"/>
                <w:lang w:val="en-IE"/>
              </w:rPr>
            </w:pPr>
            <w:r w:rsidRPr="0061063C">
              <w:rPr>
                <w:rFonts w:asciiTheme="minorHAnsi" w:hAnsiTheme="minorHAnsi"/>
                <w:b/>
                <w:bCs/>
                <w:sz w:val="18"/>
                <w:szCs w:val="18"/>
                <w:lang w:val="en-IE"/>
              </w:rPr>
              <w:t>£m</w:t>
            </w:r>
          </w:p>
        </w:tc>
      </w:tr>
      <w:tr w:rsidR="00323BB2" w:rsidRPr="0061063C" w14:paraId="0438EC44" w14:textId="77777777" w:rsidTr="00453AFA">
        <w:trPr>
          <w:trHeight w:val="185"/>
        </w:trPr>
        <w:tc>
          <w:tcPr>
            <w:tcW w:w="2539" w:type="dxa"/>
            <w:tcBorders>
              <w:top w:val="single" w:sz="4" w:space="0" w:color="auto"/>
            </w:tcBorders>
          </w:tcPr>
          <w:p w14:paraId="6E934AAB"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Balance at 1 January 2019</w:t>
            </w:r>
          </w:p>
        </w:tc>
        <w:tc>
          <w:tcPr>
            <w:tcW w:w="1134" w:type="dxa"/>
            <w:tcBorders>
              <w:top w:val="single" w:sz="4" w:space="0" w:color="auto"/>
            </w:tcBorders>
          </w:tcPr>
          <w:p w14:paraId="23A471C4"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3,432.7</w:t>
            </w:r>
          </w:p>
        </w:tc>
        <w:tc>
          <w:tcPr>
            <w:tcW w:w="851" w:type="dxa"/>
            <w:tcBorders>
              <w:top w:val="single" w:sz="4" w:space="0" w:color="auto"/>
            </w:tcBorders>
          </w:tcPr>
          <w:p w14:paraId="76AD388D"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18.9</w:t>
            </w:r>
          </w:p>
        </w:tc>
        <w:tc>
          <w:tcPr>
            <w:tcW w:w="850" w:type="dxa"/>
            <w:tcBorders>
              <w:top w:val="single" w:sz="4" w:space="0" w:color="auto"/>
            </w:tcBorders>
          </w:tcPr>
          <w:p w14:paraId="6E5F7CF2"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20.7</w:t>
            </w:r>
          </w:p>
        </w:tc>
        <w:tc>
          <w:tcPr>
            <w:tcW w:w="1276" w:type="dxa"/>
            <w:tcBorders>
              <w:top w:val="single" w:sz="4" w:space="0" w:color="auto"/>
            </w:tcBorders>
          </w:tcPr>
          <w:p w14:paraId="60493657"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1134" w:type="dxa"/>
            <w:tcBorders>
              <w:top w:val="single" w:sz="4" w:space="0" w:color="auto"/>
            </w:tcBorders>
          </w:tcPr>
          <w:p w14:paraId="73B68D21"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992" w:type="dxa"/>
            <w:tcBorders>
              <w:top w:val="single" w:sz="4" w:space="0" w:color="auto"/>
            </w:tcBorders>
          </w:tcPr>
          <w:p w14:paraId="3D512FE9"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42.5</w:t>
            </w:r>
          </w:p>
        </w:tc>
        <w:tc>
          <w:tcPr>
            <w:tcW w:w="993" w:type="dxa"/>
            <w:tcBorders>
              <w:top w:val="single" w:sz="4" w:space="0" w:color="auto"/>
            </w:tcBorders>
          </w:tcPr>
          <w:p w14:paraId="6EA7E079"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560.5</w:t>
            </w:r>
          </w:p>
        </w:tc>
        <w:tc>
          <w:tcPr>
            <w:tcW w:w="992" w:type="dxa"/>
            <w:tcBorders>
              <w:top w:val="single" w:sz="4" w:space="0" w:color="auto"/>
            </w:tcBorders>
          </w:tcPr>
          <w:p w14:paraId="395B7233"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4,075.3</w:t>
            </w:r>
          </w:p>
        </w:tc>
      </w:tr>
      <w:tr w:rsidR="00323BB2" w:rsidRPr="0061063C" w14:paraId="67E97F6A" w14:textId="77777777" w:rsidTr="00453AFA">
        <w:trPr>
          <w:trHeight w:val="240"/>
        </w:trPr>
        <w:tc>
          <w:tcPr>
            <w:tcW w:w="2539" w:type="dxa"/>
          </w:tcPr>
          <w:p w14:paraId="16CCA919"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Arising on acquisitions during the year (Note 10)</w:t>
            </w:r>
          </w:p>
        </w:tc>
        <w:tc>
          <w:tcPr>
            <w:tcW w:w="1134" w:type="dxa"/>
          </w:tcPr>
          <w:p w14:paraId="447FE6FE" w14:textId="77777777" w:rsidR="00323BB2" w:rsidRPr="0061063C" w:rsidRDefault="00323BB2" w:rsidP="00453AFA">
            <w:pPr>
              <w:jc w:val="right"/>
              <w:rPr>
                <w:rFonts w:asciiTheme="minorHAnsi" w:hAnsiTheme="minorHAnsi"/>
                <w:sz w:val="18"/>
                <w:szCs w:val="18"/>
              </w:rPr>
            </w:pPr>
          </w:p>
          <w:p w14:paraId="79CD7FFA" w14:textId="77777777" w:rsidR="00323BB2" w:rsidRPr="0061063C" w:rsidRDefault="00323BB2" w:rsidP="00453AFA">
            <w:pPr>
              <w:ind w:left="360"/>
              <w:jc w:val="right"/>
              <w:rPr>
                <w:rFonts w:asciiTheme="minorHAnsi" w:hAnsiTheme="minorHAnsi"/>
                <w:sz w:val="18"/>
                <w:szCs w:val="18"/>
                <w:lang w:val="en-IE"/>
              </w:rPr>
            </w:pPr>
            <w:r w:rsidRPr="0061063C">
              <w:rPr>
                <w:rFonts w:asciiTheme="minorHAnsi" w:hAnsiTheme="minorHAnsi"/>
                <w:sz w:val="18"/>
                <w:szCs w:val="18"/>
              </w:rPr>
              <w:t>69.6</w:t>
            </w:r>
          </w:p>
        </w:tc>
        <w:tc>
          <w:tcPr>
            <w:tcW w:w="851" w:type="dxa"/>
          </w:tcPr>
          <w:p w14:paraId="5BB394A0" w14:textId="77777777" w:rsidR="00323BB2" w:rsidRPr="0061063C" w:rsidRDefault="00323BB2" w:rsidP="00453AFA">
            <w:pPr>
              <w:jc w:val="right"/>
              <w:rPr>
                <w:rFonts w:asciiTheme="minorHAnsi" w:hAnsiTheme="minorHAnsi"/>
                <w:sz w:val="18"/>
                <w:szCs w:val="18"/>
              </w:rPr>
            </w:pPr>
          </w:p>
          <w:p w14:paraId="1359B33E"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850" w:type="dxa"/>
          </w:tcPr>
          <w:p w14:paraId="733E0153" w14:textId="77777777" w:rsidR="00323BB2" w:rsidRPr="0061063C" w:rsidRDefault="00323BB2" w:rsidP="00453AFA">
            <w:pPr>
              <w:jc w:val="right"/>
              <w:rPr>
                <w:rFonts w:asciiTheme="minorHAnsi" w:hAnsiTheme="minorHAnsi"/>
                <w:sz w:val="18"/>
                <w:szCs w:val="18"/>
              </w:rPr>
            </w:pPr>
          </w:p>
          <w:p w14:paraId="2CC5C903"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1276" w:type="dxa"/>
          </w:tcPr>
          <w:p w14:paraId="3ABD354F" w14:textId="77777777" w:rsidR="00323BB2" w:rsidRPr="0061063C" w:rsidRDefault="00323BB2" w:rsidP="00453AFA">
            <w:pPr>
              <w:jc w:val="right"/>
              <w:rPr>
                <w:rFonts w:asciiTheme="minorHAnsi" w:hAnsiTheme="minorHAnsi"/>
                <w:sz w:val="18"/>
                <w:szCs w:val="18"/>
              </w:rPr>
            </w:pPr>
          </w:p>
          <w:p w14:paraId="07B2DA8A"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1134" w:type="dxa"/>
          </w:tcPr>
          <w:p w14:paraId="73769481" w14:textId="77777777" w:rsidR="00323BB2" w:rsidRPr="0061063C" w:rsidRDefault="00323BB2" w:rsidP="00453AFA">
            <w:pPr>
              <w:jc w:val="right"/>
              <w:rPr>
                <w:rFonts w:asciiTheme="minorHAnsi" w:hAnsiTheme="minorHAnsi"/>
                <w:sz w:val="18"/>
                <w:szCs w:val="18"/>
              </w:rPr>
            </w:pPr>
          </w:p>
          <w:p w14:paraId="272C17CB"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992" w:type="dxa"/>
          </w:tcPr>
          <w:p w14:paraId="61999532" w14:textId="77777777" w:rsidR="00323BB2" w:rsidRPr="0061063C" w:rsidRDefault="00323BB2" w:rsidP="00453AFA">
            <w:pPr>
              <w:jc w:val="right"/>
              <w:rPr>
                <w:rFonts w:asciiTheme="minorHAnsi" w:hAnsiTheme="minorHAnsi"/>
                <w:sz w:val="18"/>
                <w:szCs w:val="18"/>
              </w:rPr>
            </w:pPr>
          </w:p>
          <w:p w14:paraId="5BFD7FD2"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993" w:type="dxa"/>
          </w:tcPr>
          <w:p w14:paraId="271D8145" w14:textId="77777777" w:rsidR="00323BB2" w:rsidRPr="0061063C" w:rsidRDefault="00323BB2" w:rsidP="00453AFA">
            <w:pPr>
              <w:jc w:val="right"/>
              <w:rPr>
                <w:rFonts w:asciiTheme="minorHAnsi" w:hAnsiTheme="minorHAnsi"/>
                <w:sz w:val="18"/>
                <w:szCs w:val="18"/>
              </w:rPr>
            </w:pPr>
          </w:p>
          <w:p w14:paraId="31F4EFB6"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992" w:type="dxa"/>
          </w:tcPr>
          <w:p w14:paraId="1C9CE313" w14:textId="77777777" w:rsidR="00323BB2" w:rsidRPr="0061063C" w:rsidRDefault="00323BB2" w:rsidP="00453AFA">
            <w:pPr>
              <w:jc w:val="right"/>
              <w:rPr>
                <w:rFonts w:asciiTheme="minorHAnsi" w:hAnsiTheme="minorHAnsi"/>
                <w:sz w:val="18"/>
                <w:szCs w:val="18"/>
              </w:rPr>
            </w:pPr>
          </w:p>
          <w:p w14:paraId="49C00E18" w14:textId="77777777" w:rsidR="00323BB2" w:rsidRPr="0061063C" w:rsidRDefault="00323BB2" w:rsidP="00453AFA">
            <w:pPr>
              <w:ind w:left="360"/>
              <w:jc w:val="right"/>
              <w:rPr>
                <w:rFonts w:asciiTheme="minorHAnsi" w:hAnsiTheme="minorHAnsi"/>
                <w:sz w:val="18"/>
                <w:szCs w:val="18"/>
                <w:lang w:val="en-IE"/>
              </w:rPr>
            </w:pPr>
            <w:r w:rsidRPr="0061063C">
              <w:rPr>
                <w:rFonts w:asciiTheme="minorHAnsi" w:hAnsiTheme="minorHAnsi"/>
                <w:sz w:val="18"/>
                <w:szCs w:val="18"/>
              </w:rPr>
              <w:t>69.6</w:t>
            </w:r>
          </w:p>
        </w:tc>
      </w:tr>
      <w:tr w:rsidR="00323BB2" w:rsidRPr="0061063C" w14:paraId="07C54446" w14:textId="77777777" w:rsidTr="00453AFA">
        <w:trPr>
          <w:trHeight w:val="388"/>
        </w:trPr>
        <w:tc>
          <w:tcPr>
            <w:tcW w:w="2539" w:type="dxa"/>
            <w:tcBorders>
              <w:bottom w:val="single" w:sz="4" w:space="0" w:color="auto"/>
            </w:tcBorders>
          </w:tcPr>
          <w:p w14:paraId="03C9F767"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Foreign currency translation adjustment</w:t>
            </w:r>
          </w:p>
        </w:tc>
        <w:tc>
          <w:tcPr>
            <w:tcW w:w="1134" w:type="dxa"/>
            <w:tcBorders>
              <w:bottom w:val="single" w:sz="4" w:space="0" w:color="auto"/>
            </w:tcBorders>
          </w:tcPr>
          <w:p w14:paraId="7624E17D" w14:textId="77777777" w:rsidR="00323BB2" w:rsidRPr="0061063C" w:rsidRDefault="00323BB2" w:rsidP="00453AFA">
            <w:pPr>
              <w:ind w:left="360"/>
              <w:jc w:val="right"/>
              <w:rPr>
                <w:rFonts w:asciiTheme="minorHAnsi" w:hAnsiTheme="minorHAnsi"/>
                <w:sz w:val="18"/>
                <w:szCs w:val="18"/>
              </w:rPr>
            </w:pPr>
          </w:p>
          <w:p w14:paraId="7FEB65A7" w14:textId="77777777" w:rsidR="00323BB2" w:rsidRPr="0061063C" w:rsidRDefault="00323BB2" w:rsidP="00453AFA">
            <w:pPr>
              <w:ind w:left="360"/>
              <w:jc w:val="right"/>
              <w:rPr>
                <w:rFonts w:asciiTheme="minorHAnsi" w:hAnsiTheme="minorHAnsi"/>
                <w:sz w:val="18"/>
                <w:szCs w:val="18"/>
                <w:lang w:val="en-IE"/>
              </w:rPr>
            </w:pPr>
            <w:r w:rsidRPr="0061063C">
              <w:rPr>
                <w:rFonts w:asciiTheme="minorHAnsi" w:hAnsiTheme="minorHAnsi"/>
                <w:sz w:val="18"/>
                <w:szCs w:val="18"/>
              </w:rPr>
              <w:t>(5.9)</w:t>
            </w:r>
          </w:p>
        </w:tc>
        <w:tc>
          <w:tcPr>
            <w:tcW w:w="851" w:type="dxa"/>
            <w:tcBorders>
              <w:bottom w:val="single" w:sz="4" w:space="0" w:color="auto"/>
            </w:tcBorders>
          </w:tcPr>
          <w:p w14:paraId="04A7B195" w14:textId="77777777" w:rsidR="00323BB2" w:rsidRPr="0061063C" w:rsidRDefault="00323BB2" w:rsidP="00453AFA">
            <w:pPr>
              <w:ind w:left="360"/>
              <w:jc w:val="right"/>
              <w:rPr>
                <w:rFonts w:asciiTheme="minorHAnsi" w:hAnsiTheme="minorHAnsi"/>
                <w:sz w:val="18"/>
                <w:szCs w:val="18"/>
              </w:rPr>
            </w:pPr>
          </w:p>
          <w:p w14:paraId="305442A0" w14:textId="77777777" w:rsidR="00323BB2" w:rsidRPr="0061063C" w:rsidRDefault="00323BB2" w:rsidP="00453AFA">
            <w:pPr>
              <w:ind w:left="360"/>
              <w:jc w:val="right"/>
              <w:rPr>
                <w:rFonts w:asciiTheme="minorHAnsi" w:hAnsiTheme="minorHAnsi"/>
                <w:sz w:val="18"/>
                <w:szCs w:val="18"/>
              </w:rPr>
            </w:pPr>
            <w:r w:rsidRPr="0061063C">
              <w:rPr>
                <w:rFonts w:asciiTheme="minorHAnsi" w:hAnsiTheme="minorHAnsi"/>
                <w:sz w:val="18"/>
                <w:szCs w:val="18"/>
              </w:rPr>
              <w:t>-</w:t>
            </w:r>
          </w:p>
        </w:tc>
        <w:tc>
          <w:tcPr>
            <w:tcW w:w="850" w:type="dxa"/>
            <w:tcBorders>
              <w:bottom w:val="single" w:sz="4" w:space="0" w:color="auto"/>
            </w:tcBorders>
          </w:tcPr>
          <w:p w14:paraId="2B8CAF05" w14:textId="77777777" w:rsidR="00323BB2" w:rsidRPr="0061063C" w:rsidRDefault="00323BB2" w:rsidP="00453AFA">
            <w:pPr>
              <w:ind w:left="360"/>
              <w:jc w:val="right"/>
              <w:rPr>
                <w:rFonts w:asciiTheme="minorHAnsi" w:hAnsiTheme="minorHAnsi"/>
                <w:sz w:val="18"/>
                <w:szCs w:val="18"/>
              </w:rPr>
            </w:pPr>
          </w:p>
          <w:p w14:paraId="4F2323D0" w14:textId="77777777" w:rsidR="00323BB2" w:rsidRPr="0061063C" w:rsidRDefault="00323BB2" w:rsidP="00453AFA">
            <w:pPr>
              <w:ind w:left="360"/>
              <w:jc w:val="right"/>
              <w:rPr>
                <w:rFonts w:asciiTheme="minorHAnsi" w:hAnsiTheme="minorHAnsi"/>
                <w:sz w:val="18"/>
                <w:szCs w:val="18"/>
              </w:rPr>
            </w:pPr>
            <w:r w:rsidRPr="0061063C">
              <w:rPr>
                <w:rFonts w:asciiTheme="minorHAnsi" w:hAnsiTheme="minorHAnsi"/>
                <w:sz w:val="18"/>
                <w:szCs w:val="18"/>
              </w:rPr>
              <w:t>-</w:t>
            </w:r>
          </w:p>
        </w:tc>
        <w:tc>
          <w:tcPr>
            <w:tcW w:w="1276" w:type="dxa"/>
            <w:tcBorders>
              <w:bottom w:val="single" w:sz="4" w:space="0" w:color="auto"/>
            </w:tcBorders>
          </w:tcPr>
          <w:p w14:paraId="1221C9F7" w14:textId="77777777" w:rsidR="00323BB2" w:rsidRPr="0061063C" w:rsidRDefault="00323BB2" w:rsidP="00453AFA">
            <w:pPr>
              <w:ind w:left="360"/>
              <w:jc w:val="right"/>
              <w:rPr>
                <w:rFonts w:asciiTheme="minorHAnsi" w:hAnsiTheme="minorHAnsi"/>
                <w:sz w:val="18"/>
                <w:szCs w:val="18"/>
              </w:rPr>
            </w:pPr>
          </w:p>
          <w:p w14:paraId="354DD5AF" w14:textId="77777777" w:rsidR="00323BB2" w:rsidRPr="0061063C" w:rsidRDefault="00323BB2" w:rsidP="00453AFA">
            <w:pPr>
              <w:ind w:left="360"/>
              <w:jc w:val="right"/>
              <w:rPr>
                <w:rFonts w:asciiTheme="minorHAnsi" w:hAnsiTheme="minorHAnsi"/>
                <w:sz w:val="18"/>
                <w:szCs w:val="18"/>
              </w:rPr>
            </w:pPr>
            <w:r w:rsidRPr="0061063C">
              <w:rPr>
                <w:rFonts w:asciiTheme="minorHAnsi" w:hAnsiTheme="minorHAnsi"/>
                <w:sz w:val="18"/>
                <w:szCs w:val="18"/>
              </w:rPr>
              <w:t>-</w:t>
            </w:r>
          </w:p>
        </w:tc>
        <w:tc>
          <w:tcPr>
            <w:tcW w:w="1134" w:type="dxa"/>
            <w:tcBorders>
              <w:bottom w:val="single" w:sz="4" w:space="0" w:color="auto"/>
            </w:tcBorders>
          </w:tcPr>
          <w:p w14:paraId="060B62F5" w14:textId="77777777" w:rsidR="00323BB2" w:rsidRPr="0061063C" w:rsidRDefault="00323BB2" w:rsidP="00453AFA">
            <w:pPr>
              <w:ind w:left="360"/>
              <w:jc w:val="right"/>
              <w:rPr>
                <w:rFonts w:asciiTheme="minorHAnsi" w:hAnsiTheme="minorHAnsi"/>
                <w:sz w:val="18"/>
                <w:szCs w:val="18"/>
              </w:rPr>
            </w:pPr>
          </w:p>
          <w:p w14:paraId="7DE0164F" w14:textId="77777777" w:rsidR="00323BB2" w:rsidRPr="0061063C" w:rsidRDefault="00323BB2" w:rsidP="00453AFA">
            <w:pPr>
              <w:ind w:left="360"/>
              <w:jc w:val="right"/>
              <w:rPr>
                <w:rFonts w:asciiTheme="minorHAnsi" w:hAnsiTheme="minorHAnsi"/>
                <w:sz w:val="18"/>
                <w:szCs w:val="18"/>
              </w:rPr>
            </w:pPr>
            <w:r w:rsidRPr="0061063C">
              <w:rPr>
                <w:rFonts w:asciiTheme="minorHAnsi" w:hAnsiTheme="minorHAnsi"/>
                <w:sz w:val="18"/>
                <w:szCs w:val="18"/>
              </w:rPr>
              <w:t>-</w:t>
            </w:r>
          </w:p>
        </w:tc>
        <w:tc>
          <w:tcPr>
            <w:tcW w:w="992" w:type="dxa"/>
            <w:tcBorders>
              <w:bottom w:val="single" w:sz="4" w:space="0" w:color="auto"/>
            </w:tcBorders>
          </w:tcPr>
          <w:p w14:paraId="18C4D594" w14:textId="77777777" w:rsidR="00323BB2" w:rsidRPr="0061063C" w:rsidRDefault="00323BB2" w:rsidP="00453AFA">
            <w:pPr>
              <w:ind w:left="360"/>
              <w:jc w:val="right"/>
              <w:rPr>
                <w:rFonts w:asciiTheme="minorHAnsi" w:hAnsiTheme="minorHAnsi"/>
                <w:sz w:val="18"/>
                <w:szCs w:val="18"/>
              </w:rPr>
            </w:pPr>
          </w:p>
          <w:p w14:paraId="5242526D" w14:textId="77777777" w:rsidR="00323BB2" w:rsidRPr="0061063C" w:rsidRDefault="00323BB2" w:rsidP="00453AFA">
            <w:pPr>
              <w:ind w:left="360"/>
              <w:jc w:val="right"/>
              <w:rPr>
                <w:rFonts w:asciiTheme="minorHAnsi" w:hAnsiTheme="minorHAnsi"/>
                <w:sz w:val="18"/>
                <w:szCs w:val="18"/>
              </w:rPr>
            </w:pPr>
            <w:r w:rsidRPr="0061063C">
              <w:rPr>
                <w:rFonts w:asciiTheme="minorHAnsi" w:hAnsiTheme="minorHAnsi"/>
                <w:sz w:val="18"/>
                <w:szCs w:val="18"/>
              </w:rPr>
              <w:t>(1.4)</w:t>
            </w:r>
          </w:p>
        </w:tc>
        <w:tc>
          <w:tcPr>
            <w:tcW w:w="993" w:type="dxa"/>
            <w:tcBorders>
              <w:bottom w:val="single" w:sz="4" w:space="0" w:color="auto"/>
            </w:tcBorders>
          </w:tcPr>
          <w:p w14:paraId="5560FA43" w14:textId="77777777" w:rsidR="00323BB2" w:rsidRPr="0061063C" w:rsidRDefault="00323BB2" w:rsidP="00453AFA">
            <w:pPr>
              <w:ind w:left="360"/>
              <w:jc w:val="right"/>
              <w:rPr>
                <w:rFonts w:asciiTheme="minorHAnsi" w:hAnsiTheme="minorHAnsi"/>
                <w:sz w:val="18"/>
                <w:szCs w:val="18"/>
              </w:rPr>
            </w:pPr>
          </w:p>
          <w:p w14:paraId="046DADF1"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(17.3)</w:t>
            </w:r>
          </w:p>
        </w:tc>
        <w:tc>
          <w:tcPr>
            <w:tcW w:w="992" w:type="dxa"/>
            <w:tcBorders>
              <w:bottom w:val="single" w:sz="4" w:space="0" w:color="auto"/>
            </w:tcBorders>
          </w:tcPr>
          <w:p w14:paraId="7EB6A29B" w14:textId="77777777" w:rsidR="00323BB2" w:rsidRPr="0061063C" w:rsidRDefault="00323BB2" w:rsidP="00453AFA">
            <w:pPr>
              <w:ind w:left="360"/>
              <w:jc w:val="right"/>
              <w:rPr>
                <w:rFonts w:asciiTheme="minorHAnsi" w:hAnsiTheme="minorHAnsi"/>
                <w:sz w:val="18"/>
                <w:szCs w:val="18"/>
              </w:rPr>
            </w:pPr>
          </w:p>
          <w:p w14:paraId="3F890D05" w14:textId="77777777" w:rsidR="00323BB2" w:rsidRPr="0061063C" w:rsidRDefault="00323BB2" w:rsidP="00453AFA">
            <w:pPr>
              <w:jc w:val="right"/>
              <w:rPr>
                <w:rFonts w:asciiTheme="minorHAnsi" w:hAnsiTheme="minorHAnsi"/>
                <w:sz w:val="18"/>
                <w:szCs w:val="18"/>
                <w:lang w:val="en-IE"/>
              </w:rPr>
            </w:pPr>
            <w:r w:rsidRPr="0061063C">
              <w:rPr>
                <w:rFonts w:asciiTheme="minorHAnsi" w:hAnsiTheme="minorHAnsi"/>
                <w:sz w:val="18"/>
                <w:szCs w:val="18"/>
              </w:rPr>
              <w:t>(24.6)</w:t>
            </w:r>
          </w:p>
        </w:tc>
      </w:tr>
      <w:tr w:rsidR="00323BB2" w:rsidRPr="0061063C" w14:paraId="075A31D7" w14:textId="77777777" w:rsidTr="00453AFA">
        <w:trPr>
          <w:trHeight w:val="245"/>
        </w:trPr>
        <w:tc>
          <w:tcPr>
            <w:tcW w:w="2539" w:type="dxa"/>
            <w:tcBorders>
              <w:top w:val="single" w:sz="4" w:space="0" w:color="auto"/>
            </w:tcBorders>
          </w:tcPr>
          <w:p w14:paraId="35D8E189"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Balance at 31 December 2019</w:t>
            </w:r>
          </w:p>
        </w:tc>
        <w:tc>
          <w:tcPr>
            <w:tcW w:w="1134" w:type="dxa"/>
            <w:tcBorders>
              <w:top w:val="single" w:sz="4" w:space="0" w:color="auto"/>
            </w:tcBorders>
            <w:shd w:val="clear" w:color="auto" w:fill="auto"/>
          </w:tcPr>
          <w:p w14:paraId="5C510FC5"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3,496.4</w:t>
            </w:r>
          </w:p>
        </w:tc>
        <w:tc>
          <w:tcPr>
            <w:tcW w:w="851" w:type="dxa"/>
            <w:tcBorders>
              <w:top w:val="single" w:sz="4" w:space="0" w:color="auto"/>
            </w:tcBorders>
          </w:tcPr>
          <w:p w14:paraId="2CD6F1F4"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18.9</w:t>
            </w:r>
          </w:p>
        </w:tc>
        <w:tc>
          <w:tcPr>
            <w:tcW w:w="850" w:type="dxa"/>
            <w:tcBorders>
              <w:top w:val="single" w:sz="4" w:space="0" w:color="auto"/>
            </w:tcBorders>
          </w:tcPr>
          <w:p w14:paraId="4D0CDB02"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20.7</w:t>
            </w:r>
          </w:p>
        </w:tc>
        <w:tc>
          <w:tcPr>
            <w:tcW w:w="1276" w:type="dxa"/>
            <w:tcBorders>
              <w:top w:val="single" w:sz="4" w:space="0" w:color="auto"/>
            </w:tcBorders>
          </w:tcPr>
          <w:p w14:paraId="013AAC81"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1134" w:type="dxa"/>
            <w:tcBorders>
              <w:top w:val="single" w:sz="4" w:space="0" w:color="auto"/>
            </w:tcBorders>
          </w:tcPr>
          <w:p w14:paraId="42F87CFF"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w:t>
            </w:r>
          </w:p>
        </w:tc>
        <w:tc>
          <w:tcPr>
            <w:tcW w:w="992" w:type="dxa"/>
            <w:tcBorders>
              <w:top w:val="single" w:sz="4" w:space="0" w:color="auto"/>
            </w:tcBorders>
          </w:tcPr>
          <w:p w14:paraId="51E01BF4"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41.1</w:t>
            </w:r>
          </w:p>
        </w:tc>
        <w:tc>
          <w:tcPr>
            <w:tcW w:w="993" w:type="dxa"/>
            <w:tcBorders>
              <w:top w:val="single" w:sz="4" w:space="0" w:color="auto"/>
            </w:tcBorders>
          </w:tcPr>
          <w:p w14:paraId="1D9D325D"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543.2</w:t>
            </w:r>
          </w:p>
        </w:tc>
        <w:tc>
          <w:tcPr>
            <w:tcW w:w="992" w:type="dxa"/>
            <w:tcBorders>
              <w:top w:val="single" w:sz="4" w:space="0" w:color="auto"/>
            </w:tcBorders>
            <w:shd w:val="clear" w:color="auto" w:fill="auto"/>
          </w:tcPr>
          <w:p w14:paraId="32A1E1A4" w14:textId="77777777" w:rsidR="00323BB2" w:rsidRPr="0061063C" w:rsidRDefault="00323BB2" w:rsidP="00453AFA">
            <w:pPr>
              <w:jc w:val="right"/>
              <w:rPr>
                <w:rFonts w:asciiTheme="minorHAnsi" w:hAnsiTheme="minorHAnsi"/>
                <w:sz w:val="18"/>
                <w:szCs w:val="18"/>
              </w:rPr>
            </w:pPr>
            <w:r w:rsidRPr="0061063C">
              <w:rPr>
                <w:rFonts w:asciiTheme="minorHAnsi" w:hAnsiTheme="minorHAnsi"/>
                <w:sz w:val="18"/>
                <w:szCs w:val="18"/>
              </w:rPr>
              <w:t>4,120.3</w:t>
            </w:r>
          </w:p>
        </w:tc>
      </w:tr>
      <w:tr w:rsidR="00323BB2" w:rsidRPr="0061063C" w14:paraId="3EEEB776" w14:textId="77777777" w:rsidTr="00453AFA">
        <w:trPr>
          <w:trHeight w:val="245"/>
        </w:trPr>
        <w:tc>
          <w:tcPr>
            <w:tcW w:w="2539" w:type="dxa"/>
            <w:shd w:val="clear" w:color="auto" w:fill="auto"/>
          </w:tcPr>
          <w:p w14:paraId="2A36AFBE"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Arising on acquisitions during the period (Note 10)</w:t>
            </w:r>
          </w:p>
        </w:tc>
        <w:tc>
          <w:tcPr>
            <w:tcW w:w="1134" w:type="dxa"/>
            <w:shd w:val="clear" w:color="auto" w:fill="auto"/>
          </w:tcPr>
          <w:p w14:paraId="0F00CD11" w14:textId="77777777" w:rsidR="00323BB2" w:rsidRPr="0061063C" w:rsidRDefault="00323BB2" w:rsidP="00453AFA">
            <w:pPr>
              <w:ind w:left="360"/>
              <w:jc w:val="right"/>
              <w:rPr>
                <w:rFonts w:asciiTheme="minorHAnsi" w:hAnsiTheme="minorHAnsi"/>
                <w:b/>
                <w:sz w:val="18"/>
                <w:szCs w:val="18"/>
                <w:lang w:val="en-IE"/>
              </w:rPr>
            </w:pPr>
          </w:p>
          <w:p w14:paraId="2CC7ABC4"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w:t>
            </w:r>
          </w:p>
        </w:tc>
        <w:tc>
          <w:tcPr>
            <w:tcW w:w="851" w:type="dxa"/>
          </w:tcPr>
          <w:p w14:paraId="03154697" w14:textId="77777777" w:rsidR="00323BB2" w:rsidRPr="0061063C" w:rsidRDefault="00323BB2" w:rsidP="00453AFA">
            <w:pPr>
              <w:ind w:left="360"/>
              <w:jc w:val="right"/>
              <w:rPr>
                <w:rFonts w:asciiTheme="minorHAnsi" w:hAnsiTheme="minorHAnsi"/>
                <w:b/>
                <w:sz w:val="18"/>
                <w:szCs w:val="18"/>
                <w:lang w:val="en-IE"/>
              </w:rPr>
            </w:pPr>
          </w:p>
          <w:p w14:paraId="6241ADCD"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w:t>
            </w:r>
          </w:p>
        </w:tc>
        <w:tc>
          <w:tcPr>
            <w:tcW w:w="850" w:type="dxa"/>
          </w:tcPr>
          <w:p w14:paraId="0CB56BFE" w14:textId="77777777" w:rsidR="00323BB2" w:rsidRPr="0061063C" w:rsidRDefault="00323BB2" w:rsidP="00453AFA">
            <w:pPr>
              <w:ind w:left="360"/>
              <w:jc w:val="right"/>
              <w:rPr>
                <w:rFonts w:asciiTheme="minorHAnsi" w:hAnsiTheme="minorHAnsi"/>
                <w:b/>
                <w:sz w:val="18"/>
                <w:szCs w:val="18"/>
                <w:lang w:val="en-IE"/>
              </w:rPr>
            </w:pPr>
          </w:p>
          <w:p w14:paraId="26FCA393"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w:t>
            </w:r>
          </w:p>
        </w:tc>
        <w:tc>
          <w:tcPr>
            <w:tcW w:w="1276" w:type="dxa"/>
          </w:tcPr>
          <w:p w14:paraId="451C1000" w14:textId="77777777" w:rsidR="00323BB2" w:rsidRPr="0061063C" w:rsidRDefault="00323BB2" w:rsidP="00453AFA">
            <w:pPr>
              <w:ind w:left="360"/>
              <w:jc w:val="right"/>
              <w:rPr>
                <w:rFonts w:asciiTheme="minorHAnsi" w:hAnsiTheme="minorHAnsi"/>
                <w:b/>
                <w:sz w:val="18"/>
                <w:szCs w:val="18"/>
                <w:lang w:val="en-IE"/>
              </w:rPr>
            </w:pPr>
          </w:p>
          <w:p w14:paraId="609EA26B"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1,938.4</w:t>
            </w:r>
          </w:p>
        </w:tc>
        <w:tc>
          <w:tcPr>
            <w:tcW w:w="1134" w:type="dxa"/>
          </w:tcPr>
          <w:p w14:paraId="40C9DB95" w14:textId="77777777" w:rsidR="00323BB2" w:rsidRPr="0061063C" w:rsidRDefault="00323BB2" w:rsidP="00453AFA">
            <w:pPr>
              <w:ind w:left="360"/>
              <w:jc w:val="right"/>
              <w:rPr>
                <w:rFonts w:asciiTheme="minorHAnsi" w:hAnsiTheme="minorHAnsi"/>
                <w:b/>
                <w:sz w:val="18"/>
                <w:szCs w:val="18"/>
                <w:lang w:val="en-IE"/>
              </w:rPr>
            </w:pPr>
          </w:p>
          <w:p w14:paraId="1AF9AE82"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2,551.8</w:t>
            </w:r>
          </w:p>
        </w:tc>
        <w:tc>
          <w:tcPr>
            <w:tcW w:w="992" w:type="dxa"/>
          </w:tcPr>
          <w:p w14:paraId="77A880B9" w14:textId="77777777" w:rsidR="00323BB2" w:rsidRPr="0061063C" w:rsidRDefault="00323BB2" w:rsidP="00453AFA">
            <w:pPr>
              <w:ind w:left="360"/>
              <w:jc w:val="right"/>
              <w:rPr>
                <w:rFonts w:asciiTheme="minorHAnsi" w:hAnsiTheme="minorHAnsi"/>
                <w:b/>
                <w:sz w:val="18"/>
                <w:szCs w:val="18"/>
                <w:lang w:val="en-IE"/>
              </w:rPr>
            </w:pPr>
          </w:p>
          <w:p w14:paraId="165F2EB3"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420.1</w:t>
            </w:r>
          </w:p>
        </w:tc>
        <w:tc>
          <w:tcPr>
            <w:tcW w:w="993" w:type="dxa"/>
          </w:tcPr>
          <w:p w14:paraId="5C8F354F" w14:textId="77777777" w:rsidR="00323BB2" w:rsidRPr="0061063C" w:rsidRDefault="00323BB2" w:rsidP="00453AFA">
            <w:pPr>
              <w:ind w:left="360"/>
              <w:jc w:val="right"/>
              <w:rPr>
                <w:rFonts w:asciiTheme="minorHAnsi" w:hAnsiTheme="minorHAnsi"/>
                <w:b/>
                <w:sz w:val="18"/>
                <w:szCs w:val="18"/>
                <w:lang w:val="en-IE"/>
              </w:rPr>
            </w:pPr>
          </w:p>
          <w:p w14:paraId="7CFCFEF2"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354.2</w:t>
            </w:r>
          </w:p>
        </w:tc>
        <w:tc>
          <w:tcPr>
            <w:tcW w:w="992" w:type="dxa"/>
            <w:shd w:val="clear" w:color="auto" w:fill="auto"/>
          </w:tcPr>
          <w:p w14:paraId="10CD95A9" w14:textId="77777777" w:rsidR="00323BB2" w:rsidRPr="0061063C" w:rsidRDefault="00323BB2" w:rsidP="00453AFA">
            <w:pPr>
              <w:jc w:val="right"/>
              <w:rPr>
                <w:rFonts w:asciiTheme="minorHAnsi" w:hAnsiTheme="minorHAnsi"/>
                <w:sz w:val="18"/>
                <w:szCs w:val="18"/>
              </w:rPr>
            </w:pPr>
          </w:p>
          <w:p w14:paraId="39F31EBB" w14:textId="77777777" w:rsidR="00323BB2" w:rsidRPr="0061063C" w:rsidRDefault="00323BB2" w:rsidP="00453AFA">
            <w:pPr>
              <w:jc w:val="right"/>
              <w:rPr>
                <w:rFonts w:asciiTheme="minorHAnsi" w:hAnsiTheme="minorHAnsi"/>
                <w:b/>
                <w:sz w:val="18"/>
                <w:szCs w:val="18"/>
              </w:rPr>
            </w:pPr>
            <w:r w:rsidRPr="0061063C">
              <w:rPr>
                <w:rFonts w:asciiTheme="minorHAnsi" w:hAnsiTheme="minorHAnsi"/>
                <w:b/>
                <w:sz w:val="18"/>
                <w:szCs w:val="18"/>
              </w:rPr>
              <w:t>5,264.5</w:t>
            </w:r>
          </w:p>
        </w:tc>
      </w:tr>
      <w:tr w:rsidR="00323BB2" w:rsidRPr="0061063C" w:rsidDel="00C6659D" w14:paraId="0E416EAE" w14:textId="77777777" w:rsidTr="00453AFA">
        <w:trPr>
          <w:trHeight w:val="245"/>
        </w:trPr>
        <w:tc>
          <w:tcPr>
            <w:tcW w:w="2539" w:type="dxa"/>
            <w:tcBorders>
              <w:bottom w:val="single" w:sz="4" w:space="0" w:color="auto"/>
            </w:tcBorders>
          </w:tcPr>
          <w:p w14:paraId="6701074D"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Foreign currency translation adjustment</w:t>
            </w:r>
          </w:p>
        </w:tc>
        <w:tc>
          <w:tcPr>
            <w:tcW w:w="1134" w:type="dxa"/>
            <w:tcBorders>
              <w:bottom w:val="single" w:sz="4" w:space="0" w:color="auto"/>
            </w:tcBorders>
            <w:shd w:val="clear" w:color="auto" w:fill="auto"/>
          </w:tcPr>
          <w:p w14:paraId="2D820238" w14:textId="77777777" w:rsidR="00323BB2" w:rsidRPr="0061063C" w:rsidRDefault="00323BB2" w:rsidP="00453AFA">
            <w:pPr>
              <w:ind w:left="360"/>
              <w:jc w:val="right"/>
              <w:rPr>
                <w:rFonts w:asciiTheme="minorHAnsi" w:hAnsiTheme="minorHAnsi"/>
                <w:b/>
                <w:sz w:val="18"/>
                <w:szCs w:val="18"/>
                <w:lang w:val="en-IE"/>
              </w:rPr>
            </w:pPr>
          </w:p>
          <w:p w14:paraId="6F9BF1BD"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0.3</w:t>
            </w:r>
          </w:p>
        </w:tc>
        <w:tc>
          <w:tcPr>
            <w:tcW w:w="851" w:type="dxa"/>
            <w:tcBorders>
              <w:bottom w:val="single" w:sz="4" w:space="0" w:color="auto"/>
            </w:tcBorders>
          </w:tcPr>
          <w:p w14:paraId="4C95BFDE" w14:textId="77777777" w:rsidR="00323BB2" w:rsidRPr="0061063C" w:rsidRDefault="00323BB2" w:rsidP="00453AFA">
            <w:pPr>
              <w:ind w:left="360"/>
              <w:jc w:val="right"/>
              <w:rPr>
                <w:rFonts w:asciiTheme="minorHAnsi" w:hAnsiTheme="minorHAnsi"/>
                <w:b/>
                <w:sz w:val="18"/>
                <w:szCs w:val="18"/>
                <w:lang w:val="en-IE"/>
              </w:rPr>
            </w:pPr>
          </w:p>
          <w:p w14:paraId="27EE8A2E"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w:t>
            </w:r>
          </w:p>
        </w:tc>
        <w:tc>
          <w:tcPr>
            <w:tcW w:w="850" w:type="dxa"/>
            <w:tcBorders>
              <w:bottom w:val="single" w:sz="4" w:space="0" w:color="auto"/>
            </w:tcBorders>
          </w:tcPr>
          <w:p w14:paraId="0537DB16" w14:textId="77777777" w:rsidR="00323BB2" w:rsidRPr="0061063C" w:rsidRDefault="00323BB2" w:rsidP="00453AFA">
            <w:pPr>
              <w:ind w:left="360"/>
              <w:jc w:val="right"/>
              <w:rPr>
                <w:rFonts w:asciiTheme="minorHAnsi" w:hAnsiTheme="minorHAnsi"/>
                <w:b/>
                <w:sz w:val="18"/>
                <w:szCs w:val="18"/>
                <w:lang w:val="en-IE"/>
              </w:rPr>
            </w:pPr>
          </w:p>
          <w:p w14:paraId="4ADC7C56"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w:t>
            </w:r>
          </w:p>
        </w:tc>
        <w:tc>
          <w:tcPr>
            <w:tcW w:w="1276" w:type="dxa"/>
            <w:tcBorders>
              <w:bottom w:val="single" w:sz="4" w:space="0" w:color="auto"/>
            </w:tcBorders>
          </w:tcPr>
          <w:p w14:paraId="079AC291" w14:textId="77777777" w:rsidR="00323BB2" w:rsidRPr="0061063C" w:rsidRDefault="00323BB2" w:rsidP="00453AFA">
            <w:pPr>
              <w:ind w:left="360"/>
              <w:jc w:val="right"/>
              <w:rPr>
                <w:rFonts w:asciiTheme="minorHAnsi" w:hAnsiTheme="minorHAnsi"/>
                <w:b/>
                <w:sz w:val="18"/>
                <w:szCs w:val="18"/>
                <w:lang w:val="en-IE"/>
              </w:rPr>
            </w:pPr>
          </w:p>
          <w:p w14:paraId="5726E78D"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71.0</w:t>
            </w:r>
          </w:p>
        </w:tc>
        <w:tc>
          <w:tcPr>
            <w:tcW w:w="1134" w:type="dxa"/>
            <w:tcBorders>
              <w:bottom w:val="single" w:sz="4" w:space="0" w:color="auto"/>
            </w:tcBorders>
          </w:tcPr>
          <w:p w14:paraId="0A8DF2E1" w14:textId="77777777" w:rsidR="00323BB2" w:rsidRPr="0061063C" w:rsidRDefault="00323BB2" w:rsidP="00453AFA">
            <w:pPr>
              <w:ind w:left="360"/>
              <w:jc w:val="right"/>
              <w:rPr>
                <w:rFonts w:asciiTheme="minorHAnsi" w:hAnsiTheme="minorHAnsi"/>
                <w:b/>
                <w:sz w:val="18"/>
                <w:szCs w:val="18"/>
                <w:lang w:val="en-IE"/>
              </w:rPr>
            </w:pPr>
          </w:p>
          <w:p w14:paraId="02AB4F60"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w:t>
            </w:r>
          </w:p>
        </w:tc>
        <w:tc>
          <w:tcPr>
            <w:tcW w:w="992" w:type="dxa"/>
            <w:tcBorders>
              <w:bottom w:val="single" w:sz="4" w:space="0" w:color="auto"/>
            </w:tcBorders>
          </w:tcPr>
          <w:p w14:paraId="0110BABE" w14:textId="77777777" w:rsidR="00323BB2" w:rsidRPr="0061063C" w:rsidRDefault="00323BB2" w:rsidP="00453AFA">
            <w:pPr>
              <w:ind w:left="360"/>
              <w:jc w:val="right"/>
              <w:rPr>
                <w:rFonts w:asciiTheme="minorHAnsi" w:hAnsiTheme="minorHAnsi"/>
                <w:b/>
                <w:sz w:val="18"/>
                <w:szCs w:val="18"/>
                <w:lang w:val="en-IE"/>
              </w:rPr>
            </w:pPr>
          </w:p>
          <w:p w14:paraId="79D8CC96"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36.1</w:t>
            </w:r>
          </w:p>
        </w:tc>
        <w:tc>
          <w:tcPr>
            <w:tcW w:w="993" w:type="dxa"/>
            <w:tcBorders>
              <w:bottom w:val="single" w:sz="4" w:space="0" w:color="auto"/>
            </w:tcBorders>
          </w:tcPr>
          <w:p w14:paraId="0D2D84DC" w14:textId="77777777" w:rsidR="00323BB2" w:rsidRPr="0061063C" w:rsidRDefault="00323BB2" w:rsidP="00453AFA">
            <w:pPr>
              <w:ind w:left="360"/>
              <w:jc w:val="right"/>
              <w:rPr>
                <w:rFonts w:asciiTheme="minorHAnsi" w:hAnsiTheme="minorHAnsi"/>
                <w:b/>
                <w:sz w:val="18"/>
                <w:szCs w:val="18"/>
                <w:lang w:val="en-IE"/>
              </w:rPr>
            </w:pPr>
          </w:p>
          <w:p w14:paraId="264EA1A6"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41.5</w:t>
            </w:r>
          </w:p>
        </w:tc>
        <w:tc>
          <w:tcPr>
            <w:tcW w:w="992" w:type="dxa"/>
            <w:tcBorders>
              <w:bottom w:val="single" w:sz="4" w:space="0" w:color="auto"/>
            </w:tcBorders>
            <w:shd w:val="clear" w:color="auto" w:fill="auto"/>
          </w:tcPr>
          <w:p w14:paraId="319C19D9" w14:textId="77777777" w:rsidR="00323BB2" w:rsidRPr="0061063C" w:rsidRDefault="00323BB2" w:rsidP="00453AFA">
            <w:pPr>
              <w:ind w:left="360"/>
              <w:jc w:val="right"/>
              <w:rPr>
                <w:rFonts w:asciiTheme="minorHAnsi" w:hAnsiTheme="minorHAnsi"/>
                <w:b/>
                <w:sz w:val="18"/>
                <w:szCs w:val="18"/>
                <w:lang w:val="en-IE"/>
              </w:rPr>
            </w:pPr>
          </w:p>
          <w:p w14:paraId="4C986AAE"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148.9</w:t>
            </w:r>
          </w:p>
        </w:tc>
      </w:tr>
      <w:tr w:rsidR="00323BB2" w:rsidRPr="0061063C" w14:paraId="489A7123" w14:textId="77777777" w:rsidTr="00453AFA">
        <w:trPr>
          <w:trHeight w:val="245"/>
        </w:trPr>
        <w:tc>
          <w:tcPr>
            <w:tcW w:w="2539" w:type="dxa"/>
            <w:tcBorders>
              <w:top w:val="single" w:sz="4" w:space="0" w:color="auto"/>
              <w:bottom w:val="single" w:sz="4" w:space="0" w:color="auto"/>
            </w:tcBorders>
          </w:tcPr>
          <w:p w14:paraId="7F3FB80A" w14:textId="77777777" w:rsidR="00323BB2" w:rsidRPr="0061063C" w:rsidRDefault="00323BB2" w:rsidP="00453AFA">
            <w:pPr>
              <w:ind w:left="-108"/>
              <w:rPr>
                <w:rFonts w:asciiTheme="minorHAnsi" w:hAnsiTheme="minorHAnsi"/>
                <w:sz w:val="18"/>
                <w:szCs w:val="18"/>
                <w:lang w:val="en-IE"/>
              </w:rPr>
            </w:pPr>
            <w:r w:rsidRPr="0061063C">
              <w:rPr>
                <w:rFonts w:asciiTheme="minorHAnsi" w:hAnsiTheme="minorHAnsi"/>
                <w:sz w:val="18"/>
                <w:szCs w:val="18"/>
                <w:lang w:val="en-IE"/>
              </w:rPr>
              <w:t>Balance at 30 June 2020</w:t>
            </w:r>
          </w:p>
        </w:tc>
        <w:tc>
          <w:tcPr>
            <w:tcW w:w="1134" w:type="dxa"/>
            <w:tcBorders>
              <w:top w:val="single" w:sz="4" w:space="0" w:color="auto"/>
              <w:bottom w:val="single" w:sz="4" w:space="0" w:color="auto"/>
            </w:tcBorders>
            <w:shd w:val="clear" w:color="auto" w:fill="auto"/>
          </w:tcPr>
          <w:p w14:paraId="4A8445A1"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3,496.7</w:t>
            </w:r>
          </w:p>
        </w:tc>
        <w:tc>
          <w:tcPr>
            <w:tcW w:w="851" w:type="dxa"/>
            <w:tcBorders>
              <w:top w:val="single" w:sz="4" w:space="0" w:color="auto"/>
              <w:bottom w:val="single" w:sz="4" w:space="0" w:color="auto"/>
            </w:tcBorders>
          </w:tcPr>
          <w:p w14:paraId="4F6FFDD7" w14:textId="77777777" w:rsidR="00323BB2" w:rsidRPr="0061063C" w:rsidRDefault="00323BB2" w:rsidP="00453AFA">
            <w:pPr>
              <w:jc w:val="right"/>
              <w:rPr>
                <w:rFonts w:asciiTheme="minorHAnsi" w:hAnsiTheme="minorHAnsi"/>
                <w:b/>
                <w:sz w:val="18"/>
                <w:szCs w:val="18"/>
                <w:lang w:val="en-IE"/>
              </w:rPr>
            </w:pPr>
            <w:r w:rsidRPr="0061063C">
              <w:rPr>
                <w:rFonts w:asciiTheme="minorHAnsi" w:hAnsiTheme="minorHAnsi"/>
                <w:b/>
                <w:sz w:val="18"/>
                <w:szCs w:val="18"/>
                <w:lang w:val="en-IE"/>
              </w:rPr>
              <w:t>18.9</w:t>
            </w:r>
          </w:p>
        </w:tc>
        <w:tc>
          <w:tcPr>
            <w:tcW w:w="850" w:type="dxa"/>
            <w:tcBorders>
              <w:top w:val="single" w:sz="4" w:space="0" w:color="auto"/>
              <w:bottom w:val="single" w:sz="4" w:space="0" w:color="auto"/>
            </w:tcBorders>
          </w:tcPr>
          <w:p w14:paraId="1669FE78" w14:textId="77777777" w:rsidR="00323BB2" w:rsidRPr="0061063C" w:rsidRDefault="00323BB2" w:rsidP="00453AFA">
            <w:pPr>
              <w:jc w:val="right"/>
              <w:rPr>
                <w:rFonts w:asciiTheme="minorHAnsi" w:hAnsiTheme="minorHAnsi"/>
                <w:b/>
                <w:sz w:val="18"/>
                <w:szCs w:val="18"/>
                <w:lang w:val="en-IE"/>
              </w:rPr>
            </w:pPr>
            <w:r w:rsidRPr="0061063C">
              <w:rPr>
                <w:rFonts w:asciiTheme="minorHAnsi" w:hAnsiTheme="minorHAnsi"/>
                <w:b/>
                <w:sz w:val="18"/>
                <w:szCs w:val="18"/>
                <w:lang w:val="en-IE"/>
              </w:rPr>
              <w:t>20.7</w:t>
            </w:r>
          </w:p>
        </w:tc>
        <w:tc>
          <w:tcPr>
            <w:tcW w:w="1276" w:type="dxa"/>
            <w:tcBorders>
              <w:top w:val="single" w:sz="4" w:space="0" w:color="auto"/>
              <w:bottom w:val="single" w:sz="4" w:space="0" w:color="auto"/>
            </w:tcBorders>
          </w:tcPr>
          <w:p w14:paraId="7B540181"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2,009.4</w:t>
            </w:r>
          </w:p>
        </w:tc>
        <w:tc>
          <w:tcPr>
            <w:tcW w:w="1134" w:type="dxa"/>
            <w:tcBorders>
              <w:top w:val="single" w:sz="4" w:space="0" w:color="auto"/>
              <w:bottom w:val="single" w:sz="4" w:space="0" w:color="auto"/>
            </w:tcBorders>
          </w:tcPr>
          <w:p w14:paraId="60CAAFBE"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2,551.8</w:t>
            </w:r>
          </w:p>
        </w:tc>
        <w:tc>
          <w:tcPr>
            <w:tcW w:w="992" w:type="dxa"/>
            <w:tcBorders>
              <w:top w:val="single" w:sz="4" w:space="0" w:color="auto"/>
              <w:bottom w:val="single" w:sz="4" w:space="0" w:color="auto"/>
            </w:tcBorders>
          </w:tcPr>
          <w:p w14:paraId="5AC4EBDB"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497.3</w:t>
            </w:r>
          </w:p>
        </w:tc>
        <w:tc>
          <w:tcPr>
            <w:tcW w:w="993" w:type="dxa"/>
            <w:tcBorders>
              <w:top w:val="single" w:sz="4" w:space="0" w:color="auto"/>
              <w:bottom w:val="single" w:sz="4" w:space="0" w:color="auto"/>
            </w:tcBorders>
          </w:tcPr>
          <w:p w14:paraId="4F99169C" w14:textId="77777777" w:rsidR="00323BB2" w:rsidRPr="0061063C" w:rsidRDefault="00323BB2" w:rsidP="00453AFA">
            <w:pPr>
              <w:ind w:left="360"/>
              <w:jc w:val="right"/>
              <w:rPr>
                <w:rFonts w:asciiTheme="minorHAnsi" w:hAnsiTheme="minorHAnsi"/>
                <w:b/>
                <w:sz w:val="18"/>
                <w:szCs w:val="18"/>
                <w:lang w:val="en-IE"/>
              </w:rPr>
            </w:pPr>
            <w:r w:rsidRPr="0061063C">
              <w:rPr>
                <w:rFonts w:asciiTheme="minorHAnsi" w:hAnsiTheme="minorHAnsi"/>
                <w:b/>
                <w:sz w:val="18"/>
                <w:szCs w:val="18"/>
                <w:lang w:val="en-IE"/>
              </w:rPr>
              <w:t>938.9</w:t>
            </w:r>
          </w:p>
        </w:tc>
        <w:tc>
          <w:tcPr>
            <w:tcW w:w="992" w:type="dxa"/>
            <w:tcBorders>
              <w:top w:val="single" w:sz="4" w:space="0" w:color="auto"/>
              <w:bottom w:val="single" w:sz="4" w:space="0" w:color="auto"/>
            </w:tcBorders>
            <w:shd w:val="clear" w:color="auto" w:fill="auto"/>
          </w:tcPr>
          <w:p w14:paraId="3F0547A6" w14:textId="77777777" w:rsidR="00323BB2" w:rsidRPr="0061063C" w:rsidRDefault="00323BB2" w:rsidP="00453AFA">
            <w:pPr>
              <w:jc w:val="right"/>
              <w:rPr>
                <w:rFonts w:asciiTheme="minorHAnsi" w:hAnsiTheme="minorHAnsi"/>
                <w:b/>
                <w:sz w:val="18"/>
                <w:szCs w:val="18"/>
              </w:rPr>
            </w:pPr>
            <w:r w:rsidRPr="0061063C">
              <w:rPr>
                <w:rFonts w:asciiTheme="minorHAnsi" w:hAnsiTheme="minorHAnsi"/>
                <w:b/>
                <w:sz w:val="18"/>
                <w:szCs w:val="18"/>
              </w:rPr>
              <w:t>9,533.7</w:t>
            </w:r>
          </w:p>
        </w:tc>
      </w:tr>
    </w:tbl>
    <w:p w14:paraId="67F330A4" w14:textId="77777777" w:rsidR="00323BB2" w:rsidRPr="00FD3279" w:rsidRDefault="00323BB2" w:rsidP="00323BB2">
      <w:pPr>
        <w:rPr>
          <w:rFonts w:asciiTheme="minorHAnsi" w:hAnsiTheme="minorHAnsi" w:cstheme="minorHAnsi"/>
          <w:b/>
          <w:bCs/>
          <w:sz w:val="20"/>
          <w:lang w:val="en-IE"/>
        </w:rPr>
      </w:pPr>
    </w:p>
    <w:p w14:paraId="779DF71D" w14:textId="77777777" w:rsidR="00323BB2" w:rsidRPr="00FD3279" w:rsidRDefault="00323BB2" w:rsidP="00323BB2">
      <w:pPr>
        <w:pStyle w:val="BodyText"/>
        <w:rPr>
          <w:rFonts w:asciiTheme="minorHAnsi" w:hAnsiTheme="minorHAnsi" w:cstheme="minorHAnsi"/>
          <w:sz w:val="20"/>
          <w:szCs w:val="20"/>
        </w:rPr>
      </w:pPr>
      <w:bookmarkStart w:id="16" w:name="_Hlk48927388"/>
      <w:r w:rsidRPr="00FD3279">
        <w:rPr>
          <w:rFonts w:asciiTheme="minorHAnsi" w:hAnsiTheme="minorHAnsi" w:cstheme="minorHAnsi"/>
          <w:sz w:val="20"/>
          <w:szCs w:val="20"/>
          <w:lang w:val="en-IE"/>
        </w:rPr>
        <w:t xml:space="preserve">The Group reviews the carrying value of goodwill for impairment annually (or more frequently if there are indications that the value of goodwill may be impaired) by comparing the carrying values of these cash generating units with their recoverable amounts (being the higher of value in use and fair value less costs to sell). </w:t>
      </w:r>
      <w:r w:rsidRPr="00FD3279">
        <w:rPr>
          <w:rFonts w:asciiTheme="minorHAnsi" w:hAnsiTheme="minorHAnsi" w:cstheme="minorHAnsi"/>
          <w:sz w:val="20"/>
          <w:szCs w:val="20"/>
        </w:rPr>
        <w:t>The impact of C</w:t>
      </w:r>
      <w:r>
        <w:rPr>
          <w:rFonts w:asciiTheme="minorHAnsi" w:hAnsiTheme="minorHAnsi" w:cstheme="minorHAnsi"/>
          <w:sz w:val="20"/>
          <w:szCs w:val="20"/>
        </w:rPr>
        <w:t>OVID-</w:t>
      </w:r>
      <w:r w:rsidRPr="00FD3279">
        <w:rPr>
          <w:rFonts w:asciiTheme="minorHAnsi" w:hAnsiTheme="minorHAnsi" w:cstheme="minorHAnsi"/>
          <w:sz w:val="20"/>
          <w:szCs w:val="20"/>
        </w:rPr>
        <w:t xml:space="preserve">19 on the performance of the group and its individual business units is set out in the business review section of the H1 results announcement.  The retail cash generating units (CGUs) were impacted </w:t>
      </w:r>
      <w:r>
        <w:rPr>
          <w:rFonts w:asciiTheme="minorHAnsi" w:hAnsiTheme="minorHAnsi" w:cstheme="minorHAnsi"/>
          <w:sz w:val="20"/>
          <w:szCs w:val="20"/>
        </w:rPr>
        <w:t>significantly due</w:t>
      </w:r>
      <w:r w:rsidRPr="00FD3279">
        <w:rPr>
          <w:rFonts w:asciiTheme="minorHAnsi" w:hAnsiTheme="minorHAnsi" w:cstheme="minorHAnsi"/>
          <w:sz w:val="20"/>
          <w:szCs w:val="20"/>
        </w:rPr>
        <w:t xml:space="preserve"> to the temporary suspension of the activities of shops for a period leading to shorter term impacts such as social distancing as well as longer term uncertainty in respect of customer behaviours.  Based on the significant headroom that existed in the 31 December 2019 impairment test, the strong performance of the shops for the period up to the date of suspension of activities, customer activity levels since the shops have reopened as well as opportunities to make further market share gains as competitors reduce the size of their respective estates, the Group is satisfied that no impairment has arisen during the period to 30 June 2020. For the Group’s various Online CGUs which generate income from sportsbook the impact of C</w:t>
      </w:r>
      <w:r>
        <w:rPr>
          <w:rFonts w:asciiTheme="minorHAnsi" w:hAnsiTheme="minorHAnsi" w:cstheme="minorHAnsi"/>
          <w:sz w:val="20"/>
          <w:szCs w:val="20"/>
        </w:rPr>
        <w:t>OVID-</w:t>
      </w:r>
      <w:r w:rsidRPr="00FD3279">
        <w:rPr>
          <w:rFonts w:asciiTheme="minorHAnsi" w:hAnsiTheme="minorHAnsi" w:cstheme="minorHAnsi"/>
          <w:sz w:val="20"/>
          <w:szCs w:val="20"/>
        </w:rPr>
        <w:t xml:space="preserve">19 has not been as significant due to greater substitution possibilities and they also benefit from the ongoing retail to online migration.  While no impairments have arisen in the </w:t>
      </w:r>
      <w:r>
        <w:rPr>
          <w:rFonts w:asciiTheme="minorHAnsi" w:hAnsiTheme="minorHAnsi" w:cstheme="minorHAnsi"/>
          <w:sz w:val="20"/>
          <w:szCs w:val="20"/>
        </w:rPr>
        <w:t>G</w:t>
      </w:r>
      <w:r w:rsidRPr="00FD3279">
        <w:rPr>
          <w:rFonts w:asciiTheme="minorHAnsi" w:hAnsiTheme="minorHAnsi" w:cstheme="minorHAnsi"/>
          <w:sz w:val="20"/>
          <w:szCs w:val="20"/>
        </w:rPr>
        <w:t>roup’s CGUs during the period to 30 June 2020</w:t>
      </w:r>
      <w:r>
        <w:rPr>
          <w:rFonts w:asciiTheme="minorHAnsi" w:hAnsiTheme="minorHAnsi" w:cstheme="minorHAnsi"/>
          <w:sz w:val="20"/>
          <w:szCs w:val="20"/>
        </w:rPr>
        <w:t>,</w:t>
      </w:r>
      <w:r w:rsidRPr="00FD3279">
        <w:rPr>
          <w:rFonts w:asciiTheme="minorHAnsi" w:hAnsiTheme="minorHAnsi" w:cstheme="minorHAnsi"/>
          <w:sz w:val="20"/>
          <w:szCs w:val="20"/>
        </w:rPr>
        <w:t xml:space="preserve"> there is economic uncertainty in the global economy due to the ongoing COVID</w:t>
      </w:r>
      <w:r>
        <w:rPr>
          <w:rFonts w:asciiTheme="minorHAnsi" w:hAnsiTheme="minorHAnsi" w:cstheme="minorHAnsi"/>
          <w:sz w:val="20"/>
          <w:szCs w:val="20"/>
        </w:rPr>
        <w:t>-</w:t>
      </w:r>
      <w:r w:rsidRPr="00FD3279">
        <w:rPr>
          <w:rFonts w:asciiTheme="minorHAnsi" w:hAnsiTheme="minorHAnsi" w:cstheme="minorHAnsi"/>
          <w:sz w:val="20"/>
          <w:szCs w:val="20"/>
        </w:rPr>
        <w:t xml:space="preserve">19 global pandemic and this could be a potential future risk. </w:t>
      </w:r>
    </w:p>
    <w:bookmarkEnd w:id="16"/>
    <w:p w14:paraId="021E1730" w14:textId="77777777" w:rsidR="00323BB2" w:rsidRPr="0061063C" w:rsidRDefault="00323BB2" w:rsidP="00323BB2">
      <w:pPr>
        <w:pStyle w:val="BodyText"/>
        <w:rPr>
          <w:rFonts w:asciiTheme="minorHAnsi" w:hAnsiTheme="minorHAnsi"/>
          <w:b/>
          <w:bCs/>
          <w:sz w:val="20"/>
          <w:szCs w:val="20"/>
          <w:lang w:val="en-IE"/>
        </w:rPr>
      </w:pPr>
      <w:r w:rsidRPr="0061063C">
        <w:rPr>
          <w:rFonts w:asciiTheme="minorHAnsi" w:hAnsiTheme="minorHAnsi"/>
          <w:b/>
          <w:sz w:val="20"/>
          <w:szCs w:val="20"/>
          <w:lang w:val="en-IE"/>
        </w:rPr>
        <w:t>10</w:t>
      </w:r>
      <w:r w:rsidRPr="0061063C">
        <w:rPr>
          <w:rFonts w:asciiTheme="minorHAnsi" w:hAnsiTheme="minorHAnsi"/>
          <w:b/>
          <w:bCs/>
          <w:sz w:val="20"/>
          <w:szCs w:val="20"/>
          <w:lang w:val="en-IE"/>
        </w:rPr>
        <w:t xml:space="preserve">. Business combinations </w:t>
      </w:r>
    </w:p>
    <w:p w14:paraId="576C4575" w14:textId="77777777" w:rsidR="00323BB2" w:rsidRPr="0061063C" w:rsidRDefault="00323BB2" w:rsidP="00323BB2">
      <w:pPr>
        <w:rPr>
          <w:rFonts w:asciiTheme="minorHAnsi" w:hAnsiTheme="minorHAnsi"/>
          <w:b/>
          <w:bCs/>
          <w:i/>
          <w:sz w:val="20"/>
          <w:lang w:val="en-IE"/>
        </w:rPr>
      </w:pPr>
      <w:r w:rsidRPr="0061063C">
        <w:rPr>
          <w:rFonts w:asciiTheme="minorHAnsi" w:hAnsiTheme="minorHAnsi"/>
          <w:b/>
          <w:bCs/>
          <w:i/>
          <w:sz w:val="20"/>
          <w:lang w:val="en-IE"/>
        </w:rPr>
        <w:t>Six months ended 30 June 2020</w:t>
      </w:r>
    </w:p>
    <w:p w14:paraId="6FB17C1C" w14:textId="77777777" w:rsidR="00323BB2" w:rsidRPr="0061063C" w:rsidRDefault="00323BB2" w:rsidP="00323BB2">
      <w:pPr>
        <w:pStyle w:val="BodyText"/>
        <w:spacing w:after="0"/>
        <w:rPr>
          <w:rFonts w:asciiTheme="minorHAnsi" w:hAnsiTheme="minorHAnsi"/>
          <w:b/>
          <w:sz w:val="20"/>
          <w:szCs w:val="20"/>
          <w:lang w:val="en-IE"/>
        </w:rPr>
      </w:pPr>
      <w:r w:rsidRPr="0061063C">
        <w:rPr>
          <w:rFonts w:asciiTheme="minorHAnsi" w:hAnsiTheme="minorHAnsi"/>
          <w:b/>
          <w:sz w:val="20"/>
          <w:szCs w:val="20"/>
          <w:lang w:val="en-IE"/>
        </w:rPr>
        <w:t xml:space="preserve">Acquisition of The Stars Group Inc. </w:t>
      </w:r>
    </w:p>
    <w:p w14:paraId="06F33084" w14:textId="77777777" w:rsidR="00323BB2" w:rsidRPr="0061063C"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On 5 May 2020, Flutter Entertainment plc completed an all share Combination with The Stars Group Inc. (the “Combination”) resulting in</w:t>
      </w:r>
      <w:r>
        <w:rPr>
          <w:rFonts w:asciiTheme="minorHAnsi" w:hAnsiTheme="minorHAnsi"/>
          <w:sz w:val="20"/>
          <w:lang w:val="en-IE"/>
        </w:rPr>
        <w:t xml:space="preserve"> existing</w:t>
      </w:r>
      <w:r w:rsidRPr="0061063C">
        <w:rPr>
          <w:rFonts w:asciiTheme="minorHAnsi" w:hAnsiTheme="minorHAnsi"/>
          <w:sz w:val="20"/>
          <w:lang w:val="en-IE"/>
        </w:rPr>
        <w:t xml:space="preserve"> Flutter Entertainment plc shareholders owning 54.64% and the Stars Group Inc. shareholders owning 45.36% of Flutter Entertainment plc (the “Company”, together with its subsidiaries, the “Group”), on a fully diluted basis (excluding any out of the money options). Post-Combination, the Company is the Ultimate Parent of The Stars Group Inc. (TSG).</w:t>
      </w:r>
    </w:p>
    <w:p w14:paraId="3A98F29F"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18A0A038" w14:textId="77777777" w:rsidR="00323BB2" w:rsidRPr="0061063C"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Under the terms of the Combination, holders of TSG shares received 0.2253 ordinary shares with nominal value of EUR 0.09 each in the Company (“ordinary shares”) in exchange for each outstanding TSG share (the ‘Exchange Ratio’). Accordingly, the Company issued a total of 65,316,588 ordinary shares in exchange for 289,909,400 shares in The Stars Group. The fair value of the ordinary shares issued was £94.84 per share at this date.</w:t>
      </w:r>
    </w:p>
    <w:p w14:paraId="652F51BE"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635FD836" w14:textId="77777777" w:rsidR="00323BB2" w:rsidRDefault="00323BB2" w:rsidP="00323BB2">
      <w:pPr>
        <w:widowControl w:val="0"/>
        <w:autoSpaceDE w:val="0"/>
        <w:autoSpaceDN w:val="0"/>
        <w:adjustRightInd w:val="0"/>
        <w:rPr>
          <w:rFonts w:asciiTheme="minorHAnsi" w:hAnsiTheme="minorHAnsi"/>
          <w:sz w:val="20"/>
          <w:lang w:val="en-IE"/>
        </w:rPr>
      </w:pPr>
      <w:bookmarkStart w:id="17" w:name="_Hlk48751540"/>
      <w:r w:rsidRPr="0061063C">
        <w:rPr>
          <w:rFonts w:asciiTheme="minorHAnsi" w:hAnsiTheme="minorHAnsi"/>
          <w:sz w:val="20"/>
          <w:lang w:val="en-IE"/>
        </w:rPr>
        <w:t>In addition: (</w:t>
      </w:r>
      <w:proofErr w:type="spellStart"/>
      <w:r w:rsidRPr="0061063C">
        <w:rPr>
          <w:rFonts w:asciiTheme="minorHAnsi" w:hAnsiTheme="minorHAnsi"/>
          <w:sz w:val="20"/>
          <w:lang w:val="en-IE"/>
        </w:rPr>
        <w:t>i</w:t>
      </w:r>
      <w:proofErr w:type="spellEnd"/>
      <w:r w:rsidRPr="0061063C">
        <w:rPr>
          <w:rFonts w:asciiTheme="minorHAnsi" w:hAnsiTheme="minorHAnsi"/>
          <w:sz w:val="20"/>
          <w:lang w:val="en-IE"/>
        </w:rPr>
        <w:t xml:space="preserve">) each TSG Option outstanding at 5 May 2020, under the TSG Share Plans will be exchanged for an option to purchase such number of New Flutter Shares calculated in accordance with the Exchange Ratio; and (ii) </w:t>
      </w:r>
    </w:p>
    <w:p w14:paraId="6EF688EC" w14:textId="77777777" w:rsidR="00323BB2"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each TSG restricted share unit (“RSU”), TSG performance share unit (“PSU”) and TSG deferred share unit (“DSU”) outstanding at the Effective Time under the TSG Equity Plan will be amended so as to substitute for the TSG Shares, subject to such equity awards, a number of Flutter Shares calculated in accordance with the Exchange Ratio but subject to any adjustment required to that award by the TSG Equity Plan or grant documentation as a result of the Plan of Arrangement.</w:t>
      </w:r>
      <w:bookmarkEnd w:id="17"/>
    </w:p>
    <w:p w14:paraId="02EFC8DD" w14:textId="77777777" w:rsidR="00323BB2" w:rsidRDefault="00323BB2" w:rsidP="00323BB2">
      <w:pPr>
        <w:widowControl w:val="0"/>
        <w:autoSpaceDE w:val="0"/>
        <w:autoSpaceDN w:val="0"/>
        <w:adjustRightInd w:val="0"/>
        <w:rPr>
          <w:rFonts w:asciiTheme="minorHAnsi" w:hAnsiTheme="minorHAnsi"/>
          <w:sz w:val="20"/>
          <w:lang w:val="en-IE"/>
        </w:rPr>
      </w:pPr>
    </w:p>
    <w:p w14:paraId="43F974F7"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540907CA" w14:textId="77777777" w:rsidR="00323BB2" w:rsidRDefault="00323BB2" w:rsidP="00323BB2">
      <w:pPr>
        <w:pStyle w:val="BodyText"/>
        <w:spacing w:after="0"/>
        <w:rPr>
          <w:rFonts w:asciiTheme="minorHAnsi" w:hAnsiTheme="minorHAnsi"/>
          <w:b/>
          <w:sz w:val="20"/>
          <w:szCs w:val="20"/>
          <w:lang w:val="en-IE"/>
        </w:rPr>
      </w:pPr>
    </w:p>
    <w:p w14:paraId="797CBBFA"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41445FBB" w14:textId="77777777" w:rsidR="00323BB2" w:rsidRPr="0061063C" w:rsidRDefault="00323BB2" w:rsidP="00323BB2">
      <w:pPr>
        <w:pStyle w:val="BodyText"/>
        <w:spacing w:after="0"/>
        <w:rPr>
          <w:rFonts w:asciiTheme="minorHAnsi" w:hAnsiTheme="minorHAnsi"/>
          <w:b/>
          <w:bCs/>
          <w:sz w:val="20"/>
          <w:szCs w:val="20"/>
          <w:lang w:val="en-IE"/>
        </w:rPr>
      </w:pPr>
      <w:r w:rsidRPr="0061063C">
        <w:rPr>
          <w:rFonts w:asciiTheme="minorHAnsi" w:hAnsiTheme="minorHAnsi"/>
          <w:b/>
          <w:sz w:val="20"/>
          <w:szCs w:val="20"/>
          <w:lang w:val="en-IE"/>
        </w:rPr>
        <w:lastRenderedPageBreak/>
        <w:t>10</w:t>
      </w:r>
      <w:r w:rsidRPr="0061063C">
        <w:rPr>
          <w:rFonts w:asciiTheme="minorHAnsi" w:hAnsiTheme="minorHAnsi"/>
          <w:b/>
          <w:bCs/>
          <w:sz w:val="20"/>
          <w:szCs w:val="20"/>
          <w:lang w:val="en-IE"/>
        </w:rPr>
        <w:t>. Business combinations (continued)</w:t>
      </w:r>
    </w:p>
    <w:p w14:paraId="771950C9" w14:textId="77777777" w:rsidR="00323BB2" w:rsidRDefault="00323BB2" w:rsidP="00323BB2">
      <w:pPr>
        <w:widowControl w:val="0"/>
        <w:autoSpaceDE w:val="0"/>
        <w:autoSpaceDN w:val="0"/>
        <w:adjustRightInd w:val="0"/>
        <w:rPr>
          <w:rFonts w:asciiTheme="minorHAnsi" w:hAnsiTheme="minorHAnsi"/>
          <w:sz w:val="20"/>
          <w:lang w:val="en-IE"/>
        </w:rPr>
      </w:pPr>
    </w:p>
    <w:p w14:paraId="213D36A4" w14:textId="77777777" w:rsidR="00323BB2" w:rsidRDefault="00323BB2" w:rsidP="00323BB2">
      <w:pPr>
        <w:pStyle w:val="BodyText"/>
        <w:spacing w:after="0"/>
        <w:rPr>
          <w:rFonts w:asciiTheme="minorHAnsi" w:hAnsiTheme="minorHAnsi"/>
          <w:sz w:val="20"/>
          <w:lang w:val="en-IE"/>
        </w:rPr>
      </w:pPr>
      <w:r w:rsidRPr="0061063C">
        <w:rPr>
          <w:rFonts w:asciiTheme="minorHAnsi" w:hAnsiTheme="minorHAnsi"/>
          <w:sz w:val="20"/>
          <w:lang w:val="en-IE"/>
        </w:rPr>
        <w:t xml:space="preserve">TSG is a global leader in the online and mobile gaming and interactive entertainment industries, entertaining millions of customers across its online real- and play-money poker, gaming and betting product offerings. TSG offers </w:t>
      </w:r>
    </w:p>
    <w:p w14:paraId="446602BA" w14:textId="77777777" w:rsidR="00323BB2" w:rsidRPr="0061063C"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 xml:space="preserve">these products directly or indirectly under several ultimately owned or licensed gaming and related consumer businesses and brands, including, among others, </w:t>
      </w:r>
      <w:proofErr w:type="spellStart"/>
      <w:r w:rsidRPr="0061063C">
        <w:rPr>
          <w:rFonts w:asciiTheme="minorHAnsi" w:hAnsiTheme="minorHAnsi"/>
          <w:sz w:val="20"/>
          <w:lang w:val="en-IE"/>
        </w:rPr>
        <w:t>PokerStars</w:t>
      </w:r>
      <w:proofErr w:type="spellEnd"/>
      <w:r w:rsidRPr="0061063C">
        <w:rPr>
          <w:rFonts w:asciiTheme="minorHAnsi" w:hAnsiTheme="minorHAnsi"/>
          <w:sz w:val="20"/>
          <w:lang w:val="en-IE"/>
        </w:rPr>
        <w:t xml:space="preserve">, </w:t>
      </w:r>
      <w:proofErr w:type="spellStart"/>
      <w:r w:rsidRPr="0061063C">
        <w:rPr>
          <w:rFonts w:asciiTheme="minorHAnsi" w:hAnsiTheme="minorHAnsi"/>
          <w:sz w:val="20"/>
          <w:lang w:val="en-IE"/>
        </w:rPr>
        <w:t>PokerStars</w:t>
      </w:r>
      <w:proofErr w:type="spellEnd"/>
      <w:r w:rsidRPr="0061063C">
        <w:rPr>
          <w:rFonts w:asciiTheme="minorHAnsi" w:hAnsiTheme="minorHAnsi"/>
          <w:sz w:val="20"/>
          <w:lang w:val="en-IE"/>
        </w:rPr>
        <w:t xml:space="preserve"> Casino, </w:t>
      </w:r>
      <w:proofErr w:type="spellStart"/>
      <w:r w:rsidRPr="0061063C">
        <w:rPr>
          <w:rFonts w:asciiTheme="minorHAnsi" w:hAnsiTheme="minorHAnsi"/>
          <w:sz w:val="20"/>
          <w:lang w:val="en-IE"/>
        </w:rPr>
        <w:t>BetStars</w:t>
      </w:r>
      <w:proofErr w:type="spellEnd"/>
      <w:r w:rsidRPr="0061063C">
        <w:rPr>
          <w:rFonts w:asciiTheme="minorHAnsi" w:hAnsiTheme="minorHAnsi"/>
          <w:sz w:val="20"/>
          <w:lang w:val="en-IE"/>
        </w:rPr>
        <w:t xml:space="preserve">, Full Tilt, FOX Bet, BetEasy, Sky Bet, Sky Vegas, Sky Casino, Sky Bingo, Sky Poker, and Oddschecker, as well as live poker tour and events brands, including the PokerStars Players No Limit </w:t>
      </w:r>
      <w:proofErr w:type="spellStart"/>
      <w:r w:rsidRPr="0061063C">
        <w:rPr>
          <w:rFonts w:asciiTheme="minorHAnsi" w:hAnsiTheme="minorHAnsi"/>
          <w:sz w:val="20"/>
          <w:lang w:val="en-IE"/>
        </w:rPr>
        <w:t>Hold’em</w:t>
      </w:r>
      <w:proofErr w:type="spellEnd"/>
      <w:r w:rsidRPr="0061063C">
        <w:rPr>
          <w:rFonts w:asciiTheme="minorHAnsi" w:hAnsiTheme="minorHAnsi"/>
          <w:sz w:val="20"/>
          <w:lang w:val="en-IE"/>
        </w:rPr>
        <w:t xml:space="preserve"> Championship, European Poker Tour and Asia Pacific Poker Tour. TSG is one of the world’s most licensed online gaming operators with its subsidiaries collectively holding licenses or approvals in 22 jurisdictions throughout the world, including in Europe, Australia and the Americas.</w:t>
      </w:r>
    </w:p>
    <w:p w14:paraId="1883688C"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044E8793" w14:textId="77777777" w:rsidR="00323BB2" w:rsidRPr="0061063C" w:rsidRDefault="00323BB2" w:rsidP="00323BB2">
      <w:pPr>
        <w:widowControl w:val="0"/>
        <w:autoSpaceDE w:val="0"/>
        <w:autoSpaceDN w:val="0"/>
        <w:adjustRightInd w:val="0"/>
        <w:rPr>
          <w:rFonts w:asciiTheme="minorHAnsi" w:hAnsiTheme="minorHAnsi"/>
          <w:sz w:val="20"/>
          <w:lang w:val="en-IE"/>
        </w:rPr>
      </w:pPr>
      <w:r w:rsidRPr="0061063C">
        <w:rPr>
          <w:rFonts w:asciiTheme="minorHAnsi" w:hAnsiTheme="minorHAnsi"/>
          <w:sz w:val="20"/>
          <w:lang w:val="en-IE"/>
        </w:rPr>
        <w:t>The main drivers for the Combination will be to accelerate delivery against each of the components of Flutter’s four pillar strategy; create a highly diversified business from a geographic, product and brand perspective with an enhanced global platform; deliver significant value for shareholders through the realisation of material cost synergies; reinforce a robust financial profile which will facilitate strategic flexibility as well as generate sustainable long-term shareholder returns; and maintain a leading role in the promotion of responsible gambling through an enlarged global footprint.</w:t>
      </w:r>
    </w:p>
    <w:p w14:paraId="53B3B52B" w14:textId="77777777" w:rsidR="00323BB2" w:rsidRPr="0061063C" w:rsidRDefault="00323BB2" w:rsidP="00323BB2">
      <w:pPr>
        <w:widowControl w:val="0"/>
        <w:autoSpaceDE w:val="0"/>
        <w:autoSpaceDN w:val="0"/>
        <w:adjustRightInd w:val="0"/>
        <w:rPr>
          <w:rFonts w:asciiTheme="minorHAnsi" w:hAnsiTheme="minorHAnsi"/>
          <w:sz w:val="20"/>
          <w:lang w:val="en-IE"/>
        </w:rPr>
      </w:pPr>
    </w:p>
    <w:p w14:paraId="303A1740" w14:textId="77777777" w:rsidR="00323BB2" w:rsidRPr="0061063C" w:rsidRDefault="00323BB2" w:rsidP="00323BB2">
      <w:pPr>
        <w:spacing w:after="120"/>
        <w:rPr>
          <w:rFonts w:asciiTheme="minorHAnsi" w:hAnsiTheme="minorHAnsi"/>
          <w:sz w:val="20"/>
          <w:lang w:eastAsia="en-GB"/>
        </w:rPr>
      </w:pPr>
      <w:r w:rsidRPr="0061063C">
        <w:rPr>
          <w:rFonts w:asciiTheme="minorHAnsi" w:hAnsiTheme="minorHAnsi"/>
          <w:sz w:val="20"/>
          <w:lang w:eastAsia="en-GB"/>
        </w:rPr>
        <w:t>Since the date of acquisition to 30 June 2020, TSG has contributed £453.5m of revenue and £165.1m of Adjusted operating profit.</w:t>
      </w:r>
    </w:p>
    <w:p w14:paraId="3F9AC9EB" w14:textId="77777777" w:rsidR="00323BB2" w:rsidRPr="0061063C" w:rsidRDefault="00323BB2" w:rsidP="00323BB2">
      <w:pPr>
        <w:spacing w:after="120"/>
        <w:rPr>
          <w:rFonts w:asciiTheme="minorHAnsi" w:hAnsiTheme="minorHAnsi"/>
          <w:sz w:val="20"/>
          <w:lang w:eastAsia="en-GB"/>
        </w:rPr>
      </w:pPr>
      <w:r w:rsidRPr="0061063C">
        <w:rPr>
          <w:rFonts w:asciiTheme="minorHAnsi" w:hAnsiTheme="minorHAnsi"/>
          <w:sz w:val="20"/>
          <w:lang w:eastAsia="en-GB"/>
        </w:rPr>
        <w:t>If the TSG acquisition had occurred on 1 January 2020, then their contribution to revenue and Adjusted operating profit would have been £1,319.7m and £479.2m respectively for the period ended 30 June 2020. Acquisition costs in respect of this transaction are disclosed as Combination fees and associated costs in Note 5 and within transaction fees in Note 4 of the 2019 financial statements.</w:t>
      </w:r>
    </w:p>
    <w:p w14:paraId="304103C7" w14:textId="77777777" w:rsidR="00323BB2" w:rsidRPr="0061063C" w:rsidRDefault="00323BB2" w:rsidP="00323BB2">
      <w:pPr>
        <w:rPr>
          <w:rFonts w:asciiTheme="minorHAnsi" w:hAnsiTheme="minorHAnsi"/>
          <w:sz w:val="20"/>
          <w:lang w:val="en-IE"/>
        </w:rPr>
      </w:pPr>
    </w:p>
    <w:p w14:paraId="493AC71A" w14:textId="77777777" w:rsidR="00323BB2" w:rsidRPr="0061063C" w:rsidRDefault="00323BB2" w:rsidP="00323BB2">
      <w:pPr>
        <w:pStyle w:val="BodyText"/>
        <w:rPr>
          <w:rFonts w:asciiTheme="minorHAnsi" w:hAnsiTheme="minorHAnsi"/>
          <w:sz w:val="20"/>
          <w:szCs w:val="20"/>
          <w:lang w:val="en-IE"/>
        </w:rPr>
      </w:pPr>
      <w:r w:rsidRPr="0061063C">
        <w:rPr>
          <w:rFonts w:asciiTheme="minorHAnsi" w:hAnsiTheme="minorHAnsi"/>
          <w:sz w:val="20"/>
          <w:szCs w:val="20"/>
          <w:lang w:val="en-IE"/>
        </w:rPr>
        <w:t xml:space="preserve">Included within the intangible assets were £5,155m of separately identifiable intangibles comprising brands, customer relations and technology acquired as part of the acquisition, with the additional effect of a deferred tax liability of £524m thereon. These intangible assets are being amortised over their useful economic lives of up to 20 years. Receivables acquired amounted to £114.6m. The book value equated to the fair value as all amounts are expected to be received. </w:t>
      </w:r>
    </w:p>
    <w:p w14:paraId="6EF51A2B" w14:textId="77777777" w:rsidR="00323BB2" w:rsidRPr="0061063C" w:rsidRDefault="00323BB2" w:rsidP="00323BB2">
      <w:pPr>
        <w:pStyle w:val="BodyText"/>
        <w:rPr>
          <w:rFonts w:asciiTheme="minorHAnsi" w:hAnsiTheme="minorHAnsi"/>
          <w:sz w:val="20"/>
          <w:lang w:val="en-IE"/>
        </w:rPr>
      </w:pPr>
      <w:r w:rsidRPr="0061063C">
        <w:rPr>
          <w:rFonts w:asciiTheme="minorHAnsi" w:hAnsiTheme="minorHAnsi"/>
          <w:sz w:val="20"/>
          <w:szCs w:val="20"/>
          <w:lang w:val="en-IE"/>
        </w:rPr>
        <w:t xml:space="preserve">The main factors leading to the recognition of goodwill (none of which is deductible for tax purposes) is growth by combining business activities, a strong workforce, leveraging existing products and synergy savings of the merged operations. </w:t>
      </w:r>
      <w:r w:rsidRPr="0061063C">
        <w:rPr>
          <w:rFonts w:asciiTheme="minorHAnsi" w:hAnsiTheme="minorHAnsi"/>
          <w:sz w:val="20"/>
          <w:lang w:val="en-IE"/>
        </w:rPr>
        <w:t>The goodwill associated with the PokerStars and Sky Betting and Gaming businesses has been allocated to separate CGU’s. The goodwill associated with the Australia and US businesses has been allocated to the respective existing Australia and US CGU’s and it has been deemed that separate CGU’s are not appropriate.</w:t>
      </w:r>
    </w:p>
    <w:p w14:paraId="4BF9C8C6" w14:textId="77777777" w:rsidR="00323BB2" w:rsidRPr="0061063C" w:rsidRDefault="00323BB2" w:rsidP="00323BB2">
      <w:pPr>
        <w:pStyle w:val="BodyText"/>
        <w:spacing w:after="0"/>
        <w:rPr>
          <w:rFonts w:asciiTheme="minorHAnsi" w:hAnsiTheme="minorHAnsi"/>
          <w:sz w:val="20"/>
          <w:szCs w:val="20"/>
          <w:lang w:val="en-IE"/>
        </w:rPr>
      </w:pPr>
      <w:r w:rsidRPr="0061063C">
        <w:rPr>
          <w:rFonts w:asciiTheme="minorHAnsi" w:hAnsiTheme="minorHAnsi"/>
          <w:sz w:val="20"/>
          <w:szCs w:val="20"/>
          <w:lang w:val="en-IE"/>
        </w:rPr>
        <w:t>As the transaction only completed in May 2020 and the Group has one year from the acquisition date to re-measure the fair values of the acquired assets and liabilities and the resulting goodwill if new information is obtained relating to conditions that existed at the acquisition date, the fair values of the identifiable assets and liabilities acquired are provisional.</w:t>
      </w:r>
    </w:p>
    <w:p w14:paraId="48983629" w14:textId="77777777" w:rsidR="00323BB2" w:rsidRPr="0061063C" w:rsidRDefault="00323BB2" w:rsidP="00323BB2">
      <w:pPr>
        <w:rPr>
          <w:rFonts w:asciiTheme="minorHAnsi" w:hAnsiTheme="minorHAnsi"/>
          <w:sz w:val="20"/>
          <w:lang w:val="en-IE"/>
        </w:rPr>
      </w:pPr>
    </w:p>
    <w:p w14:paraId="1262A1C2"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Details of the provisional fair value of identifiable assets and liabilities acquired, purchase consideration and goodwill are as follows:</w:t>
      </w:r>
    </w:p>
    <w:p w14:paraId="6CE4414D" w14:textId="77777777" w:rsidR="00323BB2" w:rsidRPr="0061063C" w:rsidRDefault="00323BB2" w:rsidP="00323BB2">
      <w:pPr>
        <w:pStyle w:val="BodyText"/>
        <w:rPr>
          <w:rFonts w:asciiTheme="minorHAnsi" w:hAnsiTheme="minorHAnsi"/>
          <w:sz w:val="20"/>
          <w:szCs w:val="20"/>
          <w:lang w:val="en-IE"/>
        </w:rPr>
      </w:pPr>
    </w:p>
    <w:p w14:paraId="0BAA1F29"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br w:type="page"/>
      </w:r>
    </w:p>
    <w:p w14:paraId="187A28DC" w14:textId="77777777" w:rsidR="00323BB2" w:rsidRPr="0061063C" w:rsidRDefault="00323BB2" w:rsidP="00323BB2">
      <w:pPr>
        <w:pStyle w:val="BodyText"/>
        <w:spacing w:after="0"/>
        <w:rPr>
          <w:rFonts w:asciiTheme="minorHAnsi" w:hAnsiTheme="minorHAnsi"/>
          <w:b/>
          <w:bCs/>
          <w:sz w:val="20"/>
          <w:szCs w:val="20"/>
          <w:lang w:val="en-IE"/>
        </w:rPr>
      </w:pPr>
      <w:r w:rsidRPr="0061063C">
        <w:rPr>
          <w:rFonts w:asciiTheme="minorHAnsi" w:hAnsiTheme="minorHAnsi"/>
          <w:b/>
          <w:sz w:val="20"/>
          <w:szCs w:val="20"/>
          <w:lang w:val="en-IE"/>
        </w:rPr>
        <w:lastRenderedPageBreak/>
        <w:t>10</w:t>
      </w:r>
      <w:r w:rsidRPr="0061063C">
        <w:rPr>
          <w:rFonts w:asciiTheme="minorHAnsi" w:hAnsiTheme="minorHAnsi"/>
          <w:b/>
          <w:bCs/>
          <w:sz w:val="20"/>
          <w:szCs w:val="20"/>
          <w:lang w:val="en-IE"/>
        </w:rPr>
        <w:t>. Business combinations (continued)</w:t>
      </w:r>
    </w:p>
    <w:p w14:paraId="217E45E8" w14:textId="77777777" w:rsidR="00323BB2" w:rsidRPr="0061063C" w:rsidRDefault="00323BB2" w:rsidP="00323BB2">
      <w:pPr>
        <w:rPr>
          <w:rFonts w:asciiTheme="minorHAnsi" w:hAnsiTheme="minorHAnsi"/>
          <w:sz w:val="20"/>
          <w:lang w:val="en-IE"/>
        </w:rPr>
      </w:pPr>
    </w:p>
    <w:p w14:paraId="044CA1C9" w14:textId="77777777" w:rsidR="00323BB2" w:rsidRPr="0061063C" w:rsidRDefault="00323BB2" w:rsidP="00323BB2">
      <w:pPr>
        <w:rPr>
          <w:rFonts w:asciiTheme="minorHAnsi" w:hAnsiTheme="minorHAnsi"/>
          <w:sz w:val="20"/>
          <w:lang w:val="en-IE"/>
        </w:rPr>
      </w:pPr>
    </w:p>
    <w:tbl>
      <w:tblPr>
        <w:tblW w:w="6980" w:type="dxa"/>
        <w:tblInd w:w="108" w:type="dxa"/>
        <w:tblLayout w:type="fixed"/>
        <w:tblLook w:val="0000" w:firstRow="0" w:lastRow="0" w:firstColumn="0" w:lastColumn="0" w:noHBand="0" w:noVBand="0"/>
      </w:tblPr>
      <w:tblGrid>
        <w:gridCol w:w="5137"/>
        <w:gridCol w:w="1843"/>
      </w:tblGrid>
      <w:tr w:rsidR="00323BB2" w:rsidRPr="0061063C" w14:paraId="37EC535C" w14:textId="77777777" w:rsidTr="00453AFA">
        <w:trPr>
          <w:trHeight w:val="432"/>
        </w:trPr>
        <w:tc>
          <w:tcPr>
            <w:tcW w:w="5137" w:type="dxa"/>
            <w:tcBorders>
              <w:top w:val="single" w:sz="4" w:space="0" w:color="auto"/>
              <w:left w:val="nil"/>
              <w:bottom w:val="single" w:sz="4" w:space="0" w:color="auto"/>
              <w:right w:val="nil"/>
            </w:tcBorders>
          </w:tcPr>
          <w:p w14:paraId="0AE760F5" w14:textId="77777777" w:rsidR="00323BB2" w:rsidRPr="0061063C" w:rsidRDefault="00323BB2" w:rsidP="00453AFA">
            <w:pPr>
              <w:ind w:left="-108"/>
              <w:jc w:val="both"/>
              <w:rPr>
                <w:rFonts w:asciiTheme="minorHAnsi" w:hAnsiTheme="minorHAnsi"/>
                <w:sz w:val="20"/>
              </w:rPr>
            </w:pPr>
          </w:p>
        </w:tc>
        <w:tc>
          <w:tcPr>
            <w:tcW w:w="1843" w:type="dxa"/>
            <w:tcBorders>
              <w:top w:val="single" w:sz="4" w:space="0" w:color="auto"/>
              <w:left w:val="nil"/>
              <w:bottom w:val="single" w:sz="4" w:space="0" w:color="auto"/>
              <w:right w:val="nil"/>
            </w:tcBorders>
          </w:tcPr>
          <w:p w14:paraId="697F4EA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 xml:space="preserve">Provisional as at </w:t>
            </w:r>
          </w:p>
          <w:p w14:paraId="53FA1B1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 May 2020</w:t>
            </w:r>
          </w:p>
          <w:p w14:paraId="3CEF0053"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£m</w:t>
            </w:r>
          </w:p>
        </w:tc>
      </w:tr>
      <w:tr w:rsidR="00323BB2" w:rsidRPr="0061063C" w14:paraId="083646E9" w14:textId="77777777" w:rsidTr="00453AFA">
        <w:trPr>
          <w:trHeight w:val="80"/>
        </w:trPr>
        <w:tc>
          <w:tcPr>
            <w:tcW w:w="5137" w:type="dxa"/>
            <w:tcBorders>
              <w:top w:val="single" w:sz="4" w:space="0" w:color="auto"/>
              <w:left w:val="nil"/>
              <w:bottom w:val="nil"/>
              <w:right w:val="nil"/>
            </w:tcBorders>
          </w:tcPr>
          <w:p w14:paraId="0046B6C9" w14:textId="77777777" w:rsidR="00323BB2" w:rsidRPr="0061063C" w:rsidRDefault="00323BB2" w:rsidP="00453AFA">
            <w:pPr>
              <w:spacing w:after="120"/>
              <w:ind w:left="-108"/>
              <w:rPr>
                <w:rFonts w:asciiTheme="minorHAnsi" w:hAnsiTheme="minorHAnsi"/>
                <w:b/>
                <w:bCs/>
                <w:sz w:val="20"/>
              </w:rPr>
            </w:pPr>
            <w:r w:rsidRPr="0061063C">
              <w:rPr>
                <w:rFonts w:asciiTheme="minorHAnsi" w:hAnsiTheme="minorHAnsi"/>
                <w:b/>
                <w:bCs/>
                <w:sz w:val="20"/>
              </w:rPr>
              <w:t>Assets</w:t>
            </w:r>
          </w:p>
        </w:tc>
        <w:tc>
          <w:tcPr>
            <w:tcW w:w="1843" w:type="dxa"/>
            <w:tcBorders>
              <w:top w:val="single" w:sz="4" w:space="0" w:color="auto"/>
              <w:left w:val="nil"/>
              <w:bottom w:val="nil"/>
              <w:right w:val="nil"/>
            </w:tcBorders>
          </w:tcPr>
          <w:p w14:paraId="33DEDFA3" w14:textId="77777777" w:rsidR="00323BB2" w:rsidRPr="0061063C" w:rsidRDefault="00323BB2" w:rsidP="00453AFA">
            <w:pPr>
              <w:jc w:val="right"/>
              <w:rPr>
                <w:rFonts w:asciiTheme="minorHAnsi" w:hAnsiTheme="minorHAnsi"/>
                <w:bCs/>
                <w:sz w:val="20"/>
              </w:rPr>
            </w:pPr>
          </w:p>
        </w:tc>
      </w:tr>
      <w:tr w:rsidR="00323BB2" w:rsidRPr="0061063C" w14:paraId="44EBE05D" w14:textId="77777777" w:rsidTr="00453AFA">
        <w:tc>
          <w:tcPr>
            <w:tcW w:w="5137" w:type="dxa"/>
            <w:tcBorders>
              <w:top w:val="nil"/>
              <w:left w:val="nil"/>
              <w:bottom w:val="nil"/>
              <w:right w:val="nil"/>
            </w:tcBorders>
          </w:tcPr>
          <w:p w14:paraId="254B2094"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Property, plant and equipment</w:t>
            </w:r>
          </w:p>
        </w:tc>
        <w:tc>
          <w:tcPr>
            <w:tcW w:w="1843" w:type="dxa"/>
            <w:tcBorders>
              <w:top w:val="nil"/>
              <w:left w:val="nil"/>
              <w:bottom w:val="nil"/>
              <w:right w:val="nil"/>
            </w:tcBorders>
          </w:tcPr>
          <w:p w14:paraId="4E2D8FA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102.2</w:t>
            </w:r>
          </w:p>
        </w:tc>
      </w:tr>
      <w:tr w:rsidR="00323BB2" w:rsidRPr="0061063C" w14:paraId="51DC4B29" w14:textId="77777777" w:rsidTr="00453AFA">
        <w:tc>
          <w:tcPr>
            <w:tcW w:w="5137" w:type="dxa"/>
            <w:tcBorders>
              <w:top w:val="nil"/>
              <w:left w:val="nil"/>
              <w:bottom w:val="nil"/>
              <w:right w:val="nil"/>
            </w:tcBorders>
          </w:tcPr>
          <w:p w14:paraId="280B379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Intangible assets</w:t>
            </w:r>
          </w:p>
        </w:tc>
        <w:tc>
          <w:tcPr>
            <w:tcW w:w="1843" w:type="dxa"/>
            <w:tcBorders>
              <w:top w:val="nil"/>
              <w:left w:val="nil"/>
              <w:bottom w:val="nil"/>
              <w:right w:val="nil"/>
            </w:tcBorders>
          </w:tcPr>
          <w:p w14:paraId="515F58BE"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5,295.4</w:t>
            </w:r>
          </w:p>
        </w:tc>
      </w:tr>
      <w:tr w:rsidR="00323BB2" w:rsidRPr="0061063C" w14:paraId="274F9ABB" w14:textId="77777777" w:rsidTr="00453AFA">
        <w:trPr>
          <w:trHeight w:val="180"/>
        </w:trPr>
        <w:tc>
          <w:tcPr>
            <w:tcW w:w="5137" w:type="dxa"/>
            <w:tcBorders>
              <w:left w:val="nil"/>
              <w:right w:val="nil"/>
            </w:tcBorders>
          </w:tcPr>
          <w:p w14:paraId="0B3C5171"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Deferred tax asset</w:t>
            </w:r>
          </w:p>
        </w:tc>
        <w:tc>
          <w:tcPr>
            <w:tcW w:w="1843" w:type="dxa"/>
            <w:tcBorders>
              <w:left w:val="nil"/>
              <w:right w:val="nil"/>
            </w:tcBorders>
          </w:tcPr>
          <w:p w14:paraId="240D24F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8.3</w:t>
            </w:r>
          </w:p>
        </w:tc>
      </w:tr>
      <w:tr w:rsidR="00323BB2" w:rsidRPr="0061063C" w14:paraId="144DE873" w14:textId="77777777" w:rsidTr="00453AFA">
        <w:trPr>
          <w:trHeight w:val="180"/>
        </w:trPr>
        <w:tc>
          <w:tcPr>
            <w:tcW w:w="5137" w:type="dxa"/>
            <w:tcBorders>
              <w:left w:val="nil"/>
              <w:right w:val="nil"/>
            </w:tcBorders>
          </w:tcPr>
          <w:p w14:paraId="33EFB59A"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Non-current tax receivable</w:t>
            </w:r>
          </w:p>
        </w:tc>
        <w:tc>
          <w:tcPr>
            <w:tcW w:w="1843" w:type="dxa"/>
            <w:tcBorders>
              <w:left w:val="nil"/>
              <w:right w:val="nil"/>
            </w:tcBorders>
          </w:tcPr>
          <w:p w14:paraId="0E169B3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19.1</w:t>
            </w:r>
          </w:p>
        </w:tc>
      </w:tr>
      <w:tr w:rsidR="00323BB2" w:rsidRPr="0061063C" w14:paraId="14D04C7E" w14:textId="77777777" w:rsidTr="00453AFA">
        <w:trPr>
          <w:trHeight w:val="180"/>
        </w:trPr>
        <w:tc>
          <w:tcPr>
            <w:tcW w:w="5137" w:type="dxa"/>
            <w:tcBorders>
              <w:left w:val="nil"/>
              <w:right w:val="nil"/>
            </w:tcBorders>
          </w:tcPr>
          <w:p w14:paraId="0BDB383B"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Derivative</w:t>
            </w:r>
            <w:r>
              <w:rPr>
                <w:rFonts w:asciiTheme="minorHAnsi" w:hAnsiTheme="minorHAnsi"/>
                <w:sz w:val="20"/>
              </w:rPr>
              <w:t xml:space="preserve"> financial assets</w:t>
            </w:r>
          </w:p>
        </w:tc>
        <w:tc>
          <w:tcPr>
            <w:tcW w:w="1843" w:type="dxa"/>
            <w:tcBorders>
              <w:left w:val="nil"/>
              <w:right w:val="nil"/>
            </w:tcBorders>
          </w:tcPr>
          <w:p w14:paraId="7408E89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79.2</w:t>
            </w:r>
          </w:p>
        </w:tc>
      </w:tr>
      <w:tr w:rsidR="00323BB2" w:rsidRPr="0061063C" w14:paraId="6CCE11BE" w14:textId="77777777" w:rsidTr="00453AFA">
        <w:trPr>
          <w:trHeight w:val="180"/>
        </w:trPr>
        <w:tc>
          <w:tcPr>
            <w:tcW w:w="5137" w:type="dxa"/>
            <w:tcBorders>
              <w:left w:val="nil"/>
              <w:right w:val="nil"/>
            </w:tcBorders>
          </w:tcPr>
          <w:p w14:paraId="16132AA9"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Investments</w:t>
            </w:r>
          </w:p>
        </w:tc>
        <w:tc>
          <w:tcPr>
            <w:tcW w:w="1843" w:type="dxa"/>
            <w:tcBorders>
              <w:left w:val="nil"/>
              <w:right w:val="nil"/>
            </w:tcBorders>
          </w:tcPr>
          <w:p w14:paraId="7858414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4.0</w:t>
            </w:r>
          </w:p>
        </w:tc>
      </w:tr>
      <w:tr w:rsidR="00323BB2" w:rsidRPr="0061063C" w14:paraId="29EDD740" w14:textId="77777777" w:rsidTr="00453AFA">
        <w:trPr>
          <w:trHeight w:val="180"/>
        </w:trPr>
        <w:tc>
          <w:tcPr>
            <w:tcW w:w="5137" w:type="dxa"/>
            <w:tcBorders>
              <w:left w:val="nil"/>
              <w:right w:val="nil"/>
            </w:tcBorders>
          </w:tcPr>
          <w:p w14:paraId="388BA015"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Other receivables</w:t>
            </w:r>
          </w:p>
        </w:tc>
        <w:tc>
          <w:tcPr>
            <w:tcW w:w="1843" w:type="dxa"/>
            <w:tcBorders>
              <w:left w:val="nil"/>
              <w:right w:val="nil"/>
            </w:tcBorders>
          </w:tcPr>
          <w:p w14:paraId="5F891B6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26.2</w:t>
            </w:r>
          </w:p>
        </w:tc>
      </w:tr>
      <w:tr w:rsidR="00323BB2" w:rsidRPr="0061063C" w14:paraId="5002D9BD" w14:textId="77777777" w:rsidTr="00453AFA">
        <w:trPr>
          <w:trHeight w:val="180"/>
        </w:trPr>
        <w:tc>
          <w:tcPr>
            <w:tcW w:w="5137" w:type="dxa"/>
            <w:tcBorders>
              <w:left w:val="nil"/>
              <w:right w:val="nil"/>
            </w:tcBorders>
          </w:tcPr>
          <w:p w14:paraId="2467840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assets – restricted cash</w:t>
            </w:r>
          </w:p>
        </w:tc>
        <w:tc>
          <w:tcPr>
            <w:tcW w:w="1843" w:type="dxa"/>
            <w:tcBorders>
              <w:left w:val="nil"/>
              <w:right w:val="nil"/>
            </w:tcBorders>
          </w:tcPr>
          <w:p w14:paraId="323FADF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8.9</w:t>
            </w:r>
          </w:p>
        </w:tc>
      </w:tr>
      <w:tr w:rsidR="00323BB2" w:rsidRPr="0061063C" w14:paraId="1F975068" w14:textId="77777777" w:rsidTr="00453AFA">
        <w:tc>
          <w:tcPr>
            <w:tcW w:w="5137" w:type="dxa"/>
            <w:tcBorders>
              <w:top w:val="single" w:sz="4" w:space="0" w:color="auto"/>
              <w:left w:val="nil"/>
              <w:bottom w:val="single" w:sz="4" w:space="0" w:color="auto"/>
              <w:right w:val="nil"/>
            </w:tcBorders>
          </w:tcPr>
          <w:p w14:paraId="18681A27"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non-current assets</w:t>
            </w:r>
          </w:p>
        </w:tc>
        <w:tc>
          <w:tcPr>
            <w:tcW w:w="1843" w:type="dxa"/>
            <w:tcBorders>
              <w:top w:val="single" w:sz="4" w:space="0" w:color="auto"/>
              <w:left w:val="nil"/>
              <w:bottom w:val="single" w:sz="4" w:space="0" w:color="auto"/>
              <w:right w:val="nil"/>
            </w:tcBorders>
          </w:tcPr>
          <w:p w14:paraId="6CC0129F" w14:textId="77777777" w:rsidR="00323BB2" w:rsidRPr="0061063C" w:rsidRDefault="00323BB2" w:rsidP="00453AFA">
            <w:pPr>
              <w:tabs>
                <w:tab w:val="center" w:pos="786"/>
                <w:tab w:val="right" w:pos="1572"/>
              </w:tabs>
              <w:jc w:val="right"/>
              <w:rPr>
                <w:rFonts w:asciiTheme="minorHAnsi" w:hAnsiTheme="minorHAnsi"/>
                <w:bCs/>
                <w:sz w:val="20"/>
              </w:rPr>
            </w:pPr>
            <w:r w:rsidRPr="0061063C">
              <w:rPr>
                <w:rFonts w:asciiTheme="minorHAnsi" w:hAnsiTheme="minorHAnsi"/>
                <w:bCs/>
                <w:sz w:val="20"/>
              </w:rPr>
              <w:t>5,543.3</w:t>
            </w:r>
          </w:p>
        </w:tc>
      </w:tr>
      <w:tr w:rsidR="00323BB2" w:rsidRPr="0061063C" w14:paraId="3755B758" w14:textId="77777777" w:rsidTr="00453AFA">
        <w:trPr>
          <w:trHeight w:val="331"/>
        </w:trPr>
        <w:tc>
          <w:tcPr>
            <w:tcW w:w="5137" w:type="dxa"/>
            <w:tcBorders>
              <w:top w:val="single" w:sz="4" w:space="0" w:color="auto"/>
              <w:left w:val="nil"/>
              <w:right w:val="nil"/>
            </w:tcBorders>
          </w:tcPr>
          <w:p w14:paraId="0AF455F7" w14:textId="77777777" w:rsidR="00323BB2" w:rsidRPr="0061063C" w:rsidRDefault="00323BB2" w:rsidP="00453AFA">
            <w:pPr>
              <w:ind w:left="-108"/>
              <w:rPr>
                <w:rFonts w:asciiTheme="minorHAnsi" w:hAnsiTheme="minorHAnsi"/>
                <w:sz w:val="20"/>
              </w:rPr>
            </w:pPr>
          </w:p>
          <w:p w14:paraId="5A929056"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Trade and other receivables</w:t>
            </w:r>
          </w:p>
        </w:tc>
        <w:tc>
          <w:tcPr>
            <w:tcW w:w="1843" w:type="dxa"/>
            <w:tcBorders>
              <w:top w:val="single" w:sz="4" w:space="0" w:color="auto"/>
              <w:left w:val="nil"/>
              <w:right w:val="nil"/>
            </w:tcBorders>
          </w:tcPr>
          <w:p w14:paraId="43B82881" w14:textId="77777777" w:rsidR="00323BB2" w:rsidRPr="0061063C" w:rsidRDefault="00323BB2" w:rsidP="00453AFA">
            <w:pPr>
              <w:jc w:val="right"/>
              <w:rPr>
                <w:rFonts w:asciiTheme="minorHAnsi" w:hAnsiTheme="minorHAnsi"/>
                <w:bCs/>
                <w:sz w:val="20"/>
              </w:rPr>
            </w:pPr>
          </w:p>
          <w:p w14:paraId="0AF6C0F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88.4</w:t>
            </w:r>
          </w:p>
        </w:tc>
      </w:tr>
      <w:tr w:rsidR="00323BB2" w:rsidRPr="0061063C" w14:paraId="73D52547" w14:textId="77777777" w:rsidTr="00453AFA">
        <w:trPr>
          <w:trHeight w:val="198"/>
        </w:trPr>
        <w:tc>
          <w:tcPr>
            <w:tcW w:w="5137" w:type="dxa"/>
            <w:tcBorders>
              <w:top w:val="nil"/>
              <w:left w:val="nil"/>
              <w:right w:val="nil"/>
            </w:tcBorders>
          </w:tcPr>
          <w:p w14:paraId="6E678F38"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Current tax receivable</w:t>
            </w:r>
          </w:p>
        </w:tc>
        <w:tc>
          <w:tcPr>
            <w:tcW w:w="1843" w:type="dxa"/>
            <w:tcBorders>
              <w:top w:val="nil"/>
              <w:left w:val="nil"/>
              <w:right w:val="nil"/>
            </w:tcBorders>
          </w:tcPr>
          <w:p w14:paraId="15EE58E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28.7</w:t>
            </w:r>
          </w:p>
        </w:tc>
      </w:tr>
      <w:tr w:rsidR="00323BB2" w:rsidRPr="0061063C" w14:paraId="3F3E90D7" w14:textId="77777777" w:rsidTr="00453AFA">
        <w:trPr>
          <w:trHeight w:val="198"/>
        </w:trPr>
        <w:tc>
          <w:tcPr>
            <w:tcW w:w="5137" w:type="dxa"/>
            <w:tcBorders>
              <w:top w:val="nil"/>
              <w:left w:val="nil"/>
              <w:right w:val="nil"/>
            </w:tcBorders>
          </w:tcPr>
          <w:p w14:paraId="5303F7B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assets – restricted cash</w:t>
            </w:r>
          </w:p>
        </w:tc>
        <w:tc>
          <w:tcPr>
            <w:tcW w:w="1843" w:type="dxa"/>
            <w:tcBorders>
              <w:top w:val="nil"/>
              <w:left w:val="nil"/>
              <w:right w:val="nil"/>
            </w:tcBorders>
          </w:tcPr>
          <w:p w14:paraId="5A425EE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292.4</w:t>
            </w:r>
          </w:p>
        </w:tc>
      </w:tr>
      <w:tr w:rsidR="00323BB2" w:rsidRPr="0061063C" w14:paraId="27B078AA" w14:textId="77777777" w:rsidTr="00453AFA">
        <w:trPr>
          <w:trHeight w:val="198"/>
        </w:trPr>
        <w:tc>
          <w:tcPr>
            <w:tcW w:w="5137" w:type="dxa"/>
            <w:tcBorders>
              <w:left w:val="nil"/>
              <w:right w:val="nil"/>
            </w:tcBorders>
          </w:tcPr>
          <w:p w14:paraId="5E475D4C"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 xml:space="preserve">Current </w:t>
            </w:r>
            <w:r>
              <w:rPr>
                <w:rFonts w:asciiTheme="minorHAnsi" w:hAnsiTheme="minorHAnsi"/>
                <w:sz w:val="20"/>
              </w:rPr>
              <w:t>i</w:t>
            </w:r>
            <w:r w:rsidRPr="0061063C">
              <w:rPr>
                <w:rFonts w:asciiTheme="minorHAnsi" w:hAnsiTheme="minorHAnsi"/>
                <w:sz w:val="20"/>
              </w:rPr>
              <w:t>nvestments – customer deposits</w:t>
            </w:r>
          </w:p>
        </w:tc>
        <w:tc>
          <w:tcPr>
            <w:tcW w:w="1843" w:type="dxa"/>
            <w:tcBorders>
              <w:left w:val="nil"/>
              <w:right w:val="nil"/>
            </w:tcBorders>
          </w:tcPr>
          <w:p w14:paraId="72D31A9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89.7</w:t>
            </w:r>
          </w:p>
        </w:tc>
      </w:tr>
      <w:tr w:rsidR="00323BB2" w:rsidRPr="0061063C" w14:paraId="7B5D8FBB" w14:textId="77777777" w:rsidTr="00453AFA">
        <w:trPr>
          <w:trHeight w:val="198"/>
        </w:trPr>
        <w:tc>
          <w:tcPr>
            <w:tcW w:w="5137" w:type="dxa"/>
            <w:tcBorders>
              <w:left w:val="nil"/>
              <w:bottom w:val="single" w:sz="4" w:space="0" w:color="auto"/>
              <w:right w:val="nil"/>
            </w:tcBorders>
          </w:tcPr>
          <w:p w14:paraId="3811C8D5"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Cash and cash equivalents</w:t>
            </w:r>
          </w:p>
        </w:tc>
        <w:tc>
          <w:tcPr>
            <w:tcW w:w="1843" w:type="dxa"/>
            <w:tcBorders>
              <w:left w:val="nil"/>
              <w:bottom w:val="single" w:sz="4" w:space="0" w:color="auto"/>
              <w:right w:val="nil"/>
            </w:tcBorders>
          </w:tcPr>
          <w:p w14:paraId="1D525A43"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445.2</w:t>
            </w:r>
          </w:p>
        </w:tc>
      </w:tr>
      <w:tr w:rsidR="00323BB2" w:rsidRPr="0061063C" w14:paraId="309C2910" w14:textId="77777777" w:rsidTr="00453AFA">
        <w:trPr>
          <w:trHeight w:val="215"/>
        </w:trPr>
        <w:tc>
          <w:tcPr>
            <w:tcW w:w="5137" w:type="dxa"/>
            <w:tcBorders>
              <w:top w:val="single" w:sz="4" w:space="0" w:color="auto"/>
              <w:left w:val="nil"/>
              <w:bottom w:val="single" w:sz="4" w:space="0" w:color="auto"/>
              <w:right w:val="nil"/>
            </w:tcBorders>
          </w:tcPr>
          <w:p w14:paraId="4F5FFF81"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current assets</w:t>
            </w:r>
          </w:p>
        </w:tc>
        <w:tc>
          <w:tcPr>
            <w:tcW w:w="1843" w:type="dxa"/>
            <w:tcBorders>
              <w:top w:val="single" w:sz="4" w:space="0" w:color="auto"/>
              <w:left w:val="nil"/>
              <w:bottom w:val="single" w:sz="4" w:space="0" w:color="auto"/>
              <w:right w:val="nil"/>
            </w:tcBorders>
          </w:tcPr>
          <w:p w14:paraId="30D9DA6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944.4</w:t>
            </w:r>
          </w:p>
        </w:tc>
      </w:tr>
      <w:tr w:rsidR="00323BB2" w:rsidRPr="0061063C" w14:paraId="1365D4BE" w14:textId="77777777" w:rsidTr="00453AFA">
        <w:trPr>
          <w:trHeight w:val="261"/>
        </w:trPr>
        <w:tc>
          <w:tcPr>
            <w:tcW w:w="5137" w:type="dxa"/>
            <w:tcBorders>
              <w:top w:val="single" w:sz="4" w:space="0" w:color="auto"/>
              <w:left w:val="nil"/>
              <w:bottom w:val="single" w:sz="4" w:space="0" w:color="auto"/>
              <w:right w:val="nil"/>
            </w:tcBorders>
          </w:tcPr>
          <w:p w14:paraId="71E01284" w14:textId="77777777" w:rsidR="00323BB2" w:rsidRPr="0061063C" w:rsidRDefault="00323BB2" w:rsidP="00453AFA">
            <w:pPr>
              <w:ind w:left="-108"/>
              <w:rPr>
                <w:rFonts w:asciiTheme="minorHAnsi" w:hAnsiTheme="minorHAnsi"/>
                <w:b/>
                <w:bCs/>
                <w:sz w:val="20"/>
              </w:rPr>
            </w:pPr>
          </w:p>
          <w:p w14:paraId="3C334BA3"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assets</w:t>
            </w:r>
          </w:p>
        </w:tc>
        <w:tc>
          <w:tcPr>
            <w:tcW w:w="1843" w:type="dxa"/>
            <w:tcBorders>
              <w:top w:val="single" w:sz="4" w:space="0" w:color="auto"/>
              <w:left w:val="nil"/>
              <w:bottom w:val="single" w:sz="4" w:space="0" w:color="auto"/>
              <w:right w:val="nil"/>
            </w:tcBorders>
          </w:tcPr>
          <w:p w14:paraId="16E98575" w14:textId="77777777" w:rsidR="00323BB2" w:rsidRPr="0061063C" w:rsidRDefault="00323BB2" w:rsidP="00453AFA">
            <w:pPr>
              <w:jc w:val="right"/>
              <w:rPr>
                <w:rFonts w:asciiTheme="minorHAnsi" w:hAnsiTheme="minorHAnsi"/>
                <w:bCs/>
                <w:sz w:val="20"/>
              </w:rPr>
            </w:pPr>
          </w:p>
          <w:p w14:paraId="17B199C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6,487.7</w:t>
            </w:r>
          </w:p>
        </w:tc>
      </w:tr>
      <w:tr w:rsidR="00323BB2" w:rsidRPr="0061063C" w14:paraId="1A2C7E61" w14:textId="77777777" w:rsidTr="00453AFA">
        <w:trPr>
          <w:trHeight w:val="576"/>
        </w:trPr>
        <w:tc>
          <w:tcPr>
            <w:tcW w:w="5137" w:type="dxa"/>
            <w:tcBorders>
              <w:top w:val="single" w:sz="4" w:space="0" w:color="auto"/>
              <w:left w:val="nil"/>
              <w:bottom w:val="nil"/>
              <w:right w:val="nil"/>
            </w:tcBorders>
          </w:tcPr>
          <w:p w14:paraId="449F4840" w14:textId="77777777" w:rsidR="00323BB2" w:rsidRPr="0061063C" w:rsidRDefault="00323BB2" w:rsidP="00453AFA">
            <w:pPr>
              <w:ind w:left="-108"/>
              <w:rPr>
                <w:rFonts w:asciiTheme="minorHAnsi" w:hAnsiTheme="minorHAnsi"/>
                <w:b/>
                <w:bCs/>
                <w:sz w:val="20"/>
              </w:rPr>
            </w:pPr>
          </w:p>
          <w:p w14:paraId="2DA3A72D"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Liabilities</w:t>
            </w:r>
          </w:p>
        </w:tc>
        <w:tc>
          <w:tcPr>
            <w:tcW w:w="1843" w:type="dxa"/>
            <w:tcBorders>
              <w:top w:val="single" w:sz="4" w:space="0" w:color="auto"/>
              <w:left w:val="nil"/>
              <w:right w:val="nil"/>
            </w:tcBorders>
          </w:tcPr>
          <w:p w14:paraId="7A5140B6" w14:textId="77777777" w:rsidR="00323BB2" w:rsidRPr="0061063C" w:rsidRDefault="00323BB2" w:rsidP="00453AFA">
            <w:pPr>
              <w:jc w:val="right"/>
              <w:rPr>
                <w:rFonts w:asciiTheme="minorHAnsi" w:hAnsiTheme="minorHAnsi"/>
                <w:bCs/>
                <w:sz w:val="20"/>
              </w:rPr>
            </w:pPr>
          </w:p>
        </w:tc>
      </w:tr>
      <w:tr w:rsidR="00323BB2" w:rsidRPr="0061063C" w14:paraId="403F1F99" w14:textId="77777777" w:rsidTr="00453AFA">
        <w:trPr>
          <w:trHeight w:val="185"/>
        </w:trPr>
        <w:tc>
          <w:tcPr>
            <w:tcW w:w="5137" w:type="dxa"/>
            <w:tcBorders>
              <w:top w:val="nil"/>
              <w:left w:val="nil"/>
              <w:bottom w:val="nil"/>
              <w:right w:val="nil"/>
            </w:tcBorders>
          </w:tcPr>
          <w:p w14:paraId="37F9173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Trade and other payables</w:t>
            </w:r>
          </w:p>
        </w:tc>
        <w:tc>
          <w:tcPr>
            <w:tcW w:w="1843" w:type="dxa"/>
            <w:tcBorders>
              <w:left w:val="nil"/>
              <w:right w:val="nil"/>
            </w:tcBorders>
          </w:tcPr>
          <w:p w14:paraId="69FD94B7" w14:textId="77777777" w:rsidR="00323BB2" w:rsidRPr="0061063C" w:rsidRDefault="00323BB2" w:rsidP="00453AFA">
            <w:pPr>
              <w:jc w:val="right"/>
              <w:rPr>
                <w:rFonts w:asciiTheme="minorHAnsi" w:hAnsiTheme="minorHAnsi"/>
                <w:bCs/>
                <w:sz w:val="20"/>
              </w:rPr>
            </w:pPr>
            <w:r w:rsidRPr="00AC2CA5">
              <w:rPr>
                <w:rFonts w:asciiTheme="minorHAnsi" w:hAnsiTheme="minorHAnsi"/>
                <w:bCs/>
                <w:sz w:val="20"/>
              </w:rPr>
              <w:t>496.4</w:t>
            </w:r>
          </w:p>
        </w:tc>
      </w:tr>
      <w:tr w:rsidR="00323BB2" w:rsidRPr="0061063C" w14:paraId="59B778C9" w14:textId="77777777" w:rsidTr="00453AFA">
        <w:trPr>
          <w:trHeight w:val="80"/>
        </w:trPr>
        <w:tc>
          <w:tcPr>
            <w:tcW w:w="5137" w:type="dxa"/>
            <w:tcBorders>
              <w:top w:val="nil"/>
              <w:left w:val="nil"/>
              <w:bottom w:val="nil"/>
              <w:right w:val="nil"/>
            </w:tcBorders>
          </w:tcPr>
          <w:p w14:paraId="50AC18BB"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Customer balances</w:t>
            </w:r>
          </w:p>
        </w:tc>
        <w:tc>
          <w:tcPr>
            <w:tcW w:w="1843" w:type="dxa"/>
            <w:tcBorders>
              <w:top w:val="nil"/>
              <w:left w:val="nil"/>
              <w:right w:val="nil"/>
            </w:tcBorders>
          </w:tcPr>
          <w:p w14:paraId="753DAA3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376.7</w:t>
            </w:r>
          </w:p>
        </w:tc>
      </w:tr>
      <w:tr w:rsidR="00323BB2" w:rsidRPr="0061063C" w14:paraId="69FCD644" w14:textId="77777777" w:rsidTr="00453AFA">
        <w:trPr>
          <w:trHeight w:val="80"/>
        </w:trPr>
        <w:tc>
          <w:tcPr>
            <w:tcW w:w="5137" w:type="dxa"/>
            <w:tcBorders>
              <w:top w:val="nil"/>
              <w:left w:val="nil"/>
              <w:bottom w:val="nil"/>
              <w:right w:val="nil"/>
            </w:tcBorders>
          </w:tcPr>
          <w:p w14:paraId="6EA1A66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Derivative financial liabilities</w:t>
            </w:r>
          </w:p>
        </w:tc>
        <w:tc>
          <w:tcPr>
            <w:tcW w:w="1843" w:type="dxa"/>
            <w:tcBorders>
              <w:top w:val="nil"/>
              <w:left w:val="nil"/>
              <w:right w:val="nil"/>
            </w:tcBorders>
          </w:tcPr>
          <w:p w14:paraId="4A7AF45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10.0</w:t>
            </w:r>
          </w:p>
        </w:tc>
      </w:tr>
      <w:tr w:rsidR="00323BB2" w:rsidRPr="0061063C" w14:paraId="3A7C8623" w14:textId="77777777" w:rsidTr="00453AFA">
        <w:trPr>
          <w:trHeight w:val="80"/>
        </w:trPr>
        <w:tc>
          <w:tcPr>
            <w:tcW w:w="5137" w:type="dxa"/>
            <w:tcBorders>
              <w:top w:val="nil"/>
              <w:left w:val="nil"/>
              <w:bottom w:val="nil"/>
              <w:right w:val="nil"/>
            </w:tcBorders>
          </w:tcPr>
          <w:p w14:paraId="23B4EA0A"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Provisions</w:t>
            </w:r>
          </w:p>
        </w:tc>
        <w:tc>
          <w:tcPr>
            <w:tcW w:w="1843" w:type="dxa"/>
            <w:tcBorders>
              <w:top w:val="nil"/>
              <w:left w:val="nil"/>
              <w:right w:val="nil"/>
            </w:tcBorders>
          </w:tcPr>
          <w:p w14:paraId="6E83345B" w14:textId="77777777" w:rsidR="00323BB2" w:rsidRPr="0061063C" w:rsidRDefault="00323BB2" w:rsidP="00453AFA">
            <w:pPr>
              <w:jc w:val="right"/>
              <w:rPr>
                <w:rFonts w:asciiTheme="minorHAnsi" w:hAnsiTheme="minorHAnsi"/>
                <w:bCs/>
                <w:sz w:val="20"/>
              </w:rPr>
            </w:pPr>
            <w:r w:rsidRPr="00096E7B">
              <w:rPr>
                <w:rFonts w:asciiTheme="minorHAnsi" w:hAnsiTheme="minorHAnsi"/>
                <w:bCs/>
                <w:sz w:val="20"/>
              </w:rPr>
              <w:t>1.4</w:t>
            </w:r>
          </w:p>
        </w:tc>
      </w:tr>
      <w:tr w:rsidR="00323BB2" w:rsidRPr="0061063C" w14:paraId="330884DE" w14:textId="77777777" w:rsidTr="00453AFA">
        <w:trPr>
          <w:trHeight w:val="225"/>
        </w:trPr>
        <w:tc>
          <w:tcPr>
            <w:tcW w:w="5137" w:type="dxa"/>
            <w:tcBorders>
              <w:top w:val="nil"/>
              <w:left w:val="nil"/>
              <w:right w:val="nil"/>
            </w:tcBorders>
          </w:tcPr>
          <w:p w14:paraId="5632C8F3" w14:textId="77777777" w:rsidR="00323BB2" w:rsidRPr="0061063C" w:rsidRDefault="00323BB2" w:rsidP="00453AFA">
            <w:pPr>
              <w:ind w:left="-108"/>
              <w:rPr>
                <w:rFonts w:asciiTheme="minorHAnsi" w:hAnsiTheme="minorHAnsi"/>
                <w:b/>
                <w:bCs/>
                <w:sz w:val="20"/>
              </w:rPr>
            </w:pPr>
            <w:r w:rsidRPr="0061063C">
              <w:rPr>
                <w:rFonts w:asciiTheme="minorHAnsi" w:hAnsiTheme="minorHAnsi"/>
                <w:sz w:val="20"/>
              </w:rPr>
              <w:t>Current tax payable</w:t>
            </w:r>
          </w:p>
        </w:tc>
        <w:tc>
          <w:tcPr>
            <w:tcW w:w="1843" w:type="dxa"/>
            <w:tcBorders>
              <w:left w:val="nil"/>
              <w:right w:val="nil"/>
            </w:tcBorders>
          </w:tcPr>
          <w:p w14:paraId="7554031E"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15.1</w:t>
            </w:r>
          </w:p>
        </w:tc>
      </w:tr>
      <w:tr w:rsidR="00323BB2" w:rsidRPr="0061063C" w14:paraId="71C0D55C" w14:textId="77777777" w:rsidTr="00453AFA">
        <w:trPr>
          <w:trHeight w:val="225"/>
        </w:trPr>
        <w:tc>
          <w:tcPr>
            <w:tcW w:w="5137" w:type="dxa"/>
            <w:tcBorders>
              <w:top w:val="nil"/>
              <w:left w:val="nil"/>
              <w:right w:val="nil"/>
            </w:tcBorders>
          </w:tcPr>
          <w:p w14:paraId="68DE12E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Lease liabilities</w:t>
            </w:r>
          </w:p>
        </w:tc>
        <w:tc>
          <w:tcPr>
            <w:tcW w:w="1843" w:type="dxa"/>
            <w:tcBorders>
              <w:left w:val="nil"/>
              <w:right w:val="nil"/>
            </w:tcBorders>
          </w:tcPr>
          <w:p w14:paraId="2A89564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16.4</w:t>
            </w:r>
          </w:p>
        </w:tc>
      </w:tr>
      <w:tr w:rsidR="00323BB2" w:rsidRPr="0061063C" w14:paraId="08E82FE9" w14:textId="77777777" w:rsidTr="00453AFA">
        <w:trPr>
          <w:trHeight w:val="225"/>
        </w:trPr>
        <w:tc>
          <w:tcPr>
            <w:tcW w:w="5137" w:type="dxa"/>
            <w:tcBorders>
              <w:top w:val="nil"/>
              <w:left w:val="nil"/>
              <w:right w:val="nil"/>
            </w:tcBorders>
          </w:tcPr>
          <w:p w14:paraId="0DC6214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Borrowings</w:t>
            </w:r>
          </w:p>
        </w:tc>
        <w:tc>
          <w:tcPr>
            <w:tcW w:w="1843" w:type="dxa"/>
            <w:tcBorders>
              <w:left w:val="nil"/>
              <w:right w:val="nil"/>
            </w:tcBorders>
          </w:tcPr>
          <w:p w14:paraId="04F6BE1E"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59.7</w:t>
            </w:r>
          </w:p>
        </w:tc>
      </w:tr>
      <w:tr w:rsidR="00323BB2" w:rsidRPr="0061063C" w14:paraId="7131EE8F" w14:textId="77777777" w:rsidTr="00453AFA">
        <w:trPr>
          <w:trHeight w:val="227"/>
        </w:trPr>
        <w:tc>
          <w:tcPr>
            <w:tcW w:w="5137" w:type="dxa"/>
            <w:tcBorders>
              <w:top w:val="single" w:sz="4" w:space="0" w:color="auto"/>
              <w:left w:val="nil"/>
              <w:bottom w:val="single" w:sz="4" w:space="0" w:color="auto"/>
              <w:right w:val="nil"/>
            </w:tcBorders>
          </w:tcPr>
          <w:p w14:paraId="4E82BB29"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current liabilities</w:t>
            </w:r>
          </w:p>
        </w:tc>
        <w:tc>
          <w:tcPr>
            <w:tcW w:w="1843" w:type="dxa"/>
            <w:tcBorders>
              <w:top w:val="single" w:sz="4" w:space="0" w:color="auto"/>
              <w:left w:val="nil"/>
              <w:bottom w:val="single" w:sz="4" w:space="0" w:color="auto"/>
              <w:right w:val="nil"/>
            </w:tcBorders>
          </w:tcPr>
          <w:p w14:paraId="0852F29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9</w:t>
            </w:r>
            <w:r>
              <w:rPr>
                <w:rFonts w:asciiTheme="minorHAnsi" w:hAnsiTheme="minorHAnsi"/>
                <w:bCs/>
                <w:sz w:val="20"/>
              </w:rPr>
              <w:t>75</w:t>
            </w:r>
            <w:r w:rsidRPr="0061063C">
              <w:rPr>
                <w:rFonts w:asciiTheme="minorHAnsi" w:hAnsiTheme="minorHAnsi"/>
                <w:bCs/>
                <w:sz w:val="20"/>
              </w:rPr>
              <w:t>.</w:t>
            </w:r>
            <w:r>
              <w:rPr>
                <w:rFonts w:asciiTheme="minorHAnsi" w:hAnsiTheme="minorHAnsi"/>
                <w:bCs/>
                <w:sz w:val="20"/>
              </w:rPr>
              <w:t>7</w:t>
            </w:r>
          </w:p>
        </w:tc>
      </w:tr>
      <w:tr w:rsidR="00323BB2" w:rsidRPr="0061063C" w14:paraId="2E0B77E9" w14:textId="77777777" w:rsidTr="00453AFA">
        <w:trPr>
          <w:trHeight w:val="231"/>
        </w:trPr>
        <w:tc>
          <w:tcPr>
            <w:tcW w:w="5137" w:type="dxa"/>
            <w:tcBorders>
              <w:top w:val="single" w:sz="4" w:space="0" w:color="auto"/>
              <w:left w:val="nil"/>
              <w:right w:val="nil"/>
            </w:tcBorders>
          </w:tcPr>
          <w:p w14:paraId="2399E461" w14:textId="77777777" w:rsidR="00323BB2" w:rsidRPr="0061063C" w:rsidRDefault="00323BB2" w:rsidP="00453AFA">
            <w:pPr>
              <w:ind w:left="-108"/>
              <w:rPr>
                <w:rFonts w:asciiTheme="minorHAnsi" w:hAnsiTheme="minorHAnsi"/>
                <w:b/>
                <w:bCs/>
                <w:sz w:val="20"/>
              </w:rPr>
            </w:pPr>
          </w:p>
        </w:tc>
        <w:tc>
          <w:tcPr>
            <w:tcW w:w="1843" w:type="dxa"/>
            <w:tcBorders>
              <w:top w:val="single" w:sz="4" w:space="0" w:color="auto"/>
              <w:left w:val="nil"/>
              <w:right w:val="nil"/>
            </w:tcBorders>
          </w:tcPr>
          <w:p w14:paraId="61DB1D9A" w14:textId="77777777" w:rsidR="00323BB2" w:rsidRPr="0061063C" w:rsidRDefault="00323BB2" w:rsidP="00453AFA">
            <w:pPr>
              <w:jc w:val="right"/>
              <w:rPr>
                <w:rFonts w:asciiTheme="minorHAnsi" w:hAnsiTheme="minorHAnsi"/>
                <w:bCs/>
                <w:sz w:val="20"/>
              </w:rPr>
            </w:pPr>
          </w:p>
        </w:tc>
      </w:tr>
      <w:tr w:rsidR="00323BB2" w:rsidRPr="0061063C" w14:paraId="36574891" w14:textId="77777777" w:rsidTr="00453AFA">
        <w:tc>
          <w:tcPr>
            <w:tcW w:w="5137" w:type="dxa"/>
            <w:tcBorders>
              <w:top w:val="nil"/>
              <w:left w:val="nil"/>
              <w:right w:val="nil"/>
            </w:tcBorders>
          </w:tcPr>
          <w:p w14:paraId="0903ECC1"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Trade and other payables</w:t>
            </w:r>
          </w:p>
        </w:tc>
        <w:tc>
          <w:tcPr>
            <w:tcW w:w="1843" w:type="dxa"/>
            <w:tcBorders>
              <w:left w:val="nil"/>
              <w:right w:val="nil"/>
            </w:tcBorders>
          </w:tcPr>
          <w:p w14:paraId="769E6A0C" w14:textId="77777777" w:rsidR="00323BB2" w:rsidRPr="0061063C" w:rsidRDefault="00323BB2" w:rsidP="00453AFA">
            <w:pPr>
              <w:jc w:val="right"/>
              <w:rPr>
                <w:rFonts w:asciiTheme="minorHAnsi" w:hAnsiTheme="minorHAnsi"/>
                <w:bCs/>
                <w:sz w:val="20"/>
              </w:rPr>
            </w:pPr>
            <w:r>
              <w:rPr>
                <w:rFonts w:asciiTheme="minorHAnsi" w:hAnsiTheme="minorHAnsi"/>
                <w:bCs/>
                <w:sz w:val="20"/>
              </w:rPr>
              <w:t>3.1</w:t>
            </w:r>
          </w:p>
        </w:tc>
      </w:tr>
      <w:tr w:rsidR="00323BB2" w:rsidRPr="0061063C" w14:paraId="025F9E16" w14:textId="77777777" w:rsidTr="00453AFA">
        <w:tc>
          <w:tcPr>
            <w:tcW w:w="5137" w:type="dxa"/>
            <w:tcBorders>
              <w:top w:val="nil"/>
              <w:left w:val="nil"/>
              <w:right w:val="nil"/>
            </w:tcBorders>
          </w:tcPr>
          <w:p w14:paraId="4D87C668"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Derivative financial liabilities</w:t>
            </w:r>
          </w:p>
        </w:tc>
        <w:tc>
          <w:tcPr>
            <w:tcW w:w="1843" w:type="dxa"/>
            <w:tcBorders>
              <w:left w:val="nil"/>
              <w:right w:val="nil"/>
            </w:tcBorders>
          </w:tcPr>
          <w:p w14:paraId="6CD3548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56.9</w:t>
            </w:r>
          </w:p>
        </w:tc>
      </w:tr>
      <w:tr w:rsidR="00323BB2" w:rsidRPr="0061063C" w14:paraId="3B2F6BC1" w14:textId="77777777" w:rsidTr="00453AFA">
        <w:tc>
          <w:tcPr>
            <w:tcW w:w="5137" w:type="dxa"/>
            <w:tcBorders>
              <w:top w:val="nil"/>
              <w:left w:val="nil"/>
              <w:right w:val="nil"/>
            </w:tcBorders>
          </w:tcPr>
          <w:p w14:paraId="29406505"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Provisions</w:t>
            </w:r>
          </w:p>
        </w:tc>
        <w:tc>
          <w:tcPr>
            <w:tcW w:w="1843" w:type="dxa"/>
            <w:tcBorders>
              <w:left w:val="nil"/>
              <w:right w:val="nil"/>
            </w:tcBorders>
            <w:shd w:val="clear" w:color="auto" w:fill="auto"/>
          </w:tcPr>
          <w:p w14:paraId="26703F0C" w14:textId="77777777" w:rsidR="00323BB2" w:rsidRPr="0061063C" w:rsidRDefault="00323BB2" w:rsidP="00453AFA">
            <w:pPr>
              <w:jc w:val="right"/>
              <w:rPr>
                <w:rFonts w:asciiTheme="minorHAnsi" w:hAnsiTheme="minorHAnsi"/>
                <w:bCs/>
                <w:sz w:val="20"/>
              </w:rPr>
            </w:pPr>
            <w:r w:rsidRPr="00096E7B">
              <w:rPr>
                <w:rFonts w:asciiTheme="minorHAnsi" w:hAnsiTheme="minorHAnsi"/>
                <w:bCs/>
                <w:sz w:val="20"/>
              </w:rPr>
              <w:t>49.3</w:t>
            </w:r>
          </w:p>
        </w:tc>
      </w:tr>
      <w:tr w:rsidR="00323BB2" w:rsidRPr="0061063C" w14:paraId="0A2CA1EA" w14:textId="77777777" w:rsidTr="00453AFA">
        <w:tc>
          <w:tcPr>
            <w:tcW w:w="5137" w:type="dxa"/>
            <w:tcBorders>
              <w:top w:val="nil"/>
              <w:left w:val="nil"/>
              <w:right w:val="nil"/>
            </w:tcBorders>
          </w:tcPr>
          <w:p w14:paraId="25458E07"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Non-current tax payable</w:t>
            </w:r>
          </w:p>
        </w:tc>
        <w:tc>
          <w:tcPr>
            <w:tcW w:w="1843" w:type="dxa"/>
            <w:tcBorders>
              <w:left w:val="nil"/>
              <w:right w:val="nil"/>
            </w:tcBorders>
          </w:tcPr>
          <w:p w14:paraId="78665DE2" w14:textId="77777777" w:rsidR="00323BB2" w:rsidRPr="0061063C" w:rsidRDefault="00323BB2" w:rsidP="00453AFA">
            <w:pPr>
              <w:jc w:val="right"/>
              <w:rPr>
                <w:rFonts w:asciiTheme="minorHAnsi" w:hAnsiTheme="minorHAnsi"/>
                <w:bCs/>
                <w:sz w:val="20"/>
              </w:rPr>
            </w:pPr>
            <w:r w:rsidRPr="00CA05C2">
              <w:rPr>
                <w:rFonts w:asciiTheme="minorHAnsi" w:hAnsiTheme="minorHAnsi"/>
                <w:bCs/>
                <w:sz w:val="20"/>
              </w:rPr>
              <w:t>22.3</w:t>
            </w:r>
          </w:p>
        </w:tc>
      </w:tr>
      <w:tr w:rsidR="00323BB2" w:rsidRPr="0061063C" w14:paraId="79DB4B90" w14:textId="77777777" w:rsidTr="00453AFA">
        <w:tc>
          <w:tcPr>
            <w:tcW w:w="5137" w:type="dxa"/>
            <w:tcBorders>
              <w:top w:val="nil"/>
              <w:left w:val="nil"/>
              <w:right w:val="nil"/>
            </w:tcBorders>
          </w:tcPr>
          <w:p w14:paraId="6D4C3664"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Deferred tax liabilities</w:t>
            </w:r>
          </w:p>
        </w:tc>
        <w:tc>
          <w:tcPr>
            <w:tcW w:w="1843" w:type="dxa"/>
            <w:tcBorders>
              <w:left w:val="nil"/>
              <w:right w:val="nil"/>
            </w:tcBorders>
          </w:tcPr>
          <w:p w14:paraId="1FCF96D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491.5</w:t>
            </w:r>
          </w:p>
        </w:tc>
      </w:tr>
      <w:tr w:rsidR="00323BB2" w:rsidRPr="0061063C" w14:paraId="36D356DF" w14:textId="77777777" w:rsidTr="00453AFA">
        <w:tc>
          <w:tcPr>
            <w:tcW w:w="5137" w:type="dxa"/>
            <w:tcBorders>
              <w:top w:val="nil"/>
              <w:left w:val="nil"/>
              <w:right w:val="nil"/>
            </w:tcBorders>
          </w:tcPr>
          <w:p w14:paraId="6CEEC4C0"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Lease liabilities</w:t>
            </w:r>
          </w:p>
        </w:tc>
        <w:tc>
          <w:tcPr>
            <w:tcW w:w="1843" w:type="dxa"/>
            <w:tcBorders>
              <w:left w:val="nil"/>
              <w:right w:val="nil"/>
            </w:tcBorders>
          </w:tcPr>
          <w:p w14:paraId="1EFEFA4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26.1</w:t>
            </w:r>
          </w:p>
        </w:tc>
      </w:tr>
      <w:tr w:rsidR="00323BB2" w:rsidRPr="0061063C" w14:paraId="3B5F3895" w14:textId="77777777" w:rsidTr="00453AFA">
        <w:tc>
          <w:tcPr>
            <w:tcW w:w="5137" w:type="dxa"/>
            <w:tcBorders>
              <w:top w:val="nil"/>
              <w:left w:val="nil"/>
              <w:right w:val="nil"/>
            </w:tcBorders>
          </w:tcPr>
          <w:p w14:paraId="64B878E2"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Borrowings</w:t>
            </w:r>
          </w:p>
        </w:tc>
        <w:tc>
          <w:tcPr>
            <w:tcW w:w="1843" w:type="dxa"/>
            <w:tcBorders>
              <w:left w:val="nil"/>
              <w:right w:val="nil"/>
            </w:tcBorders>
          </w:tcPr>
          <w:p w14:paraId="1402681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3,873.9</w:t>
            </w:r>
          </w:p>
        </w:tc>
      </w:tr>
      <w:tr w:rsidR="00323BB2" w:rsidRPr="0061063C" w14:paraId="49506E45" w14:textId="77777777" w:rsidTr="00453AFA">
        <w:tc>
          <w:tcPr>
            <w:tcW w:w="5137" w:type="dxa"/>
            <w:tcBorders>
              <w:top w:val="single" w:sz="4" w:space="0" w:color="auto"/>
              <w:left w:val="nil"/>
              <w:bottom w:val="single" w:sz="4" w:space="0" w:color="auto"/>
              <w:right w:val="nil"/>
            </w:tcBorders>
          </w:tcPr>
          <w:p w14:paraId="4F0A6EE4"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non-current liabilities</w:t>
            </w:r>
          </w:p>
        </w:tc>
        <w:tc>
          <w:tcPr>
            <w:tcW w:w="1843" w:type="dxa"/>
            <w:tcBorders>
              <w:top w:val="single" w:sz="4" w:space="0" w:color="auto"/>
              <w:left w:val="nil"/>
              <w:bottom w:val="single" w:sz="4" w:space="0" w:color="auto"/>
              <w:right w:val="nil"/>
            </w:tcBorders>
          </w:tcPr>
          <w:p w14:paraId="5E4CF49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4,5</w:t>
            </w:r>
            <w:r>
              <w:rPr>
                <w:rFonts w:asciiTheme="minorHAnsi" w:hAnsiTheme="minorHAnsi"/>
                <w:bCs/>
                <w:sz w:val="20"/>
              </w:rPr>
              <w:t>23</w:t>
            </w:r>
            <w:r w:rsidRPr="0061063C">
              <w:rPr>
                <w:rFonts w:asciiTheme="minorHAnsi" w:hAnsiTheme="minorHAnsi"/>
                <w:bCs/>
                <w:sz w:val="20"/>
              </w:rPr>
              <w:t>.</w:t>
            </w:r>
            <w:r>
              <w:rPr>
                <w:rFonts w:asciiTheme="minorHAnsi" w:hAnsiTheme="minorHAnsi"/>
                <w:bCs/>
                <w:sz w:val="20"/>
              </w:rPr>
              <w:t>1</w:t>
            </w:r>
          </w:p>
        </w:tc>
      </w:tr>
      <w:tr w:rsidR="00323BB2" w:rsidRPr="0061063C" w14:paraId="7A48A66E" w14:textId="77777777" w:rsidTr="00453AFA">
        <w:trPr>
          <w:trHeight w:val="247"/>
        </w:trPr>
        <w:tc>
          <w:tcPr>
            <w:tcW w:w="5137" w:type="dxa"/>
            <w:tcBorders>
              <w:top w:val="single" w:sz="4" w:space="0" w:color="auto"/>
              <w:left w:val="nil"/>
              <w:bottom w:val="single" w:sz="4" w:space="0" w:color="auto"/>
              <w:right w:val="nil"/>
            </w:tcBorders>
          </w:tcPr>
          <w:p w14:paraId="2DA31AFE" w14:textId="77777777" w:rsidR="00323BB2" w:rsidRPr="0061063C" w:rsidRDefault="00323BB2" w:rsidP="00453AFA">
            <w:pPr>
              <w:ind w:left="-108"/>
              <w:rPr>
                <w:rFonts w:asciiTheme="minorHAnsi" w:hAnsiTheme="minorHAnsi"/>
                <w:bCs/>
                <w:sz w:val="20"/>
              </w:rPr>
            </w:pPr>
          </w:p>
          <w:p w14:paraId="654F5884"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liabilities</w:t>
            </w:r>
          </w:p>
        </w:tc>
        <w:tc>
          <w:tcPr>
            <w:tcW w:w="1843" w:type="dxa"/>
            <w:tcBorders>
              <w:top w:val="single" w:sz="4" w:space="0" w:color="auto"/>
              <w:left w:val="nil"/>
              <w:bottom w:val="single" w:sz="4" w:space="0" w:color="auto"/>
              <w:right w:val="nil"/>
            </w:tcBorders>
          </w:tcPr>
          <w:p w14:paraId="30039C6A" w14:textId="77777777" w:rsidR="00323BB2" w:rsidRPr="0061063C" w:rsidRDefault="00323BB2" w:rsidP="00453AFA">
            <w:pPr>
              <w:jc w:val="right"/>
              <w:rPr>
                <w:rFonts w:asciiTheme="minorHAnsi" w:hAnsiTheme="minorHAnsi"/>
                <w:bCs/>
                <w:sz w:val="20"/>
              </w:rPr>
            </w:pPr>
          </w:p>
          <w:p w14:paraId="15946DE5"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5,498.8</w:t>
            </w:r>
          </w:p>
        </w:tc>
      </w:tr>
      <w:tr w:rsidR="00323BB2" w:rsidRPr="0061063C" w14:paraId="6E9A6F88" w14:textId="77777777" w:rsidTr="00453AFA">
        <w:trPr>
          <w:trHeight w:val="336"/>
        </w:trPr>
        <w:tc>
          <w:tcPr>
            <w:tcW w:w="5137" w:type="dxa"/>
            <w:tcBorders>
              <w:top w:val="single" w:sz="4" w:space="0" w:color="auto"/>
              <w:left w:val="nil"/>
              <w:bottom w:val="single" w:sz="4" w:space="0" w:color="auto"/>
              <w:right w:val="nil"/>
            </w:tcBorders>
            <w:vAlign w:val="bottom"/>
          </w:tcPr>
          <w:p w14:paraId="5025CBA9"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Net assets acquired</w:t>
            </w:r>
          </w:p>
        </w:tc>
        <w:tc>
          <w:tcPr>
            <w:tcW w:w="1843" w:type="dxa"/>
            <w:tcBorders>
              <w:top w:val="single" w:sz="4" w:space="0" w:color="auto"/>
              <w:left w:val="nil"/>
              <w:bottom w:val="single" w:sz="4" w:space="0" w:color="auto"/>
              <w:right w:val="nil"/>
            </w:tcBorders>
            <w:vAlign w:val="bottom"/>
          </w:tcPr>
          <w:p w14:paraId="5502FC6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988.9</w:t>
            </w:r>
          </w:p>
        </w:tc>
      </w:tr>
      <w:tr w:rsidR="00323BB2" w:rsidRPr="0061063C" w14:paraId="11FBE742" w14:textId="77777777" w:rsidTr="00453AFA">
        <w:trPr>
          <w:trHeight w:val="336"/>
        </w:trPr>
        <w:tc>
          <w:tcPr>
            <w:tcW w:w="5137" w:type="dxa"/>
            <w:tcBorders>
              <w:top w:val="single" w:sz="4" w:space="0" w:color="auto"/>
              <w:left w:val="nil"/>
              <w:bottom w:val="single" w:sz="4" w:space="0" w:color="auto"/>
              <w:right w:val="nil"/>
            </w:tcBorders>
            <w:vAlign w:val="bottom"/>
          </w:tcPr>
          <w:p w14:paraId="35B5AC5E"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Goodwill</w:t>
            </w:r>
          </w:p>
        </w:tc>
        <w:tc>
          <w:tcPr>
            <w:tcW w:w="1843" w:type="dxa"/>
            <w:tcBorders>
              <w:top w:val="single" w:sz="4" w:space="0" w:color="auto"/>
              <w:left w:val="nil"/>
              <w:bottom w:val="single" w:sz="4" w:space="0" w:color="auto"/>
              <w:right w:val="nil"/>
            </w:tcBorders>
            <w:vAlign w:val="bottom"/>
          </w:tcPr>
          <w:p w14:paraId="15A264A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5,264.5</w:t>
            </w:r>
          </w:p>
        </w:tc>
      </w:tr>
      <w:tr w:rsidR="00323BB2" w:rsidRPr="0061063C" w14:paraId="4FEED116" w14:textId="77777777" w:rsidTr="00453AFA">
        <w:trPr>
          <w:trHeight w:val="336"/>
        </w:trPr>
        <w:tc>
          <w:tcPr>
            <w:tcW w:w="5137" w:type="dxa"/>
            <w:tcBorders>
              <w:top w:val="single" w:sz="4" w:space="0" w:color="auto"/>
              <w:left w:val="nil"/>
              <w:bottom w:val="single" w:sz="4" w:space="0" w:color="auto"/>
              <w:right w:val="nil"/>
            </w:tcBorders>
            <w:vAlign w:val="bottom"/>
          </w:tcPr>
          <w:p w14:paraId="07E3963D"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Consideration</w:t>
            </w:r>
          </w:p>
        </w:tc>
        <w:tc>
          <w:tcPr>
            <w:tcW w:w="1843" w:type="dxa"/>
            <w:tcBorders>
              <w:top w:val="single" w:sz="4" w:space="0" w:color="auto"/>
              <w:left w:val="nil"/>
              <w:bottom w:val="single" w:sz="4" w:space="0" w:color="auto"/>
              <w:right w:val="nil"/>
            </w:tcBorders>
            <w:vAlign w:val="bottom"/>
          </w:tcPr>
          <w:p w14:paraId="41074BA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6,253.4</w:t>
            </w:r>
          </w:p>
        </w:tc>
      </w:tr>
      <w:tr w:rsidR="00323BB2" w:rsidRPr="0061063C" w14:paraId="0715E9B3" w14:textId="77777777" w:rsidTr="00453AFA">
        <w:trPr>
          <w:trHeight w:val="336"/>
        </w:trPr>
        <w:tc>
          <w:tcPr>
            <w:tcW w:w="5137" w:type="dxa"/>
            <w:tcBorders>
              <w:top w:val="single" w:sz="4" w:space="0" w:color="auto"/>
              <w:left w:val="nil"/>
              <w:right w:val="nil"/>
            </w:tcBorders>
            <w:vAlign w:val="bottom"/>
          </w:tcPr>
          <w:p w14:paraId="17D81D66" w14:textId="77777777" w:rsidR="00323BB2" w:rsidRPr="0061063C" w:rsidRDefault="00323BB2" w:rsidP="00453AFA">
            <w:pPr>
              <w:ind w:left="-108"/>
              <w:rPr>
                <w:rFonts w:asciiTheme="minorHAnsi" w:hAnsiTheme="minorHAnsi"/>
                <w:b/>
                <w:bCs/>
                <w:sz w:val="20"/>
              </w:rPr>
            </w:pPr>
          </w:p>
        </w:tc>
        <w:tc>
          <w:tcPr>
            <w:tcW w:w="1843" w:type="dxa"/>
            <w:tcBorders>
              <w:top w:val="single" w:sz="4" w:space="0" w:color="auto"/>
              <w:left w:val="nil"/>
              <w:right w:val="nil"/>
            </w:tcBorders>
            <w:vAlign w:val="bottom"/>
          </w:tcPr>
          <w:p w14:paraId="58EC94D1" w14:textId="77777777" w:rsidR="00323BB2" w:rsidRPr="0061063C" w:rsidRDefault="00323BB2" w:rsidP="00453AFA">
            <w:pPr>
              <w:jc w:val="right"/>
              <w:rPr>
                <w:rFonts w:asciiTheme="minorHAnsi" w:hAnsiTheme="minorHAnsi"/>
                <w:b/>
                <w:bCs/>
                <w:sz w:val="20"/>
              </w:rPr>
            </w:pPr>
          </w:p>
        </w:tc>
      </w:tr>
      <w:tr w:rsidR="00323BB2" w:rsidRPr="0061063C" w14:paraId="6052AA01" w14:textId="77777777" w:rsidTr="00453AFA">
        <w:trPr>
          <w:trHeight w:val="336"/>
        </w:trPr>
        <w:tc>
          <w:tcPr>
            <w:tcW w:w="5137" w:type="dxa"/>
            <w:tcBorders>
              <w:left w:val="nil"/>
              <w:right w:val="nil"/>
            </w:tcBorders>
            <w:vAlign w:val="bottom"/>
          </w:tcPr>
          <w:p w14:paraId="6EB32E59"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Consideration satisfied by:</w:t>
            </w:r>
          </w:p>
        </w:tc>
        <w:tc>
          <w:tcPr>
            <w:tcW w:w="1843" w:type="dxa"/>
            <w:tcBorders>
              <w:left w:val="nil"/>
              <w:right w:val="nil"/>
            </w:tcBorders>
            <w:vAlign w:val="bottom"/>
          </w:tcPr>
          <w:p w14:paraId="6B06009E" w14:textId="77777777" w:rsidR="00323BB2" w:rsidRPr="0061063C" w:rsidRDefault="00323BB2" w:rsidP="00453AFA">
            <w:pPr>
              <w:jc w:val="right"/>
              <w:rPr>
                <w:rFonts w:asciiTheme="minorHAnsi" w:hAnsiTheme="minorHAnsi"/>
                <w:b/>
                <w:bCs/>
                <w:sz w:val="20"/>
              </w:rPr>
            </w:pPr>
          </w:p>
        </w:tc>
      </w:tr>
      <w:tr w:rsidR="00323BB2" w:rsidRPr="0061063C" w14:paraId="6D504FC3" w14:textId="77777777" w:rsidTr="00453AFA">
        <w:trPr>
          <w:trHeight w:val="286"/>
        </w:trPr>
        <w:tc>
          <w:tcPr>
            <w:tcW w:w="5137" w:type="dxa"/>
            <w:tcBorders>
              <w:left w:val="nil"/>
              <w:right w:val="nil"/>
            </w:tcBorders>
            <w:vAlign w:val="bottom"/>
          </w:tcPr>
          <w:p w14:paraId="5E50C4E6"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 xml:space="preserve">Issue of 65,316,588 Flutter Entertainment plc ordinary shares </w:t>
            </w:r>
          </w:p>
        </w:tc>
        <w:tc>
          <w:tcPr>
            <w:tcW w:w="1843" w:type="dxa"/>
            <w:tcBorders>
              <w:left w:val="nil"/>
              <w:right w:val="nil"/>
            </w:tcBorders>
            <w:vAlign w:val="bottom"/>
          </w:tcPr>
          <w:p w14:paraId="5B9E91E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6,194.6</w:t>
            </w:r>
          </w:p>
        </w:tc>
      </w:tr>
      <w:tr w:rsidR="00323BB2" w:rsidRPr="0061063C" w14:paraId="5E7757C7" w14:textId="77777777" w:rsidTr="00453AFA">
        <w:trPr>
          <w:trHeight w:val="135"/>
        </w:trPr>
        <w:tc>
          <w:tcPr>
            <w:tcW w:w="5137" w:type="dxa"/>
            <w:tcBorders>
              <w:left w:val="nil"/>
              <w:bottom w:val="single" w:sz="4" w:space="0" w:color="auto"/>
              <w:right w:val="nil"/>
            </w:tcBorders>
            <w:vAlign w:val="bottom"/>
          </w:tcPr>
          <w:p w14:paraId="3D10EDEA"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Issue of replacement share options and awards</w:t>
            </w:r>
          </w:p>
        </w:tc>
        <w:tc>
          <w:tcPr>
            <w:tcW w:w="1843" w:type="dxa"/>
            <w:tcBorders>
              <w:left w:val="nil"/>
              <w:bottom w:val="single" w:sz="4" w:space="0" w:color="auto"/>
              <w:right w:val="nil"/>
            </w:tcBorders>
            <w:vAlign w:val="bottom"/>
          </w:tcPr>
          <w:p w14:paraId="4D84106F"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58.8</w:t>
            </w:r>
          </w:p>
        </w:tc>
      </w:tr>
      <w:tr w:rsidR="00323BB2" w:rsidRPr="0061063C" w14:paraId="1FD517DA" w14:textId="77777777" w:rsidTr="00453AFA">
        <w:trPr>
          <w:trHeight w:val="336"/>
        </w:trPr>
        <w:tc>
          <w:tcPr>
            <w:tcW w:w="5137" w:type="dxa"/>
            <w:tcBorders>
              <w:top w:val="single" w:sz="4" w:space="0" w:color="auto"/>
              <w:left w:val="nil"/>
              <w:bottom w:val="single" w:sz="4" w:space="0" w:color="auto"/>
              <w:right w:val="nil"/>
            </w:tcBorders>
            <w:vAlign w:val="bottom"/>
          </w:tcPr>
          <w:p w14:paraId="236F44E3"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Consideration</w:t>
            </w:r>
          </w:p>
        </w:tc>
        <w:tc>
          <w:tcPr>
            <w:tcW w:w="1843" w:type="dxa"/>
            <w:tcBorders>
              <w:top w:val="single" w:sz="4" w:space="0" w:color="auto"/>
              <w:left w:val="nil"/>
              <w:bottom w:val="single" w:sz="4" w:space="0" w:color="auto"/>
              <w:right w:val="nil"/>
            </w:tcBorders>
            <w:vAlign w:val="bottom"/>
          </w:tcPr>
          <w:p w14:paraId="7EB278E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6,253.4</w:t>
            </w:r>
          </w:p>
        </w:tc>
      </w:tr>
    </w:tbl>
    <w:p w14:paraId="4D00C941"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br w:type="page"/>
      </w:r>
    </w:p>
    <w:p w14:paraId="3235B242" w14:textId="77777777" w:rsidR="00323BB2" w:rsidRPr="0061063C" w:rsidRDefault="00323BB2" w:rsidP="00323BB2">
      <w:pPr>
        <w:rPr>
          <w:rFonts w:asciiTheme="minorHAnsi" w:hAnsiTheme="minorHAnsi"/>
          <w:b/>
          <w:bCs/>
          <w:i/>
          <w:sz w:val="20"/>
          <w:lang w:val="en-IE"/>
        </w:rPr>
      </w:pPr>
    </w:p>
    <w:p w14:paraId="51045A2E" w14:textId="77777777" w:rsidR="00323BB2" w:rsidRPr="0061063C" w:rsidRDefault="00323BB2" w:rsidP="00323BB2">
      <w:pPr>
        <w:pStyle w:val="BodyText"/>
        <w:spacing w:after="0"/>
        <w:rPr>
          <w:rFonts w:asciiTheme="minorHAnsi" w:hAnsiTheme="minorHAnsi"/>
          <w:b/>
          <w:bCs/>
          <w:sz w:val="20"/>
          <w:szCs w:val="20"/>
          <w:lang w:val="en-IE"/>
        </w:rPr>
      </w:pPr>
      <w:r w:rsidRPr="0061063C">
        <w:rPr>
          <w:rFonts w:asciiTheme="minorHAnsi" w:hAnsiTheme="minorHAnsi"/>
          <w:b/>
          <w:sz w:val="20"/>
          <w:szCs w:val="20"/>
          <w:lang w:val="en-IE"/>
        </w:rPr>
        <w:t>10</w:t>
      </w:r>
      <w:r w:rsidRPr="0061063C">
        <w:rPr>
          <w:rFonts w:asciiTheme="minorHAnsi" w:hAnsiTheme="minorHAnsi"/>
          <w:b/>
          <w:bCs/>
          <w:sz w:val="20"/>
          <w:szCs w:val="20"/>
          <w:lang w:val="en-IE"/>
        </w:rPr>
        <w:t>. Business combinations (continued)</w:t>
      </w:r>
    </w:p>
    <w:p w14:paraId="2F046623" w14:textId="77777777" w:rsidR="00323BB2" w:rsidRPr="0061063C" w:rsidRDefault="00323BB2" w:rsidP="00323BB2">
      <w:pPr>
        <w:rPr>
          <w:rFonts w:asciiTheme="minorHAnsi" w:hAnsiTheme="minorHAnsi"/>
          <w:b/>
          <w:bCs/>
          <w:i/>
          <w:sz w:val="20"/>
          <w:lang w:val="en-IE"/>
        </w:rPr>
      </w:pPr>
    </w:p>
    <w:p w14:paraId="56CF14DF" w14:textId="77777777" w:rsidR="00323BB2" w:rsidRPr="0061063C" w:rsidRDefault="00323BB2" w:rsidP="00323BB2">
      <w:pPr>
        <w:rPr>
          <w:rFonts w:asciiTheme="minorHAnsi" w:hAnsiTheme="minorHAnsi"/>
          <w:b/>
          <w:bCs/>
          <w:i/>
          <w:sz w:val="20"/>
          <w:lang w:val="en-IE"/>
        </w:rPr>
      </w:pPr>
      <w:r w:rsidRPr="0061063C">
        <w:rPr>
          <w:rFonts w:asciiTheme="minorHAnsi" w:hAnsiTheme="minorHAnsi"/>
          <w:b/>
          <w:bCs/>
          <w:i/>
          <w:sz w:val="20"/>
          <w:lang w:val="en-IE"/>
        </w:rPr>
        <w:t>Six months ended 30 June 2019</w:t>
      </w:r>
    </w:p>
    <w:p w14:paraId="616085C7" w14:textId="77777777" w:rsidR="00323BB2" w:rsidRPr="0061063C" w:rsidRDefault="00323BB2" w:rsidP="00323BB2">
      <w:pPr>
        <w:rPr>
          <w:rFonts w:asciiTheme="minorHAnsi" w:hAnsiTheme="minorHAnsi"/>
          <w:b/>
          <w:bCs/>
          <w:i/>
          <w:sz w:val="20"/>
          <w:lang w:val="en-IE"/>
        </w:rPr>
      </w:pPr>
    </w:p>
    <w:p w14:paraId="4EF90A2B" w14:textId="77777777" w:rsidR="00323BB2" w:rsidRPr="0061063C" w:rsidRDefault="00323BB2" w:rsidP="00323BB2">
      <w:pPr>
        <w:pStyle w:val="BodyText"/>
        <w:rPr>
          <w:rFonts w:asciiTheme="minorHAnsi" w:hAnsiTheme="minorHAnsi"/>
          <w:b/>
          <w:sz w:val="20"/>
          <w:szCs w:val="20"/>
          <w:lang w:val="en-IE"/>
        </w:rPr>
      </w:pPr>
      <w:r w:rsidRPr="0061063C">
        <w:rPr>
          <w:rFonts w:asciiTheme="minorHAnsi" w:hAnsiTheme="minorHAnsi"/>
          <w:b/>
          <w:sz w:val="20"/>
          <w:szCs w:val="20"/>
          <w:lang w:val="en-IE"/>
        </w:rPr>
        <w:t>Acquisition of Adjarabet</w:t>
      </w:r>
    </w:p>
    <w:p w14:paraId="4307FC85" w14:textId="77777777" w:rsidR="00323BB2" w:rsidRPr="0061063C" w:rsidRDefault="00323BB2" w:rsidP="00323BB2">
      <w:pPr>
        <w:rPr>
          <w:rFonts w:asciiTheme="minorHAnsi" w:hAnsiTheme="minorHAnsi"/>
          <w:sz w:val="20"/>
        </w:rPr>
      </w:pPr>
      <w:r w:rsidRPr="0061063C">
        <w:rPr>
          <w:rFonts w:asciiTheme="minorHAnsi" w:hAnsiTheme="minorHAnsi"/>
          <w:sz w:val="20"/>
        </w:rPr>
        <w:t>On 1 February 2019, the Group completed the acquisition of an initial 51% controlling stake in Adjarabet, the market leader in online betting and gaming in the regulated Georgian market. The Group, through agreed option agreements, expects to acquire the remaining 49% after three years.</w:t>
      </w:r>
    </w:p>
    <w:p w14:paraId="246F5F8C" w14:textId="77777777" w:rsidR="00323BB2" w:rsidRPr="0061063C" w:rsidRDefault="00323BB2" w:rsidP="00323BB2">
      <w:pPr>
        <w:rPr>
          <w:rFonts w:asciiTheme="minorHAnsi" w:hAnsiTheme="minorHAnsi"/>
          <w:sz w:val="20"/>
        </w:rPr>
      </w:pPr>
    </w:p>
    <w:p w14:paraId="5FB1408B" w14:textId="77777777" w:rsidR="00323BB2" w:rsidRPr="0061063C" w:rsidRDefault="00323BB2" w:rsidP="00323BB2">
      <w:pPr>
        <w:rPr>
          <w:rFonts w:asciiTheme="minorHAnsi" w:hAnsiTheme="minorHAnsi"/>
          <w:sz w:val="20"/>
          <w:lang w:val="en-IE"/>
        </w:rPr>
      </w:pPr>
      <w:r w:rsidRPr="0061063C">
        <w:rPr>
          <w:rFonts w:asciiTheme="minorHAnsi" w:hAnsiTheme="minorHAnsi"/>
          <w:sz w:val="20"/>
        </w:rPr>
        <w:t xml:space="preserve">In 2018, Adjarabet generated revenues (unaudited) of 215m Georgian </w:t>
      </w:r>
      <w:proofErr w:type="spellStart"/>
      <w:r w:rsidRPr="0061063C">
        <w:rPr>
          <w:rFonts w:asciiTheme="minorHAnsi" w:hAnsiTheme="minorHAnsi"/>
          <w:sz w:val="20"/>
        </w:rPr>
        <w:t>Lari</w:t>
      </w:r>
      <w:proofErr w:type="spellEnd"/>
      <w:r w:rsidRPr="0061063C">
        <w:rPr>
          <w:rFonts w:asciiTheme="minorHAnsi" w:hAnsiTheme="minorHAnsi"/>
          <w:sz w:val="20"/>
        </w:rPr>
        <w:t xml:space="preserve"> (GEL) (£64m) and EBITDA (unaudited) of GEL68m (£20m). The initial cash consideration paid by the Group for the 51% stake was £102m. A mechanism has also been agreed, consisting of call and put options, which enables the Group to acquire the remaining 49% after three years at a valuation equivalent to 7 times 2021 EBITDA. The call/put option consideration can be settled, at the Group’s election, in cash or shares. </w:t>
      </w:r>
      <w:r w:rsidRPr="0061063C">
        <w:rPr>
          <w:rFonts w:asciiTheme="minorHAnsi" w:hAnsiTheme="minorHAnsi"/>
          <w:sz w:val="20"/>
          <w:lang w:val="en-IE"/>
        </w:rPr>
        <w:t>As a consequence of both the put and call options being only exercisable at fair value being the future EBITDA and earnings multiple which are considered to be two key inputs into valuing the option, it was determined that the fair value was not material and was close to nominal value.</w:t>
      </w:r>
    </w:p>
    <w:p w14:paraId="2E0607AA" w14:textId="77777777" w:rsidR="00323BB2" w:rsidRPr="0061063C" w:rsidRDefault="00323BB2" w:rsidP="00323BB2">
      <w:pPr>
        <w:rPr>
          <w:rFonts w:asciiTheme="minorHAnsi" w:hAnsiTheme="minorHAnsi"/>
          <w:sz w:val="20"/>
          <w:lang w:val="en-IE"/>
        </w:rPr>
      </w:pPr>
    </w:p>
    <w:p w14:paraId="3860BF34" w14:textId="77777777" w:rsidR="00323BB2" w:rsidRPr="0061063C" w:rsidRDefault="00323BB2" w:rsidP="00323BB2">
      <w:pPr>
        <w:spacing w:after="120"/>
        <w:rPr>
          <w:rFonts w:asciiTheme="minorHAnsi" w:hAnsiTheme="minorHAnsi"/>
          <w:sz w:val="20"/>
          <w:lang w:eastAsia="en-GB"/>
        </w:rPr>
      </w:pPr>
      <w:r w:rsidRPr="0061063C">
        <w:rPr>
          <w:rFonts w:asciiTheme="minorHAnsi" w:hAnsiTheme="minorHAnsi"/>
          <w:sz w:val="20"/>
          <w:lang w:eastAsia="en-GB"/>
        </w:rPr>
        <w:t>From the date of acquisition to 30 June 2019, Adjarabet business contributed £28.6m of revenue and £8.0m of operating profit. If the Adjarabet acquisition had occurred on 1 January 2019, then their contribution to revenue and operating profit would have been £33.5m and £8.7m respectively for the period ended 30 June 2019.</w:t>
      </w:r>
    </w:p>
    <w:p w14:paraId="7293FB70" w14:textId="77777777" w:rsidR="00323BB2" w:rsidRPr="0061063C" w:rsidRDefault="00323BB2" w:rsidP="00323BB2">
      <w:pPr>
        <w:pStyle w:val="BodyText"/>
        <w:rPr>
          <w:rFonts w:asciiTheme="minorHAnsi" w:hAnsiTheme="minorHAnsi"/>
          <w:sz w:val="20"/>
          <w:szCs w:val="20"/>
          <w:lang w:val="en-IE"/>
        </w:rPr>
      </w:pPr>
      <w:r w:rsidRPr="0061063C">
        <w:rPr>
          <w:rFonts w:asciiTheme="minorHAnsi" w:hAnsiTheme="minorHAnsi"/>
          <w:sz w:val="20"/>
          <w:szCs w:val="20"/>
          <w:lang w:val="en-IE"/>
        </w:rPr>
        <w:t xml:space="preserve">Included within the intangible assets were £74.4m of separately identifiable intangibles comprising brand and, customer relations acquired as part of the acquisition, with the additional effect of a deferred tax liability of £11.1m thereon. These intangible assets are being amortised over their useful economic lives of up to ten years. Receivables acquired amounted to £1.2m. The book value equated to the fair value as all amounts are expected to be received. </w:t>
      </w:r>
    </w:p>
    <w:p w14:paraId="3221F7D1" w14:textId="77777777" w:rsidR="00323BB2" w:rsidRDefault="00323BB2" w:rsidP="00323BB2">
      <w:pPr>
        <w:rPr>
          <w:rFonts w:asciiTheme="minorHAnsi" w:hAnsiTheme="minorHAnsi"/>
          <w:sz w:val="20"/>
          <w:lang w:val="en-IE"/>
        </w:rPr>
      </w:pPr>
      <w:r w:rsidRPr="0061063C">
        <w:rPr>
          <w:rFonts w:asciiTheme="minorHAnsi" w:hAnsiTheme="minorHAnsi"/>
          <w:sz w:val="20"/>
          <w:lang w:val="en-IE"/>
        </w:rPr>
        <w:t>The main factors leading to the recognition of goodwill (none of which is deductible for tax purposes) is growth by combining business activities, a strong workforce, leveraging existing products and synergy savings. The goodwill has been allocated to the PPB</w:t>
      </w:r>
      <w:r>
        <w:rPr>
          <w:rFonts w:asciiTheme="minorHAnsi" w:hAnsiTheme="minorHAnsi"/>
          <w:sz w:val="20"/>
          <w:lang w:val="en-IE"/>
        </w:rPr>
        <w:t xml:space="preserve"> Online</w:t>
      </w:r>
      <w:r w:rsidRPr="0061063C">
        <w:rPr>
          <w:rFonts w:asciiTheme="minorHAnsi" w:hAnsiTheme="minorHAnsi"/>
          <w:sz w:val="20"/>
          <w:lang w:val="en-IE"/>
        </w:rPr>
        <w:t xml:space="preserve"> CGU and it has been deemed that a separate CGU is not appropriate.</w:t>
      </w:r>
      <w:r w:rsidRPr="00182B98">
        <w:rPr>
          <w:rFonts w:asciiTheme="minorHAnsi" w:hAnsiTheme="minorHAnsi"/>
          <w:sz w:val="20"/>
          <w:lang w:val="en-IE"/>
        </w:rPr>
        <w:t xml:space="preserve"> </w:t>
      </w:r>
    </w:p>
    <w:p w14:paraId="5C2CD7C7" w14:textId="77777777" w:rsidR="00323BB2" w:rsidRDefault="00323BB2" w:rsidP="00323BB2">
      <w:pPr>
        <w:rPr>
          <w:rFonts w:asciiTheme="minorHAnsi" w:hAnsiTheme="minorHAnsi"/>
          <w:sz w:val="20"/>
          <w:lang w:val="en-IE"/>
        </w:rPr>
      </w:pPr>
    </w:p>
    <w:p w14:paraId="3F5ED8BE"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Details of the fair value of identifiable assets and liabilities acquired, purchase consideration and goodwill are as follows:</w:t>
      </w:r>
    </w:p>
    <w:p w14:paraId="34ADB6A2" w14:textId="77777777" w:rsidR="00323BB2" w:rsidRPr="0061063C" w:rsidRDefault="00323BB2" w:rsidP="00323BB2">
      <w:pPr>
        <w:pStyle w:val="BodyText"/>
        <w:rPr>
          <w:rFonts w:asciiTheme="minorHAnsi" w:hAnsiTheme="minorHAnsi"/>
          <w:sz w:val="20"/>
          <w:lang w:val="en-IE"/>
        </w:rPr>
      </w:pPr>
    </w:p>
    <w:p w14:paraId="074434E1" w14:textId="77777777" w:rsidR="00323BB2" w:rsidRPr="0061063C" w:rsidRDefault="00323BB2" w:rsidP="00323BB2">
      <w:pPr>
        <w:pStyle w:val="BodyText"/>
        <w:spacing w:after="0"/>
        <w:rPr>
          <w:rFonts w:asciiTheme="minorHAnsi" w:hAnsiTheme="minorHAnsi"/>
          <w:b/>
          <w:sz w:val="20"/>
          <w:szCs w:val="20"/>
          <w:lang w:val="en-IE"/>
        </w:rPr>
      </w:pPr>
    </w:p>
    <w:p w14:paraId="5EAD4EEA" w14:textId="77777777" w:rsidR="00323BB2" w:rsidRPr="0061063C" w:rsidRDefault="00323BB2" w:rsidP="00323BB2">
      <w:pPr>
        <w:pStyle w:val="BodyText"/>
        <w:spacing w:after="0"/>
        <w:rPr>
          <w:rFonts w:asciiTheme="minorHAnsi" w:hAnsiTheme="minorHAnsi"/>
          <w:b/>
          <w:sz w:val="20"/>
          <w:szCs w:val="20"/>
          <w:lang w:val="en-IE"/>
        </w:rPr>
      </w:pPr>
    </w:p>
    <w:p w14:paraId="39B9432C" w14:textId="77777777" w:rsidR="00323BB2" w:rsidRPr="0061063C" w:rsidRDefault="00323BB2" w:rsidP="00323BB2">
      <w:pPr>
        <w:pStyle w:val="BodyText"/>
        <w:spacing w:after="0"/>
        <w:rPr>
          <w:rFonts w:asciiTheme="minorHAnsi" w:hAnsiTheme="minorHAnsi"/>
          <w:b/>
          <w:sz w:val="20"/>
          <w:szCs w:val="20"/>
          <w:lang w:val="en-IE"/>
        </w:rPr>
      </w:pPr>
    </w:p>
    <w:p w14:paraId="1352B27F" w14:textId="77777777" w:rsidR="00323BB2" w:rsidRPr="0061063C" w:rsidRDefault="00323BB2" w:rsidP="00323BB2">
      <w:pPr>
        <w:pStyle w:val="BodyText"/>
        <w:spacing w:after="0"/>
        <w:rPr>
          <w:rFonts w:asciiTheme="minorHAnsi" w:hAnsiTheme="minorHAnsi"/>
          <w:b/>
          <w:sz w:val="20"/>
          <w:szCs w:val="20"/>
          <w:lang w:val="en-IE"/>
        </w:rPr>
      </w:pPr>
    </w:p>
    <w:p w14:paraId="66967EDC" w14:textId="77777777" w:rsidR="00323BB2" w:rsidRPr="0061063C" w:rsidRDefault="00323BB2" w:rsidP="00323BB2">
      <w:pPr>
        <w:pStyle w:val="BodyText"/>
        <w:spacing w:after="0"/>
        <w:rPr>
          <w:rFonts w:asciiTheme="minorHAnsi" w:hAnsiTheme="minorHAnsi"/>
          <w:b/>
          <w:sz w:val="20"/>
          <w:szCs w:val="20"/>
          <w:lang w:val="en-IE"/>
        </w:rPr>
      </w:pPr>
    </w:p>
    <w:p w14:paraId="368DBE20" w14:textId="77777777" w:rsidR="00323BB2" w:rsidRPr="0061063C" w:rsidRDefault="00323BB2" w:rsidP="00323BB2">
      <w:pPr>
        <w:pStyle w:val="BodyText"/>
        <w:spacing w:after="0"/>
        <w:rPr>
          <w:rFonts w:asciiTheme="minorHAnsi" w:hAnsiTheme="minorHAnsi"/>
          <w:b/>
          <w:sz w:val="20"/>
          <w:szCs w:val="20"/>
          <w:lang w:val="en-IE"/>
        </w:rPr>
      </w:pPr>
    </w:p>
    <w:p w14:paraId="76C3A34B" w14:textId="77777777" w:rsidR="00323BB2" w:rsidRPr="0061063C" w:rsidRDefault="00323BB2" w:rsidP="00323BB2">
      <w:pPr>
        <w:pStyle w:val="BodyText"/>
        <w:spacing w:after="0"/>
        <w:rPr>
          <w:rFonts w:asciiTheme="minorHAnsi" w:hAnsiTheme="minorHAnsi"/>
          <w:b/>
          <w:sz w:val="20"/>
          <w:szCs w:val="20"/>
          <w:lang w:val="en-IE"/>
        </w:rPr>
      </w:pPr>
    </w:p>
    <w:p w14:paraId="4A5C7400" w14:textId="77777777" w:rsidR="00323BB2" w:rsidRPr="0061063C" w:rsidRDefault="00323BB2" w:rsidP="00323BB2">
      <w:pPr>
        <w:pStyle w:val="BodyText"/>
        <w:spacing w:after="0"/>
        <w:rPr>
          <w:rFonts w:asciiTheme="minorHAnsi" w:hAnsiTheme="minorHAnsi"/>
          <w:b/>
          <w:sz w:val="20"/>
          <w:szCs w:val="20"/>
          <w:lang w:val="en-IE"/>
        </w:rPr>
      </w:pPr>
    </w:p>
    <w:p w14:paraId="57DAF24D" w14:textId="77777777" w:rsidR="00323BB2" w:rsidRPr="0061063C" w:rsidRDefault="00323BB2" w:rsidP="00323BB2">
      <w:pPr>
        <w:pStyle w:val="BodyText"/>
        <w:spacing w:after="0"/>
        <w:rPr>
          <w:rFonts w:asciiTheme="minorHAnsi" w:hAnsiTheme="minorHAnsi"/>
          <w:b/>
          <w:sz w:val="20"/>
          <w:szCs w:val="20"/>
          <w:lang w:val="en-IE"/>
        </w:rPr>
      </w:pPr>
    </w:p>
    <w:p w14:paraId="058E46B3" w14:textId="77777777" w:rsidR="00323BB2" w:rsidRPr="0061063C" w:rsidRDefault="00323BB2" w:rsidP="00323BB2">
      <w:pPr>
        <w:pStyle w:val="BodyText"/>
        <w:spacing w:after="0"/>
        <w:rPr>
          <w:rFonts w:asciiTheme="minorHAnsi" w:hAnsiTheme="minorHAnsi"/>
          <w:b/>
          <w:sz w:val="20"/>
          <w:szCs w:val="20"/>
          <w:lang w:val="en-IE"/>
        </w:rPr>
      </w:pPr>
    </w:p>
    <w:p w14:paraId="3E3AE285" w14:textId="77777777" w:rsidR="00323BB2" w:rsidRPr="0061063C" w:rsidRDefault="00323BB2" w:rsidP="00323BB2">
      <w:pPr>
        <w:pStyle w:val="BodyText"/>
        <w:spacing w:after="0"/>
        <w:rPr>
          <w:rFonts w:asciiTheme="minorHAnsi" w:hAnsiTheme="minorHAnsi"/>
          <w:b/>
          <w:sz w:val="20"/>
          <w:szCs w:val="20"/>
          <w:lang w:val="en-IE"/>
        </w:rPr>
      </w:pPr>
    </w:p>
    <w:p w14:paraId="7410E992" w14:textId="77777777" w:rsidR="00323BB2" w:rsidRPr="0061063C" w:rsidRDefault="00323BB2" w:rsidP="00323BB2">
      <w:pPr>
        <w:pStyle w:val="BodyText"/>
        <w:spacing w:after="0"/>
        <w:rPr>
          <w:rFonts w:asciiTheme="minorHAnsi" w:hAnsiTheme="minorHAnsi"/>
          <w:b/>
          <w:sz w:val="20"/>
          <w:szCs w:val="20"/>
          <w:lang w:val="en-IE"/>
        </w:rPr>
      </w:pPr>
    </w:p>
    <w:p w14:paraId="47DD7D66" w14:textId="77777777" w:rsidR="00323BB2" w:rsidRPr="0061063C" w:rsidRDefault="00323BB2" w:rsidP="00323BB2">
      <w:pPr>
        <w:pStyle w:val="BodyText"/>
        <w:spacing w:after="0"/>
        <w:rPr>
          <w:rFonts w:asciiTheme="minorHAnsi" w:hAnsiTheme="minorHAnsi"/>
          <w:b/>
          <w:sz w:val="20"/>
          <w:szCs w:val="20"/>
          <w:lang w:val="en-IE"/>
        </w:rPr>
      </w:pPr>
    </w:p>
    <w:p w14:paraId="17209989" w14:textId="77777777" w:rsidR="00323BB2" w:rsidRPr="0061063C" w:rsidRDefault="00323BB2" w:rsidP="00323BB2">
      <w:pPr>
        <w:pStyle w:val="BodyText"/>
        <w:spacing w:after="0"/>
        <w:rPr>
          <w:rFonts w:asciiTheme="minorHAnsi" w:hAnsiTheme="minorHAnsi"/>
          <w:b/>
          <w:sz w:val="20"/>
          <w:szCs w:val="20"/>
          <w:lang w:val="en-IE"/>
        </w:rPr>
      </w:pPr>
    </w:p>
    <w:p w14:paraId="58AECA53" w14:textId="77777777" w:rsidR="00323BB2" w:rsidRPr="0061063C" w:rsidRDefault="00323BB2" w:rsidP="00323BB2">
      <w:pPr>
        <w:pStyle w:val="BodyText"/>
        <w:spacing w:after="0"/>
        <w:rPr>
          <w:rFonts w:asciiTheme="minorHAnsi" w:hAnsiTheme="minorHAnsi"/>
          <w:b/>
          <w:sz w:val="20"/>
          <w:szCs w:val="20"/>
          <w:lang w:val="en-IE"/>
        </w:rPr>
      </w:pPr>
    </w:p>
    <w:p w14:paraId="4494BCC6" w14:textId="77777777" w:rsidR="00323BB2" w:rsidRPr="0061063C" w:rsidRDefault="00323BB2" w:rsidP="00323BB2">
      <w:pPr>
        <w:pStyle w:val="BodyText"/>
        <w:spacing w:after="0"/>
        <w:rPr>
          <w:rFonts w:asciiTheme="minorHAnsi" w:hAnsiTheme="minorHAnsi"/>
          <w:b/>
          <w:sz w:val="20"/>
          <w:szCs w:val="20"/>
          <w:lang w:val="en-IE"/>
        </w:rPr>
      </w:pPr>
    </w:p>
    <w:p w14:paraId="191AE3FB" w14:textId="77777777" w:rsidR="00323BB2" w:rsidRPr="0061063C" w:rsidRDefault="00323BB2" w:rsidP="00323BB2">
      <w:pPr>
        <w:pStyle w:val="BodyText"/>
        <w:spacing w:after="0"/>
        <w:rPr>
          <w:rFonts w:asciiTheme="minorHAnsi" w:hAnsiTheme="minorHAnsi"/>
          <w:b/>
          <w:sz w:val="20"/>
          <w:szCs w:val="20"/>
          <w:lang w:val="en-IE"/>
        </w:rPr>
      </w:pPr>
    </w:p>
    <w:p w14:paraId="37A8C4D0" w14:textId="77777777" w:rsidR="00323BB2" w:rsidRPr="0061063C" w:rsidRDefault="00323BB2" w:rsidP="00323BB2">
      <w:pPr>
        <w:pStyle w:val="BodyText"/>
        <w:spacing w:after="0"/>
        <w:rPr>
          <w:rFonts w:asciiTheme="minorHAnsi" w:hAnsiTheme="minorHAnsi"/>
          <w:b/>
          <w:sz w:val="20"/>
          <w:szCs w:val="20"/>
          <w:lang w:val="en-IE"/>
        </w:rPr>
      </w:pPr>
    </w:p>
    <w:p w14:paraId="609334FB" w14:textId="77777777" w:rsidR="00323BB2" w:rsidRPr="0061063C" w:rsidRDefault="00323BB2" w:rsidP="00323BB2">
      <w:pPr>
        <w:pStyle w:val="BodyText"/>
        <w:spacing w:after="0"/>
        <w:rPr>
          <w:rFonts w:asciiTheme="minorHAnsi" w:hAnsiTheme="minorHAnsi"/>
          <w:b/>
          <w:sz w:val="20"/>
          <w:szCs w:val="20"/>
          <w:lang w:val="en-IE"/>
        </w:rPr>
      </w:pPr>
    </w:p>
    <w:p w14:paraId="0A645DB9" w14:textId="77777777" w:rsidR="00323BB2" w:rsidRPr="0061063C" w:rsidRDefault="00323BB2" w:rsidP="00323BB2">
      <w:pPr>
        <w:pStyle w:val="BodyText"/>
        <w:spacing w:after="0"/>
        <w:rPr>
          <w:rFonts w:asciiTheme="minorHAnsi" w:hAnsiTheme="minorHAnsi"/>
          <w:b/>
          <w:sz w:val="20"/>
          <w:szCs w:val="20"/>
          <w:lang w:val="en-IE"/>
        </w:rPr>
      </w:pPr>
    </w:p>
    <w:p w14:paraId="476C4232" w14:textId="77777777" w:rsidR="00323BB2" w:rsidRPr="0061063C" w:rsidRDefault="00323BB2" w:rsidP="00323BB2">
      <w:pPr>
        <w:pStyle w:val="BodyText"/>
        <w:spacing w:after="0"/>
        <w:rPr>
          <w:rFonts w:asciiTheme="minorHAnsi" w:hAnsiTheme="minorHAnsi"/>
          <w:b/>
          <w:sz w:val="20"/>
          <w:szCs w:val="20"/>
          <w:lang w:val="en-IE"/>
        </w:rPr>
      </w:pPr>
    </w:p>
    <w:p w14:paraId="1F3456A7" w14:textId="77777777" w:rsidR="00323BB2" w:rsidRPr="0061063C" w:rsidRDefault="00323BB2" w:rsidP="00323BB2">
      <w:pPr>
        <w:pStyle w:val="BodyText"/>
        <w:spacing w:after="0"/>
        <w:rPr>
          <w:rFonts w:asciiTheme="minorHAnsi" w:hAnsiTheme="minorHAnsi"/>
          <w:b/>
          <w:sz w:val="20"/>
          <w:szCs w:val="20"/>
          <w:lang w:val="en-IE"/>
        </w:rPr>
      </w:pPr>
    </w:p>
    <w:p w14:paraId="35ECFA05" w14:textId="77777777" w:rsidR="00323BB2" w:rsidRPr="0061063C" w:rsidRDefault="00323BB2" w:rsidP="00323BB2">
      <w:pPr>
        <w:pStyle w:val="BodyText"/>
        <w:spacing w:after="0"/>
        <w:rPr>
          <w:rFonts w:asciiTheme="minorHAnsi" w:hAnsiTheme="minorHAnsi"/>
          <w:b/>
          <w:sz w:val="20"/>
          <w:szCs w:val="20"/>
          <w:lang w:val="en-IE"/>
        </w:rPr>
      </w:pPr>
    </w:p>
    <w:p w14:paraId="5F4051E1" w14:textId="77777777" w:rsidR="00323BB2" w:rsidRPr="0061063C" w:rsidRDefault="00323BB2" w:rsidP="00323BB2">
      <w:pPr>
        <w:pStyle w:val="BodyText"/>
        <w:spacing w:after="0"/>
        <w:rPr>
          <w:rFonts w:asciiTheme="minorHAnsi" w:hAnsiTheme="minorHAnsi"/>
          <w:b/>
          <w:sz w:val="20"/>
          <w:szCs w:val="20"/>
          <w:lang w:val="en-IE"/>
        </w:rPr>
      </w:pPr>
    </w:p>
    <w:p w14:paraId="41920A31" w14:textId="77777777" w:rsidR="00323BB2" w:rsidRPr="0061063C" w:rsidRDefault="00323BB2" w:rsidP="00323BB2">
      <w:pPr>
        <w:pStyle w:val="BodyText"/>
        <w:spacing w:after="0"/>
        <w:rPr>
          <w:rFonts w:asciiTheme="minorHAnsi" w:hAnsiTheme="minorHAnsi"/>
          <w:b/>
          <w:sz w:val="20"/>
          <w:szCs w:val="20"/>
          <w:lang w:val="en-IE"/>
        </w:rPr>
      </w:pPr>
    </w:p>
    <w:p w14:paraId="1A9DD165"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3376D021" w14:textId="77777777" w:rsidR="00323BB2" w:rsidRPr="0061063C" w:rsidRDefault="00323BB2" w:rsidP="00323BB2">
      <w:pPr>
        <w:pStyle w:val="BodyText"/>
        <w:spacing w:after="0"/>
        <w:rPr>
          <w:rFonts w:asciiTheme="minorHAnsi" w:hAnsiTheme="minorHAnsi"/>
          <w:b/>
          <w:sz w:val="20"/>
          <w:lang w:val="en-IE"/>
        </w:rPr>
      </w:pPr>
      <w:r w:rsidRPr="0061063C">
        <w:rPr>
          <w:rFonts w:asciiTheme="minorHAnsi" w:hAnsiTheme="minorHAnsi"/>
          <w:b/>
          <w:sz w:val="20"/>
          <w:szCs w:val="20"/>
          <w:lang w:val="en-IE"/>
        </w:rPr>
        <w:lastRenderedPageBreak/>
        <w:t>10</w:t>
      </w:r>
      <w:r w:rsidRPr="0061063C">
        <w:rPr>
          <w:rFonts w:asciiTheme="minorHAnsi" w:hAnsiTheme="minorHAnsi"/>
          <w:b/>
          <w:bCs/>
          <w:sz w:val="20"/>
          <w:szCs w:val="20"/>
          <w:lang w:val="en-IE"/>
        </w:rPr>
        <w:t xml:space="preserve">. Business combinations </w:t>
      </w:r>
      <w:r w:rsidRPr="0061063C">
        <w:rPr>
          <w:rFonts w:asciiTheme="minorHAnsi" w:hAnsiTheme="minorHAnsi"/>
          <w:b/>
          <w:sz w:val="20"/>
          <w:lang w:val="en-IE"/>
        </w:rPr>
        <w:t>(continued)</w:t>
      </w:r>
    </w:p>
    <w:p w14:paraId="701B63EB" w14:textId="77777777" w:rsidR="00323BB2" w:rsidRPr="0061063C" w:rsidRDefault="00323BB2" w:rsidP="00323BB2">
      <w:pPr>
        <w:rPr>
          <w:rFonts w:asciiTheme="minorHAnsi" w:hAnsiTheme="minorHAnsi"/>
          <w:sz w:val="20"/>
          <w:lang w:val="en-IE"/>
        </w:rPr>
      </w:pPr>
    </w:p>
    <w:tbl>
      <w:tblPr>
        <w:tblW w:w="7264" w:type="dxa"/>
        <w:tblInd w:w="108" w:type="dxa"/>
        <w:tblLayout w:type="fixed"/>
        <w:tblLook w:val="0000" w:firstRow="0" w:lastRow="0" w:firstColumn="0" w:lastColumn="0" w:noHBand="0" w:noVBand="0"/>
      </w:tblPr>
      <w:tblGrid>
        <w:gridCol w:w="5704"/>
        <w:gridCol w:w="1560"/>
      </w:tblGrid>
      <w:tr w:rsidR="00323BB2" w:rsidRPr="0061063C" w14:paraId="0DF48293" w14:textId="77777777" w:rsidTr="00453AFA">
        <w:trPr>
          <w:trHeight w:val="432"/>
        </w:trPr>
        <w:tc>
          <w:tcPr>
            <w:tcW w:w="5704" w:type="dxa"/>
            <w:tcBorders>
              <w:top w:val="single" w:sz="4" w:space="0" w:color="auto"/>
              <w:left w:val="nil"/>
              <w:bottom w:val="single" w:sz="4" w:space="0" w:color="auto"/>
              <w:right w:val="nil"/>
            </w:tcBorders>
          </w:tcPr>
          <w:p w14:paraId="65D517B8" w14:textId="77777777" w:rsidR="00323BB2" w:rsidRPr="0061063C" w:rsidRDefault="00323BB2" w:rsidP="00453AFA">
            <w:pPr>
              <w:ind w:left="-108"/>
              <w:jc w:val="both"/>
              <w:rPr>
                <w:rFonts w:asciiTheme="minorHAnsi" w:hAnsiTheme="minorHAnsi"/>
                <w:sz w:val="20"/>
              </w:rPr>
            </w:pPr>
          </w:p>
        </w:tc>
        <w:tc>
          <w:tcPr>
            <w:tcW w:w="1560" w:type="dxa"/>
            <w:tcBorders>
              <w:top w:val="single" w:sz="4" w:space="0" w:color="auto"/>
              <w:left w:val="nil"/>
              <w:bottom w:val="single" w:sz="4" w:space="0" w:color="auto"/>
              <w:right w:val="nil"/>
            </w:tcBorders>
          </w:tcPr>
          <w:p w14:paraId="3AFBD6A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Fair values as at</w:t>
            </w:r>
          </w:p>
          <w:p w14:paraId="6A673C61"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 February 2019</w:t>
            </w:r>
          </w:p>
          <w:p w14:paraId="15844269" w14:textId="77777777" w:rsidR="00323BB2" w:rsidRPr="0061063C" w:rsidRDefault="00323BB2" w:rsidP="00453AFA">
            <w:pPr>
              <w:jc w:val="right"/>
              <w:rPr>
                <w:rFonts w:asciiTheme="minorHAnsi" w:hAnsiTheme="minorHAnsi"/>
                <w:bCs/>
                <w:sz w:val="20"/>
              </w:rPr>
            </w:pPr>
            <w:r w:rsidRPr="0061063C">
              <w:rPr>
                <w:rFonts w:asciiTheme="minorHAnsi" w:hAnsiTheme="minorHAnsi"/>
                <w:b/>
                <w:bCs/>
                <w:sz w:val="20"/>
              </w:rPr>
              <w:t>£m</w:t>
            </w:r>
          </w:p>
        </w:tc>
      </w:tr>
      <w:tr w:rsidR="00323BB2" w:rsidRPr="0061063C" w14:paraId="5AC8D760" w14:textId="77777777" w:rsidTr="00453AFA">
        <w:trPr>
          <w:trHeight w:val="80"/>
        </w:trPr>
        <w:tc>
          <w:tcPr>
            <w:tcW w:w="5704" w:type="dxa"/>
            <w:tcBorders>
              <w:top w:val="single" w:sz="4" w:space="0" w:color="auto"/>
              <w:left w:val="nil"/>
              <w:bottom w:val="nil"/>
              <w:right w:val="nil"/>
            </w:tcBorders>
          </w:tcPr>
          <w:p w14:paraId="7841FF5D" w14:textId="77777777" w:rsidR="00323BB2" w:rsidRPr="0061063C" w:rsidRDefault="00323BB2" w:rsidP="00453AFA">
            <w:pPr>
              <w:spacing w:after="120"/>
              <w:ind w:left="-108"/>
              <w:rPr>
                <w:rFonts w:asciiTheme="minorHAnsi" w:hAnsiTheme="minorHAnsi"/>
                <w:b/>
                <w:bCs/>
                <w:sz w:val="20"/>
              </w:rPr>
            </w:pPr>
            <w:r w:rsidRPr="0061063C">
              <w:rPr>
                <w:rFonts w:asciiTheme="minorHAnsi" w:hAnsiTheme="minorHAnsi"/>
                <w:b/>
                <w:bCs/>
                <w:sz w:val="20"/>
              </w:rPr>
              <w:t>Assets</w:t>
            </w:r>
          </w:p>
        </w:tc>
        <w:tc>
          <w:tcPr>
            <w:tcW w:w="1560" w:type="dxa"/>
            <w:tcBorders>
              <w:top w:val="single" w:sz="4" w:space="0" w:color="auto"/>
              <w:left w:val="nil"/>
              <w:bottom w:val="nil"/>
              <w:right w:val="nil"/>
            </w:tcBorders>
          </w:tcPr>
          <w:p w14:paraId="16EE9B4F" w14:textId="77777777" w:rsidR="00323BB2" w:rsidRPr="0061063C" w:rsidRDefault="00323BB2" w:rsidP="00453AFA">
            <w:pPr>
              <w:jc w:val="right"/>
              <w:rPr>
                <w:rFonts w:asciiTheme="minorHAnsi" w:hAnsiTheme="minorHAnsi"/>
                <w:bCs/>
                <w:sz w:val="20"/>
              </w:rPr>
            </w:pPr>
          </w:p>
        </w:tc>
      </w:tr>
      <w:tr w:rsidR="00323BB2" w:rsidRPr="0061063C" w14:paraId="52B41C9D" w14:textId="77777777" w:rsidTr="00453AFA">
        <w:tc>
          <w:tcPr>
            <w:tcW w:w="5704" w:type="dxa"/>
            <w:tcBorders>
              <w:top w:val="nil"/>
              <w:left w:val="nil"/>
              <w:bottom w:val="nil"/>
              <w:right w:val="nil"/>
            </w:tcBorders>
          </w:tcPr>
          <w:p w14:paraId="65FB681F"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Property, plant and equipment</w:t>
            </w:r>
          </w:p>
        </w:tc>
        <w:tc>
          <w:tcPr>
            <w:tcW w:w="1560" w:type="dxa"/>
            <w:tcBorders>
              <w:top w:val="nil"/>
              <w:left w:val="nil"/>
              <w:bottom w:val="nil"/>
              <w:right w:val="nil"/>
            </w:tcBorders>
          </w:tcPr>
          <w:p w14:paraId="78D65CD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2.6</w:t>
            </w:r>
          </w:p>
        </w:tc>
      </w:tr>
      <w:tr w:rsidR="00323BB2" w:rsidRPr="0061063C" w14:paraId="6053C9EE" w14:textId="77777777" w:rsidTr="00453AFA">
        <w:tc>
          <w:tcPr>
            <w:tcW w:w="5704" w:type="dxa"/>
            <w:tcBorders>
              <w:top w:val="nil"/>
              <w:left w:val="nil"/>
              <w:bottom w:val="single" w:sz="4" w:space="0" w:color="auto"/>
              <w:right w:val="nil"/>
            </w:tcBorders>
          </w:tcPr>
          <w:p w14:paraId="62BA8694"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Intangible assets</w:t>
            </w:r>
          </w:p>
        </w:tc>
        <w:tc>
          <w:tcPr>
            <w:tcW w:w="1560" w:type="dxa"/>
            <w:tcBorders>
              <w:top w:val="nil"/>
              <w:left w:val="nil"/>
              <w:bottom w:val="single" w:sz="4" w:space="0" w:color="auto"/>
              <w:right w:val="nil"/>
            </w:tcBorders>
          </w:tcPr>
          <w:p w14:paraId="28C9C9E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75.6</w:t>
            </w:r>
          </w:p>
        </w:tc>
      </w:tr>
      <w:tr w:rsidR="00323BB2" w:rsidRPr="0061063C" w14:paraId="2236EC3E" w14:textId="77777777" w:rsidTr="00453AFA">
        <w:tc>
          <w:tcPr>
            <w:tcW w:w="5704" w:type="dxa"/>
            <w:tcBorders>
              <w:top w:val="single" w:sz="4" w:space="0" w:color="auto"/>
              <w:left w:val="nil"/>
              <w:bottom w:val="single" w:sz="4" w:space="0" w:color="auto"/>
              <w:right w:val="nil"/>
            </w:tcBorders>
          </w:tcPr>
          <w:p w14:paraId="0976AAF2"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non-current assets</w:t>
            </w:r>
          </w:p>
        </w:tc>
        <w:tc>
          <w:tcPr>
            <w:tcW w:w="1560" w:type="dxa"/>
            <w:tcBorders>
              <w:top w:val="single" w:sz="4" w:space="0" w:color="auto"/>
              <w:left w:val="nil"/>
              <w:bottom w:val="single" w:sz="4" w:space="0" w:color="auto"/>
              <w:right w:val="nil"/>
            </w:tcBorders>
          </w:tcPr>
          <w:p w14:paraId="2888C694" w14:textId="77777777" w:rsidR="00323BB2" w:rsidRPr="0061063C" w:rsidRDefault="00323BB2" w:rsidP="00453AFA">
            <w:pPr>
              <w:tabs>
                <w:tab w:val="center" w:pos="786"/>
                <w:tab w:val="right" w:pos="1572"/>
              </w:tabs>
              <w:jc w:val="right"/>
              <w:rPr>
                <w:rFonts w:asciiTheme="minorHAnsi" w:hAnsiTheme="minorHAnsi"/>
                <w:bCs/>
                <w:sz w:val="20"/>
              </w:rPr>
            </w:pPr>
            <w:r w:rsidRPr="0061063C">
              <w:rPr>
                <w:rFonts w:asciiTheme="minorHAnsi" w:hAnsiTheme="minorHAnsi"/>
                <w:bCs/>
                <w:sz w:val="20"/>
              </w:rPr>
              <w:t>78.2</w:t>
            </w:r>
          </w:p>
        </w:tc>
      </w:tr>
      <w:tr w:rsidR="00323BB2" w:rsidRPr="0061063C" w14:paraId="57067E32" w14:textId="77777777" w:rsidTr="00453AFA">
        <w:trPr>
          <w:trHeight w:val="331"/>
        </w:trPr>
        <w:tc>
          <w:tcPr>
            <w:tcW w:w="5704" w:type="dxa"/>
            <w:tcBorders>
              <w:top w:val="single" w:sz="4" w:space="0" w:color="auto"/>
              <w:left w:val="nil"/>
              <w:right w:val="nil"/>
            </w:tcBorders>
          </w:tcPr>
          <w:p w14:paraId="3011BD26" w14:textId="77777777" w:rsidR="00323BB2" w:rsidRPr="0061063C" w:rsidRDefault="00323BB2" w:rsidP="00453AFA">
            <w:pPr>
              <w:ind w:left="-108"/>
              <w:rPr>
                <w:rFonts w:asciiTheme="minorHAnsi" w:hAnsiTheme="minorHAnsi"/>
                <w:sz w:val="20"/>
              </w:rPr>
            </w:pPr>
          </w:p>
          <w:p w14:paraId="33921E3E"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Trade and other receivables</w:t>
            </w:r>
          </w:p>
        </w:tc>
        <w:tc>
          <w:tcPr>
            <w:tcW w:w="1560" w:type="dxa"/>
            <w:tcBorders>
              <w:top w:val="single" w:sz="4" w:space="0" w:color="auto"/>
              <w:left w:val="nil"/>
              <w:right w:val="nil"/>
            </w:tcBorders>
          </w:tcPr>
          <w:p w14:paraId="079EF649" w14:textId="77777777" w:rsidR="00323BB2" w:rsidRPr="0061063C" w:rsidRDefault="00323BB2" w:rsidP="00453AFA">
            <w:pPr>
              <w:jc w:val="right"/>
              <w:rPr>
                <w:rFonts w:asciiTheme="minorHAnsi" w:hAnsiTheme="minorHAnsi"/>
                <w:bCs/>
                <w:sz w:val="20"/>
              </w:rPr>
            </w:pPr>
          </w:p>
          <w:p w14:paraId="785B061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2.7</w:t>
            </w:r>
          </w:p>
        </w:tc>
      </w:tr>
      <w:tr w:rsidR="00323BB2" w:rsidRPr="0061063C" w14:paraId="02A33812" w14:textId="77777777" w:rsidTr="00453AFA">
        <w:trPr>
          <w:trHeight w:val="149"/>
        </w:trPr>
        <w:tc>
          <w:tcPr>
            <w:tcW w:w="5704" w:type="dxa"/>
            <w:tcBorders>
              <w:left w:val="nil"/>
              <w:right w:val="nil"/>
            </w:tcBorders>
          </w:tcPr>
          <w:p w14:paraId="2F242127"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Financial assets – restricted cash</w:t>
            </w:r>
          </w:p>
        </w:tc>
        <w:tc>
          <w:tcPr>
            <w:tcW w:w="1560" w:type="dxa"/>
            <w:tcBorders>
              <w:left w:val="nil"/>
              <w:right w:val="nil"/>
            </w:tcBorders>
          </w:tcPr>
          <w:p w14:paraId="1818989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1.6</w:t>
            </w:r>
          </w:p>
        </w:tc>
      </w:tr>
      <w:tr w:rsidR="00323BB2" w:rsidRPr="0061063C" w14:paraId="0E498902" w14:textId="77777777" w:rsidTr="00453AFA">
        <w:trPr>
          <w:trHeight w:val="194"/>
        </w:trPr>
        <w:tc>
          <w:tcPr>
            <w:tcW w:w="5704" w:type="dxa"/>
            <w:tcBorders>
              <w:left w:val="nil"/>
              <w:right w:val="nil"/>
            </w:tcBorders>
          </w:tcPr>
          <w:p w14:paraId="4AAAC22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Cash and cash equivalents acquired</w:t>
            </w:r>
          </w:p>
        </w:tc>
        <w:tc>
          <w:tcPr>
            <w:tcW w:w="1560" w:type="dxa"/>
            <w:tcBorders>
              <w:left w:val="nil"/>
              <w:right w:val="nil"/>
            </w:tcBorders>
          </w:tcPr>
          <w:p w14:paraId="13E68A0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0.2</w:t>
            </w:r>
          </w:p>
        </w:tc>
      </w:tr>
      <w:tr w:rsidR="00323BB2" w:rsidRPr="0061063C" w14:paraId="0E2D5CD1" w14:textId="77777777" w:rsidTr="00453AFA">
        <w:trPr>
          <w:trHeight w:val="215"/>
        </w:trPr>
        <w:tc>
          <w:tcPr>
            <w:tcW w:w="5704" w:type="dxa"/>
            <w:tcBorders>
              <w:top w:val="single" w:sz="4" w:space="0" w:color="auto"/>
              <w:left w:val="nil"/>
              <w:bottom w:val="single" w:sz="4" w:space="0" w:color="auto"/>
              <w:right w:val="nil"/>
            </w:tcBorders>
          </w:tcPr>
          <w:p w14:paraId="3619C521"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current assets</w:t>
            </w:r>
          </w:p>
        </w:tc>
        <w:tc>
          <w:tcPr>
            <w:tcW w:w="1560" w:type="dxa"/>
            <w:tcBorders>
              <w:top w:val="single" w:sz="4" w:space="0" w:color="auto"/>
              <w:left w:val="nil"/>
              <w:bottom w:val="single" w:sz="4" w:space="0" w:color="auto"/>
              <w:right w:val="nil"/>
            </w:tcBorders>
          </w:tcPr>
          <w:p w14:paraId="15AC4DB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4.5</w:t>
            </w:r>
          </w:p>
        </w:tc>
      </w:tr>
      <w:tr w:rsidR="00323BB2" w:rsidRPr="0061063C" w14:paraId="3D658D88" w14:textId="77777777" w:rsidTr="00453AFA">
        <w:trPr>
          <w:trHeight w:val="261"/>
        </w:trPr>
        <w:tc>
          <w:tcPr>
            <w:tcW w:w="5704" w:type="dxa"/>
            <w:tcBorders>
              <w:top w:val="single" w:sz="4" w:space="0" w:color="auto"/>
              <w:left w:val="nil"/>
              <w:bottom w:val="single" w:sz="4" w:space="0" w:color="auto"/>
              <w:right w:val="nil"/>
            </w:tcBorders>
          </w:tcPr>
          <w:p w14:paraId="7D4E6569" w14:textId="77777777" w:rsidR="00323BB2" w:rsidRPr="0061063C" w:rsidRDefault="00323BB2" w:rsidP="00453AFA">
            <w:pPr>
              <w:ind w:left="-108"/>
              <w:rPr>
                <w:rFonts w:asciiTheme="minorHAnsi" w:hAnsiTheme="minorHAnsi"/>
                <w:b/>
                <w:bCs/>
                <w:sz w:val="20"/>
              </w:rPr>
            </w:pPr>
          </w:p>
          <w:p w14:paraId="439562C8"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assets</w:t>
            </w:r>
          </w:p>
        </w:tc>
        <w:tc>
          <w:tcPr>
            <w:tcW w:w="1560" w:type="dxa"/>
            <w:tcBorders>
              <w:top w:val="single" w:sz="4" w:space="0" w:color="auto"/>
              <w:left w:val="nil"/>
              <w:bottom w:val="single" w:sz="4" w:space="0" w:color="auto"/>
              <w:right w:val="nil"/>
            </w:tcBorders>
          </w:tcPr>
          <w:p w14:paraId="54FB7363" w14:textId="77777777" w:rsidR="00323BB2" w:rsidRPr="0061063C" w:rsidRDefault="00323BB2" w:rsidP="00453AFA">
            <w:pPr>
              <w:jc w:val="right"/>
              <w:rPr>
                <w:rFonts w:asciiTheme="minorHAnsi" w:hAnsiTheme="minorHAnsi"/>
                <w:bCs/>
                <w:sz w:val="20"/>
              </w:rPr>
            </w:pPr>
          </w:p>
          <w:p w14:paraId="4D8689E9"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82.7</w:t>
            </w:r>
          </w:p>
        </w:tc>
      </w:tr>
      <w:tr w:rsidR="00323BB2" w:rsidRPr="0061063C" w14:paraId="0DFABEBB" w14:textId="77777777" w:rsidTr="00453AFA">
        <w:trPr>
          <w:trHeight w:val="576"/>
        </w:trPr>
        <w:tc>
          <w:tcPr>
            <w:tcW w:w="5704" w:type="dxa"/>
            <w:tcBorders>
              <w:top w:val="single" w:sz="4" w:space="0" w:color="auto"/>
              <w:left w:val="nil"/>
              <w:bottom w:val="nil"/>
              <w:right w:val="nil"/>
            </w:tcBorders>
          </w:tcPr>
          <w:p w14:paraId="7BF364BB" w14:textId="77777777" w:rsidR="00323BB2" w:rsidRPr="0061063C" w:rsidRDefault="00323BB2" w:rsidP="00453AFA">
            <w:pPr>
              <w:ind w:left="-108"/>
              <w:rPr>
                <w:rFonts w:asciiTheme="minorHAnsi" w:hAnsiTheme="minorHAnsi"/>
                <w:b/>
                <w:bCs/>
                <w:sz w:val="20"/>
              </w:rPr>
            </w:pPr>
          </w:p>
          <w:p w14:paraId="436C6154"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Liabilities</w:t>
            </w:r>
          </w:p>
        </w:tc>
        <w:tc>
          <w:tcPr>
            <w:tcW w:w="1560" w:type="dxa"/>
            <w:tcBorders>
              <w:top w:val="single" w:sz="4" w:space="0" w:color="auto"/>
              <w:left w:val="nil"/>
              <w:right w:val="nil"/>
            </w:tcBorders>
          </w:tcPr>
          <w:p w14:paraId="2FDEB60C" w14:textId="77777777" w:rsidR="00323BB2" w:rsidRPr="0061063C" w:rsidRDefault="00323BB2" w:rsidP="00453AFA">
            <w:pPr>
              <w:jc w:val="right"/>
              <w:rPr>
                <w:rFonts w:asciiTheme="minorHAnsi" w:hAnsiTheme="minorHAnsi"/>
                <w:bCs/>
                <w:sz w:val="20"/>
              </w:rPr>
            </w:pPr>
          </w:p>
        </w:tc>
      </w:tr>
      <w:tr w:rsidR="00323BB2" w:rsidRPr="0061063C" w14:paraId="2EA109CC" w14:textId="77777777" w:rsidTr="00453AFA">
        <w:trPr>
          <w:trHeight w:val="185"/>
        </w:trPr>
        <w:tc>
          <w:tcPr>
            <w:tcW w:w="5704" w:type="dxa"/>
            <w:tcBorders>
              <w:top w:val="nil"/>
              <w:left w:val="nil"/>
              <w:bottom w:val="nil"/>
              <w:right w:val="nil"/>
            </w:tcBorders>
          </w:tcPr>
          <w:p w14:paraId="6773D3A3"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Trade and other payables</w:t>
            </w:r>
          </w:p>
        </w:tc>
        <w:tc>
          <w:tcPr>
            <w:tcW w:w="1560" w:type="dxa"/>
            <w:tcBorders>
              <w:left w:val="nil"/>
              <w:right w:val="nil"/>
            </w:tcBorders>
          </w:tcPr>
          <w:p w14:paraId="618B0DE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5.7</w:t>
            </w:r>
          </w:p>
        </w:tc>
      </w:tr>
      <w:tr w:rsidR="00323BB2" w:rsidRPr="0061063C" w14:paraId="424DD607" w14:textId="77777777" w:rsidTr="00453AFA">
        <w:trPr>
          <w:trHeight w:val="185"/>
        </w:trPr>
        <w:tc>
          <w:tcPr>
            <w:tcW w:w="5704" w:type="dxa"/>
            <w:tcBorders>
              <w:top w:val="nil"/>
              <w:left w:val="nil"/>
              <w:bottom w:val="nil"/>
              <w:right w:val="nil"/>
            </w:tcBorders>
          </w:tcPr>
          <w:p w14:paraId="73019765"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Customer balances</w:t>
            </w:r>
          </w:p>
        </w:tc>
        <w:tc>
          <w:tcPr>
            <w:tcW w:w="1560" w:type="dxa"/>
            <w:tcBorders>
              <w:left w:val="nil"/>
              <w:right w:val="nil"/>
            </w:tcBorders>
          </w:tcPr>
          <w:p w14:paraId="1F19F80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1.6</w:t>
            </w:r>
          </w:p>
        </w:tc>
      </w:tr>
      <w:tr w:rsidR="00323BB2" w:rsidRPr="0061063C" w14:paraId="1F1E6B14" w14:textId="77777777" w:rsidTr="00453AFA">
        <w:trPr>
          <w:trHeight w:val="227"/>
        </w:trPr>
        <w:tc>
          <w:tcPr>
            <w:tcW w:w="5704" w:type="dxa"/>
            <w:tcBorders>
              <w:top w:val="single" w:sz="4" w:space="0" w:color="auto"/>
              <w:left w:val="nil"/>
              <w:bottom w:val="single" w:sz="4" w:space="0" w:color="auto"/>
              <w:right w:val="nil"/>
            </w:tcBorders>
          </w:tcPr>
          <w:p w14:paraId="3F189313"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current liabilities</w:t>
            </w:r>
          </w:p>
        </w:tc>
        <w:tc>
          <w:tcPr>
            <w:tcW w:w="1560" w:type="dxa"/>
            <w:tcBorders>
              <w:top w:val="single" w:sz="4" w:space="0" w:color="auto"/>
              <w:left w:val="nil"/>
              <w:bottom w:val="single" w:sz="4" w:space="0" w:color="auto"/>
              <w:right w:val="nil"/>
            </w:tcBorders>
          </w:tcPr>
          <w:p w14:paraId="2CCF132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7.3</w:t>
            </w:r>
          </w:p>
        </w:tc>
      </w:tr>
      <w:tr w:rsidR="00323BB2" w:rsidRPr="0061063C" w14:paraId="2839BC58" w14:textId="77777777" w:rsidTr="00453AFA">
        <w:trPr>
          <w:trHeight w:val="231"/>
        </w:trPr>
        <w:tc>
          <w:tcPr>
            <w:tcW w:w="5704" w:type="dxa"/>
            <w:tcBorders>
              <w:top w:val="single" w:sz="4" w:space="0" w:color="auto"/>
              <w:left w:val="nil"/>
              <w:right w:val="nil"/>
            </w:tcBorders>
          </w:tcPr>
          <w:p w14:paraId="6CFEA2AC" w14:textId="77777777" w:rsidR="00323BB2" w:rsidRPr="0061063C" w:rsidRDefault="00323BB2" w:rsidP="00453AFA">
            <w:pPr>
              <w:ind w:left="-108"/>
              <w:rPr>
                <w:rFonts w:asciiTheme="minorHAnsi" w:hAnsiTheme="minorHAnsi"/>
                <w:b/>
                <w:bCs/>
                <w:sz w:val="20"/>
              </w:rPr>
            </w:pPr>
          </w:p>
        </w:tc>
        <w:tc>
          <w:tcPr>
            <w:tcW w:w="1560" w:type="dxa"/>
            <w:tcBorders>
              <w:top w:val="single" w:sz="4" w:space="0" w:color="auto"/>
              <w:left w:val="nil"/>
              <w:right w:val="nil"/>
            </w:tcBorders>
          </w:tcPr>
          <w:p w14:paraId="7FB39A77" w14:textId="77777777" w:rsidR="00323BB2" w:rsidRPr="0061063C" w:rsidRDefault="00323BB2" w:rsidP="00453AFA">
            <w:pPr>
              <w:jc w:val="right"/>
              <w:rPr>
                <w:rFonts w:asciiTheme="minorHAnsi" w:hAnsiTheme="minorHAnsi"/>
                <w:bCs/>
                <w:sz w:val="20"/>
              </w:rPr>
            </w:pPr>
          </w:p>
        </w:tc>
      </w:tr>
      <w:tr w:rsidR="00323BB2" w:rsidRPr="0061063C" w14:paraId="5DC1E4A6" w14:textId="77777777" w:rsidTr="00453AFA">
        <w:tc>
          <w:tcPr>
            <w:tcW w:w="5704" w:type="dxa"/>
            <w:tcBorders>
              <w:top w:val="nil"/>
              <w:left w:val="nil"/>
              <w:right w:val="nil"/>
            </w:tcBorders>
          </w:tcPr>
          <w:p w14:paraId="49FB5236"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Trade and other payables</w:t>
            </w:r>
          </w:p>
        </w:tc>
        <w:tc>
          <w:tcPr>
            <w:tcW w:w="1560" w:type="dxa"/>
            <w:tcBorders>
              <w:left w:val="nil"/>
              <w:right w:val="nil"/>
            </w:tcBorders>
          </w:tcPr>
          <w:p w14:paraId="498DBE1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0.7</w:t>
            </w:r>
          </w:p>
        </w:tc>
      </w:tr>
      <w:tr w:rsidR="00323BB2" w:rsidRPr="0061063C" w14:paraId="3C93DE35" w14:textId="77777777" w:rsidTr="00453AFA">
        <w:tc>
          <w:tcPr>
            <w:tcW w:w="5704" w:type="dxa"/>
            <w:tcBorders>
              <w:top w:val="nil"/>
              <w:left w:val="nil"/>
              <w:right w:val="nil"/>
            </w:tcBorders>
          </w:tcPr>
          <w:p w14:paraId="726D96E8"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Deferred tax liabilities</w:t>
            </w:r>
          </w:p>
        </w:tc>
        <w:tc>
          <w:tcPr>
            <w:tcW w:w="1560" w:type="dxa"/>
            <w:tcBorders>
              <w:left w:val="nil"/>
              <w:right w:val="nil"/>
            </w:tcBorders>
          </w:tcPr>
          <w:p w14:paraId="714343F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11.1</w:t>
            </w:r>
          </w:p>
        </w:tc>
      </w:tr>
      <w:tr w:rsidR="00323BB2" w:rsidRPr="0061063C" w14:paraId="4BA10768" w14:textId="77777777" w:rsidTr="00453AFA">
        <w:tc>
          <w:tcPr>
            <w:tcW w:w="5704" w:type="dxa"/>
            <w:tcBorders>
              <w:top w:val="single" w:sz="4" w:space="0" w:color="auto"/>
              <w:left w:val="nil"/>
              <w:bottom w:val="single" w:sz="4" w:space="0" w:color="auto"/>
              <w:right w:val="nil"/>
            </w:tcBorders>
          </w:tcPr>
          <w:p w14:paraId="0FC071FF"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non-current liabilities</w:t>
            </w:r>
          </w:p>
        </w:tc>
        <w:tc>
          <w:tcPr>
            <w:tcW w:w="1560" w:type="dxa"/>
            <w:tcBorders>
              <w:top w:val="single" w:sz="4" w:space="0" w:color="auto"/>
              <w:left w:val="nil"/>
              <w:bottom w:val="single" w:sz="4" w:space="0" w:color="auto"/>
              <w:right w:val="nil"/>
            </w:tcBorders>
          </w:tcPr>
          <w:p w14:paraId="64E1F5D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11.8</w:t>
            </w:r>
          </w:p>
        </w:tc>
      </w:tr>
      <w:tr w:rsidR="00323BB2" w:rsidRPr="0061063C" w14:paraId="5EA26157" w14:textId="77777777" w:rsidTr="00453AFA">
        <w:trPr>
          <w:trHeight w:val="247"/>
        </w:trPr>
        <w:tc>
          <w:tcPr>
            <w:tcW w:w="5704" w:type="dxa"/>
            <w:tcBorders>
              <w:top w:val="single" w:sz="4" w:space="0" w:color="auto"/>
              <w:left w:val="nil"/>
              <w:bottom w:val="single" w:sz="4" w:space="0" w:color="auto"/>
              <w:right w:val="nil"/>
            </w:tcBorders>
          </w:tcPr>
          <w:p w14:paraId="7BA5F380" w14:textId="77777777" w:rsidR="00323BB2" w:rsidRPr="0061063C" w:rsidRDefault="00323BB2" w:rsidP="00453AFA">
            <w:pPr>
              <w:ind w:left="-108"/>
              <w:rPr>
                <w:rFonts w:asciiTheme="minorHAnsi" w:hAnsiTheme="minorHAnsi"/>
                <w:bCs/>
                <w:sz w:val="20"/>
              </w:rPr>
            </w:pPr>
          </w:p>
          <w:p w14:paraId="287B63B9"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Total liabilities</w:t>
            </w:r>
          </w:p>
        </w:tc>
        <w:tc>
          <w:tcPr>
            <w:tcW w:w="1560" w:type="dxa"/>
            <w:tcBorders>
              <w:top w:val="single" w:sz="4" w:space="0" w:color="auto"/>
              <w:left w:val="nil"/>
              <w:bottom w:val="single" w:sz="4" w:space="0" w:color="auto"/>
              <w:right w:val="nil"/>
            </w:tcBorders>
          </w:tcPr>
          <w:p w14:paraId="20AD6B2E" w14:textId="77777777" w:rsidR="00323BB2" w:rsidRPr="0061063C" w:rsidRDefault="00323BB2" w:rsidP="00453AFA">
            <w:pPr>
              <w:jc w:val="right"/>
              <w:rPr>
                <w:rFonts w:asciiTheme="minorHAnsi" w:hAnsiTheme="minorHAnsi"/>
                <w:bCs/>
                <w:sz w:val="20"/>
              </w:rPr>
            </w:pPr>
          </w:p>
          <w:p w14:paraId="37F57550"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19.1</w:t>
            </w:r>
          </w:p>
        </w:tc>
      </w:tr>
      <w:tr w:rsidR="00323BB2" w:rsidRPr="0061063C" w14:paraId="6AF9E4A8" w14:textId="77777777" w:rsidTr="00453AFA">
        <w:trPr>
          <w:trHeight w:val="336"/>
        </w:trPr>
        <w:tc>
          <w:tcPr>
            <w:tcW w:w="5704" w:type="dxa"/>
            <w:tcBorders>
              <w:top w:val="single" w:sz="4" w:space="0" w:color="auto"/>
              <w:left w:val="nil"/>
              <w:right w:val="nil"/>
            </w:tcBorders>
            <w:vAlign w:val="bottom"/>
          </w:tcPr>
          <w:p w14:paraId="167D3A4C"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Net assets acquired</w:t>
            </w:r>
          </w:p>
        </w:tc>
        <w:tc>
          <w:tcPr>
            <w:tcW w:w="1560" w:type="dxa"/>
            <w:tcBorders>
              <w:top w:val="single" w:sz="4" w:space="0" w:color="auto"/>
              <w:left w:val="nil"/>
              <w:right w:val="nil"/>
            </w:tcBorders>
            <w:vAlign w:val="bottom"/>
          </w:tcPr>
          <w:p w14:paraId="5D323A7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63.6</w:t>
            </w:r>
          </w:p>
        </w:tc>
      </w:tr>
      <w:tr w:rsidR="00323BB2" w:rsidRPr="0061063C" w14:paraId="2455C123" w14:textId="77777777" w:rsidTr="00453AFA">
        <w:trPr>
          <w:trHeight w:val="336"/>
        </w:trPr>
        <w:tc>
          <w:tcPr>
            <w:tcW w:w="5704" w:type="dxa"/>
            <w:tcBorders>
              <w:left w:val="nil"/>
              <w:right w:val="nil"/>
            </w:tcBorders>
            <w:vAlign w:val="bottom"/>
          </w:tcPr>
          <w:p w14:paraId="0FC603C9"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Goodwill</w:t>
            </w:r>
          </w:p>
        </w:tc>
        <w:tc>
          <w:tcPr>
            <w:tcW w:w="1560" w:type="dxa"/>
            <w:tcBorders>
              <w:left w:val="nil"/>
              <w:right w:val="nil"/>
            </w:tcBorders>
            <w:vAlign w:val="bottom"/>
          </w:tcPr>
          <w:p w14:paraId="3A8BE826"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69.6</w:t>
            </w:r>
          </w:p>
        </w:tc>
      </w:tr>
      <w:tr w:rsidR="00323BB2" w:rsidRPr="0061063C" w14:paraId="1790E3BE" w14:textId="77777777" w:rsidTr="00453AFA">
        <w:trPr>
          <w:trHeight w:val="336"/>
        </w:trPr>
        <w:tc>
          <w:tcPr>
            <w:tcW w:w="5704" w:type="dxa"/>
            <w:tcBorders>
              <w:left w:val="nil"/>
              <w:bottom w:val="single" w:sz="4" w:space="0" w:color="auto"/>
              <w:right w:val="nil"/>
            </w:tcBorders>
            <w:vAlign w:val="bottom"/>
          </w:tcPr>
          <w:p w14:paraId="08DF328F"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Non-controlling interest measured at the fair value of net assets identified</w:t>
            </w:r>
          </w:p>
        </w:tc>
        <w:tc>
          <w:tcPr>
            <w:tcW w:w="1560" w:type="dxa"/>
            <w:tcBorders>
              <w:left w:val="nil"/>
              <w:bottom w:val="single" w:sz="4" w:space="0" w:color="auto"/>
              <w:right w:val="nil"/>
            </w:tcBorders>
            <w:vAlign w:val="bottom"/>
          </w:tcPr>
          <w:p w14:paraId="75A35F6E"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(31.2)</w:t>
            </w:r>
          </w:p>
        </w:tc>
      </w:tr>
      <w:tr w:rsidR="00323BB2" w:rsidRPr="0061063C" w14:paraId="1224C71A" w14:textId="77777777" w:rsidTr="00453AFA">
        <w:trPr>
          <w:trHeight w:val="336"/>
        </w:trPr>
        <w:tc>
          <w:tcPr>
            <w:tcW w:w="5704" w:type="dxa"/>
            <w:tcBorders>
              <w:top w:val="single" w:sz="4" w:space="0" w:color="auto"/>
              <w:left w:val="nil"/>
              <w:bottom w:val="single" w:sz="4" w:space="0" w:color="auto"/>
              <w:right w:val="nil"/>
            </w:tcBorders>
            <w:vAlign w:val="bottom"/>
          </w:tcPr>
          <w:p w14:paraId="2C7DAF57"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Consideration</w:t>
            </w:r>
          </w:p>
        </w:tc>
        <w:tc>
          <w:tcPr>
            <w:tcW w:w="1560" w:type="dxa"/>
            <w:tcBorders>
              <w:top w:val="single" w:sz="4" w:space="0" w:color="auto"/>
              <w:left w:val="nil"/>
              <w:bottom w:val="single" w:sz="4" w:space="0" w:color="auto"/>
              <w:right w:val="nil"/>
            </w:tcBorders>
            <w:vAlign w:val="bottom"/>
          </w:tcPr>
          <w:p w14:paraId="6CBC62BC"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102.0</w:t>
            </w:r>
          </w:p>
        </w:tc>
      </w:tr>
      <w:tr w:rsidR="00323BB2" w:rsidRPr="0061063C" w14:paraId="1022079E" w14:textId="77777777" w:rsidTr="00453AFA">
        <w:trPr>
          <w:trHeight w:val="336"/>
        </w:trPr>
        <w:tc>
          <w:tcPr>
            <w:tcW w:w="5704" w:type="dxa"/>
            <w:tcBorders>
              <w:top w:val="single" w:sz="4" w:space="0" w:color="auto"/>
              <w:left w:val="nil"/>
              <w:right w:val="nil"/>
            </w:tcBorders>
            <w:vAlign w:val="bottom"/>
          </w:tcPr>
          <w:p w14:paraId="27F6ED37" w14:textId="77777777" w:rsidR="00323BB2" w:rsidRPr="0061063C" w:rsidRDefault="00323BB2" w:rsidP="00453AFA">
            <w:pPr>
              <w:ind w:left="-108"/>
              <w:rPr>
                <w:rFonts w:asciiTheme="minorHAnsi" w:hAnsiTheme="minorHAnsi"/>
                <w:b/>
                <w:bCs/>
                <w:sz w:val="20"/>
              </w:rPr>
            </w:pPr>
          </w:p>
        </w:tc>
        <w:tc>
          <w:tcPr>
            <w:tcW w:w="1560" w:type="dxa"/>
            <w:tcBorders>
              <w:top w:val="single" w:sz="4" w:space="0" w:color="auto"/>
              <w:left w:val="nil"/>
              <w:right w:val="nil"/>
            </w:tcBorders>
            <w:vAlign w:val="bottom"/>
          </w:tcPr>
          <w:p w14:paraId="46F7165F" w14:textId="77777777" w:rsidR="00323BB2" w:rsidRPr="0061063C" w:rsidRDefault="00323BB2" w:rsidP="00453AFA">
            <w:pPr>
              <w:jc w:val="right"/>
              <w:rPr>
                <w:rFonts w:asciiTheme="minorHAnsi" w:hAnsiTheme="minorHAnsi"/>
                <w:b/>
                <w:bCs/>
                <w:sz w:val="20"/>
              </w:rPr>
            </w:pPr>
          </w:p>
        </w:tc>
      </w:tr>
      <w:tr w:rsidR="00323BB2" w:rsidRPr="0061063C" w14:paraId="143EAEE4" w14:textId="77777777" w:rsidTr="00453AFA">
        <w:trPr>
          <w:trHeight w:val="336"/>
        </w:trPr>
        <w:tc>
          <w:tcPr>
            <w:tcW w:w="5704" w:type="dxa"/>
            <w:tcBorders>
              <w:left w:val="nil"/>
              <w:right w:val="nil"/>
            </w:tcBorders>
            <w:vAlign w:val="bottom"/>
          </w:tcPr>
          <w:p w14:paraId="048AE85B"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The consideration is analysed as:</w:t>
            </w:r>
          </w:p>
        </w:tc>
        <w:tc>
          <w:tcPr>
            <w:tcW w:w="1560" w:type="dxa"/>
            <w:tcBorders>
              <w:left w:val="nil"/>
              <w:right w:val="nil"/>
            </w:tcBorders>
            <w:vAlign w:val="bottom"/>
          </w:tcPr>
          <w:p w14:paraId="6000A820" w14:textId="77777777" w:rsidR="00323BB2" w:rsidRPr="0061063C" w:rsidRDefault="00323BB2" w:rsidP="00453AFA">
            <w:pPr>
              <w:jc w:val="right"/>
              <w:rPr>
                <w:rFonts w:asciiTheme="minorHAnsi" w:hAnsiTheme="minorHAnsi"/>
                <w:b/>
                <w:bCs/>
                <w:sz w:val="20"/>
              </w:rPr>
            </w:pPr>
          </w:p>
        </w:tc>
      </w:tr>
      <w:tr w:rsidR="00323BB2" w:rsidRPr="0061063C" w14:paraId="7EAA8AC6" w14:textId="77777777" w:rsidTr="00453AFA">
        <w:trPr>
          <w:trHeight w:val="135"/>
        </w:trPr>
        <w:tc>
          <w:tcPr>
            <w:tcW w:w="5704" w:type="dxa"/>
            <w:tcBorders>
              <w:left w:val="nil"/>
              <w:right w:val="nil"/>
            </w:tcBorders>
            <w:vAlign w:val="bottom"/>
          </w:tcPr>
          <w:p w14:paraId="43C81D72" w14:textId="77777777" w:rsidR="00323BB2" w:rsidRPr="0061063C" w:rsidRDefault="00323BB2" w:rsidP="00453AFA">
            <w:pPr>
              <w:ind w:left="-108"/>
              <w:rPr>
                <w:rFonts w:asciiTheme="minorHAnsi" w:hAnsiTheme="minorHAnsi"/>
                <w:bCs/>
                <w:sz w:val="20"/>
              </w:rPr>
            </w:pPr>
            <w:r w:rsidRPr="0061063C">
              <w:rPr>
                <w:rFonts w:asciiTheme="minorHAnsi" w:hAnsiTheme="minorHAnsi"/>
                <w:bCs/>
                <w:sz w:val="20"/>
              </w:rPr>
              <w:t>Consideration paid in cash</w:t>
            </w:r>
          </w:p>
        </w:tc>
        <w:tc>
          <w:tcPr>
            <w:tcW w:w="1560" w:type="dxa"/>
            <w:tcBorders>
              <w:left w:val="nil"/>
              <w:right w:val="nil"/>
            </w:tcBorders>
            <w:vAlign w:val="bottom"/>
          </w:tcPr>
          <w:p w14:paraId="6F1E763A"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102.0</w:t>
            </w:r>
          </w:p>
        </w:tc>
      </w:tr>
      <w:tr w:rsidR="00323BB2" w:rsidRPr="0061063C" w14:paraId="168935A4" w14:textId="77777777" w:rsidTr="00453AFA">
        <w:trPr>
          <w:trHeight w:val="336"/>
        </w:trPr>
        <w:tc>
          <w:tcPr>
            <w:tcW w:w="5704" w:type="dxa"/>
            <w:tcBorders>
              <w:top w:val="single" w:sz="4" w:space="0" w:color="auto"/>
              <w:left w:val="nil"/>
              <w:bottom w:val="single" w:sz="4" w:space="0" w:color="auto"/>
              <w:right w:val="nil"/>
            </w:tcBorders>
            <w:vAlign w:val="bottom"/>
          </w:tcPr>
          <w:p w14:paraId="6F9AC9EF" w14:textId="77777777" w:rsidR="00323BB2" w:rsidRPr="0061063C" w:rsidRDefault="00323BB2" w:rsidP="00453AFA">
            <w:pPr>
              <w:ind w:left="-108"/>
              <w:rPr>
                <w:rFonts w:asciiTheme="minorHAnsi" w:hAnsiTheme="minorHAnsi"/>
                <w:b/>
                <w:bCs/>
                <w:sz w:val="20"/>
              </w:rPr>
            </w:pPr>
            <w:r w:rsidRPr="0061063C">
              <w:rPr>
                <w:rFonts w:asciiTheme="minorHAnsi" w:hAnsiTheme="minorHAnsi"/>
                <w:b/>
                <w:bCs/>
                <w:sz w:val="20"/>
              </w:rPr>
              <w:t>Consideration</w:t>
            </w:r>
          </w:p>
        </w:tc>
        <w:tc>
          <w:tcPr>
            <w:tcW w:w="1560" w:type="dxa"/>
            <w:tcBorders>
              <w:top w:val="single" w:sz="4" w:space="0" w:color="auto"/>
              <w:left w:val="nil"/>
              <w:bottom w:val="single" w:sz="4" w:space="0" w:color="auto"/>
              <w:right w:val="nil"/>
            </w:tcBorders>
            <w:vAlign w:val="bottom"/>
          </w:tcPr>
          <w:p w14:paraId="2041C75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102.0</w:t>
            </w:r>
          </w:p>
        </w:tc>
      </w:tr>
    </w:tbl>
    <w:p w14:paraId="28DB90AC" w14:textId="77777777" w:rsidR="00323BB2" w:rsidRPr="0061063C" w:rsidRDefault="00323BB2" w:rsidP="00323BB2">
      <w:pPr>
        <w:rPr>
          <w:rFonts w:asciiTheme="minorHAnsi" w:hAnsiTheme="minorHAnsi"/>
          <w:b/>
          <w:bCs/>
          <w:i/>
          <w:sz w:val="20"/>
          <w:lang w:val="en-IE"/>
        </w:rPr>
      </w:pPr>
    </w:p>
    <w:p w14:paraId="0A49E3E4" w14:textId="77777777" w:rsidR="00323BB2" w:rsidRPr="0061063C" w:rsidRDefault="00323BB2" w:rsidP="00323BB2">
      <w:pPr>
        <w:rPr>
          <w:rFonts w:asciiTheme="minorHAnsi" w:hAnsiTheme="minorHAnsi"/>
          <w:b/>
          <w:bCs/>
          <w:sz w:val="20"/>
          <w:lang w:val="en-IE"/>
        </w:rPr>
      </w:pPr>
      <w:r w:rsidRPr="0061063C">
        <w:rPr>
          <w:rFonts w:asciiTheme="minorHAnsi" w:hAnsiTheme="minorHAnsi"/>
          <w:b/>
          <w:bCs/>
          <w:sz w:val="20"/>
          <w:lang w:val="en-IE"/>
        </w:rPr>
        <w:br w:type="page"/>
      </w:r>
    </w:p>
    <w:p w14:paraId="4FB8474B" w14:textId="77777777" w:rsidR="00323BB2" w:rsidRPr="0061063C" w:rsidRDefault="00323BB2" w:rsidP="00323BB2">
      <w:pPr>
        <w:pStyle w:val="BodyText"/>
        <w:spacing w:after="0"/>
        <w:rPr>
          <w:rFonts w:asciiTheme="minorHAnsi" w:hAnsiTheme="minorHAnsi"/>
          <w:b/>
          <w:sz w:val="20"/>
          <w:lang w:val="en-IE"/>
        </w:rPr>
      </w:pPr>
      <w:r w:rsidRPr="0061063C">
        <w:rPr>
          <w:rFonts w:asciiTheme="minorHAnsi" w:hAnsiTheme="minorHAnsi"/>
          <w:b/>
          <w:sz w:val="20"/>
          <w:szCs w:val="20"/>
          <w:lang w:val="en-IE"/>
        </w:rPr>
        <w:lastRenderedPageBreak/>
        <w:t>10</w:t>
      </w:r>
      <w:r w:rsidRPr="0061063C">
        <w:rPr>
          <w:rFonts w:asciiTheme="minorHAnsi" w:hAnsiTheme="minorHAnsi"/>
          <w:b/>
          <w:bCs/>
          <w:sz w:val="20"/>
          <w:szCs w:val="20"/>
          <w:lang w:val="en-IE"/>
        </w:rPr>
        <w:t xml:space="preserve">. Business combinations </w:t>
      </w:r>
      <w:r w:rsidRPr="0061063C">
        <w:rPr>
          <w:rFonts w:asciiTheme="minorHAnsi" w:hAnsiTheme="minorHAnsi"/>
          <w:b/>
          <w:sz w:val="20"/>
          <w:lang w:val="en-IE"/>
        </w:rPr>
        <w:t>(continued)</w:t>
      </w:r>
    </w:p>
    <w:p w14:paraId="6B93DB30" w14:textId="77777777" w:rsidR="00323BB2" w:rsidRPr="0061063C" w:rsidRDefault="00323BB2" w:rsidP="00323BB2">
      <w:pPr>
        <w:rPr>
          <w:rFonts w:asciiTheme="minorHAnsi" w:hAnsiTheme="minorHAnsi"/>
          <w:b/>
          <w:bCs/>
          <w:sz w:val="20"/>
          <w:lang w:val="en-IE"/>
        </w:rPr>
      </w:pPr>
    </w:p>
    <w:p w14:paraId="224CC390" w14:textId="77777777" w:rsidR="00323BB2" w:rsidRPr="0061063C" w:rsidRDefault="00323BB2" w:rsidP="00323BB2">
      <w:pPr>
        <w:rPr>
          <w:rFonts w:asciiTheme="minorHAnsi" w:hAnsiTheme="minorHAnsi"/>
          <w:b/>
          <w:bCs/>
          <w:sz w:val="20"/>
          <w:lang w:val="en-IE"/>
        </w:rPr>
      </w:pPr>
      <w:r w:rsidRPr="0061063C">
        <w:rPr>
          <w:rFonts w:asciiTheme="minorHAnsi" w:hAnsiTheme="minorHAnsi"/>
          <w:b/>
          <w:bCs/>
          <w:sz w:val="20"/>
          <w:lang w:val="en-IE"/>
        </w:rPr>
        <w:t>Net cash outflow from purchase of businesses</w:t>
      </w:r>
    </w:p>
    <w:tbl>
      <w:tblPr>
        <w:tblStyle w:val="TableGrid"/>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529"/>
        <w:gridCol w:w="2018"/>
        <w:gridCol w:w="1984"/>
      </w:tblGrid>
      <w:tr w:rsidR="00323BB2" w:rsidRPr="0061063C" w14:paraId="74F138F3" w14:textId="77777777" w:rsidTr="00453AFA">
        <w:trPr>
          <w:trHeight w:val="225"/>
        </w:trPr>
        <w:tc>
          <w:tcPr>
            <w:tcW w:w="5529" w:type="dxa"/>
            <w:tcBorders>
              <w:top w:val="single" w:sz="4" w:space="0" w:color="auto"/>
            </w:tcBorders>
          </w:tcPr>
          <w:p w14:paraId="75F7405A" w14:textId="77777777" w:rsidR="00323BB2" w:rsidRPr="0061063C" w:rsidRDefault="00323BB2" w:rsidP="00453AFA">
            <w:pPr>
              <w:rPr>
                <w:rFonts w:asciiTheme="minorHAnsi" w:hAnsiTheme="minorHAnsi"/>
                <w:bCs/>
                <w:sz w:val="20"/>
                <w:lang w:val="en-IE"/>
              </w:rPr>
            </w:pPr>
          </w:p>
        </w:tc>
        <w:tc>
          <w:tcPr>
            <w:tcW w:w="2018" w:type="dxa"/>
            <w:tcBorders>
              <w:top w:val="single" w:sz="4" w:space="0" w:color="auto"/>
            </w:tcBorders>
          </w:tcPr>
          <w:p w14:paraId="296CC31E" w14:textId="77777777" w:rsidR="00323BB2" w:rsidRPr="0061063C" w:rsidRDefault="00323BB2" w:rsidP="00453AFA">
            <w:pPr>
              <w:jc w:val="right"/>
              <w:rPr>
                <w:rFonts w:asciiTheme="minorHAnsi" w:hAnsiTheme="minorHAnsi"/>
                <w:b/>
                <w:sz w:val="20"/>
                <w:lang w:val="en-IE"/>
              </w:rPr>
            </w:pPr>
            <w:r w:rsidRPr="0061063C">
              <w:rPr>
                <w:rFonts w:asciiTheme="minorHAnsi" w:hAnsiTheme="minorHAnsi"/>
                <w:b/>
                <w:sz w:val="20"/>
                <w:lang w:val="en-IE"/>
              </w:rPr>
              <w:t>Six months</w:t>
            </w:r>
          </w:p>
          <w:p w14:paraId="4C862AA4" w14:textId="77777777" w:rsidR="00323BB2" w:rsidRPr="0061063C" w:rsidRDefault="00323BB2" w:rsidP="00453AFA">
            <w:pPr>
              <w:ind w:hanging="18"/>
              <w:jc w:val="right"/>
              <w:rPr>
                <w:rFonts w:asciiTheme="minorHAnsi" w:hAnsiTheme="minorHAnsi"/>
                <w:b/>
                <w:sz w:val="20"/>
                <w:lang w:val="en-IE"/>
              </w:rPr>
            </w:pPr>
            <w:r w:rsidRPr="0061063C">
              <w:rPr>
                <w:rFonts w:asciiTheme="minorHAnsi" w:hAnsiTheme="minorHAnsi"/>
                <w:b/>
                <w:sz w:val="20"/>
                <w:lang w:val="en-IE"/>
              </w:rPr>
              <w:t xml:space="preserve"> ended</w:t>
            </w:r>
          </w:p>
          <w:p w14:paraId="521EC020"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sz w:val="20"/>
                <w:lang w:val="en-IE"/>
              </w:rPr>
              <w:t xml:space="preserve"> 30 June 2020</w:t>
            </w:r>
          </w:p>
        </w:tc>
        <w:tc>
          <w:tcPr>
            <w:tcW w:w="1984" w:type="dxa"/>
            <w:tcBorders>
              <w:top w:val="single" w:sz="4" w:space="0" w:color="auto"/>
            </w:tcBorders>
          </w:tcPr>
          <w:p w14:paraId="00BD70B5" w14:textId="77777777" w:rsidR="00323BB2" w:rsidRPr="0061063C" w:rsidRDefault="00323BB2" w:rsidP="00453AFA">
            <w:pPr>
              <w:ind w:hanging="18"/>
              <w:jc w:val="right"/>
              <w:rPr>
                <w:rFonts w:asciiTheme="minorHAnsi" w:hAnsiTheme="minorHAnsi"/>
                <w:sz w:val="20"/>
                <w:lang w:val="en-IE"/>
              </w:rPr>
            </w:pPr>
            <w:r w:rsidRPr="0061063C">
              <w:rPr>
                <w:rFonts w:asciiTheme="minorHAnsi" w:hAnsiTheme="minorHAnsi"/>
                <w:sz w:val="20"/>
                <w:lang w:val="en-IE"/>
              </w:rPr>
              <w:t>Six months</w:t>
            </w:r>
          </w:p>
          <w:p w14:paraId="7E998480" w14:textId="77777777" w:rsidR="00323BB2" w:rsidRPr="0061063C" w:rsidRDefault="00323BB2" w:rsidP="00453AFA">
            <w:pPr>
              <w:ind w:hanging="18"/>
              <w:jc w:val="right"/>
              <w:rPr>
                <w:rFonts w:asciiTheme="minorHAnsi" w:hAnsiTheme="minorHAnsi"/>
                <w:sz w:val="20"/>
                <w:lang w:val="en-IE"/>
              </w:rPr>
            </w:pPr>
            <w:r w:rsidRPr="0061063C">
              <w:rPr>
                <w:rFonts w:asciiTheme="minorHAnsi" w:hAnsiTheme="minorHAnsi"/>
                <w:sz w:val="20"/>
                <w:lang w:val="en-IE"/>
              </w:rPr>
              <w:t xml:space="preserve"> ended</w:t>
            </w:r>
          </w:p>
          <w:p w14:paraId="627D1DE8" w14:textId="77777777" w:rsidR="00323BB2" w:rsidRPr="0061063C" w:rsidRDefault="00323BB2" w:rsidP="00453AFA">
            <w:pPr>
              <w:ind w:hanging="18"/>
              <w:jc w:val="right"/>
              <w:rPr>
                <w:rFonts w:asciiTheme="minorHAnsi" w:hAnsiTheme="minorHAnsi"/>
                <w:sz w:val="20"/>
                <w:lang w:val="en-IE"/>
              </w:rPr>
            </w:pPr>
            <w:r w:rsidRPr="0061063C">
              <w:rPr>
                <w:rFonts w:asciiTheme="minorHAnsi" w:hAnsiTheme="minorHAnsi"/>
                <w:sz w:val="20"/>
                <w:lang w:val="en-IE"/>
              </w:rPr>
              <w:t xml:space="preserve"> 30 June 2019</w:t>
            </w:r>
          </w:p>
        </w:tc>
      </w:tr>
      <w:tr w:rsidR="00323BB2" w:rsidRPr="0061063C" w14:paraId="24DAF1D5" w14:textId="77777777" w:rsidTr="00453AFA">
        <w:trPr>
          <w:trHeight w:val="189"/>
        </w:trPr>
        <w:tc>
          <w:tcPr>
            <w:tcW w:w="5529" w:type="dxa"/>
            <w:tcBorders>
              <w:bottom w:val="single" w:sz="4" w:space="0" w:color="auto"/>
            </w:tcBorders>
          </w:tcPr>
          <w:p w14:paraId="6522C327" w14:textId="77777777" w:rsidR="00323BB2" w:rsidRPr="0061063C" w:rsidRDefault="00323BB2" w:rsidP="00453AFA">
            <w:pPr>
              <w:ind w:left="-108"/>
              <w:rPr>
                <w:rFonts w:asciiTheme="minorHAnsi" w:hAnsiTheme="minorHAnsi"/>
                <w:bCs/>
                <w:sz w:val="20"/>
                <w:lang w:val="en-IE"/>
              </w:rPr>
            </w:pPr>
          </w:p>
        </w:tc>
        <w:tc>
          <w:tcPr>
            <w:tcW w:w="2018" w:type="dxa"/>
            <w:tcBorders>
              <w:bottom w:val="single" w:sz="4" w:space="0" w:color="auto"/>
            </w:tcBorders>
          </w:tcPr>
          <w:p w14:paraId="01A59932"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£m</w:t>
            </w:r>
          </w:p>
        </w:tc>
        <w:tc>
          <w:tcPr>
            <w:tcW w:w="1984" w:type="dxa"/>
            <w:tcBorders>
              <w:bottom w:val="single" w:sz="4" w:space="0" w:color="auto"/>
            </w:tcBorders>
          </w:tcPr>
          <w:p w14:paraId="48F2C777"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£m</w:t>
            </w:r>
          </w:p>
        </w:tc>
      </w:tr>
      <w:tr w:rsidR="00323BB2" w:rsidRPr="0061063C" w14:paraId="6C7719E6" w14:textId="77777777" w:rsidTr="00453AFA">
        <w:trPr>
          <w:trHeight w:val="133"/>
        </w:trPr>
        <w:tc>
          <w:tcPr>
            <w:tcW w:w="5529" w:type="dxa"/>
            <w:tcBorders>
              <w:top w:val="single" w:sz="4" w:space="0" w:color="auto"/>
            </w:tcBorders>
            <w:shd w:val="clear" w:color="auto" w:fill="auto"/>
          </w:tcPr>
          <w:p w14:paraId="7E7C2FE6" w14:textId="77777777" w:rsidR="00323BB2" w:rsidRPr="0061063C" w:rsidRDefault="00323BB2" w:rsidP="00453AFA">
            <w:pPr>
              <w:ind w:left="-108"/>
              <w:rPr>
                <w:rFonts w:asciiTheme="minorHAnsi" w:hAnsiTheme="minorHAnsi"/>
                <w:bCs/>
                <w:sz w:val="20"/>
                <w:lang w:val="en-IE"/>
              </w:rPr>
            </w:pPr>
            <w:r w:rsidRPr="0061063C">
              <w:rPr>
                <w:rFonts w:asciiTheme="minorHAnsi" w:hAnsiTheme="minorHAnsi"/>
                <w:bCs/>
                <w:sz w:val="20"/>
                <w:lang w:val="en-IE"/>
              </w:rPr>
              <w:t xml:space="preserve">Cash consideration </w:t>
            </w:r>
            <w:r w:rsidRPr="0061063C">
              <w:rPr>
                <w:rFonts w:asciiTheme="minorHAnsi" w:hAnsiTheme="minorHAnsi"/>
                <w:sz w:val="20"/>
                <w:lang w:val="en-IE"/>
              </w:rPr>
              <w:t>–</w:t>
            </w:r>
            <w:r w:rsidRPr="0061063C">
              <w:rPr>
                <w:rFonts w:asciiTheme="minorHAnsi" w:hAnsiTheme="minorHAnsi"/>
                <w:bCs/>
                <w:sz w:val="20"/>
                <w:lang w:val="en-IE"/>
              </w:rPr>
              <w:t xml:space="preserve"> acquisitions in the period</w:t>
            </w:r>
          </w:p>
        </w:tc>
        <w:tc>
          <w:tcPr>
            <w:tcW w:w="2018" w:type="dxa"/>
            <w:tcBorders>
              <w:top w:val="single" w:sz="4" w:space="0" w:color="auto"/>
            </w:tcBorders>
          </w:tcPr>
          <w:p w14:paraId="7D467B3E"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w:t>
            </w:r>
          </w:p>
        </w:tc>
        <w:tc>
          <w:tcPr>
            <w:tcW w:w="1984" w:type="dxa"/>
            <w:tcBorders>
              <w:top w:val="single" w:sz="4" w:space="0" w:color="auto"/>
            </w:tcBorders>
          </w:tcPr>
          <w:p w14:paraId="13F300EC"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102.0</w:t>
            </w:r>
          </w:p>
        </w:tc>
      </w:tr>
      <w:tr w:rsidR="00323BB2" w:rsidRPr="0061063C" w14:paraId="44A4805E" w14:textId="77777777" w:rsidTr="00453AFA">
        <w:trPr>
          <w:trHeight w:val="234"/>
        </w:trPr>
        <w:tc>
          <w:tcPr>
            <w:tcW w:w="5529" w:type="dxa"/>
            <w:shd w:val="clear" w:color="auto" w:fill="auto"/>
          </w:tcPr>
          <w:p w14:paraId="3029874A" w14:textId="77777777" w:rsidR="00323BB2" w:rsidRPr="0061063C" w:rsidRDefault="00323BB2" w:rsidP="00453AFA">
            <w:pPr>
              <w:ind w:left="-108"/>
              <w:rPr>
                <w:rFonts w:asciiTheme="minorHAnsi" w:hAnsiTheme="minorHAnsi"/>
                <w:bCs/>
                <w:sz w:val="20"/>
                <w:lang w:val="en-IE"/>
              </w:rPr>
            </w:pPr>
            <w:r w:rsidRPr="0061063C">
              <w:rPr>
                <w:rFonts w:asciiTheme="minorHAnsi" w:hAnsiTheme="minorHAnsi"/>
                <w:bCs/>
                <w:sz w:val="20"/>
                <w:lang w:val="en-IE"/>
              </w:rPr>
              <w:t>Cash acquired – acquisitions in the period</w:t>
            </w:r>
          </w:p>
        </w:tc>
        <w:tc>
          <w:tcPr>
            <w:tcW w:w="2018" w:type="dxa"/>
          </w:tcPr>
          <w:p w14:paraId="4437E9BD"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(445.2)</w:t>
            </w:r>
          </w:p>
        </w:tc>
        <w:tc>
          <w:tcPr>
            <w:tcW w:w="1984" w:type="dxa"/>
          </w:tcPr>
          <w:p w14:paraId="300ED8EB"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(0.2)</w:t>
            </w:r>
          </w:p>
        </w:tc>
      </w:tr>
      <w:tr w:rsidR="00323BB2" w:rsidRPr="0061063C" w14:paraId="217CA81D" w14:textId="77777777" w:rsidTr="00453AFA">
        <w:trPr>
          <w:trHeight w:val="234"/>
        </w:trPr>
        <w:tc>
          <w:tcPr>
            <w:tcW w:w="5529" w:type="dxa"/>
            <w:shd w:val="clear" w:color="auto" w:fill="auto"/>
          </w:tcPr>
          <w:p w14:paraId="75DD7D8C" w14:textId="77777777" w:rsidR="00323BB2" w:rsidRPr="0061063C" w:rsidRDefault="00323BB2" w:rsidP="00453AFA">
            <w:pPr>
              <w:ind w:left="-108"/>
              <w:rPr>
                <w:rFonts w:asciiTheme="minorHAnsi" w:hAnsiTheme="minorHAnsi"/>
                <w:bCs/>
                <w:sz w:val="20"/>
                <w:lang w:val="en-IE"/>
              </w:rPr>
            </w:pPr>
            <w:r w:rsidRPr="0061063C">
              <w:rPr>
                <w:rFonts w:asciiTheme="minorHAnsi" w:hAnsiTheme="minorHAnsi"/>
                <w:bCs/>
                <w:sz w:val="20"/>
                <w:lang w:val="en-IE"/>
              </w:rPr>
              <w:t xml:space="preserve">Cash consideration </w:t>
            </w:r>
            <w:r w:rsidRPr="0061063C">
              <w:rPr>
                <w:rFonts w:asciiTheme="minorHAnsi" w:hAnsiTheme="minorHAnsi"/>
                <w:sz w:val="20"/>
                <w:lang w:val="en-IE"/>
              </w:rPr>
              <w:t>–</w:t>
            </w:r>
            <w:r w:rsidRPr="0061063C">
              <w:rPr>
                <w:rFonts w:asciiTheme="minorHAnsi" w:hAnsiTheme="minorHAnsi"/>
                <w:bCs/>
                <w:sz w:val="20"/>
                <w:lang w:val="en-IE"/>
              </w:rPr>
              <w:t xml:space="preserve"> acquisitions in previous periods</w:t>
            </w:r>
          </w:p>
        </w:tc>
        <w:tc>
          <w:tcPr>
            <w:tcW w:w="2018" w:type="dxa"/>
          </w:tcPr>
          <w:p w14:paraId="4D26572C"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4.6</w:t>
            </w:r>
          </w:p>
        </w:tc>
        <w:tc>
          <w:tcPr>
            <w:tcW w:w="1984" w:type="dxa"/>
          </w:tcPr>
          <w:p w14:paraId="52EB21CD"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2.8</w:t>
            </w:r>
          </w:p>
        </w:tc>
      </w:tr>
      <w:tr w:rsidR="00323BB2" w:rsidRPr="0061063C" w14:paraId="38A4F626" w14:textId="77777777" w:rsidTr="00453AFA">
        <w:trPr>
          <w:trHeight w:val="192"/>
        </w:trPr>
        <w:tc>
          <w:tcPr>
            <w:tcW w:w="5529" w:type="dxa"/>
            <w:tcBorders>
              <w:top w:val="single" w:sz="4" w:space="0" w:color="auto"/>
              <w:bottom w:val="single" w:sz="4" w:space="0" w:color="auto"/>
            </w:tcBorders>
            <w:shd w:val="clear" w:color="auto" w:fill="auto"/>
          </w:tcPr>
          <w:p w14:paraId="464A36ED" w14:textId="77777777" w:rsidR="00323BB2" w:rsidRPr="0061063C" w:rsidRDefault="00323BB2" w:rsidP="00453AFA">
            <w:pPr>
              <w:ind w:left="-108"/>
              <w:rPr>
                <w:rFonts w:asciiTheme="minorHAnsi" w:hAnsiTheme="minorHAnsi"/>
                <w:bCs/>
                <w:sz w:val="20"/>
                <w:lang w:val="en-IE"/>
              </w:rPr>
            </w:pPr>
          </w:p>
        </w:tc>
        <w:tc>
          <w:tcPr>
            <w:tcW w:w="2018" w:type="dxa"/>
            <w:tcBorders>
              <w:top w:val="single" w:sz="4" w:space="0" w:color="auto"/>
              <w:bottom w:val="single" w:sz="4" w:space="0" w:color="auto"/>
            </w:tcBorders>
          </w:tcPr>
          <w:p w14:paraId="282A0C7F"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440.6</w:t>
            </w:r>
          </w:p>
        </w:tc>
        <w:tc>
          <w:tcPr>
            <w:tcW w:w="1984" w:type="dxa"/>
            <w:tcBorders>
              <w:top w:val="single" w:sz="4" w:space="0" w:color="auto"/>
              <w:bottom w:val="single" w:sz="4" w:space="0" w:color="auto"/>
            </w:tcBorders>
          </w:tcPr>
          <w:p w14:paraId="702E3B47"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104.6</w:t>
            </w:r>
          </w:p>
        </w:tc>
      </w:tr>
      <w:tr w:rsidR="00323BB2" w:rsidRPr="0061063C" w14:paraId="5BEDBEC8" w14:textId="77777777" w:rsidTr="00453AFA">
        <w:trPr>
          <w:trHeight w:val="218"/>
        </w:trPr>
        <w:tc>
          <w:tcPr>
            <w:tcW w:w="5529" w:type="dxa"/>
            <w:tcBorders>
              <w:top w:val="single" w:sz="4" w:space="0" w:color="auto"/>
            </w:tcBorders>
            <w:shd w:val="clear" w:color="auto" w:fill="auto"/>
          </w:tcPr>
          <w:p w14:paraId="2B83E440" w14:textId="77777777" w:rsidR="00323BB2" w:rsidRPr="0061063C" w:rsidRDefault="00323BB2" w:rsidP="00453AFA">
            <w:pPr>
              <w:ind w:left="-108"/>
              <w:rPr>
                <w:rFonts w:asciiTheme="minorHAnsi" w:hAnsiTheme="minorHAnsi"/>
                <w:sz w:val="20"/>
                <w:lang w:val="en-IE" w:eastAsia="en-IE"/>
              </w:rPr>
            </w:pPr>
          </w:p>
          <w:p w14:paraId="7DD839EC" w14:textId="77777777" w:rsidR="00323BB2" w:rsidRPr="0061063C" w:rsidRDefault="00323BB2" w:rsidP="00453AFA">
            <w:pPr>
              <w:ind w:left="-108"/>
              <w:rPr>
                <w:rFonts w:asciiTheme="minorHAnsi" w:hAnsiTheme="minorHAnsi"/>
                <w:sz w:val="20"/>
                <w:lang w:val="en-IE" w:eastAsia="en-IE"/>
              </w:rPr>
            </w:pPr>
            <w:r w:rsidRPr="0061063C">
              <w:rPr>
                <w:rFonts w:asciiTheme="minorHAnsi" w:hAnsiTheme="minorHAnsi"/>
                <w:sz w:val="20"/>
                <w:lang w:val="en-IE" w:eastAsia="en-IE"/>
              </w:rPr>
              <w:t>Analysed for the purposes of the statement of cash flows as:</w:t>
            </w:r>
          </w:p>
        </w:tc>
        <w:tc>
          <w:tcPr>
            <w:tcW w:w="2018" w:type="dxa"/>
            <w:tcBorders>
              <w:top w:val="single" w:sz="4" w:space="0" w:color="auto"/>
            </w:tcBorders>
          </w:tcPr>
          <w:p w14:paraId="6B33084B" w14:textId="77777777" w:rsidR="00323BB2" w:rsidRPr="0061063C" w:rsidRDefault="00323BB2" w:rsidP="00453AFA">
            <w:pPr>
              <w:ind w:left="360"/>
              <w:jc w:val="right"/>
              <w:rPr>
                <w:rFonts w:asciiTheme="minorHAnsi" w:hAnsiTheme="minorHAnsi"/>
                <w:b/>
                <w:bCs/>
                <w:sz w:val="20"/>
                <w:lang w:val="en-IE"/>
              </w:rPr>
            </w:pPr>
          </w:p>
        </w:tc>
        <w:tc>
          <w:tcPr>
            <w:tcW w:w="1984" w:type="dxa"/>
          </w:tcPr>
          <w:p w14:paraId="1FD2254D" w14:textId="77777777" w:rsidR="00323BB2" w:rsidRPr="0061063C" w:rsidRDefault="00323BB2" w:rsidP="00453AFA">
            <w:pPr>
              <w:ind w:left="360"/>
              <w:jc w:val="right"/>
              <w:rPr>
                <w:rFonts w:asciiTheme="minorHAnsi" w:hAnsiTheme="minorHAnsi"/>
                <w:bCs/>
                <w:sz w:val="20"/>
                <w:lang w:val="en-IE"/>
              </w:rPr>
            </w:pPr>
          </w:p>
        </w:tc>
      </w:tr>
      <w:tr w:rsidR="00323BB2" w:rsidRPr="0061063C" w14:paraId="43676607" w14:textId="77777777" w:rsidTr="00453AFA">
        <w:trPr>
          <w:trHeight w:val="218"/>
        </w:trPr>
        <w:tc>
          <w:tcPr>
            <w:tcW w:w="5529" w:type="dxa"/>
            <w:shd w:val="clear" w:color="auto" w:fill="auto"/>
          </w:tcPr>
          <w:p w14:paraId="4ABCE741" w14:textId="77777777" w:rsidR="00323BB2" w:rsidRPr="0061063C" w:rsidRDefault="00323BB2" w:rsidP="00453AFA">
            <w:pPr>
              <w:ind w:left="-108"/>
              <w:rPr>
                <w:rFonts w:asciiTheme="minorHAnsi" w:hAnsiTheme="minorHAnsi"/>
                <w:sz w:val="20"/>
                <w:lang w:val="en-IE" w:eastAsia="en-IE"/>
              </w:rPr>
            </w:pPr>
            <w:r w:rsidRPr="0061063C">
              <w:rPr>
                <w:rFonts w:asciiTheme="minorHAnsi" w:hAnsiTheme="minorHAnsi"/>
                <w:sz w:val="20"/>
                <w:lang w:val="en-IE" w:eastAsia="en-IE"/>
              </w:rPr>
              <w:t>Purchase of businesses</w:t>
            </w:r>
          </w:p>
        </w:tc>
        <w:tc>
          <w:tcPr>
            <w:tcW w:w="2018" w:type="dxa"/>
          </w:tcPr>
          <w:p w14:paraId="4C009855"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w:t>
            </w:r>
          </w:p>
        </w:tc>
        <w:tc>
          <w:tcPr>
            <w:tcW w:w="1984" w:type="dxa"/>
          </w:tcPr>
          <w:p w14:paraId="4DE0C80C"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102.0</w:t>
            </w:r>
          </w:p>
        </w:tc>
      </w:tr>
      <w:tr w:rsidR="00323BB2" w:rsidRPr="0061063C" w14:paraId="1BD0128C" w14:textId="77777777" w:rsidTr="00453AFA">
        <w:trPr>
          <w:trHeight w:val="218"/>
        </w:trPr>
        <w:tc>
          <w:tcPr>
            <w:tcW w:w="5529" w:type="dxa"/>
            <w:shd w:val="clear" w:color="auto" w:fill="auto"/>
          </w:tcPr>
          <w:p w14:paraId="70C1E312" w14:textId="77777777" w:rsidR="00323BB2" w:rsidRPr="0061063C" w:rsidRDefault="00323BB2" w:rsidP="00453AFA">
            <w:pPr>
              <w:ind w:left="360" w:hanging="468"/>
              <w:rPr>
                <w:rFonts w:asciiTheme="minorHAnsi" w:hAnsiTheme="minorHAnsi"/>
                <w:bCs/>
                <w:sz w:val="20"/>
                <w:lang w:val="en-IE"/>
              </w:rPr>
            </w:pPr>
            <w:r w:rsidRPr="0061063C">
              <w:rPr>
                <w:rFonts w:asciiTheme="minorHAnsi" w:hAnsiTheme="minorHAnsi"/>
                <w:bCs/>
                <w:sz w:val="20"/>
                <w:lang w:val="en-IE"/>
              </w:rPr>
              <w:t>Cash acquired – acquisitions in the period</w:t>
            </w:r>
          </w:p>
        </w:tc>
        <w:tc>
          <w:tcPr>
            <w:tcW w:w="2018" w:type="dxa"/>
          </w:tcPr>
          <w:p w14:paraId="59312325"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(445.2)</w:t>
            </w:r>
          </w:p>
        </w:tc>
        <w:tc>
          <w:tcPr>
            <w:tcW w:w="1984" w:type="dxa"/>
          </w:tcPr>
          <w:p w14:paraId="4D1E3B27"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(0.2)</w:t>
            </w:r>
          </w:p>
        </w:tc>
      </w:tr>
      <w:tr w:rsidR="00323BB2" w:rsidRPr="0061063C" w14:paraId="6484B11D" w14:textId="77777777" w:rsidTr="00453AFA">
        <w:trPr>
          <w:trHeight w:val="218"/>
        </w:trPr>
        <w:tc>
          <w:tcPr>
            <w:tcW w:w="5529" w:type="dxa"/>
            <w:tcBorders>
              <w:bottom w:val="single" w:sz="4" w:space="0" w:color="auto"/>
            </w:tcBorders>
            <w:shd w:val="clear" w:color="auto" w:fill="auto"/>
          </w:tcPr>
          <w:p w14:paraId="1864545C" w14:textId="77777777" w:rsidR="00323BB2" w:rsidRPr="0061063C" w:rsidRDefault="00323BB2" w:rsidP="00453AFA">
            <w:pPr>
              <w:ind w:left="360" w:hanging="468"/>
              <w:rPr>
                <w:rFonts w:asciiTheme="minorHAnsi" w:hAnsiTheme="minorHAnsi"/>
                <w:bCs/>
                <w:sz w:val="20"/>
                <w:lang w:val="en-IE"/>
              </w:rPr>
            </w:pPr>
            <w:r w:rsidRPr="0061063C">
              <w:rPr>
                <w:rFonts w:asciiTheme="minorHAnsi" w:hAnsiTheme="minorHAnsi"/>
                <w:bCs/>
                <w:sz w:val="20"/>
                <w:lang w:val="en-IE"/>
              </w:rPr>
              <w:t>Payment of contingent deferred consideration</w:t>
            </w:r>
          </w:p>
        </w:tc>
        <w:tc>
          <w:tcPr>
            <w:tcW w:w="2018" w:type="dxa"/>
            <w:tcBorders>
              <w:bottom w:val="single" w:sz="4" w:space="0" w:color="auto"/>
            </w:tcBorders>
          </w:tcPr>
          <w:p w14:paraId="5C051C8B"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4.6</w:t>
            </w:r>
          </w:p>
        </w:tc>
        <w:tc>
          <w:tcPr>
            <w:tcW w:w="1984" w:type="dxa"/>
            <w:tcBorders>
              <w:bottom w:val="single" w:sz="4" w:space="0" w:color="auto"/>
            </w:tcBorders>
          </w:tcPr>
          <w:p w14:paraId="4B24F981"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2.8</w:t>
            </w:r>
          </w:p>
        </w:tc>
      </w:tr>
      <w:tr w:rsidR="00323BB2" w:rsidRPr="0061063C" w14:paraId="6171F7C6" w14:textId="77777777" w:rsidTr="00453AFA">
        <w:trPr>
          <w:trHeight w:val="218"/>
        </w:trPr>
        <w:tc>
          <w:tcPr>
            <w:tcW w:w="5529" w:type="dxa"/>
            <w:tcBorders>
              <w:top w:val="single" w:sz="4" w:space="0" w:color="auto"/>
              <w:bottom w:val="single" w:sz="4" w:space="0" w:color="auto"/>
            </w:tcBorders>
            <w:shd w:val="clear" w:color="auto" w:fill="auto"/>
          </w:tcPr>
          <w:p w14:paraId="518B8AEA" w14:textId="77777777" w:rsidR="00323BB2" w:rsidRPr="0061063C" w:rsidRDefault="00323BB2" w:rsidP="00453AFA">
            <w:pPr>
              <w:ind w:left="360" w:hanging="468"/>
              <w:rPr>
                <w:rFonts w:asciiTheme="minorHAnsi" w:hAnsiTheme="minorHAnsi"/>
                <w:bCs/>
                <w:sz w:val="20"/>
                <w:lang w:val="en-IE"/>
              </w:rPr>
            </w:pPr>
          </w:p>
        </w:tc>
        <w:tc>
          <w:tcPr>
            <w:tcW w:w="2018" w:type="dxa"/>
            <w:tcBorders>
              <w:top w:val="single" w:sz="4" w:space="0" w:color="auto"/>
              <w:bottom w:val="single" w:sz="4" w:space="0" w:color="auto"/>
            </w:tcBorders>
          </w:tcPr>
          <w:p w14:paraId="715D03A1"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440.6</w:t>
            </w:r>
          </w:p>
        </w:tc>
        <w:tc>
          <w:tcPr>
            <w:tcW w:w="1984" w:type="dxa"/>
            <w:tcBorders>
              <w:top w:val="single" w:sz="4" w:space="0" w:color="auto"/>
              <w:bottom w:val="single" w:sz="4" w:space="0" w:color="auto"/>
            </w:tcBorders>
          </w:tcPr>
          <w:p w14:paraId="1861226A"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104.6</w:t>
            </w:r>
          </w:p>
        </w:tc>
      </w:tr>
    </w:tbl>
    <w:p w14:paraId="6C3B5AC4" w14:textId="77777777" w:rsidR="00323BB2" w:rsidRPr="0061063C" w:rsidRDefault="00323BB2" w:rsidP="00323BB2">
      <w:pPr>
        <w:rPr>
          <w:rFonts w:ascii="Times New Roman" w:hAnsi="Times New Roman"/>
          <w:bCs/>
          <w:sz w:val="20"/>
          <w:lang w:val="en-IE"/>
        </w:rPr>
      </w:pPr>
    </w:p>
    <w:p w14:paraId="3C160A5D" w14:textId="77777777" w:rsidR="00323BB2" w:rsidRPr="0061063C" w:rsidRDefault="00323BB2" w:rsidP="00323BB2">
      <w:pPr>
        <w:rPr>
          <w:rStyle w:val="ao"/>
          <w:rFonts w:asciiTheme="minorHAnsi" w:eastAsiaTheme="minorHAnsi" w:hAnsiTheme="minorHAnsi" w:cstheme="minorHAnsi"/>
          <w:sz w:val="20"/>
        </w:rPr>
      </w:pPr>
      <w:r w:rsidRPr="0061063C">
        <w:rPr>
          <w:rFonts w:asciiTheme="minorHAnsi" w:hAnsiTheme="minorHAnsi" w:cstheme="minorHAnsi"/>
          <w:bCs/>
          <w:sz w:val="20"/>
          <w:lang w:val="en-IE"/>
        </w:rPr>
        <w:t xml:space="preserve">On 12 May 2020, the Group issued 819,230 new Flutter ordinary shares as consideration for </w:t>
      </w:r>
      <w:r w:rsidRPr="0061063C">
        <w:rPr>
          <w:rStyle w:val="ao"/>
          <w:rFonts w:asciiTheme="minorHAnsi" w:eastAsiaTheme="minorHAnsi" w:hAnsiTheme="minorHAnsi" w:cstheme="minorHAnsi"/>
          <w:sz w:val="20"/>
        </w:rPr>
        <w:t>the acquisition by Flutter of the remaining 20% interest of TSG Australia Pty Ltd. The value of shares issue amounted to AUD$151.4m (£79.7m).</w:t>
      </w:r>
    </w:p>
    <w:p w14:paraId="349860B0" w14:textId="77777777" w:rsidR="00323BB2" w:rsidRPr="0061063C" w:rsidRDefault="00323BB2" w:rsidP="00323BB2">
      <w:pPr>
        <w:rPr>
          <w:rStyle w:val="ao"/>
          <w:rFonts w:asciiTheme="minorHAnsi" w:eastAsiaTheme="minorHAnsi" w:hAnsiTheme="minorHAnsi" w:cstheme="minorHAnsi"/>
          <w:sz w:val="20"/>
        </w:rPr>
      </w:pPr>
    </w:p>
    <w:p w14:paraId="54C1FDAD" w14:textId="77777777" w:rsidR="00323BB2" w:rsidRPr="0061063C" w:rsidRDefault="00323BB2" w:rsidP="00323BB2">
      <w:pPr>
        <w:rPr>
          <w:rFonts w:asciiTheme="minorHAnsi" w:hAnsiTheme="minorHAnsi" w:cstheme="minorHAnsi"/>
          <w:bCs/>
          <w:sz w:val="20"/>
          <w:lang w:val="en-IE"/>
        </w:rPr>
      </w:pPr>
      <w:r w:rsidRPr="0061063C">
        <w:rPr>
          <w:rFonts w:asciiTheme="minorHAnsi" w:hAnsiTheme="minorHAnsi" w:cstheme="minorHAnsi"/>
          <w:bCs/>
          <w:sz w:val="20"/>
          <w:lang w:val="en-IE"/>
        </w:rPr>
        <w:t>As announced on 2 October 2019, in order to achieve economic alignment of Flutter’s and TSG’s strategic third-party relationships across their respective US businesses, the Group entered into arrangements conditional on completion of the Combination with FOX (TSG’s US media partner for FOX Bet), Fastball and Boyd (together Flutter’s co-shareholders in FanDuel Group) pursuant to which:</w:t>
      </w:r>
    </w:p>
    <w:p w14:paraId="312DC977" w14:textId="77777777" w:rsidR="00323BB2" w:rsidRPr="0061063C" w:rsidRDefault="00323BB2" w:rsidP="00323BB2">
      <w:pPr>
        <w:rPr>
          <w:rFonts w:asciiTheme="minorHAnsi" w:hAnsiTheme="minorHAnsi" w:cstheme="minorHAnsi"/>
          <w:bCs/>
          <w:sz w:val="20"/>
          <w:lang w:val="en-IE"/>
        </w:rPr>
      </w:pPr>
    </w:p>
    <w:p w14:paraId="4496981F" w14:textId="77777777" w:rsidR="00323BB2" w:rsidRPr="0061063C" w:rsidRDefault="00323BB2" w:rsidP="009B6BB8">
      <w:pPr>
        <w:pStyle w:val="ListParagraph"/>
        <w:numPr>
          <w:ilvl w:val="0"/>
          <w:numId w:val="26"/>
        </w:numPr>
        <w:rPr>
          <w:rFonts w:asciiTheme="minorHAnsi" w:hAnsiTheme="minorHAnsi" w:cstheme="minorHAnsi"/>
          <w:bCs/>
          <w:sz w:val="20"/>
          <w:lang w:val="en-IE"/>
        </w:rPr>
      </w:pPr>
      <w:r w:rsidRPr="0061063C">
        <w:rPr>
          <w:rFonts w:asciiTheme="minorHAnsi" w:hAnsiTheme="minorHAnsi" w:cstheme="minorHAnsi"/>
          <w:bCs/>
          <w:sz w:val="20"/>
          <w:lang w:val="en-IE"/>
        </w:rPr>
        <w:t>FSG Services, a wholly-owned subsidiary of FOX Sports will have the right to acquire an approximate 18.5% equity interest in FanDuel Group at its market value in 2021 (structured as a 10-year option from 2021, subject to a carrying value adjustment); and</w:t>
      </w:r>
    </w:p>
    <w:p w14:paraId="6056B873" w14:textId="77777777" w:rsidR="00323BB2" w:rsidRPr="0061063C" w:rsidRDefault="00323BB2" w:rsidP="00323BB2">
      <w:pPr>
        <w:pStyle w:val="ListParagraph"/>
        <w:rPr>
          <w:rFonts w:asciiTheme="minorHAnsi" w:hAnsiTheme="minorHAnsi" w:cstheme="minorHAnsi"/>
          <w:bCs/>
          <w:sz w:val="20"/>
          <w:lang w:val="en-IE"/>
        </w:rPr>
      </w:pPr>
    </w:p>
    <w:p w14:paraId="79EEEFC9" w14:textId="77777777" w:rsidR="00323BB2" w:rsidRPr="0061063C" w:rsidRDefault="00323BB2" w:rsidP="009B6BB8">
      <w:pPr>
        <w:pStyle w:val="ListParagraph"/>
        <w:numPr>
          <w:ilvl w:val="0"/>
          <w:numId w:val="26"/>
        </w:numPr>
        <w:rPr>
          <w:rFonts w:asciiTheme="minorHAnsi" w:hAnsiTheme="minorHAnsi" w:cstheme="minorHAnsi"/>
          <w:bCs/>
          <w:sz w:val="20"/>
          <w:lang w:val="en-IE"/>
        </w:rPr>
      </w:pPr>
      <w:r w:rsidRPr="0061063C">
        <w:rPr>
          <w:rFonts w:asciiTheme="minorHAnsi" w:hAnsiTheme="minorHAnsi" w:cstheme="minorHAnsi"/>
          <w:bCs/>
          <w:sz w:val="20"/>
          <w:lang w:val="en-IE"/>
        </w:rPr>
        <w:t>Fastball and Boyd will receive a total payment of the 12.5% of the increase in FOX Bet’s market value between completion of the Combination and the exercise of Flutter’s option to acquire Fastball’s remaining equity interest in July 2023 (also subject to a carrying value adjustment). Discussions are currently ongoing with the relevant parties in respect of the future operating model for the FOX Bet business. The outcome of these discussions will determine the relevant base value for determining any potential liability.</w:t>
      </w:r>
    </w:p>
    <w:p w14:paraId="5E71F451" w14:textId="77777777" w:rsidR="00323BB2" w:rsidRPr="0061063C" w:rsidRDefault="00323BB2" w:rsidP="00323BB2">
      <w:pPr>
        <w:rPr>
          <w:rFonts w:asciiTheme="minorHAnsi" w:hAnsiTheme="minorHAnsi" w:cstheme="minorHAnsi"/>
          <w:bCs/>
          <w:sz w:val="20"/>
          <w:lang w:val="en-IE"/>
        </w:rPr>
      </w:pPr>
    </w:p>
    <w:p w14:paraId="54B6C2D5" w14:textId="77777777" w:rsidR="00323BB2" w:rsidRPr="0061063C" w:rsidRDefault="00323BB2" w:rsidP="00323BB2">
      <w:pPr>
        <w:rPr>
          <w:rFonts w:asciiTheme="minorHAnsi" w:hAnsiTheme="minorHAnsi" w:cstheme="minorHAnsi"/>
          <w:bCs/>
          <w:sz w:val="20"/>
          <w:lang w:val="en-IE"/>
        </w:rPr>
      </w:pPr>
      <w:r w:rsidRPr="0061063C">
        <w:rPr>
          <w:rFonts w:asciiTheme="minorHAnsi" w:hAnsiTheme="minorHAnsi" w:cstheme="minorHAnsi"/>
          <w:bCs/>
          <w:sz w:val="20"/>
          <w:lang w:val="en-IE"/>
        </w:rPr>
        <w:br w:type="page"/>
      </w:r>
    </w:p>
    <w:p w14:paraId="025D4571" w14:textId="77777777" w:rsidR="00323BB2" w:rsidRPr="0061063C" w:rsidRDefault="00323BB2" w:rsidP="00323BB2">
      <w:pPr>
        <w:rPr>
          <w:rFonts w:asciiTheme="minorHAnsi" w:hAnsiTheme="minorHAnsi"/>
          <w:b/>
          <w:bCs/>
          <w:sz w:val="20"/>
          <w:lang w:val="en-IE"/>
        </w:rPr>
      </w:pPr>
      <w:r w:rsidRPr="0061063C">
        <w:rPr>
          <w:rFonts w:asciiTheme="minorHAnsi" w:hAnsiTheme="minorHAnsi"/>
          <w:b/>
          <w:bCs/>
          <w:sz w:val="20"/>
          <w:lang w:val="en-IE"/>
        </w:rPr>
        <w:lastRenderedPageBreak/>
        <w:t>11. Investments and trade and other receivables</w:t>
      </w:r>
    </w:p>
    <w:p w14:paraId="4F3DAE48" w14:textId="77777777" w:rsidR="00323BB2" w:rsidRPr="0061063C" w:rsidRDefault="00323BB2" w:rsidP="00323BB2">
      <w:pPr>
        <w:rPr>
          <w:rFonts w:asciiTheme="minorHAnsi" w:hAnsiTheme="minorHAnsi"/>
          <w:b/>
          <w:bCs/>
          <w:sz w:val="20"/>
          <w:lang w:val="en-IE"/>
        </w:rPr>
      </w:pPr>
    </w:p>
    <w:p w14:paraId="0C53DCC6" w14:textId="77777777" w:rsidR="00323BB2" w:rsidRPr="0061063C" w:rsidRDefault="00323BB2" w:rsidP="00323BB2">
      <w:pPr>
        <w:rPr>
          <w:rFonts w:asciiTheme="minorHAnsi" w:hAnsiTheme="minorHAnsi"/>
          <w:b/>
          <w:sz w:val="20"/>
          <w:lang w:val="en-IE"/>
        </w:rPr>
      </w:pPr>
    </w:p>
    <w:p w14:paraId="08494F88" w14:textId="77777777" w:rsidR="00323BB2" w:rsidRPr="0061063C" w:rsidRDefault="00323BB2" w:rsidP="00323BB2">
      <w:pPr>
        <w:jc w:val="both"/>
        <w:rPr>
          <w:rFonts w:asciiTheme="minorHAnsi" w:hAnsiTheme="minorHAnsi"/>
          <w:b/>
          <w:sz w:val="20"/>
        </w:rPr>
      </w:pPr>
      <w:r w:rsidRPr="0061063C">
        <w:rPr>
          <w:rFonts w:asciiTheme="minorHAnsi" w:hAnsiTheme="minorHAnsi"/>
          <w:b/>
          <w:sz w:val="20"/>
        </w:rPr>
        <w:t>Non-current assets</w:t>
      </w:r>
    </w:p>
    <w:p w14:paraId="7F7CBF56" w14:textId="77777777" w:rsidR="00323BB2" w:rsidRPr="0061063C" w:rsidRDefault="00323BB2" w:rsidP="00323BB2">
      <w:pPr>
        <w:jc w:val="both"/>
        <w:rPr>
          <w:rFonts w:asciiTheme="minorHAnsi" w:hAnsiTheme="minorHAnsi"/>
          <w:b/>
          <w:sz w:val="20"/>
        </w:rPr>
      </w:pPr>
    </w:p>
    <w:tbl>
      <w:tblPr>
        <w:tblW w:w="9957" w:type="dxa"/>
        <w:tblInd w:w="108" w:type="dxa"/>
        <w:tblLayout w:type="fixed"/>
        <w:tblLook w:val="0000" w:firstRow="0" w:lastRow="0" w:firstColumn="0" w:lastColumn="0" w:noHBand="0" w:noVBand="0"/>
      </w:tblPr>
      <w:tblGrid>
        <w:gridCol w:w="6271"/>
        <w:gridCol w:w="1843"/>
        <w:gridCol w:w="1843"/>
      </w:tblGrid>
      <w:tr w:rsidR="00323BB2" w:rsidRPr="0061063C" w14:paraId="142955CE" w14:textId="77777777" w:rsidTr="00453AFA">
        <w:tc>
          <w:tcPr>
            <w:tcW w:w="6271" w:type="dxa"/>
            <w:tcBorders>
              <w:top w:val="single" w:sz="4" w:space="0" w:color="auto"/>
              <w:left w:val="nil"/>
              <w:bottom w:val="single" w:sz="4" w:space="0" w:color="auto"/>
              <w:right w:val="nil"/>
            </w:tcBorders>
          </w:tcPr>
          <w:p w14:paraId="6FC54984" w14:textId="77777777" w:rsidR="00323BB2" w:rsidRPr="0061063C" w:rsidRDefault="00323BB2" w:rsidP="00453AFA">
            <w:pPr>
              <w:jc w:val="both"/>
              <w:rPr>
                <w:rFonts w:asciiTheme="minorHAnsi" w:hAnsiTheme="minorHAnsi"/>
                <w:sz w:val="20"/>
              </w:rPr>
            </w:pPr>
          </w:p>
        </w:tc>
        <w:tc>
          <w:tcPr>
            <w:tcW w:w="1843" w:type="dxa"/>
            <w:tcBorders>
              <w:top w:val="single" w:sz="4" w:space="0" w:color="auto"/>
              <w:left w:val="nil"/>
              <w:bottom w:val="single" w:sz="4" w:space="0" w:color="auto"/>
              <w:right w:val="nil"/>
            </w:tcBorders>
          </w:tcPr>
          <w:p w14:paraId="7EA22FC8"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3</w:t>
            </w:r>
            <w:r>
              <w:rPr>
                <w:rFonts w:asciiTheme="minorHAnsi" w:hAnsiTheme="minorHAnsi"/>
                <w:b/>
                <w:bCs/>
                <w:sz w:val="20"/>
              </w:rPr>
              <w:t>0 June 2020</w:t>
            </w:r>
          </w:p>
          <w:p w14:paraId="2F0FFBFA"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£m</w:t>
            </w:r>
          </w:p>
        </w:tc>
        <w:tc>
          <w:tcPr>
            <w:tcW w:w="1843" w:type="dxa"/>
            <w:tcBorders>
              <w:top w:val="single" w:sz="4" w:space="0" w:color="auto"/>
              <w:left w:val="nil"/>
              <w:bottom w:val="single" w:sz="4" w:space="0" w:color="auto"/>
              <w:right w:val="nil"/>
            </w:tcBorders>
          </w:tcPr>
          <w:p w14:paraId="1342641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31 December 2019</w:t>
            </w:r>
          </w:p>
          <w:p w14:paraId="750677A8"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£m</w:t>
            </w:r>
          </w:p>
        </w:tc>
      </w:tr>
      <w:tr w:rsidR="00323BB2" w:rsidRPr="0061063C" w14:paraId="5C84D366" w14:textId="77777777" w:rsidTr="00453AFA">
        <w:tc>
          <w:tcPr>
            <w:tcW w:w="6271" w:type="dxa"/>
            <w:tcBorders>
              <w:top w:val="single" w:sz="4" w:space="0" w:color="auto"/>
              <w:left w:val="nil"/>
              <w:bottom w:val="single" w:sz="4" w:space="0" w:color="auto"/>
              <w:right w:val="nil"/>
            </w:tcBorders>
          </w:tcPr>
          <w:p w14:paraId="10CD775C" w14:textId="77777777" w:rsidR="00323BB2" w:rsidRPr="0061063C" w:rsidRDefault="00323BB2" w:rsidP="00453AFA">
            <w:pPr>
              <w:ind w:left="-108"/>
              <w:rPr>
                <w:rFonts w:asciiTheme="minorHAnsi" w:hAnsiTheme="minorHAnsi"/>
                <w:sz w:val="20"/>
              </w:rPr>
            </w:pPr>
          </w:p>
          <w:p w14:paraId="3568CEC0" w14:textId="77777777" w:rsidR="00323BB2" w:rsidRPr="0061063C" w:rsidRDefault="00323BB2" w:rsidP="00453AFA">
            <w:pPr>
              <w:ind w:left="-108"/>
              <w:rPr>
                <w:rFonts w:asciiTheme="minorHAnsi" w:hAnsiTheme="minorHAnsi"/>
                <w:sz w:val="20"/>
              </w:rPr>
            </w:pPr>
            <w:r w:rsidRPr="0061063C">
              <w:rPr>
                <w:rFonts w:asciiTheme="minorHAnsi" w:hAnsiTheme="minorHAnsi"/>
                <w:sz w:val="20"/>
              </w:rPr>
              <w:t>Investments – FVTPL</w:t>
            </w:r>
          </w:p>
        </w:tc>
        <w:tc>
          <w:tcPr>
            <w:tcW w:w="1843" w:type="dxa"/>
            <w:tcBorders>
              <w:top w:val="single" w:sz="4" w:space="0" w:color="auto"/>
              <w:left w:val="nil"/>
              <w:bottom w:val="single" w:sz="4" w:space="0" w:color="auto"/>
              <w:right w:val="nil"/>
            </w:tcBorders>
          </w:tcPr>
          <w:p w14:paraId="10D07CC9" w14:textId="77777777" w:rsidR="00323BB2" w:rsidRPr="0061063C" w:rsidRDefault="00323BB2" w:rsidP="00453AFA">
            <w:pPr>
              <w:jc w:val="right"/>
              <w:rPr>
                <w:rFonts w:asciiTheme="minorHAnsi" w:hAnsiTheme="minorHAnsi"/>
                <w:b/>
                <w:bCs/>
                <w:sz w:val="20"/>
              </w:rPr>
            </w:pPr>
          </w:p>
          <w:p w14:paraId="294FE71D"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4.6</w:t>
            </w:r>
          </w:p>
        </w:tc>
        <w:tc>
          <w:tcPr>
            <w:tcW w:w="1843" w:type="dxa"/>
            <w:tcBorders>
              <w:top w:val="single" w:sz="4" w:space="0" w:color="auto"/>
              <w:left w:val="nil"/>
              <w:bottom w:val="single" w:sz="4" w:space="0" w:color="auto"/>
              <w:right w:val="nil"/>
            </w:tcBorders>
          </w:tcPr>
          <w:p w14:paraId="796210EF" w14:textId="77777777" w:rsidR="00323BB2" w:rsidRPr="0061063C" w:rsidRDefault="00323BB2" w:rsidP="00453AFA">
            <w:pPr>
              <w:jc w:val="right"/>
              <w:rPr>
                <w:rFonts w:asciiTheme="minorHAnsi" w:hAnsiTheme="minorHAnsi"/>
                <w:bCs/>
                <w:sz w:val="20"/>
              </w:rPr>
            </w:pPr>
          </w:p>
          <w:p w14:paraId="4230930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0.1</w:t>
            </w:r>
          </w:p>
        </w:tc>
      </w:tr>
    </w:tbl>
    <w:p w14:paraId="6EAECCD0" w14:textId="77777777" w:rsidR="00323BB2" w:rsidRPr="0061063C" w:rsidRDefault="00323BB2" w:rsidP="00323BB2">
      <w:pPr>
        <w:rPr>
          <w:rFonts w:asciiTheme="minorHAnsi" w:hAnsiTheme="minorHAnsi"/>
          <w:b/>
          <w:sz w:val="20"/>
          <w:lang w:val="en-IE"/>
        </w:rPr>
      </w:pPr>
    </w:p>
    <w:p w14:paraId="42F442D2" w14:textId="77777777" w:rsidR="00323BB2" w:rsidRPr="0061063C" w:rsidRDefault="00323BB2" w:rsidP="00323BB2">
      <w:pPr>
        <w:rPr>
          <w:rFonts w:asciiTheme="minorHAnsi" w:hAnsiTheme="minorHAnsi"/>
          <w:sz w:val="20"/>
          <w:lang w:val="en-IE"/>
        </w:rPr>
      </w:pPr>
      <w:r w:rsidRPr="0061063C">
        <w:rPr>
          <w:rFonts w:asciiTheme="minorHAnsi" w:hAnsiTheme="minorHAnsi"/>
          <w:sz w:val="20"/>
          <w:lang w:val="en-IE"/>
        </w:rPr>
        <w:t>Investments relate to a small number of equity investments in various unquoted companies.</w:t>
      </w:r>
    </w:p>
    <w:p w14:paraId="2FB4447D" w14:textId="77777777" w:rsidR="00323BB2" w:rsidRPr="0061063C" w:rsidRDefault="00323BB2" w:rsidP="00323BB2">
      <w:pPr>
        <w:rPr>
          <w:rFonts w:asciiTheme="minorHAnsi" w:hAnsiTheme="minorHAnsi"/>
          <w:b/>
          <w:sz w:val="20"/>
          <w:lang w:val="en-IE"/>
        </w:rPr>
      </w:pPr>
    </w:p>
    <w:p w14:paraId="31B42CDA" w14:textId="77777777" w:rsidR="00323BB2" w:rsidRPr="0061063C" w:rsidRDefault="00323BB2" w:rsidP="00323BB2">
      <w:pPr>
        <w:rPr>
          <w:rFonts w:asciiTheme="minorHAnsi" w:hAnsiTheme="minorHAnsi"/>
          <w:b/>
          <w:sz w:val="20"/>
          <w:lang w:val="en-IE"/>
        </w:rPr>
      </w:pPr>
      <w:r w:rsidRPr="0061063C">
        <w:rPr>
          <w:rFonts w:asciiTheme="minorHAnsi" w:hAnsiTheme="minorHAnsi"/>
          <w:b/>
          <w:sz w:val="20"/>
          <w:lang w:val="en-IE"/>
        </w:rPr>
        <w:t>Non-current assets</w:t>
      </w:r>
    </w:p>
    <w:tbl>
      <w:tblPr>
        <w:tblW w:w="9957" w:type="dxa"/>
        <w:tblInd w:w="108" w:type="dxa"/>
        <w:tblLayout w:type="fixed"/>
        <w:tblLook w:val="0000" w:firstRow="0" w:lastRow="0" w:firstColumn="0" w:lastColumn="0" w:noHBand="0" w:noVBand="0"/>
      </w:tblPr>
      <w:tblGrid>
        <w:gridCol w:w="6555"/>
        <w:gridCol w:w="1559"/>
        <w:gridCol w:w="1843"/>
      </w:tblGrid>
      <w:tr w:rsidR="00323BB2" w:rsidRPr="0061063C" w14:paraId="5879B4F5" w14:textId="77777777" w:rsidTr="00453AFA">
        <w:tc>
          <w:tcPr>
            <w:tcW w:w="6555" w:type="dxa"/>
            <w:tcBorders>
              <w:top w:val="single" w:sz="4" w:space="0" w:color="auto"/>
              <w:left w:val="nil"/>
              <w:bottom w:val="single" w:sz="4" w:space="0" w:color="auto"/>
              <w:right w:val="nil"/>
            </w:tcBorders>
          </w:tcPr>
          <w:p w14:paraId="68297EEF" w14:textId="77777777" w:rsidR="00323BB2" w:rsidRPr="0061063C" w:rsidRDefault="00323BB2" w:rsidP="00453AFA">
            <w:pPr>
              <w:jc w:val="both"/>
              <w:rPr>
                <w:rFonts w:asciiTheme="minorHAnsi" w:hAnsiTheme="minorHAnsi"/>
                <w:sz w:val="20"/>
                <w:lang w:val="en-IE"/>
              </w:rPr>
            </w:pPr>
          </w:p>
        </w:tc>
        <w:tc>
          <w:tcPr>
            <w:tcW w:w="1559" w:type="dxa"/>
            <w:tcBorders>
              <w:top w:val="single" w:sz="4" w:space="0" w:color="auto"/>
              <w:left w:val="nil"/>
              <w:bottom w:val="single" w:sz="4" w:space="0" w:color="auto"/>
              <w:right w:val="nil"/>
            </w:tcBorders>
          </w:tcPr>
          <w:p w14:paraId="1AF78B91"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30 June 2020</w:t>
            </w:r>
          </w:p>
          <w:p w14:paraId="25B1ED01"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£m</w:t>
            </w:r>
          </w:p>
        </w:tc>
        <w:tc>
          <w:tcPr>
            <w:tcW w:w="1843" w:type="dxa"/>
            <w:tcBorders>
              <w:top w:val="single" w:sz="4" w:space="0" w:color="auto"/>
              <w:left w:val="nil"/>
              <w:bottom w:val="single" w:sz="4" w:space="0" w:color="auto"/>
              <w:right w:val="nil"/>
            </w:tcBorders>
          </w:tcPr>
          <w:p w14:paraId="35DE0319"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31 December 2019</w:t>
            </w:r>
          </w:p>
          <w:p w14:paraId="2129B7B7"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£m</w:t>
            </w:r>
          </w:p>
        </w:tc>
      </w:tr>
      <w:tr w:rsidR="00323BB2" w:rsidRPr="0061063C" w14:paraId="161850D6" w14:textId="77777777" w:rsidTr="00453AFA">
        <w:tc>
          <w:tcPr>
            <w:tcW w:w="6555" w:type="dxa"/>
            <w:tcBorders>
              <w:top w:val="single" w:sz="4" w:space="0" w:color="auto"/>
              <w:left w:val="nil"/>
              <w:right w:val="nil"/>
            </w:tcBorders>
          </w:tcPr>
          <w:p w14:paraId="501FEDCD" w14:textId="77777777" w:rsidR="00323BB2" w:rsidRPr="0061063C" w:rsidRDefault="00323BB2" w:rsidP="00453AFA">
            <w:pPr>
              <w:ind w:left="-108"/>
              <w:rPr>
                <w:rFonts w:asciiTheme="minorHAnsi" w:hAnsiTheme="minorHAnsi"/>
                <w:b/>
                <w:sz w:val="20"/>
                <w:lang w:val="en-IE"/>
              </w:rPr>
            </w:pPr>
            <w:r w:rsidRPr="0061063C">
              <w:rPr>
                <w:rFonts w:asciiTheme="minorHAnsi" w:hAnsiTheme="minorHAnsi"/>
                <w:b/>
                <w:sz w:val="20"/>
                <w:lang w:val="en-IE"/>
              </w:rPr>
              <w:t>Other receivables</w:t>
            </w:r>
          </w:p>
        </w:tc>
        <w:tc>
          <w:tcPr>
            <w:tcW w:w="1559" w:type="dxa"/>
            <w:tcBorders>
              <w:top w:val="single" w:sz="4" w:space="0" w:color="auto"/>
              <w:left w:val="nil"/>
              <w:right w:val="nil"/>
            </w:tcBorders>
          </w:tcPr>
          <w:p w14:paraId="73F2A04B" w14:textId="77777777" w:rsidR="00323BB2" w:rsidRPr="0061063C" w:rsidRDefault="00323BB2" w:rsidP="00453AFA">
            <w:pPr>
              <w:jc w:val="right"/>
              <w:rPr>
                <w:rFonts w:asciiTheme="minorHAnsi" w:hAnsiTheme="minorHAnsi"/>
                <w:b/>
                <w:bCs/>
                <w:sz w:val="20"/>
                <w:lang w:val="en-IE"/>
              </w:rPr>
            </w:pPr>
          </w:p>
        </w:tc>
        <w:tc>
          <w:tcPr>
            <w:tcW w:w="1843" w:type="dxa"/>
            <w:tcBorders>
              <w:top w:val="single" w:sz="4" w:space="0" w:color="auto"/>
              <w:left w:val="nil"/>
              <w:right w:val="nil"/>
            </w:tcBorders>
          </w:tcPr>
          <w:p w14:paraId="3DFC60BF" w14:textId="77777777" w:rsidR="00323BB2" w:rsidRPr="0061063C" w:rsidRDefault="00323BB2" w:rsidP="00453AFA">
            <w:pPr>
              <w:jc w:val="right"/>
              <w:rPr>
                <w:rFonts w:asciiTheme="minorHAnsi" w:hAnsiTheme="minorHAnsi"/>
                <w:bCs/>
                <w:sz w:val="20"/>
                <w:lang w:val="en-IE"/>
              </w:rPr>
            </w:pPr>
          </w:p>
        </w:tc>
      </w:tr>
      <w:tr w:rsidR="00323BB2" w:rsidRPr="0061063C" w14:paraId="43FD43B9" w14:textId="77777777" w:rsidTr="00453AFA">
        <w:trPr>
          <w:trHeight w:val="165"/>
        </w:trPr>
        <w:tc>
          <w:tcPr>
            <w:tcW w:w="6555" w:type="dxa"/>
            <w:tcBorders>
              <w:left w:val="nil"/>
              <w:right w:val="nil"/>
            </w:tcBorders>
          </w:tcPr>
          <w:p w14:paraId="3DE1E63A"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Other receivables</w:t>
            </w:r>
          </w:p>
        </w:tc>
        <w:tc>
          <w:tcPr>
            <w:tcW w:w="1559" w:type="dxa"/>
            <w:tcBorders>
              <w:left w:val="nil"/>
              <w:right w:val="nil"/>
            </w:tcBorders>
          </w:tcPr>
          <w:p w14:paraId="1E4A19A9"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14.0</w:t>
            </w:r>
          </w:p>
        </w:tc>
        <w:tc>
          <w:tcPr>
            <w:tcW w:w="1843" w:type="dxa"/>
            <w:tcBorders>
              <w:left w:val="nil"/>
              <w:right w:val="nil"/>
            </w:tcBorders>
          </w:tcPr>
          <w:p w14:paraId="1BC73307"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w:t>
            </w:r>
          </w:p>
        </w:tc>
      </w:tr>
      <w:tr w:rsidR="00323BB2" w:rsidRPr="0061063C" w14:paraId="4129488B" w14:textId="77777777" w:rsidTr="00453AFA">
        <w:trPr>
          <w:trHeight w:val="165"/>
        </w:trPr>
        <w:tc>
          <w:tcPr>
            <w:tcW w:w="6555" w:type="dxa"/>
            <w:tcBorders>
              <w:left w:val="nil"/>
              <w:right w:val="nil"/>
            </w:tcBorders>
          </w:tcPr>
          <w:p w14:paraId="661BE22D"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Prepayments</w:t>
            </w:r>
          </w:p>
        </w:tc>
        <w:tc>
          <w:tcPr>
            <w:tcW w:w="1559" w:type="dxa"/>
            <w:tcBorders>
              <w:left w:val="nil"/>
              <w:right w:val="nil"/>
            </w:tcBorders>
          </w:tcPr>
          <w:p w14:paraId="56C0CD9C"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25.0</w:t>
            </w:r>
          </w:p>
        </w:tc>
        <w:tc>
          <w:tcPr>
            <w:tcW w:w="1843" w:type="dxa"/>
            <w:tcBorders>
              <w:left w:val="nil"/>
              <w:right w:val="nil"/>
            </w:tcBorders>
          </w:tcPr>
          <w:p w14:paraId="3D9CBDC7"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9.0</w:t>
            </w:r>
          </w:p>
        </w:tc>
      </w:tr>
      <w:tr w:rsidR="00323BB2" w:rsidRPr="0061063C" w14:paraId="00062778" w14:textId="77777777" w:rsidTr="00453AFA">
        <w:trPr>
          <w:trHeight w:val="165"/>
        </w:trPr>
        <w:tc>
          <w:tcPr>
            <w:tcW w:w="6555" w:type="dxa"/>
            <w:tcBorders>
              <w:left w:val="nil"/>
              <w:right w:val="nil"/>
            </w:tcBorders>
          </w:tcPr>
          <w:p w14:paraId="67D0E0BF"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Value-added tax and goods and services tax</w:t>
            </w:r>
          </w:p>
        </w:tc>
        <w:tc>
          <w:tcPr>
            <w:tcW w:w="1559" w:type="dxa"/>
            <w:tcBorders>
              <w:left w:val="nil"/>
              <w:right w:val="nil"/>
            </w:tcBorders>
          </w:tcPr>
          <w:p w14:paraId="534B00F0"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2.5</w:t>
            </w:r>
          </w:p>
        </w:tc>
        <w:tc>
          <w:tcPr>
            <w:tcW w:w="1843" w:type="dxa"/>
            <w:tcBorders>
              <w:left w:val="nil"/>
              <w:right w:val="nil"/>
            </w:tcBorders>
          </w:tcPr>
          <w:p w14:paraId="7F6FD332"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w:t>
            </w:r>
          </w:p>
        </w:tc>
      </w:tr>
      <w:tr w:rsidR="00323BB2" w:rsidRPr="0061063C" w14:paraId="08116164" w14:textId="77777777" w:rsidTr="00453AFA">
        <w:trPr>
          <w:trHeight w:val="165"/>
        </w:trPr>
        <w:tc>
          <w:tcPr>
            <w:tcW w:w="6555" w:type="dxa"/>
            <w:tcBorders>
              <w:left w:val="nil"/>
              <w:right w:val="nil"/>
            </w:tcBorders>
          </w:tcPr>
          <w:p w14:paraId="0724D547"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Finance lease receivable</w:t>
            </w:r>
          </w:p>
        </w:tc>
        <w:tc>
          <w:tcPr>
            <w:tcW w:w="1559" w:type="dxa"/>
            <w:tcBorders>
              <w:left w:val="nil"/>
              <w:right w:val="nil"/>
            </w:tcBorders>
          </w:tcPr>
          <w:p w14:paraId="2B16BE7E"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1.6</w:t>
            </w:r>
          </w:p>
        </w:tc>
        <w:tc>
          <w:tcPr>
            <w:tcW w:w="1843" w:type="dxa"/>
            <w:tcBorders>
              <w:left w:val="nil"/>
              <w:right w:val="nil"/>
            </w:tcBorders>
          </w:tcPr>
          <w:p w14:paraId="2296A3A9"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2.6</w:t>
            </w:r>
          </w:p>
        </w:tc>
      </w:tr>
      <w:tr w:rsidR="00323BB2" w:rsidRPr="0061063C" w14:paraId="7F7B4FA8" w14:textId="77777777" w:rsidTr="00453AFA">
        <w:trPr>
          <w:trHeight w:val="165"/>
        </w:trPr>
        <w:tc>
          <w:tcPr>
            <w:tcW w:w="6555" w:type="dxa"/>
            <w:tcBorders>
              <w:left w:val="nil"/>
              <w:right w:val="nil"/>
            </w:tcBorders>
          </w:tcPr>
          <w:p w14:paraId="1DD1E863"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Deferred financing costs on Revolving Credit Facility (see Note 15)</w:t>
            </w:r>
          </w:p>
        </w:tc>
        <w:tc>
          <w:tcPr>
            <w:tcW w:w="1559" w:type="dxa"/>
            <w:tcBorders>
              <w:left w:val="nil"/>
              <w:right w:val="nil"/>
            </w:tcBorders>
          </w:tcPr>
          <w:p w14:paraId="18CCD42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4.8</w:t>
            </w:r>
          </w:p>
        </w:tc>
        <w:tc>
          <w:tcPr>
            <w:tcW w:w="1843" w:type="dxa"/>
            <w:tcBorders>
              <w:left w:val="nil"/>
              <w:right w:val="nil"/>
            </w:tcBorders>
          </w:tcPr>
          <w:p w14:paraId="04F3291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2C9F51D8" w14:textId="77777777" w:rsidTr="00453AFA">
        <w:trPr>
          <w:trHeight w:val="165"/>
        </w:trPr>
        <w:tc>
          <w:tcPr>
            <w:tcW w:w="6555" w:type="dxa"/>
            <w:tcBorders>
              <w:left w:val="nil"/>
              <w:bottom w:val="single" w:sz="4" w:space="0" w:color="auto"/>
              <w:right w:val="nil"/>
            </w:tcBorders>
          </w:tcPr>
          <w:p w14:paraId="38ABE21C"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 xml:space="preserve">Amounts paid in respect of legacy German and Greek tax assessments </w:t>
            </w:r>
          </w:p>
        </w:tc>
        <w:tc>
          <w:tcPr>
            <w:tcW w:w="1559" w:type="dxa"/>
            <w:tcBorders>
              <w:left w:val="nil"/>
              <w:bottom w:val="single" w:sz="4" w:space="0" w:color="auto"/>
              <w:right w:val="nil"/>
            </w:tcBorders>
          </w:tcPr>
          <w:p w14:paraId="350E0C3D"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rPr>
              <w:t>41.5</w:t>
            </w:r>
          </w:p>
        </w:tc>
        <w:tc>
          <w:tcPr>
            <w:tcW w:w="1843" w:type="dxa"/>
            <w:tcBorders>
              <w:left w:val="nil"/>
              <w:bottom w:val="single" w:sz="4" w:space="0" w:color="auto"/>
              <w:right w:val="nil"/>
            </w:tcBorders>
          </w:tcPr>
          <w:p w14:paraId="76F83F3F"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rPr>
              <w:t>38.8</w:t>
            </w:r>
          </w:p>
        </w:tc>
      </w:tr>
      <w:tr w:rsidR="00323BB2" w:rsidRPr="0061063C" w14:paraId="1C10499C" w14:textId="77777777" w:rsidTr="00453AFA">
        <w:trPr>
          <w:trHeight w:val="165"/>
        </w:trPr>
        <w:tc>
          <w:tcPr>
            <w:tcW w:w="6555" w:type="dxa"/>
            <w:tcBorders>
              <w:left w:val="nil"/>
              <w:bottom w:val="single" w:sz="4" w:space="0" w:color="auto"/>
              <w:right w:val="nil"/>
            </w:tcBorders>
          </w:tcPr>
          <w:p w14:paraId="77138BFB" w14:textId="77777777" w:rsidR="00323BB2" w:rsidRPr="0061063C" w:rsidRDefault="00323BB2" w:rsidP="00453AFA">
            <w:pPr>
              <w:ind w:left="-108"/>
              <w:rPr>
                <w:rFonts w:asciiTheme="minorHAnsi" w:hAnsiTheme="minorHAnsi"/>
                <w:sz w:val="20"/>
                <w:lang w:val="en-IE"/>
              </w:rPr>
            </w:pPr>
          </w:p>
        </w:tc>
        <w:tc>
          <w:tcPr>
            <w:tcW w:w="1559" w:type="dxa"/>
            <w:tcBorders>
              <w:left w:val="nil"/>
              <w:bottom w:val="single" w:sz="4" w:space="0" w:color="auto"/>
              <w:right w:val="nil"/>
            </w:tcBorders>
          </w:tcPr>
          <w:p w14:paraId="43EE0515"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89.4</w:t>
            </w:r>
          </w:p>
        </w:tc>
        <w:tc>
          <w:tcPr>
            <w:tcW w:w="1843" w:type="dxa"/>
            <w:tcBorders>
              <w:left w:val="nil"/>
              <w:bottom w:val="single" w:sz="4" w:space="0" w:color="auto"/>
              <w:right w:val="nil"/>
            </w:tcBorders>
          </w:tcPr>
          <w:p w14:paraId="1D45DBDC"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50.4</w:t>
            </w:r>
          </w:p>
        </w:tc>
      </w:tr>
      <w:tr w:rsidR="00323BB2" w:rsidRPr="0061063C" w14:paraId="514DFB90" w14:textId="77777777" w:rsidTr="00453AFA">
        <w:trPr>
          <w:trHeight w:val="165"/>
        </w:trPr>
        <w:tc>
          <w:tcPr>
            <w:tcW w:w="6555" w:type="dxa"/>
            <w:tcBorders>
              <w:left w:val="nil"/>
              <w:right w:val="nil"/>
            </w:tcBorders>
          </w:tcPr>
          <w:p w14:paraId="37E4B279" w14:textId="77777777" w:rsidR="00323BB2" w:rsidRPr="0061063C" w:rsidRDefault="00323BB2" w:rsidP="00453AFA">
            <w:pPr>
              <w:rPr>
                <w:rFonts w:asciiTheme="minorHAnsi" w:hAnsiTheme="minorHAnsi"/>
                <w:b/>
                <w:sz w:val="20"/>
                <w:lang w:val="en-IE"/>
              </w:rPr>
            </w:pPr>
          </w:p>
          <w:p w14:paraId="5B9FACC3" w14:textId="77777777" w:rsidR="00323BB2" w:rsidRPr="0061063C" w:rsidRDefault="00323BB2" w:rsidP="00453AFA">
            <w:pPr>
              <w:ind w:left="-74"/>
              <w:rPr>
                <w:rFonts w:asciiTheme="minorHAnsi" w:hAnsiTheme="minorHAnsi"/>
                <w:b/>
                <w:sz w:val="20"/>
                <w:lang w:val="en-IE"/>
              </w:rPr>
            </w:pPr>
            <w:r w:rsidRPr="0061063C">
              <w:rPr>
                <w:rFonts w:asciiTheme="minorHAnsi" w:hAnsiTheme="minorHAnsi"/>
                <w:b/>
                <w:sz w:val="20"/>
                <w:lang w:val="en-IE"/>
              </w:rPr>
              <w:t>Derivative financial assets</w:t>
            </w:r>
          </w:p>
        </w:tc>
        <w:tc>
          <w:tcPr>
            <w:tcW w:w="1559" w:type="dxa"/>
            <w:tcBorders>
              <w:left w:val="nil"/>
              <w:right w:val="nil"/>
            </w:tcBorders>
          </w:tcPr>
          <w:p w14:paraId="17B3A8C2" w14:textId="77777777" w:rsidR="00323BB2" w:rsidRPr="0061063C" w:rsidRDefault="00323BB2" w:rsidP="00453AFA">
            <w:pPr>
              <w:jc w:val="right"/>
              <w:rPr>
                <w:rFonts w:asciiTheme="minorHAnsi" w:hAnsiTheme="minorHAnsi"/>
                <w:b/>
                <w:bCs/>
                <w:sz w:val="20"/>
                <w:lang w:val="en-IE"/>
              </w:rPr>
            </w:pPr>
          </w:p>
          <w:p w14:paraId="625DCDE0" w14:textId="77777777" w:rsidR="00323BB2" w:rsidRPr="0061063C" w:rsidRDefault="00323BB2" w:rsidP="00453AFA">
            <w:pPr>
              <w:jc w:val="right"/>
              <w:rPr>
                <w:rFonts w:asciiTheme="minorHAnsi" w:hAnsiTheme="minorHAnsi"/>
                <w:b/>
                <w:bCs/>
                <w:sz w:val="20"/>
                <w:lang w:val="en-IE"/>
              </w:rPr>
            </w:pPr>
          </w:p>
        </w:tc>
        <w:tc>
          <w:tcPr>
            <w:tcW w:w="1843" w:type="dxa"/>
            <w:tcBorders>
              <w:left w:val="nil"/>
              <w:right w:val="nil"/>
            </w:tcBorders>
          </w:tcPr>
          <w:p w14:paraId="43AFFB71" w14:textId="77777777" w:rsidR="00323BB2" w:rsidRPr="0061063C" w:rsidRDefault="00323BB2" w:rsidP="00453AFA">
            <w:pPr>
              <w:jc w:val="right"/>
              <w:rPr>
                <w:rFonts w:asciiTheme="minorHAnsi" w:hAnsiTheme="minorHAnsi"/>
                <w:bCs/>
                <w:sz w:val="20"/>
                <w:lang w:val="en-IE"/>
              </w:rPr>
            </w:pPr>
          </w:p>
        </w:tc>
      </w:tr>
      <w:tr w:rsidR="00323BB2" w:rsidRPr="0061063C" w14:paraId="7301A4EB" w14:textId="77777777" w:rsidTr="00453AFA">
        <w:trPr>
          <w:trHeight w:val="165"/>
        </w:trPr>
        <w:tc>
          <w:tcPr>
            <w:tcW w:w="6555" w:type="dxa"/>
            <w:tcBorders>
              <w:left w:val="nil"/>
              <w:right w:val="nil"/>
            </w:tcBorders>
          </w:tcPr>
          <w:p w14:paraId="37B8912A" w14:textId="77777777" w:rsidR="00323BB2" w:rsidRPr="0061063C" w:rsidRDefault="00323BB2" w:rsidP="00453AFA">
            <w:pPr>
              <w:ind w:left="-74"/>
              <w:rPr>
                <w:rFonts w:asciiTheme="minorHAnsi" w:hAnsiTheme="minorHAnsi"/>
                <w:b/>
                <w:sz w:val="20"/>
                <w:lang w:val="en-IE"/>
              </w:rPr>
            </w:pPr>
            <w:r w:rsidRPr="0061063C">
              <w:rPr>
                <w:rFonts w:asciiTheme="minorHAnsi" w:hAnsiTheme="minorHAnsi"/>
                <w:sz w:val="20"/>
                <w:lang w:val="en-IE"/>
              </w:rPr>
              <w:t>Derivatives held for hedging (see Note 16)</w:t>
            </w:r>
          </w:p>
        </w:tc>
        <w:tc>
          <w:tcPr>
            <w:tcW w:w="1559" w:type="dxa"/>
            <w:tcBorders>
              <w:left w:val="nil"/>
              <w:right w:val="nil"/>
            </w:tcBorders>
          </w:tcPr>
          <w:p w14:paraId="3EA5C788"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31.6</w:t>
            </w:r>
          </w:p>
        </w:tc>
        <w:tc>
          <w:tcPr>
            <w:tcW w:w="1843" w:type="dxa"/>
            <w:tcBorders>
              <w:left w:val="nil"/>
              <w:right w:val="nil"/>
            </w:tcBorders>
          </w:tcPr>
          <w:p w14:paraId="78E48CFC"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w:t>
            </w:r>
          </w:p>
        </w:tc>
      </w:tr>
      <w:tr w:rsidR="00323BB2" w:rsidRPr="0061063C" w14:paraId="3B8E70F3" w14:textId="77777777" w:rsidTr="00453AFA">
        <w:trPr>
          <w:trHeight w:val="165"/>
        </w:trPr>
        <w:tc>
          <w:tcPr>
            <w:tcW w:w="6555" w:type="dxa"/>
            <w:tcBorders>
              <w:top w:val="single" w:sz="4" w:space="0" w:color="auto"/>
              <w:left w:val="nil"/>
              <w:bottom w:val="single" w:sz="4" w:space="0" w:color="auto"/>
              <w:right w:val="nil"/>
            </w:tcBorders>
          </w:tcPr>
          <w:p w14:paraId="2120B180" w14:textId="77777777" w:rsidR="00323BB2" w:rsidRPr="0061063C" w:rsidRDefault="00323BB2" w:rsidP="00453AFA">
            <w:pPr>
              <w:rPr>
                <w:rFonts w:asciiTheme="minorHAnsi" w:hAnsiTheme="minorHAnsi"/>
                <w:sz w:val="20"/>
                <w:lang w:val="en-IE"/>
              </w:rPr>
            </w:pPr>
          </w:p>
        </w:tc>
        <w:tc>
          <w:tcPr>
            <w:tcW w:w="1559" w:type="dxa"/>
            <w:tcBorders>
              <w:top w:val="single" w:sz="4" w:space="0" w:color="auto"/>
              <w:left w:val="nil"/>
              <w:bottom w:val="single" w:sz="4" w:space="0" w:color="auto"/>
              <w:right w:val="nil"/>
            </w:tcBorders>
          </w:tcPr>
          <w:p w14:paraId="7E464527"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31.6</w:t>
            </w:r>
          </w:p>
        </w:tc>
        <w:tc>
          <w:tcPr>
            <w:tcW w:w="1843" w:type="dxa"/>
            <w:tcBorders>
              <w:top w:val="single" w:sz="4" w:space="0" w:color="auto"/>
              <w:left w:val="nil"/>
              <w:bottom w:val="single" w:sz="4" w:space="0" w:color="auto"/>
              <w:right w:val="nil"/>
            </w:tcBorders>
          </w:tcPr>
          <w:p w14:paraId="68D7D836"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w:t>
            </w:r>
          </w:p>
        </w:tc>
      </w:tr>
    </w:tbl>
    <w:p w14:paraId="628FF23E" w14:textId="77777777" w:rsidR="00323BB2" w:rsidRPr="0061063C" w:rsidRDefault="00323BB2" w:rsidP="00323BB2">
      <w:pPr>
        <w:rPr>
          <w:rFonts w:asciiTheme="minorHAnsi" w:hAnsiTheme="minorHAnsi"/>
          <w:b/>
          <w:bCs/>
          <w:sz w:val="12"/>
          <w:szCs w:val="12"/>
          <w:lang w:val="en-IE"/>
        </w:rPr>
      </w:pPr>
    </w:p>
    <w:p w14:paraId="474D17CE" w14:textId="77777777" w:rsidR="00323BB2" w:rsidRPr="0061063C" w:rsidRDefault="00323BB2" w:rsidP="00323BB2">
      <w:pPr>
        <w:rPr>
          <w:rFonts w:asciiTheme="minorHAnsi" w:hAnsiTheme="minorHAnsi"/>
          <w:sz w:val="20"/>
          <w:lang w:val="en-IE"/>
        </w:rPr>
      </w:pPr>
      <w:r w:rsidRPr="0061063C">
        <w:rPr>
          <w:rFonts w:asciiTheme="minorHAnsi" w:hAnsiTheme="minorHAnsi"/>
          <w:b/>
          <w:bCs/>
          <w:sz w:val="20"/>
          <w:lang w:val="en-IE"/>
        </w:rPr>
        <w:t>Current assets</w:t>
      </w:r>
    </w:p>
    <w:tbl>
      <w:tblPr>
        <w:tblW w:w="9957" w:type="dxa"/>
        <w:tblInd w:w="108" w:type="dxa"/>
        <w:tblLayout w:type="fixed"/>
        <w:tblLook w:val="0000" w:firstRow="0" w:lastRow="0" w:firstColumn="0" w:lastColumn="0" w:noHBand="0" w:noVBand="0"/>
      </w:tblPr>
      <w:tblGrid>
        <w:gridCol w:w="6555"/>
        <w:gridCol w:w="1559"/>
        <w:gridCol w:w="1843"/>
      </w:tblGrid>
      <w:tr w:rsidR="00323BB2" w:rsidRPr="0061063C" w14:paraId="67D8E2FD" w14:textId="77777777" w:rsidTr="00453AFA">
        <w:tc>
          <w:tcPr>
            <w:tcW w:w="6555" w:type="dxa"/>
            <w:tcBorders>
              <w:top w:val="single" w:sz="4" w:space="0" w:color="auto"/>
              <w:left w:val="nil"/>
              <w:bottom w:val="single" w:sz="4" w:space="0" w:color="auto"/>
              <w:right w:val="nil"/>
            </w:tcBorders>
          </w:tcPr>
          <w:p w14:paraId="73970729" w14:textId="77777777" w:rsidR="00323BB2" w:rsidRPr="0061063C" w:rsidRDefault="00323BB2" w:rsidP="00453AFA">
            <w:pPr>
              <w:jc w:val="both"/>
              <w:rPr>
                <w:rFonts w:asciiTheme="minorHAnsi" w:hAnsiTheme="minorHAnsi"/>
                <w:sz w:val="20"/>
                <w:lang w:val="en-IE"/>
              </w:rPr>
            </w:pPr>
          </w:p>
        </w:tc>
        <w:tc>
          <w:tcPr>
            <w:tcW w:w="1559" w:type="dxa"/>
            <w:tcBorders>
              <w:top w:val="single" w:sz="4" w:space="0" w:color="auto"/>
              <w:left w:val="nil"/>
              <w:bottom w:val="single" w:sz="4" w:space="0" w:color="auto"/>
              <w:right w:val="nil"/>
            </w:tcBorders>
          </w:tcPr>
          <w:p w14:paraId="03FA9B1F"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30 June 2020</w:t>
            </w:r>
          </w:p>
          <w:p w14:paraId="401DA50A"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£m</w:t>
            </w:r>
          </w:p>
        </w:tc>
        <w:tc>
          <w:tcPr>
            <w:tcW w:w="1843" w:type="dxa"/>
            <w:tcBorders>
              <w:top w:val="single" w:sz="4" w:space="0" w:color="auto"/>
              <w:left w:val="nil"/>
              <w:bottom w:val="single" w:sz="4" w:space="0" w:color="auto"/>
              <w:right w:val="nil"/>
            </w:tcBorders>
          </w:tcPr>
          <w:p w14:paraId="4C5153FD"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31 December 2019</w:t>
            </w:r>
          </w:p>
          <w:p w14:paraId="670FE534"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lang w:val="en-IE"/>
              </w:rPr>
              <w:t>£m</w:t>
            </w:r>
          </w:p>
        </w:tc>
      </w:tr>
      <w:tr w:rsidR="00323BB2" w:rsidRPr="0061063C" w14:paraId="586DF1AD" w14:textId="77777777" w:rsidTr="00453AFA">
        <w:trPr>
          <w:trHeight w:val="70"/>
        </w:trPr>
        <w:tc>
          <w:tcPr>
            <w:tcW w:w="6555" w:type="dxa"/>
            <w:tcBorders>
              <w:top w:val="single" w:sz="4" w:space="0" w:color="auto"/>
              <w:left w:val="nil"/>
              <w:bottom w:val="nil"/>
              <w:right w:val="nil"/>
            </w:tcBorders>
          </w:tcPr>
          <w:p w14:paraId="068901B8" w14:textId="77777777" w:rsidR="00323BB2" w:rsidRPr="0061063C" w:rsidRDefault="00323BB2" w:rsidP="00453AFA">
            <w:pPr>
              <w:ind w:left="-108"/>
              <w:rPr>
                <w:rFonts w:asciiTheme="minorHAnsi" w:hAnsiTheme="minorHAnsi"/>
                <w:b/>
                <w:sz w:val="20"/>
                <w:lang w:val="en-IE"/>
              </w:rPr>
            </w:pPr>
            <w:r w:rsidRPr="0061063C">
              <w:rPr>
                <w:rFonts w:asciiTheme="minorHAnsi" w:hAnsiTheme="minorHAnsi"/>
                <w:b/>
                <w:sz w:val="20"/>
                <w:lang w:val="en-IE"/>
              </w:rPr>
              <w:t>Trade and other receivables</w:t>
            </w:r>
          </w:p>
        </w:tc>
        <w:tc>
          <w:tcPr>
            <w:tcW w:w="1559" w:type="dxa"/>
            <w:tcBorders>
              <w:top w:val="single" w:sz="4" w:space="0" w:color="auto"/>
              <w:left w:val="nil"/>
              <w:bottom w:val="nil"/>
              <w:right w:val="nil"/>
            </w:tcBorders>
          </w:tcPr>
          <w:p w14:paraId="5113A258" w14:textId="77777777" w:rsidR="00323BB2" w:rsidRPr="0061063C" w:rsidRDefault="00323BB2" w:rsidP="00453AFA">
            <w:pPr>
              <w:jc w:val="right"/>
              <w:rPr>
                <w:rFonts w:asciiTheme="minorHAnsi" w:hAnsiTheme="minorHAnsi"/>
                <w:b/>
                <w:bCs/>
                <w:sz w:val="20"/>
                <w:lang w:val="en-IE"/>
              </w:rPr>
            </w:pPr>
          </w:p>
        </w:tc>
        <w:tc>
          <w:tcPr>
            <w:tcW w:w="1843" w:type="dxa"/>
            <w:tcBorders>
              <w:top w:val="single" w:sz="4" w:space="0" w:color="auto"/>
              <w:left w:val="nil"/>
              <w:bottom w:val="nil"/>
              <w:right w:val="nil"/>
            </w:tcBorders>
          </w:tcPr>
          <w:p w14:paraId="7947F424" w14:textId="77777777" w:rsidR="00323BB2" w:rsidRPr="0061063C" w:rsidRDefault="00323BB2" w:rsidP="00453AFA">
            <w:pPr>
              <w:jc w:val="right"/>
              <w:rPr>
                <w:rFonts w:asciiTheme="minorHAnsi" w:hAnsiTheme="minorHAnsi"/>
                <w:bCs/>
                <w:sz w:val="20"/>
                <w:lang w:val="en-IE"/>
              </w:rPr>
            </w:pPr>
          </w:p>
        </w:tc>
      </w:tr>
      <w:tr w:rsidR="00323BB2" w:rsidRPr="0061063C" w14:paraId="7CFCD93E" w14:textId="77777777" w:rsidTr="00453AFA">
        <w:tc>
          <w:tcPr>
            <w:tcW w:w="6555" w:type="dxa"/>
            <w:tcBorders>
              <w:top w:val="nil"/>
              <w:left w:val="nil"/>
              <w:right w:val="nil"/>
            </w:tcBorders>
          </w:tcPr>
          <w:p w14:paraId="0CDD6992"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Trade receivables</w:t>
            </w:r>
          </w:p>
        </w:tc>
        <w:tc>
          <w:tcPr>
            <w:tcW w:w="1559" w:type="dxa"/>
            <w:tcBorders>
              <w:top w:val="nil"/>
              <w:left w:val="nil"/>
              <w:right w:val="nil"/>
            </w:tcBorders>
            <w:shd w:val="clear" w:color="auto" w:fill="auto"/>
          </w:tcPr>
          <w:p w14:paraId="2527B2D9"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25.3</w:t>
            </w:r>
          </w:p>
        </w:tc>
        <w:tc>
          <w:tcPr>
            <w:tcW w:w="1843" w:type="dxa"/>
            <w:tcBorders>
              <w:top w:val="nil"/>
              <w:left w:val="nil"/>
              <w:right w:val="nil"/>
            </w:tcBorders>
          </w:tcPr>
          <w:p w14:paraId="7F04FA22"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rPr>
              <w:t>8.5</w:t>
            </w:r>
          </w:p>
        </w:tc>
      </w:tr>
      <w:tr w:rsidR="00323BB2" w:rsidRPr="0061063C" w14:paraId="4913026E" w14:textId="77777777" w:rsidTr="00453AFA">
        <w:tc>
          <w:tcPr>
            <w:tcW w:w="6555" w:type="dxa"/>
            <w:tcBorders>
              <w:top w:val="nil"/>
              <w:left w:val="nil"/>
              <w:right w:val="nil"/>
            </w:tcBorders>
          </w:tcPr>
          <w:p w14:paraId="0B271923"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Other receivables</w:t>
            </w:r>
          </w:p>
        </w:tc>
        <w:tc>
          <w:tcPr>
            <w:tcW w:w="1559" w:type="dxa"/>
            <w:tcBorders>
              <w:top w:val="nil"/>
              <w:left w:val="nil"/>
              <w:right w:val="nil"/>
            </w:tcBorders>
            <w:shd w:val="clear" w:color="auto" w:fill="auto"/>
          </w:tcPr>
          <w:p w14:paraId="75FBFFB2"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13.5</w:t>
            </w:r>
          </w:p>
        </w:tc>
        <w:tc>
          <w:tcPr>
            <w:tcW w:w="1843" w:type="dxa"/>
            <w:tcBorders>
              <w:top w:val="nil"/>
              <w:left w:val="nil"/>
              <w:right w:val="nil"/>
            </w:tcBorders>
          </w:tcPr>
          <w:p w14:paraId="5F8D4167"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8.0</w:t>
            </w:r>
          </w:p>
        </w:tc>
      </w:tr>
      <w:tr w:rsidR="00323BB2" w:rsidRPr="0061063C" w14:paraId="38E60B32" w14:textId="77777777" w:rsidTr="00453AFA">
        <w:tc>
          <w:tcPr>
            <w:tcW w:w="6555" w:type="dxa"/>
            <w:tcBorders>
              <w:top w:val="nil"/>
              <w:left w:val="nil"/>
              <w:right w:val="nil"/>
            </w:tcBorders>
          </w:tcPr>
          <w:p w14:paraId="79511305"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Finance lease receivable</w:t>
            </w:r>
          </w:p>
        </w:tc>
        <w:tc>
          <w:tcPr>
            <w:tcW w:w="1559" w:type="dxa"/>
            <w:tcBorders>
              <w:top w:val="nil"/>
              <w:left w:val="nil"/>
              <w:right w:val="nil"/>
            </w:tcBorders>
            <w:shd w:val="clear" w:color="auto" w:fill="auto"/>
          </w:tcPr>
          <w:p w14:paraId="36539796"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0.9</w:t>
            </w:r>
          </w:p>
        </w:tc>
        <w:tc>
          <w:tcPr>
            <w:tcW w:w="1843" w:type="dxa"/>
            <w:tcBorders>
              <w:top w:val="nil"/>
              <w:left w:val="nil"/>
              <w:right w:val="nil"/>
            </w:tcBorders>
          </w:tcPr>
          <w:p w14:paraId="3FEB1734"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0.4</w:t>
            </w:r>
          </w:p>
        </w:tc>
      </w:tr>
      <w:tr w:rsidR="00323BB2" w:rsidRPr="0061063C" w14:paraId="7104CA90" w14:textId="77777777" w:rsidTr="00453AFA">
        <w:tc>
          <w:tcPr>
            <w:tcW w:w="6555" w:type="dxa"/>
            <w:tcBorders>
              <w:left w:val="nil"/>
              <w:right w:val="nil"/>
            </w:tcBorders>
          </w:tcPr>
          <w:p w14:paraId="6C4846D1"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Receivable from insurance</w:t>
            </w:r>
          </w:p>
        </w:tc>
        <w:tc>
          <w:tcPr>
            <w:tcW w:w="1559" w:type="dxa"/>
            <w:tcBorders>
              <w:left w:val="nil"/>
              <w:right w:val="nil"/>
            </w:tcBorders>
            <w:shd w:val="clear" w:color="auto" w:fill="auto"/>
          </w:tcPr>
          <w:p w14:paraId="2BD1AEF9"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17.8</w:t>
            </w:r>
          </w:p>
        </w:tc>
        <w:tc>
          <w:tcPr>
            <w:tcW w:w="1843" w:type="dxa"/>
            <w:tcBorders>
              <w:left w:val="nil"/>
              <w:right w:val="nil"/>
            </w:tcBorders>
          </w:tcPr>
          <w:p w14:paraId="2632416D"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6211A7CD" w14:textId="77777777" w:rsidTr="00453AFA">
        <w:tc>
          <w:tcPr>
            <w:tcW w:w="6555" w:type="dxa"/>
            <w:tcBorders>
              <w:left w:val="nil"/>
              <w:right w:val="nil"/>
            </w:tcBorders>
          </w:tcPr>
          <w:p w14:paraId="5FDBD997"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Value-added tax and goods and services tax</w:t>
            </w:r>
          </w:p>
        </w:tc>
        <w:tc>
          <w:tcPr>
            <w:tcW w:w="1559" w:type="dxa"/>
            <w:tcBorders>
              <w:left w:val="nil"/>
              <w:right w:val="nil"/>
            </w:tcBorders>
            <w:shd w:val="clear" w:color="auto" w:fill="auto"/>
          </w:tcPr>
          <w:p w14:paraId="1037699F"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rPr>
              <w:t>29.8</w:t>
            </w:r>
          </w:p>
        </w:tc>
        <w:tc>
          <w:tcPr>
            <w:tcW w:w="1843" w:type="dxa"/>
            <w:tcBorders>
              <w:left w:val="nil"/>
              <w:right w:val="nil"/>
            </w:tcBorders>
          </w:tcPr>
          <w:p w14:paraId="38DBC497"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rPr>
              <w:t>1.9</w:t>
            </w:r>
          </w:p>
        </w:tc>
      </w:tr>
      <w:tr w:rsidR="00323BB2" w:rsidRPr="0061063C" w14:paraId="4B802612" w14:textId="77777777" w:rsidTr="00453AFA">
        <w:tc>
          <w:tcPr>
            <w:tcW w:w="6555" w:type="dxa"/>
            <w:tcBorders>
              <w:left w:val="nil"/>
              <w:bottom w:val="single" w:sz="4" w:space="0" w:color="auto"/>
              <w:right w:val="nil"/>
            </w:tcBorders>
          </w:tcPr>
          <w:p w14:paraId="5A5F403C"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Prepayments</w:t>
            </w:r>
          </w:p>
        </w:tc>
        <w:tc>
          <w:tcPr>
            <w:tcW w:w="1559" w:type="dxa"/>
            <w:tcBorders>
              <w:left w:val="nil"/>
              <w:bottom w:val="single" w:sz="4" w:space="0" w:color="auto"/>
              <w:right w:val="nil"/>
            </w:tcBorders>
            <w:shd w:val="clear" w:color="auto" w:fill="auto"/>
          </w:tcPr>
          <w:p w14:paraId="133012B2"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rPr>
              <w:t>77.0</w:t>
            </w:r>
          </w:p>
        </w:tc>
        <w:tc>
          <w:tcPr>
            <w:tcW w:w="1843" w:type="dxa"/>
            <w:tcBorders>
              <w:left w:val="nil"/>
              <w:bottom w:val="single" w:sz="4" w:space="0" w:color="auto"/>
              <w:right w:val="nil"/>
            </w:tcBorders>
          </w:tcPr>
          <w:p w14:paraId="3649E26C"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rPr>
              <w:t>45.8</w:t>
            </w:r>
          </w:p>
        </w:tc>
      </w:tr>
      <w:tr w:rsidR="00323BB2" w:rsidRPr="0061063C" w14:paraId="0F0F3CF9" w14:textId="77777777" w:rsidTr="00453AFA">
        <w:trPr>
          <w:trHeight w:val="102"/>
        </w:trPr>
        <w:tc>
          <w:tcPr>
            <w:tcW w:w="6555" w:type="dxa"/>
            <w:tcBorders>
              <w:top w:val="single" w:sz="4" w:space="0" w:color="auto"/>
              <w:left w:val="nil"/>
              <w:bottom w:val="single" w:sz="4" w:space="0" w:color="auto"/>
              <w:right w:val="nil"/>
            </w:tcBorders>
          </w:tcPr>
          <w:p w14:paraId="0E415C68" w14:textId="77777777" w:rsidR="00323BB2" w:rsidRPr="0061063C" w:rsidRDefault="00323BB2" w:rsidP="00453AFA">
            <w:pPr>
              <w:ind w:left="-108"/>
              <w:rPr>
                <w:rFonts w:asciiTheme="minorHAnsi" w:hAnsiTheme="minorHAnsi"/>
                <w:sz w:val="20"/>
                <w:lang w:val="en-IE"/>
              </w:rPr>
            </w:pPr>
          </w:p>
        </w:tc>
        <w:tc>
          <w:tcPr>
            <w:tcW w:w="1559" w:type="dxa"/>
            <w:tcBorders>
              <w:top w:val="single" w:sz="4" w:space="0" w:color="auto"/>
              <w:left w:val="nil"/>
              <w:bottom w:val="single" w:sz="4" w:space="0" w:color="auto"/>
              <w:right w:val="nil"/>
            </w:tcBorders>
            <w:shd w:val="clear" w:color="auto" w:fill="auto"/>
          </w:tcPr>
          <w:p w14:paraId="7C82A96A"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rPr>
              <w:t>164.3</w:t>
            </w:r>
          </w:p>
        </w:tc>
        <w:tc>
          <w:tcPr>
            <w:tcW w:w="1843" w:type="dxa"/>
            <w:tcBorders>
              <w:top w:val="single" w:sz="4" w:space="0" w:color="auto"/>
              <w:left w:val="nil"/>
              <w:bottom w:val="single" w:sz="4" w:space="0" w:color="auto"/>
              <w:right w:val="nil"/>
            </w:tcBorders>
          </w:tcPr>
          <w:p w14:paraId="3BAA4B15" w14:textId="77777777" w:rsidR="00323BB2" w:rsidRPr="0061063C" w:rsidRDefault="00323BB2" w:rsidP="00453AFA">
            <w:pPr>
              <w:jc w:val="right"/>
              <w:rPr>
                <w:rFonts w:asciiTheme="minorHAnsi" w:hAnsiTheme="minorHAnsi"/>
                <w:bCs/>
                <w:sz w:val="20"/>
                <w:lang w:val="en-IE"/>
              </w:rPr>
            </w:pPr>
            <w:r w:rsidRPr="0061063C">
              <w:rPr>
                <w:rFonts w:asciiTheme="minorHAnsi" w:hAnsiTheme="minorHAnsi"/>
                <w:bCs/>
                <w:sz w:val="20"/>
              </w:rPr>
              <w:t>64.6</w:t>
            </w:r>
          </w:p>
        </w:tc>
      </w:tr>
      <w:tr w:rsidR="00323BB2" w:rsidRPr="0061063C" w14:paraId="5457C349" w14:textId="77777777" w:rsidTr="00453AFA">
        <w:trPr>
          <w:trHeight w:val="102"/>
        </w:trPr>
        <w:tc>
          <w:tcPr>
            <w:tcW w:w="6555" w:type="dxa"/>
            <w:tcBorders>
              <w:top w:val="single" w:sz="4" w:space="0" w:color="auto"/>
              <w:left w:val="nil"/>
              <w:right w:val="nil"/>
            </w:tcBorders>
          </w:tcPr>
          <w:p w14:paraId="56A2D5DA" w14:textId="77777777" w:rsidR="00323BB2" w:rsidRPr="0061063C" w:rsidRDefault="00323BB2" w:rsidP="00453AFA">
            <w:pPr>
              <w:ind w:left="-108"/>
              <w:rPr>
                <w:rFonts w:asciiTheme="minorHAnsi" w:hAnsiTheme="minorHAnsi"/>
                <w:sz w:val="20"/>
                <w:lang w:val="en-IE"/>
              </w:rPr>
            </w:pPr>
          </w:p>
        </w:tc>
        <w:tc>
          <w:tcPr>
            <w:tcW w:w="1559" w:type="dxa"/>
            <w:tcBorders>
              <w:top w:val="single" w:sz="4" w:space="0" w:color="auto"/>
              <w:left w:val="nil"/>
              <w:right w:val="nil"/>
            </w:tcBorders>
          </w:tcPr>
          <w:p w14:paraId="3FF2EB48" w14:textId="77777777" w:rsidR="00323BB2" w:rsidRPr="0061063C" w:rsidRDefault="00323BB2" w:rsidP="00453AFA">
            <w:pPr>
              <w:jc w:val="right"/>
              <w:rPr>
                <w:rFonts w:asciiTheme="minorHAnsi" w:hAnsiTheme="minorHAnsi"/>
                <w:b/>
                <w:bCs/>
                <w:sz w:val="20"/>
                <w:lang w:val="en-IE"/>
              </w:rPr>
            </w:pPr>
          </w:p>
        </w:tc>
        <w:tc>
          <w:tcPr>
            <w:tcW w:w="1843" w:type="dxa"/>
            <w:tcBorders>
              <w:top w:val="single" w:sz="4" w:space="0" w:color="auto"/>
              <w:left w:val="nil"/>
              <w:right w:val="nil"/>
            </w:tcBorders>
          </w:tcPr>
          <w:p w14:paraId="6538EFE3" w14:textId="77777777" w:rsidR="00323BB2" w:rsidRPr="0061063C" w:rsidRDefault="00323BB2" w:rsidP="00453AFA">
            <w:pPr>
              <w:jc w:val="right"/>
              <w:rPr>
                <w:rFonts w:asciiTheme="minorHAnsi" w:hAnsiTheme="minorHAnsi"/>
                <w:bCs/>
                <w:sz w:val="20"/>
                <w:lang w:val="en-IE"/>
              </w:rPr>
            </w:pPr>
          </w:p>
        </w:tc>
      </w:tr>
    </w:tbl>
    <w:p w14:paraId="45EBAFF8" w14:textId="77777777" w:rsidR="00323BB2" w:rsidRPr="0061063C" w:rsidRDefault="00323BB2" w:rsidP="00323BB2">
      <w:pPr>
        <w:rPr>
          <w:rFonts w:asciiTheme="minorHAnsi" w:hAnsiTheme="minorHAnsi"/>
          <w:b/>
          <w:bCs/>
          <w:sz w:val="12"/>
          <w:szCs w:val="12"/>
          <w:lang w:val="en-IE"/>
        </w:rPr>
      </w:pPr>
    </w:p>
    <w:p w14:paraId="7DCA9EDF" w14:textId="77777777" w:rsidR="00323BB2" w:rsidRPr="0061063C" w:rsidRDefault="00323BB2" w:rsidP="00323BB2">
      <w:pPr>
        <w:keepLines/>
        <w:rPr>
          <w:rFonts w:asciiTheme="minorHAnsi" w:hAnsiTheme="minorHAnsi"/>
          <w:bCs/>
          <w:sz w:val="20"/>
          <w:lang w:val="en-IE"/>
        </w:rPr>
      </w:pPr>
      <w:r w:rsidRPr="0061063C">
        <w:rPr>
          <w:rFonts w:asciiTheme="minorHAnsi" w:hAnsiTheme="minorHAnsi" w:cstheme="minorHAnsi"/>
          <w:sz w:val="20"/>
        </w:rPr>
        <w:t xml:space="preserve">Non-current other receivables comprises primarily of deposits for licences and property. Deferred financing costs relates to fees that the Group has incurred and capitalised on its undrawn Revolving Credit Facility and will be </w:t>
      </w:r>
      <w:r>
        <w:rPr>
          <w:rFonts w:asciiTheme="minorHAnsi" w:hAnsiTheme="minorHAnsi" w:cstheme="minorHAnsi"/>
          <w:sz w:val="20"/>
        </w:rPr>
        <w:t>recorded</w:t>
      </w:r>
      <w:r w:rsidRPr="0061063C">
        <w:rPr>
          <w:rFonts w:asciiTheme="minorHAnsi" w:hAnsiTheme="minorHAnsi" w:cstheme="minorHAnsi"/>
          <w:sz w:val="20"/>
        </w:rPr>
        <w:t xml:space="preserve"> as financial expense over the life of the facility using the straight-line method. </w:t>
      </w:r>
    </w:p>
    <w:p w14:paraId="613DD2C9" w14:textId="77777777" w:rsidR="00323BB2" w:rsidRPr="0061063C" w:rsidRDefault="00323BB2" w:rsidP="00323BB2">
      <w:pPr>
        <w:pStyle w:val="a"/>
        <w:rPr>
          <w:rFonts w:asciiTheme="minorHAnsi" w:hAnsiTheme="minorHAnsi"/>
          <w:bCs/>
          <w:sz w:val="20"/>
          <w:lang w:val="en-IE"/>
        </w:rPr>
      </w:pPr>
    </w:p>
    <w:p w14:paraId="1BCC59F0" w14:textId="77777777" w:rsidR="00323BB2" w:rsidRPr="0061063C" w:rsidRDefault="00323BB2" w:rsidP="00323BB2">
      <w:pPr>
        <w:pStyle w:val="a"/>
        <w:rPr>
          <w:rFonts w:asciiTheme="minorHAnsi" w:hAnsiTheme="minorHAnsi"/>
          <w:bCs/>
          <w:sz w:val="20"/>
          <w:lang w:val="en-IE"/>
        </w:rPr>
      </w:pPr>
      <w:r w:rsidRPr="0061063C">
        <w:rPr>
          <w:rFonts w:asciiTheme="minorHAnsi" w:hAnsiTheme="minorHAnsi"/>
          <w:bCs/>
          <w:sz w:val="20"/>
          <w:lang w:val="en-IE"/>
        </w:rPr>
        <w:t xml:space="preserve">Receivable from Insurance of £17.8m relates to the amount due from the Group’s insurance carriers in respect of the full settlement agreement relating to the Quebec class action lawsuit. An amount of £17.8m </w:t>
      </w:r>
      <w:r>
        <w:rPr>
          <w:rFonts w:asciiTheme="minorHAnsi" w:hAnsiTheme="minorHAnsi"/>
          <w:bCs/>
          <w:sz w:val="20"/>
          <w:lang w:val="en-IE"/>
        </w:rPr>
        <w:t>payable</w:t>
      </w:r>
      <w:r w:rsidRPr="0061063C">
        <w:rPr>
          <w:rFonts w:asciiTheme="minorHAnsi" w:hAnsiTheme="minorHAnsi"/>
          <w:bCs/>
          <w:sz w:val="20"/>
          <w:lang w:val="en-IE"/>
        </w:rPr>
        <w:t xml:space="preserve"> in respect of the lawsuit is included within trade and other payables.  In July 2020, both the proceeds from the insurance and the amount payable in respect of the lawsuit were settled in full.</w:t>
      </w:r>
    </w:p>
    <w:p w14:paraId="09A31BC4" w14:textId="77777777" w:rsidR="00323BB2" w:rsidRPr="0061063C" w:rsidRDefault="00323BB2" w:rsidP="00323BB2">
      <w:pPr>
        <w:pStyle w:val="a"/>
        <w:rPr>
          <w:rFonts w:asciiTheme="minorHAnsi" w:hAnsiTheme="minorHAnsi"/>
          <w:bCs/>
          <w:sz w:val="12"/>
          <w:szCs w:val="12"/>
          <w:lang w:val="en-IE"/>
        </w:rPr>
      </w:pPr>
    </w:p>
    <w:p w14:paraId="516CDDEF" w14:textId="77777777" w:rsidR="00323BB2" w:rsidRPr="0061063C" w:rsidRDefault="00323BB2" w:rsidP="00323BB2">
      <w:pPr>
        <w:pStyle w:val="a"/>
        <w:rPr>
          <w:rFonts w:asciiTheme="minorHAnsi" w:hAnsiTheme="minorHAnsi"/>
          <w:b/>
          <w:bCs/>
          <w:i/>
          <w:sz w:val="12"/>
          <w:szCs w:val="12"/>
          <w:lang w:val="en-IE"/>
        </w:rPr>
      </w:pPr>
    </w:p>
    <w:p w14:paraId="588AE859" w14:textId="77777777" w:rsidR="00323BB2" w:rsidRPr="0061063C" w:rsidRDefault="00323BB2" w:rsidP="00323BB2">
      <w:pPr>
        <w:ind w:left="142" w:hanging="142"/>
        <w:rPr>
          <w:rFonts w:asciiTheme="minorHAnsi" w:hAnsiTheme="minorHAnsi"/>
          <w:i/>
          <w:sz w:val="20"/>
          <w:lang w:val="en-IE"/>
        </w:rPr>
      </w:pPr>
      <w:r w:rsidRPr="0061063C">
        <w:rPr>
          <w:rFonts w:asciiTheme="minorHAnsi" w:hAnsiTheme="minorHAnsi"/>
          <w:i/>
          <w:sz w:val="20"/>
          <w:lang w:val="en-IE"/>
        </w:rPr>
        <w:t xml:space="preserve">Amounts paid in respect of legacy German and Greek tax assessments </w:t>
      </w:r>
    </w:p>
    <w:p w14:paraId="640085F5" w14:textId="77777777" w:rsidR="00323BB2" w:rsidRPr="0061063C" w:rsidRDefault="00323BB2" w:rsidP="00323BB2">
      <w:pPr>
        <w:pStyle w:val="a"/>
        <w:rPr>
          <w:rFonts w:asciiTheme="minorHAnsi" w:hAnsiTheme="minorHAnsi" w:cstheme="minorHAnsi"/>
          <w:sz w:val="20"/>
          <w:szCs w:val="20"/>
        </w:rPr>
      </w:pPr>
      <w:r w:rsidRPr="0061063C">
        <w:rPr>
          <w:rFonts w:asciiTheme="minorHAnsi" w:hAnsiTheme="minorHAnsi" w:cstheme="minorHAnsi"/>
          <w:sz w:val="20"/>
          <w:szCs w:val="20"/>
        </w:rPr>
        <w:t xml:space="preserve">On 13 February 2019, the Group provided an update on two separate disputed legacy tax assessments. The first relates to the Betfair Exchange in Germany, which operated there until November 2012, and the second relates to the paddypower.com business in Greece. </w:t>
      </w:r>
    </w:p>
    <w:p w14:paraId="031FE9DD" w14:textId="77777777" w:rsidR="00323BB2" w:rsidRPr="0061063C" w:rsidRDefault="00323BB2" w:rsidP="00323BB2">
      <w:pPr>
        <w:pStyle w:val="a"/>
        <w:rPr>
          <w:rFonts w:asciiTheme="minorHAnsi" w:hAnsiTheme="minorHAnsi" w:cstheme="minorHAnsi"/>
          <w:sz w:val="20"/>
          <w:szCs w:val="20"/>
        </w:rPr>
      </w:pPr>
    </w:p>
    <w:p w14:paraId="7A5B7F4D" w14:textId="77777777" w:rsidR="00323BB2" w:rsidRDefault="00323BB2" w:rsidP="00323BB2">
      <w:pPr>
        <w:pStyle w:val="a"/>
        <w:rPr>
          <w:rFonts w:asciiTheme="minorHAnsi" w:hAnsiTheme="minorHAnsi" w:cstheme="minorHAnsi"/>
          <w:sz w:val="20"/>
          <w:szCs w:val="20"/>
        </w:rPr>
      </w:pPr>
    </w:p>
    <w:p w14:paraId="232F99C6" w14:textId="77777777" w:rsidR="00323BB2" w:rsidRPr="0061063C" w:rsidRDefault="00323BB2" w:rsidP="00323BB2">
      <w:pPr>
        <w:pStyle w:val="a"/>
        <w:rPr>
          <w:rFonts w:asciiTheme="minorHAnsi" w:hAnsiTheme="minorHAnsi" w:cstheme="minorHAnsi"/>
          <w:sz w:val="20"/>
          <w:szCs w:val="20"/>
        </w:rPr>
      </w:pPr>
    </w:p>
    <w:p w14:paraId="742B0197" w14:textId="77777777" w:rsidR="00323BB2" w:rsidRPr="0061063C" w:rsidRDefault="00323BB2" w:rsidP="00323BB2">
      <w:pPr>
        <w:pStyle w:val="a"/>
        <w:rPr>
          <w:rFonts w:asciiTheme="minorHAnsi" w:hAnsiTheme="minorHAnsi" w:cstheme="minorHAnsi"/>
          <w:sz w:val="20"/>
          <w:szCs w:val="20"/>
        </w:rPr>
      </w:pPr>
    </w:p>
    <w:p w14:paraId="30E8F4B1" w14:textId="77777777" w:rsidR="00323BB2" w:rsidRPr="0061063C" w:rsidRDefault="00323BB2" w:rsidP="00323BB2">
      <w:pPr>
        <w:pStyle w:val="a"/>
        <w:rPr>
          <w:rFonts w:asciiTheme="minorHAnsi" w:hAnsiTheme="minorHAnsi" w:cstheme="minorHAnsi"/>
          <w:sz w:val="20"/>
          <w:szCs w:val="20"/>
        </w:rPr>
      </w:pPr>
    </w:p>
    <w:p w14:paraId="7400076F" w14:textId="77777777" w:rsidR="00323BB2" w:rsidRPr="0061063C" w:rsidRDefault="00323BB2" w:rsidP="00323BB2">
      <w:pPr>
        <w:pStyle w:val="a"/>
        <w:rPr>
          <w:rFonts w:asciiTheme="minorHAnsi" w:hAnsiTheme="minorHAnsi" w:cstheme="minorHAnsi"/>
          <w:sz w:val="20"/>
          <w:szCs w:val="20"/>
        </w:rPr>
      </w:pPr>
    </w:p>
    <w:p w14:paraId="402A250F" w14:textId="77777777" w:rsidR="00323BB2" w:rsidRDefault="00323BB2">
      <w:pPr>
        <w:rPr>
          <w:rFonts w:asciiTheme="minorHAnsi" w:hAnsiTheme="minorHAnsi"/>
          <w:b/>
          <w:bCs/>
          <w:sz w:val="20"/>
          <w:lang w:val="en-IE"/>
        </w:rPr>
      </w:pPr>
      <w:r>
        <w:rPr>
          <w:rFonts w:asciiTheme="minorHAnsi" w:hAnsiTheme="minorHAnsi"/>
          <w:b/>
          <w:bCs/>
          <w:sz w:val="20"/>
          <w:lang w:val="en-IE"/>
        </w:rPr>
        <w:br w:type="page"/>
      </w:r>
    </w:p>
    <w:p w14:paraId="2BDC947B" w14:textId="77777777" w:rsidR="00323BB2" w:rsidRPr="0061063C" w:rsidRDefault="00323BB2" w:rsidP="00323BB2">
      <w:pPr>
        <w:rPr>
          <w:rFonts w:asciiTheme="minorHAnsi" w:hAnsiTheme="minorHAnsi"/>
          <w:b/>
          <w:bCs/>
          <w:sz w:val="20"/>
          <w:lang w:val="en-IE"/>
        </w:rPr>
      </w:pPr>
      <w:r w:rsidRPr="0061063C">
        <w:rPr>
          <w:rFonts w:asciiTheme="minorHAnsi" w:hAnsiTheme="minorHAnsi"/>
          <w:b/>
          <w:bCs/>
          <w:sz w:val="20"/>
          <w:lang w:val="en-IE"/>
        </w:rPr>
        <w:lastRenderedPageBreak/>
        <w:t>11. Investments and trade and other receivables (continued)</w:t>
      </w:r>
    </w:p>
    <w:p w14:paraId="4838F8F7" w14:textId="77777777" w:rsidR="00323BB2" w:rsidRPr="0061063C" w:rsidRDefault="00323BB2" w:rsidP="00323BB2">
      <w:pPr>
        <w:pStyle w:val="a"/>
        <w:rPr>
          <w:rFonts w:asciiTheme="minorHAnsi" w:hAnsiTheme="minorHAnsi" w:cstheme="minorHAnsi"/>
          <w:sz w:val="20"/>
          <w:szCs w:val="20"/>
        </w:rPr>
      </w:pPr>
    </w:p>
    <w:p w14:paraId="4CB4041B" w14:textId="77777777" w:rsidR="00323BB2" w:rsidRPr="0061063C" w:rsidRDefault="00323BB2" w:rsidP="00323BB2">
      <w:pPr>
        <w:pStyle w:val="a"/>
        <w:rPr>
          <w:rFonts w:asciiTheme="minorHAnsi" w:hAnsiTheme="minorHAnsi" w:cstheme="minorHAnsi"/>
          <w:sz w:val="20"/>
          <w:szCs w:val="20"/>
        </w:rPr>
      </w:pPr>
      <w:r w:rsidRPr="0061063C">
        <w:rPr>
          <w:rFonts w:asciiTheme="minorHAnsi" w:hAnsiTheme="minorHAnsi" w:cstheme="minorHAnsi"/>
          <w:sz w:val="20"/>
          <w:szCs w:val="20"/>
        </w:rPr>
        <w:t xml:space="preserve">The Hessen Fiscal Court provided the Group with its decision relating to the Group’s appeal of a 2012 German tax assessment relating to the Betfair Exchange, which operated in Germany until November 2012. The Fiscal Court found against the Group and deemed that a tax liability of approximately €40m is payable (including accrued interest). This represents a multiple of the revenues generated by the Exchange during the assessment period. </w:t>
      </w:r>
    </w:p>
    <w:p w14:paraId="310E5A9F" w14:textId="77777777" w:rsidR="00323BB2" w:rsidRPr="0061063C" w:rsidRDefault="00323BB2" w:rsidP="00323BB2">
      <w:pPr>
        <w:pStyle w:val="a"/>
        <w:rPr>
          <w:rFonts w:asciiTheme="minorHAnsi" w:hAnsiTheme="minorHAnsi" w:cstheme="minorHAnsi"/>
          <w:sz w:val="20"/>
          <w:szCs w:val="20"/>
        </w:rPr>
      </w:pPr>
      <w:r w:rsidRPr="0061063C">
        <w:rPr>
          <w:rFonts w:asciiTheme="minorHAnsi" w:hAnsiTheme="minorHAnsi" w:cstheme="minorHAnsi"/>
          <w:sz w:val="20"/>
          <w:szCs w:val="20"/>
        </w:rPr>
        <w:t xml:space="preserve">Separately, the Group was issued with a Greek tax assessment for financial years 2012, 2013 and 2014, relating to </w:t>
      </w:r>
      <w:proofErr w:type="spellStart"/>
      <w:r w:rsidRPr="0061063C">
        <w:rPr>
          <w:rFonts w:asciiTheme="minorHAnsi" w:hAnsiTheme="minorHAnsi" w:cstheme="minorHAnsi"/>
          <w:sz w:val="20"/>
          <w:szCs w:val="20"/>
        </w:rPr>
        <w:t>paddypower.com’s</w:t>
      </w:r>
      <w:proofErr w:type="spellEnd"/>
      <w:r w:rsidRPr="0061063C">
        <w:rPr>
          <w:rFonts w:asciiTheme="minorHAnsi" w:hAnsiTheme="minorHAnsi" w:cstheme="minorHAnsi"/>
          <w:sz w:val="20"/>
          <w:szCs w:val="20"/>
        </w:rPr>
        <w:t xml:space="preserve"> Greek interim licence. This assessment concluded that the Group is liable to pay €15m in taxes </w:t>
      </w:r>
    </w:p>
    <w:p w14:paraId="0EB7654C" w14:textId="77777777" w:rsidR="00323BB2" w:rsidRPr="0061063C" w:rsidRDefault="00323BB2" w:rsidP="00323BB2">
      <w:pPr>
        <w:pStyle w:val="a"/>
        <w:rPr>
          <w:rFonts w:asciiTheme="minorHAnsi" w:hAnsiTheme="minorHAnsi" w:cstheme="minorHAnsi"/>
          <w:sz w:val="20"/>
          <w:szCs w:val="20"/>
        </w:rPr>
      </w:pPr>
      <w:r w:rsidRPr="0061063C">
        <w:rPr>
          <w:rFonts w:asciiTheme="minorHAnsi" w:hAnsiTheme="minorHAnsi" w:cstheme="minorHAnsi"/>
          <w:sz w:val="20"/>
          <w:szCs w:val="20"/>
        </w:rPr>
        <w:t xml:space="preserve">including penalties and interest. This is substantially higher (by multiples) than the total cumulative revenues ever generated by paddypower.com in Greece. There is potential that the periods after 2014 could also be subject to further challenge by the Greek tax authorities.  </w:t>
      </w:r>
    </w:p>
    <w:p w14:paraId="2CB5DECA" w14:textId="77777777" w:rsidR="00323BB2" w:rsidRPr="0061063C" w:rsidRDefault="00323BB2" w:rsidP="00323BB2">
      <w:pPr>
        <w:pStyle w:val="a"/>
        <w:rPr>
          <w:rFonts w:asciiTheme="minorHAnsi" w:hAnsiTheme="minorHAnsi" w:cstheme="minorHAnsi"/>
          <w:sz w:val="20"/>
          <w:szCs w:val="20"/>
        </w:rPr>
      </w:pPr>
    </w:p>
    <w:p w14:paraId="5830BE7A" w14:textId="77777777" w:rsidR="00323BB2" w:rsidRPr="0061063C" w:rsidRDefault="00323BB2" w:rsidP="00323BB2">
      <w:pPr>
        <w:pStyle w:val="a"/>
        <w:rPr>
          <w:rFonts w:asciiTheme="minorHAnsi" w:hAnsiTheme="minorHAnsi" w:cstheme="minorHAnsi"/>
          <w:sz w:val="20"/>
          <w:szCs w:val="20"/>
        </w:rPr>
      </w:pPr>
      <w:r w:rsidRPr="0061063C">
        <w:rPr>
          <w:rFonts w:asciiTheme="minorHAnsi" w:hAnsiTheme="minorHAnsi" w:cstheme="minorHAnsi"/>
          <w:sz w:val="20"/>
          <w:szCs w:val="20"/>
        </w:rPr>
        <w:t>The Group strongly disputes the basis of these assessments, and in line with the legal and tax advice we have received, is confident in our grounds to successfully appeal them. The appeals process is ongoing in both cases. Accordingly, we do not consider that these amounts represent liabilities for the Group and no provision has been made for amounts assessed or potential further assessments. This involves a series of judgements about future events and ultimately the court judgements and therefore the directors may need to re-assess the accounting treatment as matters develop further. Pending the outcome of these appeals, we paid the total Greek tax assessment (including the penalties and interest) and the €30.6m German tax assessment during 2019, with the late payment interest to be paid when assessed.</w:t>
      </w:r>
    </w:p>
    <w:p w14:paraId="61083904" w14:textId="77777777" w:rsidR="00323BB2" w:rsidRPr="0061063C" w:rsidRDefault="00323BB2" w:rsidP="00323BB2">
      <w:pPr>
        <w:rPr>
          <w:rFonts w:asciiTheme="minorHAnsi" w:hAnsiTheme="minorHAnsi"/>
          <w:b/>
          <w:bCs/>
          <w:sz w:val="20"/>
          <w:lang w:val="en-IE"/>
        </w:rPr>
      </w:pPr>
    </w:p>
    <w:p w14:paraId="13804179" w14:textId="77777777" w:rsidR="00323BB2" w:rsidRPr="0061063C" w:rsidRDefault="00323BB2" w:rsidP="00323BB2">
      <w:pPr>
        <w:rPr>
          <w:rFonts w:ascii="Times New Roman" w:hAnsi="Times New Roman"/>
          <w:bCs/>
          <w:sz w:val="20"/>
          <w:lang w:val="en-IE"/>
        </w:rPr>
      </w:pPr>
      <w:r w:rsidRPr="0061063C">
        <w:rPr>
          <w:rFonts w:asciiTheme="minorHAnsi" w:hAnsiTheme="minorHAnsi"/>
          <w:b/>
          <w:bCs/>
          <w:sz w:val="20"/>
          <w:lang w:val="en-IE"/>
        </w:rPr>
        <w:t xml:space="preserve">12. Current investments, Financial assets – restricted cash and cash and cash equivalents </w:t>
      </w:r>
    </w:p>
    <w:p w14:paraId="3A5C6B77" w14:textId="77777777" w:rsidR="00323BB2" w:rsidRPr="0061063C" w:rsidRDefault="00323BB2" w:rsidP="00323BB2">
      <w:pPr>
        <w:jc w:val="both"/>
        <w:rPr>
          <w:rFonts w:asciiTheme="minorHAnsi" w:hAnsiTheme="minorHAnsi"/>
          <w:b/>
          <w:bCs/>
          <w:sz w:val="20"/>
          <w:lang w:val="en-IE"/>
        </w:rPr>
      </w:pPr>
    </w:p>
    <w:tbl>
      <w:tblPr>
        <w:tblW w:w="9531" w:type="dxa"/>
        <w:tblInd w:w="108" w:type="dxa"/>
        <w:tblLayout w:type="fixed"/>
        <w:tblLook w:val="0000" w:firstRow="0" w:lastRow="0" w:firstColumn="0" w:lastColumn="0" w:noHBand="0" w:noVBand="0"/>
      </w:tblPr>
      <w:tblGrid>
        <w:gridCol w:w="5562"/>
        <w:gridCol w:w="1985"/>
        <w:gridCol w:w="1984"/>
      </w:tblGrid>
      <w:tr w:rsidR="00323BB2" w:rsidRPr="0061063C" w14:paraId="2CF596CC" w14:textId="77777777" w:rsidTr="00453AFA">
        <w:trPr>
          <w:trHeight w:val="466"/>
        </w:trPr>
        <w:tc>
          <w:tcPr>
            <w:tcW w:w="5562" w:type="dxa"/>
            <w:tcBorders>
              <w:top w:val="single" w:sz="4" w:space="0" w:color="auto"/>
              <w:left w:val="nil"/>
              <w:bottom w:val="single" w:sz="4" w:space="0" w:color="auto"/>
              <w:right w:val="nil"/>
            </w:tcBorders>
          </w:tcPr>
          <w:p w14:paraId="06938A07" w14:textId="77777777" w:rsidR="00323BB2" w:rsidRPr="0061063C" w:rsidRDefault="00323BB2" w:rsidP="00453AFA">
            <w:pPr>
              <w:ind w:left="-108"/>
              <w:jc w:val="both"/>
              <w:rPr>
                <w:rFonts w:asciiTheme="minorHAnsi" w:hAnsiTheme="minorHAnsi"/>
                <w:sz w:val="20"/>
                <w:lang w:val="en-IE"/>
              </w:rPr>
            </w:pPr>
            <w:bookmarkStart w:id="18" w:name="_Hlk48145739"/>
          </w:p>
        </w:tc>
        <w:tc>
          <w:tcPr>
            <w:tcW w:w="1985" w:type="dxa"/>
            <w:tcBorders>
              <w:top w:val="single" w:sz="4" w:space="0" w:color="auto"/>
              <w:left w:val="nil"/>
              <w:bottom w:val="single" w:sz="4" w:space="0" w:color="auto"/>
              <w:right w:val="nil"/>
            </w:tcBorders>
          </w:tcPr>
          <w:p w14:paraId="6522E131" w14:textId="77777777" w:rsidR="00323BB2" w:rsidRPr="0061063C" w:rsidRDefault="00323BB2" w:rsidP="00453AFA">
            <w:pPr>
              <w:jc w:val="right"/>
              <w:rPr>
                <w:rFonts w:asciiTheme="minorHAnsi" w:hAnsiTheme="minorHAnsi"/>
                <w:b/>
                <w:bCs/>
                <w:sz w:val="20"/>
                <w:lang w:val="en-IE"/>
              </w:rPr>
            </w:pPr>
            <w:r w:rsidRPr="0061063C">
              <w:rPr>
                <w:rFonts w:asciiTheme="minorHAnsi" w:hAnsiTheme="minorHAnsi"/>
                <w:b/>
                <w:bCs/>
                <w:sz w:val="20"/>
                <w:lang w:val="en-IE"/>
              </w:rPr>
              <w:t>30 June 2020</w:t>
            </w:r>
          </w:p>
          <w:p w14:paraId="06260CEA" w14:textId="77777777" w:rsidR="00323BB2" w:rsidRPr="0061063C" w:rsidRDefault="00323BB2" w:rsidP="00453AFA">
            <w:pPr>
              <w:ind w:left="-18" w:firstLine="18"/>
              <w:jc w:val="right"/>
              <w:rPr>
                <w:rFonts w:asciiTheme="minorHAnsi" w:hAnsiTheme="minorHAnsi"/>
                <w:b/>
                <w:bCs/>
                <w:sz w:val="20"/>
                <w:lang w:val="en-IE"/>
              </w:rPr>
            </w:pPr>
            <w:r w:rsidRPr="0061063C">
              <w:rPr>
                <w:rFonts w:asciiTheme="minorHAnsi" w:hAnsiTheme="minorHAnsi"/>
                <w:b/>
                <w:bCs/>
                <w:sz w:val="20"/>
                <w:lang w:val="en-IE"/>
              </w:rPr>
              <w:t>£m</w:t>
            </w:r>
          </w:p>
        </w:tc>
        <w:tc>
          <w:tcPr>
            <w:tcW w:w="1984" w:type="dxa"/>
            <w:tcBorders>
              <w:top w:val="single" w:sz="4" w:space="0" w:color="auto"/>
              <w:left w:val="nil"/>
              <w:bottom w:val="single" w:sz="4" w:space="0" w:color="auto"/>
              <w:right w:val="nil"/>
            </w:tcBorders>
          </w:tcPr>
          <w:p w14:paraId="7CCA2700" w14:textId="77777777" w:rsidR="00323BB2" w:rsidRPr="0061063C" w:rsidRDefault="00323BB2" w:rsidP="00453AFA">
            <w:pPr>
              <w:ind w:left="-18" w:firstLine="18"/>
              <w:jc w:val="right"/>
              <w:rPr>
                <w:rFonts w:asciiTheme="minorHAnsi" w:hAnsiTheme="minorHAnsi"/>
                <w:bCs/>
                <w:sz w:val="20"/>
                <w:lang w:val="en-IE"/>
              </w:rPr>
            </w:pPr>
            <w:r w:rsidRPr="0061063C">
              <w:rPr>
                <w:rFonts w:asciiTheme="minorHAnsi" w:hAnsiTheme="minorHAnsi"/>
                <w:bCs/>
                <w:sz w:val="20"/>
                <w:lang w:val="en-IE"/>
              </w:rPr>
              <w:t>31 December 2019</w:t>
            </w:r>
          </w:p>
          <w:p w14:paraId="72471B77" w14:textId="77777777" w:rsidR="00323BB2" w:rsidRPr="0061063C" w:rsidRDefault="00323BB2" w:rsidP="00453AFA">
            <w:pPr>
              <w:ind w:left="-18" w:firstLine="18"/>
              <w:jc w:val="right"/>
              <w:rPr>
                <w:rFonts w:asciiTheme="minorHAnsi" w:hAnsiTheme="minorHAnsi"/>
                <w:bCs/>
                <w:sz w:val="20"/>
                <w:lang w:val="en-IE"/>
              </w:rPr>
            </w:pPr>
            <w:r w:rsidRPr="0061063C">
              <w:rPr>
                <w:rFonts w:asciiTheme="minorHAnsi" w:hAnsiTheme="minorHAnsi"/>
                <w:bCs/>
                <w:sz w:val="20"/>
                <w:lang w:val="en-IE"/>
              </w:rPr>
              <w:t>£m</w:t>
            </w:r>
          </w:p>
        </w:tc>
      </w:tr>
      <w:tr w:rsidR="00323BB2" w:rsidRPr="0061063C" w14:paraId="245B6971" w14:textId="77777777" w:rsidTr="00453AFA">
        <w:trPr>
          <w:trHeight w:val="170"/>
        </w:trPr>
        <w:tc>
          <w:tcPr>
            <w:tcW w:w="5562" w:type="dxa"/>
            <w:tcBorders>
              <w:top w:val="single" w:sz="4" w:space="0" w:color="auto"/>
              <w:left w:val="nil"/>
              <w:right w:val="nil"/>
            </w:tcBorders>
          </w:tcPr>
          <w:p w14:paraId="64A6DF9B"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Non-current financial assets – restricted cash</w:t>
            </w:r>
          </w:p>
        </w:tc>
        <w:tc>
          <w:tcPr>
            <w:tcW w:w="1985" w:type="dxa"/>
            <w:tcBorders>
              <w:top w:val="single" w:sz="4" w:space="0" w:color="auto"/>
              <w:left w:val="nil"/>
              <w:right w:val="nil"/>
            </w:tcBorders>
          </w:tcPr>
          <w:p w14:paraId="70DD32C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9.2</w:t>
            </w:r>
          </w:p>
        </w:tc>
        <w:tc>
          <w:tcPr>
            <w:tcW w:w="1984" w:type="dxa"/>
            <w:tcBorders>
              <w:top w:val="single" w:sz="4" w:space="0" w:color="auto"/>
              <w:left w:val="nil"/>
              <w:right w:val="nil"/>
            </w:tcBorders>
          </w:tcPr>
          <w:p w14:paraId="70F28EC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15CD4B87" w14:textId="77777777" w:rsidTr="00453AFA">
        <w:trPr>
          <w:trHeight w:val="170"/>
        </w:trPr>
        <w:tc>
          <w:tcPr>
            <w:tcW w:w="5562" w:type="dxa"/>
            <w:tcBorders>
              <w:left w:val="nil"/>
              <w:right w:val="nil"/>
            </w:tcBorders>
          </w:tcPr>
          <w:p w14:paraId="61E8DA1B"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Current Investments – customer deposits</w:t>
            </w:r>
          </w:p>
        </w:tc>
        <w:tc>
          <w:tcPr>
            <w:tcW w:w="1985" w:type="dxa"/>
            <w:tcBorders>
              <w:left w:val="nil"/>
              <w:right w:val="nil"/>
            </w:tcBorders>
          </w:tcPr>
          <w:p w14:paraId="3D0437A4"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87.2</w:t>
            </w:r>
          </w:p>
        </w:tc>
        <w:tc>
          <w:tcPr>
            <w:tcW w:w="1984" w:type="dxa"/>
            <w:tcBorders>
              <w:left w:val="nil"/>
              <w:right w:val="nil"/>
            </w:tcBorders>
          </w:tcPr>
          <w:p w14:paraId="65D775C1"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w:t>
            </w:r>
          </w:p>
        </w:tc>
      </w:tr>
      <w:tr w:rsidR="00323BB2" w:rsidRPr="0061063C" w14:paraId="5150793A" w14:textId="77777777" w:rsidTr="00453AFA">
        <w:trPr>
          <w:trHeight w:val="170"/>
        </w:trPr>
        <w:tc>
          <w:tcPr>
            <w:tcW w:w="5562" w:type="dxa"/>
            <w:tcBorders>
              <w:left w:val="nil"/>
              <w:right w:val="nil"/>
            </w:tcBorders>
          </w:tcPr>
          <w:p w14:paraId="7FD7286C"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Current financial assets – restricted cash</w:t>
            </w:r>
          </w:p>
        </w:tc>
        <w:tc>
          <w:tcPr>
            <w:tcW w:w="1985" w:type="dxa"/>
            <w:tcBorders>
              <w:left w:val="nil"/>
              <w:right w:val="nil"/>
            </w:tcBorders>
          </w:tcPr>
          <w:p w14:paraId="7C36A1C7"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477.0</w:t>
            </w:r>
          </w:p>
        </w:tc>
        <w:tc>
          <w:tcPr>
            <w:tcW w:w="1984" w:type="dxa"/>
            <w:tcBorders>
              <w:left w:val="nil"/>
              <w:right w:val="nil"/>
            </w:tcBorders>
          </w:tcPr>
          <w:p w14:paraId="56E95AE2"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189.1</w:t>
            </w:r>
          </w:p>
        </w:tc>
      </w:tr>
      <w:tr w:rsidR="00323BB2" w:rsidRPr="0061063C" w14:paraId="746662B9" w14:textId="77777777" w:rsidTr="00453AFA">
        <w:trPr>
          <w:trHeight w:val="170"/>
        </w:trPr>
        <w:tc>
          <w:tcPr>
            <w:tcW w:w="5562" w:type="dxa"/>
            <w:tcBorders>
              <w:left w:val="nil"/>
              <w:bottom w:val="single" w:sz="4" w:space="0" w:color="auto"/>
              <w:right w:val="nil"/>
            </w:tcBorders>
          </w:tcPr>
          <w:p w14:paraId="174779D8" w14:textId="77777777" w:rsidR="00323BB2" w:rsidRPr="0061063C" w:rsidRDefault="00323BB2" w:rsidP="00453AFA">
            <w:pPr>
              <w:ind w:left="-108"/>
              <w:rPr>
                <w:rFonts w:asciiTheme="minorHAnsi" w:hAnsiTheme="minorHAnsi"/>
                <w:sz w:val="20"/>
                <w:lang w:val="en-IE"/>
              </w:rPr>
            </w:pPr>
            <w:r w:rsidRPr="0061063C">
              <w:rPr>
                <w:rFonts w:asciiTheme="minorHAnsi" w:hAnsiTheme="minorHAnsi"/>
                <w:sz w:val="20"/>
                <w:lang w:val="en-IE"/>
              </w:rPr>
              <w:t xml:space="preserve">Cash and cash equivalents </w:t>
            </w:r>
          </w:p>
        </w:tc>
        <w:tc>
          <w:tcPr>
            <w:tcW w:w="1985" w:type="dxa"/>
            <w:tcBorders>
              <w:left w:val="nil"/>
              <w:bottom w:val="single" w:sz="4" w:space="0" w:color="auto"/>
              <w:right w:val="nil"/>
            </w:tcBorders>
          </w:tcPr>
          <w:p w14:paraId="2C1A09CB" w14:textId="77777777" w:rsidR="00323BB2" w:rsidRPr="0061063C" w:rsidRDefault="00323BB2" w:rsidP="00453AFA">
            <w:pPr>
              <w:jc w:val="right"/>
              <w:rPr>
                <w:rFonts w:asciiTheme="minorHAnsi" w:hAnsiTheme="minorHAnsi"/>
                <w:b/>
                <w:bCs/>
                <w:sz w:val="20"/>
              </w:rPr>
            </w:pPr>
            <w:r w:rsidRPr="0061063C">
              <w:rPr>
                <w:rFonts w:asciiTheme="minorHAnsi" w:hAnsiTheme="minorHAnsi"/>
                <w:b/>
                <w:bCs/>
                <w:sz w:val="20"/>
              </w:rPr>
              <w:t>786.5</w:t>
            </w:r>
          </w:p>
        </w:tc>
        <w:tc>
          <w:tcPr>
            <w:tcW w:w="1984" w:type="dxa"/>
            <w:tcBorders>
              <w:left w:val="nil"/>
              <w:bottom w:val="single" w:sz="4" w:space="0" w:color="auto"/>
              <w:right w:val="nil"/>
            </w:tcBorders>
          </w:tcPr>
          <w:p w14:paraId="7DF67EAB" w14:textId="77777777" w:rsidR="00323BB2" w:rsidRPr="0061063C" w:rsidRDefault="00323BB2" w:rsidP="00453AFA">
            <w:pPr>
              <w:jc w:val="right"/>
              <w:rPr>
                <w:rFonts w:asciiTheme="minorHAnsi" w:hAnsiTheme="minorHAnsi"/>
                <w:bCs/>
                <w:sz w:val="20"/>
              </w:rPr>
            </w:pPr>
            <w:r w:rsidRPr="0061063C">
              <w:rPr>
                <w:rFonts w:asciiTheme="minorHAnsi" w:hAnsiTheme="minorHAnsi"/>
                <w:bCs/>
                <w:sz w:val="20"/>
              </w:rPr>
              <w:t>108.1</w:t>
            </w:r>
          </w:p>
        </w:tc>
      </w:tr>
      <w:tr w:rsidR="00323BB2" w:rsidRPr="0061063C" w14:paraId="4A6395D7" w14:textId="77777777" w:rsidTr="00453AFA">
        <w:trPr>
          <w:trHeight w:val="170"/>
        </w:trPr>
        <w:tc>
          <w:tcPr>
            <w:tcW w:w="5562" w:type="dxa"/>
            <w:tcBorders>
              <w:top w:val="single" w:sz="4" w:space="0" w:color="auto"/>
              <w:left w:val="nil"/>
              <w:bottom w:val="single" w:sz="4" w:space="0" w:color="auto"/>
              <w:right w:val="nil"/>
            </w:tcBorders>
          </w:tcPr>
          <w:p w14:paraId="16E6561C" w14:textId="77777777" w:rsidR="00323BB2" w:rsidRPr="0061063C" w:rsidRDefault="00323BB2" w:rsidP="00453AFA">
            <w:pPr>
              <w:ind w:left="-108"/>
              <w:rPr>
                <w:rFonts w:asciiTheme="minorHAnsi" w:hAnsiTheme="minorHAnsi"/>
                <w:sz w:val="20"/>
                <w:lang w:val="en-IE"/>
              </w:rPr>
            </w:pPr>
          </w:p>
        </w:tc>
        <w:tc>
          <w:tcPr>
            <w:tcW w:w="1985" w:type="dxa"/>
            <w:tcBorders>
              <w:top w:val="single" w:sz="4" w:space="0" w:color="auto"/>
              <w:left w:val="nil"/>
              <w:bottom w:val="single" w:sz="4" w:space="0" w:color="auto"/>
              <w:right w:val="nil"/>
            </w:tcBorders>
          </w:tcPr>
          <w:p w14:paraId="1D82303D" w14:textId="77777777" w:rsidR="00323BB2" w:rsidRPr="0061063C" w:rsidRDefault="00323BB2" w:rsidP="00453AFA">
            <w:pPr>
              <w:ind w:left="360"/>
              <w:jc w:val="right"/>
              <w:rPr>
                <w:rFonts w:asciiTheme="minorHAnsi" w:hAnsiTheme="minorHAnsi"/>
                <w:b/>
                <w:bCs/>
                <w:sz w:val="20"/>
                <w:lang w:val="en-IE"/>
              </w:rPr>
            </w:pPr>
            <w:r w:rsidRPr="0061063C">
              <w:rPr>
                <w:rFonts w:asciiTheme="minorHAnsi" w:hAnsiTheme="minorHAnsi"/>
                <w:b/>
                <w:bCs/>
                <w:sz w:val="20"/>
                <w:lang w:val="en-IE"/>
              </w:rPr>
              <w:t>1,359.9</w:t>
            </w:r>
          </w:p>
        </w:tc>
        <w:tc>
          <w:tcPr>
            <w:tcW w:w="1984" w:type="dxa"/>
            <w:tcBorders>
              <w:top w:val="single" w:sz="4" w:space="0" w:color="auto"/>
              <w:left w:val="nil"/>
              <w:bottom w:val="single" w:sz="4" w:space="0" w:color="auto"/>
              <w:right w:val="nil"/>
            </w:tcBorders>
          </w:tcPr>
          <w:p w14:paraId="26815340" w14:textId="77777777" w:rsidR="00323BB2" w:rsidRPr="0061063C" w:rsidRDefault="00323BB2" w:rsidP="00453AFA">
            <w:pPr>
              <w:ind w:left="360"/>
              <w:jc w:val="right"/>
              <w:rPr>
                <w:rFonts w:asciiTheme="minorHAnsi" w:hAnsiTheme="minorHAnsi"/>
                <w:bCs/>
                <w:sz w:val="20"/>
                <w:lang w:val="en-IE"/>
              </w:rPr>
            </w:pPr>
            <w:r w:rsidRPr="0061063C">
              <w:rPr>
                <w:rFonts w:asciiTheme="minorHAnsi" w:hAnsiTheme="minorHAnsi"/>
                <w:bCs/>
                <w:sz w:val="20"/>
                <w:lang w:val="en-IE"/>
              </w:rPr>
              <w:t>297.2</w:t>
            </w:r>
          </w:p>
        </w:tc>
      </w:tr>
      <w:bookmarkEnd w:id="18"/>
    </w:tbl>
    <w:p w14:paraId="69783FE8" w14:textId="77777777" w:rsidR="00323BB2" w:rsidRPr="0061063C" w:rsidRDefault="00323BB2" w:rsidP="00323BB2">
      <w:pPr>
        <w:rPr>
          <w:rFonts w:asciiTheme="minorHAnsi" w:hAnsiTheme="minorHAnsi"/>
          <w:b/>
          <w:bCs/>
          <w:sz w:val="20"/>
          <w:lang w:val="en-IE"/>
        </w:rPr>
      </w:pPr>
    </w:p>
    <w:p w14:paraId="45388936" w14:textId="77777777" w:rsidR="00323BB2" w:rsidRPr="007761C2" w:rsidRDefault="00323BB2" w:rsidP="00323BB2">
      <w:pPr>
        <w:rPr>
          <w:rFonts w:asciiTheme="minorHAnsi" w:hAnsiTheme="minorHAnsi"/>
          <w:sz w:val="20"/>
          <w:lang w:val="en-IE"/>
        </w:rPr>
      </w:pPr>
      <w:r w:rsidRPr="007761C2">
        <w:rPr>
          <w:rFonts w:asciiTheme="minorHAnsi" w:hAnsiTheme="minorHAnsi"/>
          <w:sz w:val="20"/>
        </w:rPr>
        <w:t>Included in financial assets – restricted cash at 30 June 2020 are bank deposits which w</w:t>
      </w:r>
      <w:r w:rsidRPr="007761C2">
        <w:rPr>
          <w:rFonts w:asciiTheme="minorHAnsi" w:hAnsiTheme="minorHAnsi"/>
          <w:sz w:val="20"/>
          <w:lang w:val="en-IE"/>
        </w:rPr>
        <w:t>ere either (1) restricted at that date, as they represented customer funds balances securing player funds held by the Group, (2) required to be held to guarantee third party letter of credit facilities or as collateral for foreign exchange trades or (3) cash held as collateral for the Kentucky proceedings (see Note 19). Customer funds that are not held in trust are matched by liabilities of equal value.</w:t>
      </w:r>
    </w:p>
    <w:p w14:paraId="24F4C5F8" w14:textId="77777777" w:rsidR="00323BB2" w:rsidRPr="007761C2" w:rsidRDefault="00323BB2" w:rsidP="00323BB2">
      <w:pPr>
        <w:rPr>
          <w:rFonts w:asciiTheme="minorHAnsi" w:hAnsiTheme="minorHAnsi"/>
          <w:sz w:val="20"/>
          <w:lang w:val="en-IE"/>
        </w:rPr>
      </w:pPr>
    </w:p>
    <w:p w14:paraId="5D5B7D67"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Investments relate to customer deposits held in accounts segregated from investments held for operational purposes. Investments held in relation to customer deposits are liquid investments in short duration corporate and government bonds and are classified as current assets consistent with the current classification of customer deposits to which the investments relate. Management’s investment strategy for the portfolio results in the majority of the bonds being held to maturity. Bonds are classified as FVOCI.</w:t>
      </w:r>
    </w:p>
    <w:p w14:paraId="19E6CF1B" w14:textId="77777777" w:rsidR="00323BB2" w:rsidRPr="007761C2" w:rsidRDefault="00323BB2" w:rsidP="00323BB2">
      <w:pPr>
        <w:rPr>
          <w:rFonts w:asciiTheme="minorHAnsi" w:hAnsiTheme="minorHAnsi"/>
          <w:sz w:val="20"/>
          <w:lang w:val="en-IE"/>
        </w:rPr>
      </w:pPr>
    </w:p>
    <w:p w14:paraId="46A40DDC" w14:textId="77777777" w:rsidR="00323BB2" w:rsidRPr="007761C2" w:rsidRDefault="00323BB2" w:rsidP="00323BB2">
      <w:pPr>
        <w:rPr>
          <w:rFonts w:asciiTheme="minorHAnsi" w:hAnsiTheme="minorHAnsi"/>
          <w:sz w:val="20"/>
        </w:rPr>
      </w:pPr>
      <w:r w:rsidRPr="007761C2">
        <w:rPr>
          <w:rFonts w:asciiTheme="minorHAnsi" w:hAnsiTheme="minorHAnsi"/>
          <w:sz w:val="20"/>
          <w:lang w:val="en-IE"/>
        </w:rPr>
        <w:t xml:space="preserve">As at 30 June </w:t>
      </w:r>
      <w:r w:rsidRPr="00761DC4">
        <w:rPr>
          <w:rFonts w:asciiTheme="minorHAnsi" w:hAnsiTheme="minorHAnsi"/>
          <w:sz w:val="20"/>
          <w:lang w:val="en-IE"/>
        </w:rPr>
        <w:t>2020, £287.8m (31 December 2019: £318.2m) was held in trust in The Sporting Exchange (Clients) Limited on behalf</w:t>
      </w:r>
      <w:r w:rsidRPr="007761C2">
        <w:rPr>
          <w:rFonts w:asciiTheme="minorHAnsi" w:hAnsiTheme="minorHAnsi"/>
          <w:sz w:val="20"/>
          <w:lang w:val="en-IE"/>
        </w:rPr>
        <w:t xml:space="preserve"> of the Group’s customers and is equal to the amounts deposited into customer accounts.</w:t>
      </w:r>
      <w:r w:rsidRPr="007761C2">
        <w:rPr>
          <w:rFonts w:asciiTheme="minorHAnsi" w:hAnsiTheme="minorHAnsi"/>
          <w:b/>
          <w:bCs/>
          <w:sz w:val="20"/>
        </w:rPr>
        <w:t xml:space="preserve"> </w:t>
      </w:r>
      <w:r w:rsidRPr="007761C2">
        <w:rPr>
          <w:rFonts w:asciiTheme="minorHAnsi" w:hAnsiTheme="minorHAnsi"/>
          <w:sz w:val="20"/>
        </w:rPr>
        <w:t>Neither cash and cash equivalents or restricted cash include these balances on the basis that they are held on trust for customers and do not belong to and are not at the disposal of the Group.</w:t>
      </w:r>
    </w:p>
    <w:p w14:paraId="1EB47C9A" w14:textId="77777777" w:rsidR="00323BB2" w:rsidRPr="007761C2" w:rsidRDefault="00323BB2" w:rsidP="00323BB2">
      <w:pPr>
        <w:autoSpaceDE w:val="0"/>
        <w:autoSpaceDN w:val="0"/>
        <w:adjustRightInd w:val="0"/>
        <w:rPr>
          <w:rFonts w:asciiTheme="minorHAnsi" w:hAnsiTheme="minorHAnsi"/>
          <w:bCs/>
          <w:sz w:val="20"/>
          <w:lang w:val="en-IE"/>
        </w:rPr>
      </w:pPr>
      <w:r w:rsidRPr="007761C2">
        <w:rPr>
          <w:rFonts w:asciiTheme="minorHAnsi" w:hAnsiTheme="minorHAnsi"/>
          <w:bCs/>
          <w:sz w:val="20"/>
          <w:lang w:val="en-IE"/>
        </w:rPr>
        <w:br w:type="page"/>
      </w:r>
    </w:p>
    <w:p w14:paraId="0D1CE4F5" w14:textId="77777777" w:rsidR="00323BB2" w:rsidRPr="007761C2" w:rsidRDefault="00323BB2" w:rsidP="00323BB2">
      <w:pPr>
        <w:rPr>
          <w:rFonts w:asciiTheme="minorHAnsi" w:hAnsiTheme="minorHAnsi"/>
          <w:b/>
          <w:bCs/>
          <w:sz w:val="20"/>
          <w:lang w:val="en-IE"/>
        </w:rPr>
      </w:pPr>
      <w:r w:rsidRPr="007761C2">
        <w:rPr>
          <w:rFonts w:asciiTheme="minorHAnsi" w:hAnsiTheme="minorHAnsi"/>
          <w:b/>
          <w:bCs/>
          <w:sz w:val="20"/>
          <w:lang w:val="en-IE"/>
        </w:rPr>
        <w:lastRenderedPageBreak/>
        <w:t xml:space="preserve">13. Trade and other payables </w:t>
      </w:r>
    </w:p>
    <w:p w14:paraId="288849A5" w14:textId="77777777" w:rsidR="00323BB2" w:rsidRPr="007761C2" w:rsidRDefault="00323BB2" w:rsidP="00323BB2">
      <w:pPr>
        <w:rPr>
          <w:rFonts w:asciiTheme="minorHAnsi" w:hAnsiTheme="minorHAnsi"/>
          <w:b/>
          <w:bCs/>
          <w:sz w:val="20"/>
          <w:lang w:val="en-IE"/>
        </w:rPr>
      </w:pPr>
    </w:p>
    <w:p w14:paraId="0F7E1317" w14:textId="77777777" w:rsidR="00323BB2" w:rsidRPr="007761C2" w:rsidRDefault="00323BB2" w:rsidP="00323BB2">
      <w:pPr>
        <w:rPr>
          <w:rFonts w:asciiTheme="minorHAnsi" w:hAnsiTheme="minorHAnsi"/>
          <w:sz w:val="20"/>
          <w:lang w:val="en-IE"/>
        </w:rPr>
      </w:pPr>
      <w:r w:rsidRPr="007761C2">
        <w:rPr>
          <w:rFonts w:asciiTheme="minorHAnsi" w:hAnsiTheme="minorHAnsi"/>
          <w:b/>
          <w:bCs/>
          <w:sz w:val="20"/>
          <w:lang w:val="en-IE"/>
        </w:rPr>
        <w:t>Current liabilities</w:t>
      </w:r>
    </w:p>
    <w:tbl>
      <w:tblPr>
        <w:tblW w:w="9815" w:type="dxa"/>
        <w:tblInd w:w="108" w:type="dxa"/>
        <w:tblLayout w:type="fixed"/>
        <w:tblLook w:val="0000" w:firstRow="0" w:lastRow="0" w:firstColumn="0" w:lastColumn="0" w:noHBand="0" w:noVBand="0"/>
      </w:tblPr>
      <w:tblGrid>
        <w:gridCol w:w="5137"/>
        <w:gridCol w:w="2693"/>
        <w:gridCol w:w="1985"/>
      </w:tblGrid>
      <w:tr w:rsidR="00323BB2" w:rsidRPr="007761C2" w14:paraId="5C51383D" w14:textId="77777777" w:rsidTr="00453AFA">
        <w:tc>
          <w:tcPr>
            <w:tcW w:w="5137" w:type="dxa"/>
            <w:tcBorders>
              <w:top w:val="single" w:sz="4" w:space="0" w:color="auto"/>
              <w:left w:val="nil"/>
              <w:bottom w:val="single" w:sz="4" w:space="0" w:color="auto"/>
              <w:right w:val="nil"/>
            </w:tcBorders>
          </w:tcPr>
          <w:p w14:paraId="72AF0C27" w14:textId="77777777" w:rsidR="00323BB2" w:rsidRPr="007761C2" w:rsidRDefault="00323BB2" w:rsidP="00453AFA">
            <w:pPr>
              <w:jc w:val="both"/>
              <w:rPr>
                <w:rFonts w:asciiTheme="minorHAnsi" w:hAnsiTheme="minorHAnsi"/>
                <w:sz w:val="20"/>
                <w:lang w:val="en-IE"/>
              </w:rPr>
            </w:pPr>
          </w:p>
        </w:tc>
        <w:tc>
          <w:tcPr>
            <w:tcW w:w="2693" w:type="dxa"/>
            <w:tcBorders>
              <w:top w:val="single" w:sz="4" w:space="0" w:color="auto"/>
              <w:left w:val="nil"/>
              <w:bottom w:val="single" w:sz="4" w:space="0" w:color="auto"/>
              <w:right w:val="nil"/>
            </w:tcBorders>
          </w:tcPr>
          <w:p w14:paraId="40723A37"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30 June 2020</w:t>
            </w:r>
          </w:p>
          <w:p w14:paraId="7930282B"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985" w:type="dxa"/>
            <w:tcBorders>
              <w:top w:val="single" w:sz="4" w:space="0" w:color="auto"/>
              <w:left w:val="nil"/>
              <w:bottom w:val="single" w:sz="4" w:space="0" w:color="auto"/>
              <w:right w:val="nil"/>
            </w:tcBorders>
          </w:tcPr>
          <w:p w14:paraId="4781F1CE"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31 December 2019</w:t>
            </w:r>
          </w:p>
          <w:p w14:paraId="5F265329"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£m</w:t>
            </w:r>
          </w:p>
        </w:tc>
      </w:tr>
      <w:tr w:rsidR="00323BB2" w:rsidRPr="007761C2" w14:paraId="3F728D66" w14:textId="77777777" w:rsidTr="00453AFA">
        <w:trPr>
          <w:trHeight w:val="70"/>
        </w:trPr>
        <w:tc>
          <w:tcPr>
            <w:tcW w:w="5137" w:type="dxa"/>
            <w:tcBorders>
              <w:top w:val="single" w:sz="4" w:space="0" w:color="auto"/>
              <w:left w:val="nil"/>
              <w:bottom w:val="nil"/>
              <w:right w:val="nil"/>
            </w:tcBorders>
          </w:tcPr>
          <w:p w14:paraId="32E76F07" w14:textId="77777777" w:rsidR="00323BB2" w:rsidRPr="007761C2" w:rsidRDefault="00323BB2" w:rsidP="00453AFA">
            <w:pPr>
              <w:ind w:left="-108"/>
              <w:rPr>
                <w:rFonts w:asciiTheme="minorHAnsi" w:hAnsiTheme="minorHAnsi"/>
                <w:b/>
                <w:sz w:val="20"/>
                <w:lang w:val="en-IE"/>
              </w:rPr>
            </w:pPr>
            <w:r w:rsidRPr="007761C2">
              <w:rPr>
                <w:rFonts w:asciiTheme="minorHAnsi" w:hAnsiTheme="minorHAnsi"/>
                <w:b/>
                <w:sz w:val="20"/>
                <w:lang w:val="en-IE"/>
              </w:rPr>
              <w:t>Trade and other payables</w:t>
            </w:r>
          </w:p>
        </w:tc>
        <w:tc>
          <w:tcPr>
            <w:tcW w:w="2693" w:type="dxa"/>
            <w:tcBorders>
              <w:top w:val="single" w:sz="4" w:space="0" w:color="auto"/>
              <w:left w:val="nil"/>
              <w:bottom w:val="nil"/>
              <w:right w:val="nil"/>
            </w:tcBorders>
          </w:tcPr>
          <w:p w14:paraId="739B2479" w14:textId="77777777" w:rsidR="00323BB2" w:rsidRPr="007761C2" w:rsidRDefault="00323BB2" w:rsidP="00453AFA">
            <w:pPr>
              <w:jc w:val="right"/>
              <w:rPr>
                <w:rFonts w:asciiTheme="minorHAnsi" w:hAnsiTheme="minorHAnsi"/>
                <w:b/>
                <w:bCs/>
                <w:sz w:val="20"/>
                <w:lang w:val="en-IE"/>
              </w:rPr>
            </w:pPr>
          </w:p>
        </w:tc>
        <w:tc>
          <w:tcPr>
            <w:tcW w:w="1985" w:type="dxa"/>
            <w:tcBorders>
              <w:top w:val="single" w:sz="4" w:space="0" w:color="auto"/>
              <w:left w:val="nil"/>
              <w:bottom w:val="nil"/>
              <w:right w:val="nil"/>
            </w:tcBorders>
          </w:tcPr>
          <w:p w14:paraId="21D33A5C" w14:textId="77777777" w:rsidR="00323BB2" w:rsidRPr="007761C2" w:rsidRDefault="00323BB2" w:rsidP="00453AFA">
            <w:pPr>
              <w:jc w:val="right"/>
              <w:rPr>
                <w:rFonts w:asciiTheme="minorHAnsi" w:hAnsiTheme="minorHAnsi"/>
                <w:bCs/>
                <w:sz w:val="20"/>
                <w:lang w:val="en-IE"/>
              </w:rPr>
            </w:pPr>
          </w:p>
        </w:tc>
      </w:tr>
      <w:tr w:rsidR="00323BB2" w:rsidRPr="007761C2" w14:paraId="5F88AF17" w14:textId="77777777" w:rsidTr="00453AFA">
        <w:tc>
          <w:tcPr>
            <w:tcW w:w="5137" w:type="dxa"/>
            <w:tcBorders>
              <w:top w:val="nil"/>
              <w:left w:val="nil"/>
              <w:bottom w:val="nil"/>
              <w:right w:val="nil"/>
            </w:tcBorders>
          </w:tcPr>
          <w:p w14:paraId="28A761D1"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lang w:val="en-IE"/>
              </w:rPr>
              <w:t>Trade payables</w:t>
            </w:r>
          </w:p>
        </w:tc>
        <w:tc>
          <w:tcPr>
            <w:tcW w:w="2693" w:type="dxa"/>
            <w:tcBorders>
              <w:top w:val="nil"/>
              <w:left w:val="nil"/>
              <w:bottom w:val="nil"/>
              <w:right w:val="nil"/>
            </w:tcBorders>
            <w:shd w:val="clear" w:color="auto" w:fill="auto"/>
          </w:tcPr>
          <w:p w14:paraId="386047A6"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44.0</w:t>
            </w:r>
          </w:p>
        </w:tc>
        <w:tc>
          <w:tcPr>
            <w:tcW w:w="1985" w:type="dxa"/>
            <w:tcBorders>
              <w:top w:val="nil"/>
              <w:left w:val="nil"/>
              <w:bottom w:val="nil"/>
              <w:right w:val="nil"/>
            </w:tcBorders>
          </w:tcPr>
          <w:p w14:paraId="60A97209"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25.3</w:t>
            </w:r>
          </w:p>
        </w:tc>
      </w:tr>
      <w:tr w:rsidR="00323BB2" w:rsidRPr="007761C2" w14:paraId="1E5CBF1E" w14:textId="77777777" w:rsidTr="00453AFA">
        <w:tc>
          <w:tcPr>
            <w:tcW w:w="5137" w:type="dxa"/>
            <w:tcBorders>
              <w:top w:val="nil"/>
              <w:left w:val="nil"/>
              <w:right w:val="nil"/>
            </w:tcBorders>
          </w:tcPr>
          <w:p w14:paraId="19B1EDCF"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rPr>
              <w:t>PAYE and social security</w:t>
            </w:r>
          </w:p>
        </w:tc>
        <w:tc>
          <w:tcPr>
            <w:tcW w:w="2693" w:type="dxa"/>
            <w:tcBorders>
              <w:top w:val="nil"/>
              <w:left w:val="nil"/>
              <w:right w:val="nil"/>
            </w:tcBorders>
            <w:shd w:val="clear" w:color="auto" w:fill="auto"/>
          </w:tcPr>
          <w:p w14:paraId="59FCD99E"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26.0</w:t>
            </w:r>
          </w:p>
        </w:tc>
        <w:tc>
          <w:tcPr>
            <w:tcW w:w="1985" w:type="dxa"/>
            <w:tcBorders>
              <w:top w:val="nil"/>
              <w:left w:val="nil"/>
              <w:right w:val="nil"/>
            </w:tcBorders>
          </w:tcPr>
          <w:p w14:paraId="54355DC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rPr>
              <w:t>9.7</w:t>
            </w:r>
          </w:p>
        </w:tc>
      </w:tr>
      <w:tr w:rsidR="00323BB2" w:rsidRPr="007761C2" w14:paraId="2158A284" w14:textId="77777777" w:rsidTr="00453AFA">
        <w:tc>
          <w:tcPr>
            <w:tcW w:w="5137" w:type="dxa"/>
            <w:tcBorders>
              <w:top w:val="nil"/>
              <w:left w:val="nil"/>
              <w:right w:val="nil"/>
            </w:tcBorders>
          </w:tcPr>
          <w:p w14:paraId="671CB178"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rPr>
              <w:t>Value-added tax and goods and services tax</w:t>
            </w:r>
          </w:p>
        </w:tc>
        <w:tc>
          <w:tcPr>
            <w:tcW w:w="2693" w:type="dxa"/>
            <w:tcBorders>
              <w:top w:val="nil"/>
              <w:left w:val="nil"/>
              <w:right w:val="nil"/>
            </w:tcBorders>
            <w:shd w:val="clear" w:color="auto" w:fill="auto"/>
          </w:tcPr>
          <w:p w14:paraId="52D1450C"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27.9</w:t>
            </w:r>
          </w:p>
        </w:tc>
        <w:tc>
          <w:tcPr>
            <w:tcW w:w="1985" w:type="dxa"/>
            <w:tcBorders>
              <w:top w:val="nil"/>
              <w:left w:val="nil"/>
              <w:right w:val="nil"/>
            </w:tcBorders>
          </w:tcPr>
          <w:p w14:paraId="4152D23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rPr>
              <w:t>3.0</w:t>
            </w:r>
          </w:p>
        </w:tc>
      </w:tr>
      <w:tr w:rsidR="00323BB2" w:rsidRPr="007761C2" w14:paraId="25575C72" w14:textId="77777777" w:rsidTr="00453AFA">
        <w:tc>
          <w:tcPr>
            <w:tcW w:w="5137" w:type="dxa"/>
            <w:tcBorders>
              <w:top w:val="nil"/>
              <w:left w:val="nil"/>
              <w:right w:val="nil"/>
            </w:tcBorders>
          </w:tcPr>
          <w:p w14:paraId="605F5D72"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rPr>
              <w:t xml:space="preserve">Betting duty, data rights, and product and </w:t>
            </w:r>
            <w:proofErr w:type="spellStart"/>
            <w:r w:rsidRPr="007761C2">
              <w:rPr>
                <w:rFonts w:asciiTheme="minorHAnsi" w:hAnsiTheme="minorHAnsi"/>
                <w:sz w:val="20"/>
              </w:rPr>
              <w:t>racefield</w:t>
            </w:r>
            <w:proofErr w:type="spellEnd"/>
            <w:r w:rsidRPr="007761C2">
              <w:rPr>
                <w:rFonts w:asciiTheme="minorHAnsi" w:hAnsiTheme="minorHAnsi"/>
                <w:sz w:val="20"/>
              </w:rPr>
              <w:t xml:space="preserve"> fees</w:t>
            </w:r>
          </w:p>
        </w:tc>
        <w:tc>
          <w:tcPr>
            <w:tcW w:w="2693" w:type="dxa"/>
            <w:tcBorders>
              <w:top w:val="nil"/>
              <w:left w:val="nil"/>
              <w:right w:val="nil"/>
            </w:tcBorders>
            <w:shd w:val="clear" w:color="auto" w:fill="auto"/>
          </w:tcPr>
          <w:p w14:paraId="4590C0CB"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139.1</w:t>
            </w:r>
          </w:p>
        </w:tc>
        <w:tc>
          <w:tcPr>
            <w:tcW w:w="1985" w:type="dxa"/>
            <w:tcBorders>
              <w:top w:val="nil"/>
              <w:left w:val="nil"/>
              <w:right w:val="nil"/>
            </w:tcBorders>
          </w:tcPr>
          <w:p w14:paraId="5D41188A" w14:textId="77777777" w:rsidR="00323BB2" w:rsidRPr="007761C2" w:rsidRDefault="00323BB2" w:rsidP="00453AFA">
            <w:pPr>
              <w:ind w:left="39"/>
              <w:jc w:val="right"/>
              <w:rPr>
                <w:rFonts w:asciiTheme="minorHAnsi" w:hAnsiTheme="minorHAnsi"/>
                <w:bCs/>
                <w:sz w:val="20"/>
                <w:lang w:val="en-IE"/>
              </w:rPr>
            </w:pPr>
            <w:r w:rsidRPr="007761C2">
              <w:rPr>
                <w:rFonts w:asciiTheme="minorHAnsi" w:hAnsiTheme="minorHAnsi"/>
                <w:bCs/>
                <w:sz w:val="20"/>
              </w:rPr>
              <w:t xml:space="preserve">                           60.1</w:t>
            </w:r>
          </w:p>
        </w:tc>
      </w:tr>
      <w:tr w:rsidR="00323BB2" w:rsidRPr="007761C2" w14:paraId="61AC6833" w14:textId="77777777" w:rsidTr="00453AFA">
        <w:tc>
          <w:tcPr>
            <w:tcW w:w="5137" w:type="dxa"/>
            <w:tcBorders>
              <w:top w:val="nil"/>
              <w:left w:val="nil"/>
              <w:right w:val="nil"/>
            </w:tcBorders>
          </w:tcPr>
          <w:p w14:paraId="238253FD"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rPr>
              <w:t>Employee benefits</w:t>
            </w:r>
          </w:p>
        </w:tc>
        <w:tc>
          <w:tcPr>
            <w:tcW w:w="2693" w:type="dxa"/>
            <w:tcBorders>
              <w:top w:val="nil"/>
              <w:left w:val="nil"/>
              <w:right w:val="nil"/>
            </w:tcBorders>
            <w:shd w:val="clear" w:color="auto" w:fill="auto"/>
          </w:tcPr>
          <w:p w14:paraId="59DCCAD4"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91.6</w:t>
            </w:r>
          </w:p>
        </w:tc>
        <w:tc>
          <w:tcPr>
            <w:tcW w:w="1985" w:type="dxa"/>
            <w:tcBorders>
              <w:top w:val="nil"/>
              <w:left w:val="nil"/>
              <w:right w:val="nil"/>
            </w:tcBorders>
          </w:tcPr>
          <w:p w14:paraId="065E1085"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rPr>
              <w:t>52.3</w:t>
            </w:r>
          </w:p>
        </w:tc>
      </w:tr>
      <w:tr w:rsidR="00323BB2" w:rsidRPr="007761C2" w14:paraId="165A3333" w14:textId="77777777" w:rsidTr="00453AFA">
        <w:tc>
          <w:tcPr>
            <w:tcW w:w="5137" w:type="dxa"/>
            <w:tcBorders>
              <w:left w:val="nil"/>
              <w:right w:val="nil"/>
            </w:tcBorders>
          </w:tcPr>
          <w:p w14:paraId="2E265AF9"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rPr>
              <w:t xml:space="preserve">Contingent deferred consideration – business combinations </w:t>
            </w:r>
          </w:p>
        </w:tc>
        <w:tc>
          <w:tcPr>
            <w:tcW w:w="2693" w:type="dxa"/>
            <w:tcBorders>
              <w:left w:val="nil"/>
              <w:right w:val="nil"/>
            </w:tcBorders>
            <w:shd w:val="clear" w:color="auto" w:fill="auto"/>
          </w:tcPr>
          <w:p w14:paraId="107CD242"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21.2</w:t>
            </w:r>
          </w:p>
        </w:tc>
        <w:tc>
          <w:tcPr>
            <w:tcW w:w="1985" w:type="dxa"/>
            <w:tcBorders>
              <w:left w:val="nil"/>
              <w:right w:val="nil"/>
            </w:tcBorders>
          </w:tcPr>
          <w:p w14:paraId="1F9AF29D"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rPr>
              <w:t>7.4</w:t>
            </w:r>
          </w:p>
        </w:tc>
      </w:tr>
      <w:tr w:rsidR="00323BB2" w:rsidRPr="007761C2" w14:paraId="51A1B6F8" w14:textId="77777777" w:rsidTr="00453AFA">
        <w:tc>
          <w:tcPr>
            <w:tcW w:w="5137" w:type="dxa"/>
            <w:tcBorders>
              <w:left w:val="nil"/>
              <w:bottom w:val="single" w:sz="4" w:space="0" w:color="auto"/>
              <w:right w:val="nil"/>
            </w:tcBorders>
          </w:tcPr>
          <w:p w14:paraId="1D6AEDEB"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lang w:val="en-IE"/>
              </w:rPr>
              <w:t>Accruals and other payables</w:t>
            </w:r>
          </w:p>
        </w:tc>
        <w:tc>
          <w:tcPr>
            <w:tcW w:w="2693" w:type="dxa"/>
            <w:tcBorders>
              <w:left w:val="nil"/>
              <w:bottom w:val="single" w:sz="4" w:space="0" w:color="auto"/>
              <w:right w:val="nil"/>
            </w:tcBorders>
            <w:shd w:val="clear" w:color="auto" w:fill="auto"/>
          </w:tcPr>
          <w:p w14:paraId="2A36014D"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508.8</w:t>
            </w:r>
          </w:p>
        </w:tc>
        <w:tc>
          <w:tcPr>
            <w:tcW w:w="1985" w:type="dxa"/>
            <w:tcBorders>
              <w:left w:val="nil"/>
              <w:bottom w:val="single" w:sz="4" w:space="0" w:color="auto"/>
              <w:right w:val="nil"/>
            </w:tcBorders>
          </w:tcPr>
          <w:p w14:paraId="74DCB1E6"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211.8</w:t>
            </w:r>
          </w:p>
        </w:tc>
      </w:tr>
      <w:tr w:rsidR="00323BB2" w:rsidRPr="007761C2" w14:paraId="44818363" w14:textId="77777777" w:rsidTr="00453AFA">
        <w:trPr>
          <w:trHeight w:val="102"/>
        </w:trPr>
        <w:tc>
          <w:tcPr>
            <w:tcW w:w="5137" w:type="dxa"/>
            <w:tcBorders>
              <w:top w:val="single" w:sz="4" w:space="0" w:color="auto"/>
              <w:left w:val="nil"/>
              <w:bottom w:val="single" w:sz="4" w:space="0" w:color="auto"/>
              <w:right w:val="nil"/>
            </w:tcBorders>
          </w:tcPr>
          <w:p w14:paraId="43F53005" w14:textId="77777777" w:rsidR="00323BB2" w:rsidRPr="007761C2" w:rsidRDefault="00323BB2" w:rsidP="00453AFA">
            <w:pPr>
              <w:ind w:left="-108"/>
              <w:rPr>
                <w:rFonts w:asciiTheme="minorHAnsi" w:hAnsiTheme="minorHAnsi"/>
                <w:sz w:val="20"/>
                <w:lang w:val="en-IE"/>
              </w:rPr>
            </w:pPr>
          </w:p>
        </w:tc>
        <w:tc>
          <w:tcPr>
            <w:tcW w:w="2693" w:type="dxa"/>
            <w:tcBorders>
              <w:top w:val="single" w:sz="4" w:space="0" w:color="auto"/>
              <w:left w:val="nil"/>
              <w:bottom w:val="single" w:sz="4" w:space="0" w:color="auto"/>
              <w:right w:val="nil"/>
            </w:tcBorders>
            <w:shd w:val="clear" w:color="auto" w:fill="auto"/>
          </w:tcPr>
          <w:p w14:paraId="3040072F"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rPr>
              <w:t>858.6</w:t>
            </w:r>
          </w:p>
        </w:tc>
        <w:tc>
          <w:tcPr>
            <w:tcW w:w="1985" w:type="dxa"/>
            <w:tcBorders>
              <w:top w:val="single" w:sz="4" w:space="0" w:color="auto"/>
              <w:left w:val="nil"/>
              <w:bottom w:val="single" w:sz="4" w:space="0" w:color="auto"/>
              <w:right w:val="nil"/>
            </w:tcBorders>
          </w:tcPr>
          <w:p w14:paraId="236067F9"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rPr>
              <w:t>369.6</w:t>
            </w:r>
          </w:p>
        </w:tc>
      </w:tr>
      <w:tr w:rsidR="00323BB2" w:rsidRPr="007761C2" w14:paraId="212685BA" w14:textId="77777777" w:rsidTr="00453AFA">
        <w:trPr>
          <w:trHeight w:val="102"/>
        </w:trPr>
        <w:tc>
          <w:tcPr>
            <w:tcW w:w="5137" w:type="dxa"/>
            <w:tcBorders>
              <w:top w:val="single" w:sz="4" w:space="0" w:color="auto"/>
              <w:left w:val="nil"/>
              <w:right w:val="nil"/>
            </w:tcBorders>
          </w:tcPr>
          <w:p w14:paraId="379A5531" w14:textId="77777777" w:rsidR="00323BB2" w:rsidRPr="007761C2" w:rsidRDefault="00323BB2" w:rsidP="00453AFA">
            <w:pPr>
              <w:ind w:left="-108"/>
              <w:rPr>
                <w:rFonts w:asciiTheme="minorHAnsi" w:hAnsiTheme="minorHAnsi"/>
                <w:b/>
                <w:sz w:val="20"/>
                <w:lang w:val="en-IE"/>
              </w:rPr>
            </w:pPr>
          </w:p>
          <w:p w14:paraId="36C305AE" w14:textId="77777777" w:rsidR="00323BB2" w:rsidRPr="007761C2" w:rsidRDefault="00323BB2" w:rsidP="00453AFA">
            <w:pPr>
              <w:ind w:left="-108"/>
              <w:rPr>
                <w:rFonts w:asciiTheme="minorHAnsi" w:hAnsiTheme="minorHAnsi"/>
                <w:sz w:val="20"/>
                <w:lang w:val="en-IE"/>
              </w:rPr>
            </w:pPr>
            <w:r w:rsidRPr="007761C2">
              <w:rPr>
                <w:rFonts w:asciiTheme="minorHAnsi" w:hAnsiTheme="minorHAnsi"/>
                <w:b/>
                <w:sz w:val="20"/>
                <w:lang w:val="en-IE"/>
              </w:rPr>
              <w:t>Derivative financial liabilities</w:t>
            </w:r>
          </w:p>
        </w:tc>
        <w:tc>
          <w:tcPr>
            <w:tcW w:w="2693" w:type="dxa"/>
            <w:tcBorders>
              <w:top w:val="single" w:sz="4" w:space="0" w:color="auto"/>
              <w:left w:val="nil"/>
              <w:right w:val="nil"/>
            </w:tcBorders>
          </w:tcPr>
          <w:p w14:paraId="72BDA59F" w14:textId="77777777" w:rsidR="00323BB2" w:rsidRPr="007761C2" w:rsidRDefault="00323BB2" w:rsidP="00453AFA">
            <w:pPr>
              <w:jc w:val="right"/>
              <w:rPr>
                <w:rFonts w:asciiTheme="minorHAnsi" w:hAnsiTheme="minorHAnsi"/>
                <w:b/>
                <w:bCs/>
                <w:sz w:val="20"/>
                <w:lang w:val="en-IE"/>
              </w:rPr>
            </w:pPr>
          </w:p>
        </w:tc>
        <w:tc>
          <w:tcPr>
            <w:tcW w:w="1985" w:type="dxa"/>
            <w:tcBorders>
              <w:top w:val="single" w:sz="4" w:space="0" w:color="auto"/>
              <w:left w:val="nil"/>
              <w:right w:val="nil"/>
            </w:tcBorders>
          </w:tcPr>
          <w:p w14:paraId="7087B48D" w14:textId="77777777" w:rsidR="00323BB2" w:rsidRPr="007761C2" w:rsidRDefault="00323BB2" w:rsidP="00453AFA">
            <w:pPr>
              <w:jc w:val="right"/>
              <w:rPr>
                <w:rFonts w:asciiTheme="minorHAnsi" w:hAnsiTheme="minorHAnsi"/>
                <w:bCs/>
                <w:sz w:val="20"/>
                <w:lang w:val="en-IE"/>
              </w:rPr>
            </w:pPr>
          </w:p>
        </w:tc>
      </w:tr>
      <w:tr w:rsidR="00323BB2" w:rsidRPr="007761C2" w14:paraId="6A65C55D" w14:textId="77777777" w:rsidTr="00453AFA">
        <w:trPr>
          <w:trHeight w:val="127"/>
        </w:trPr>
        <w:tc>
          <w:tcPr>
            <w:tcW w:w="5137" w:type="dxa"/>
            <w:tcBorders>
              <w:left w:val="nil"/>
              <w:bottom w:val="single" w:sz="4" w:space="0" w:color="auto"/>
              <w:right w:val="nil"/>
            </w:tcBorders>
            <w:vAlign w:val="bottom"/>
          </w:tcPr>
          <w:p w14:paraId="5DE4F7D3" w14:textId="77777777" w:rsidR="00323BB2" w:rsidRPr="007761C2" w:rsidRDefault="00323BB2" w:rsidP="00453AFA">
            <w:pPr>
              <w:ind w:left="-108"/>
              <w:rPr>
                <w:rFonts w:asciiTheme="minorHAnsi" w:hAnsiTheme="minorHAnsi"/>
                <w:b/>
                <w:sz w:val="20"/>
                <w:lang w:val="en-IE"/>
              </w:rPr>
            </w:pPr>
            <w:r w:rsidRPr="007761C2">
              <w:rPr>
                <w:rFonts w:asciiTheme="minorHAnsi" w:hAnsiTheme="minorHAnsi"/>
                <w:sz w:val="20"/>
                <w:lang w:val="en-IE"/>
              </w:rPr>
              <w:t>Sports betting open positions (see Note 16)</w:t>
            </w:r>
          </w:p>
        </w:tc>
        <w:tc>
          <w:tcPr>
            <w:tcW w:w="2693" w:type="dxa"/>
            <w:tcBorders>
              <w:left w:val="nil"/>
              <w:bottom w:val="single" w:sz="4" w:space="0" w:color="auto"/>
              <w:right w:val="nil"/>
            </w:tcBorders>
            <w:vAlign w:val="bottom"/>
          </w:tcPr>
          <w:p w14:paraId="34044FE4"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30.9</w:t>
            </w:r>
          </w:p>
        </w:tc>
        <w:tc>
          <w:tcPr>
            <w:tcW w:w="1985" w:type="dxa"/>
            <w:tcBorders>
              <w:left w:val="nil"/>
              <w:bottom w:val="single" w:sz="4" w:space="0" w:color="auto"/>
              <w:right w:val="nil"/>
            </w:tcBorders>
            <w:shd w:val="clear" w:color="auto" w:fill="auto"/>
            <w:vAlign w:val="bottom"/>
          </w:tcPr>
          <w:p w14:paraId="2479A96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20.4</w:t>
            </w:r>
          </w:p>
        </w:tc>
      </w:tr>
    </w:tbl>
    <w:p w14:paraId="5D5169E8" w14:textId="77777777" w:rsidR="00323BB2" w:rsidRPr="007761C2" w:rsidRDefault="00323BB2" w:rsidP="00323BB2">
      <w:pPr>
        <w:rPr>
          <w:rFonts w:asciiTheme="minorHAnsi" w:hAnsiTheme="minorHAnsi"/>
          <w:sz w:val="20"/>
          <w:lang w:val="en-IE"/>
        </w:rPr>
      </w:pPr>
    </w:p>
    <w:p w14:paraId="1758E36B"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t>Non-current liabilities</w:t>
      </w:r>
    </w:p>
    <w:tbl>
      <w:tblPr>
        <w:tblW w:w="9815" w:type="dxa"/>
        <w:tblInd w:w="108" w:type="dxa"/>
        <w:tblLayout w:type="fixed"/>
        <w:tblLook w:val="0000" w:firstRow="0" w:lastRow="0" w:firstColumn="0" w:lastColumn="0" w:noHBand="0" w:noVBand="0"/>
      </w:tblPr>
      <w:tblGrid>
        <w:gridCol w:w="4995"/>
        <w:gridCol w:w="2835"/>
        <w:gridCol w:w="1985"/>
      </w:tblGrid>
      <w:tr w:rsidR="00323BB2" w:rsidRPr="007761C2" w14:paraId="5D178895" w14:textId="77777777" w:rsidTr="00453AFA">
        <w:tc>
          <w:tcPr>
            <w:tcW w:w="4995" w:type="dxa"/>
            <w:tcBorders>
              <w:top w:val="single" w:sz="4" w:space="0" w:color="auto"/>
              <w:left w:val="nil"/>
              <w:bottom w:val="single" w:sz="4" w:space="0" w:color="auto"/>
              <w:right w:val="nil"/>
            </w:tcBorders>
          </w:tcPr>
          <w:p w14:paraId="48193632" w14:textId="77777777" w:rsidR="00323BB2" w:rsidRPr="007761C2" w:rsidRDefault="00323BB2" w:rsidP="00453AFA">
            <w:pPr>
              <w:jc w:val="both"/>
              <w:rPr>
                <w:rFonts w:asciiTheme="minorHAnsi" w:hAnsiTheme="minorHAnsi"/>
                <w:sz w:val="20"/>
                <w:lang w:val="en-IE"/>
              </w:rPr>
            </w:pPr>
          </w:p>
        </w:tc>
        <w:tc>
          <w:tcPr>
            <w:tcW w:w="2835" w:type="dxa"/>
            <w:tcBorders>
              <w:top w:val="single" w:sz="4" w:space="0" w:color="auto"/>
              <w:left w:val="nil"/>
              <w:bottom w:val="single" w:sz="4" w:space="0" w:color="auto"/>
              <w:right w:val="nil"/>
            </w:tcBorders>
          </w:tcPr>
          <w:p w14:paraId="0A40EA18"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30 June 2020</w:t>
            </w:r>
          </w:p>
          <w:p w14:paraId="77614A98"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985" w:type="dxa"/>
            <w:tcBorders>
              <w:top w:val="single" w:sz="4" w:space="0" w:color="auto"/>
              <w:left w:val="nil"/>
              <w:bottom w:val="single" w:sz="4" w:space="0" w:color="auto"/>
              <w:right w:val="nil"/>
            </w:tcBorders>
          </w:tcPr>
          <w:p w14:paraId="6A77AC0B"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31 December 2019</w:t>
            </w:r>
          </w:p>
          <w:p w14:paraId="0C100188" w14:textId="77777777" w:rsidR="00323BB2" w:rsidRPr="007761C2" w:rsidRDefault="00323BB2" w:rsidP="00453AFA">
            <w:pPr>
              <w:ind w:firstLine="886"/>
              <w:jc w:val="right"/>
              <w:rPr>
                <w:rFonts w:asciiTheme="minorHAnsi" w:hAnsiTheme="minorHAnsi"/>
                <w:bCs/>
                <w:sz w:val="20"/>
                <w:lang w:val="en-IE"/>
              </w:rPr>
            </w:pPr>
            <w:r w:rsidRPr="007761C2">
              <w:rPr>
                <w:rFonts w:asciiTheme="minorHAnsi" w:hAnsiTheme="minorHAnsi"/>
                <w:bCs/>
                <w:sz w:val="20"/>
                <w:lang w:val="en-IE"/>
              </w:rPr>
              <w:t>£m</w:t>
            </w:r>
          </w:p>
        </w:tc>
      </w:tr>
      <w:tr w:rsidR="00323BB2" w:rsidRPr="007761C2" w14:paraId="44E91F03" w14:textId="77777777" w:rsidTr="00453AFA">
        <w:tc>
          <w:tcPr>
            <w:tcW w:w="4995" w:type="dxa"/>
            <w:tcBorders>
              <w:top w:val="single" w:sz="4" w:space="0" w:color="auto"/>
              <w:left w:val="nil"/>
              <w:right w:val="nil"/>
            </w:tcBorders>
          </w:tcPr>
          <w:p w14:paraId="6ADFB596" w14:textId="77777777" w:rsidR="00323BB2" w:rsidRPr="007761C2" w:rsidRDefault="00323BB2" w:rsidP="00453AFA">
            <w:pPr>
              <w:ind w:left="-108"/>
              <w:rPr>
                <w:rFonts w:asciiTheme="minorHAnsi" w:hAnsiTheme="minorHAnsi"/>
                <w:b/>
                <w:sz w:val="20"/>
                <w:lang w:val="en-IE"/>
              </w:rPr>
            </w:pPr>
            <w:r w:rsidRPr="007761C2">
              <w:rPr>
                <w:rFonts w:asciiTheme="minorHAnsi" w:hAnsiTheme="minorHAnsi"/>
                <w:b/>
                <w:sz w:val="20"/>
                <w:lang w:val="en-IE"/>
              </w:rPr>
              <w:t>Trade and other payables</w:t>
            </w:r>
          </w:p>
        </w:tc>
        <w:tc>
          <w:tcPr>
            <w:tcW w:w="2835" w:type="dxa"/>
            <w:tcBorders>
              <w:top w:val="single" w:sz="4" w:space="0" w:color="auto"/>
              <w:left w:val="nil"/>
              <w:right w:val="nil"/>
            </w:tcBorders>
          </w:tcPr>
          <w:p w14:paraId="23462631" w14:textId="77777777" w:rsidR="00323BB2" w:rsidRPr="007761C2" w:rsidRDefault="00323BB2" w:rsidP="00453AFA">
            <w:pPr>
              <w:jc w:val="right"/>
              <w:rPr>
                <w:rFonts w:asciiTheme="minorHAnsi" w:hAnsiTheme="minorHAnsi"/>
                <w:b/>
                <w:bCs/>
                <w:sz w:val="20"/>
                <w:lang w:val="en-IE"/>
              </w:rPr>
            </w:pPr>
          </w:p>
        </w:tc>
        <w:tc>
          <w:tcPr>
            <w:tcW w:w="1985" w:type="dxa"/>
            <w:tcBorders>
              <w:top w:val="single" w:sz="4" w:space="0" w:color="auto"/>
              <w:left w:val="nil"/>
              <w:right w:val="nil"/>
            </w:tcBorders>
          </w:tcPr>
          <w:p w14:paraId="5533F274" w14:textId="77777777" w:rsidR="00323BB2" w:rsidRPr="007761C2" w:rsidRDefault="00323BB2" w:rsidP="00453AFA">
            <w:pPr>
              <w:jc w:val="right"/>
              <w:rPr>
                <w:rFonts w:asciiTheme="minorHAnsi" w:hAnsiTheme="minorHAnsi"/>
                <w:bCs/>
                <w:sz w:val="20"/>
                <w:lang w:val="en-IE"/>
              </w:rPr>
            </w:pPr>
          </w:p>
        </w:tc>
      </w:tr>
      <w:tr w:rsidR="00323BB2" w:rsidRPr="007761C2" w14:paraId="0D66104D" w14:textId="77777777" w:rsidTr="00453AFA">
        <w:trPr>
          <w:trHeight w:val="165"/>
        </w:trPr>
        <w:tc>
          <w:tcPr>
            <w:tcW w:w="4995" w:type="dxa"/>
            <w:tcBorders>
              <w:left w:val="nil"/>
              <w:right w:val="nil"/>
            </w:tcBorders>
          </w:tcPr>
          <w:p w14:paraId="3E578BE2"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lang w:val="en-IE"/>
              </w:rPr>
              <w:t>Employee benefits</w:t>
            </w:r>
          </w:p>
        </w:tc>
        <w:tc>
          <w:tcPr>
            <w:tcW w:w="2835" w:type="dxa"/>
            <w:tcBorders>
              <w:left w:val="nil"/>
              <w:right w:val="nil"/>
            </w:tcBorders>
            <w:shd w:val="clear" w:color="auto" w:fill="auto"/>
          </w:tcPr>
          <w:p w14:paraId="3F9E361E"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w:t>
            </w:r>
          </w:p>
        </w:tc>
        <w:tc>
          <w:tcPr>
            <w:tcW w:w="1985" w:type="dxa"/>
            <w:tcBorders>
              <w:left w:val="nil"/>
              <w:right w:val="nil"/>
            </w:tcBorders>
          </w:tcPr>
          <w:p w14:paraId="338EEEA5"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0.5</w:t>
            </w:r>
          </w:p>
        </w:tc>
      </w:tr>
      <w:tr w:rsidR="00323BB2" w:rsidRPr="007761C2" w14:paraId="3C3AF415" w14:textId="77777777" w:rsidTr="00453AFA">
        <w:trPr>
          <w:trHeight w:val="20"/>
        </w:trPr>
        <w:tc>
          <w:tcPr>
            <w:tcW w:w="4995" w:type="dxa"/>
            <w:tcBorders>
              <w:left w:val="nil"/>
              <w:right w:val="nil"/>
            </w:tcBorders>
          </w:tcPr>
          <w:p w14:paraId="1F8C2414" w14:textId="77777777" w:rsidR="00323BB2" w:rsidRPr="007761C2" w:rsidRDefault="00323BB2" w:rsidP="00453AFA">
            <w:pPr>
              <w:ind w:left="-108"/>
              <w:rPr>
                <w:rFonts w:asciiTheme="minorHAnsi" w:hAnsiTheme="minorHAnsi"/>
                <w:sz w:val="20"/>
              </w:rPr>
            </w:pPr>
            <w:r w:rsidRPr="007761C2">
              <w:rPr>
                <w:rFonts w:asciiTheme="minorHAnsi" w:hAnsiTheme="minorHAnsi"/>
                <w:sz w:val="20"/>
              </w:rPr>
              <w:t>Contingent deferred consideration – business combinations</w:t>
            </w:r>
          </w:p>
        </w:tc>
        <w:tc>
          <w:tcPr>
            <w:tcW w:w="2835" w:type="dxa"/>
            <w:tcBorders>
              <w:left w:val="nil"/>
              <w:right w:val="nil"/>
            </w:tcBorders>
          </w:tcPr>
          <w:p w14:paraId="5E50DF64"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9.3</w:t>
            </w:r>
          </w:p>
        </w:tc>
        <w:tc>
          <w:tcPr>
            <w:tcW w:w="1985" w:type="dxa"/>
            <w:tcBorders>
              <w:left w:val="nil"/>
              <w:right w:val="nil"/>
            </w:tcBorders>
          </w:tcPr>
          <w:p w14:paraId="5F96EE25"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11.0</w:t>
            </w:r>
          </w:p>
        </w:tc>
      </w:tr>
      <w:tr w:rsidR="00323BB2" w:rsidRPr="007761C2" w14:paraId="5991C39E" w14:textId="77777777" w:rsidTr="00453AFA">
        <w:trPr>
          <w:trHeight w:val="20"/>
        </w:trPr>
        <w:tc>
          <w:tcPr>
            <w:tcW w:w="4995" w:type="dxa"/>
            <w:tcBorders>
              <w:left w:val="nil"/>
              <w:bottom w:val="single" w:sz="4" w:space="0" w:color="auto"/>
              <w:right w:val="nil"/>
            </w:tcBorders>
          </w:tcPr>
          <w:p w14:paraId="3CB2A006" w14:textId="77777777" w:rsidR="00323BB2" w:rsidRPr="007761C2" w:rsidRDefault="00323BB2" w:rsidP="00453AFA">
            <w:pPr>
              <w:ind w:left="-108"/>
              <w:rPr>
                <w:rFonts w:asciiTheme="minorHAnsi" w:hAnsiTheme="minorHAnsi"/>
                <w:sz w:val="20"/>
              </w:rPr>
            </w:pPr>
            <w:r w:rsidRPr="007761C2">
              <w:rPr>
                <w:rFonts w:asciiTheme="minorHAnsi" w:hAnsiTheme="minorHAnsi"/>
                <w:sz w:val="20"/>
              </w:rPr>
              <w:t>Accruals and other payables</w:t>
            </w:r>
          </w:p>
        </w:tc>
        <w:tc>
          <w:tcPr>
            <w:tcW w:w="2835" w:type="dxa"/>
            <w:tcBorders>
              <w:left w:val="nil"/>
              <w:bottom w:val="single" w:sz="4" w:space="0" w:color="auto"/>
              <w:right w:val="nil"/>
            </w:tcBorders>
          </w:tcPr>
          <w:p w14:paraId="2BB1CA37"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2.9</w:t>
            </w:r>
          </w:p>
        </w:tc>
        <w:tc>
          <w:tcPr>
            <w:tcW w:w="1985" w:type="dxa"/>
            <w:tcBorders>
              <w:left w:val="nil"/>
              <w:bottom w:val="single" w:sz="4" w:space="0" w:color="auto"/>
              <w:right w:val="nil"/>
            </w:tcBorders>
          </w:tcPr>
          <w:p w14:paraId="5EA7771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6C388BC9" w14:textId="77777777" w:rsidTr="00453AFA">
        <w:trPr>
          <w:trHeight w:val="165"/>
        </w:trPr>
        <w:tc>
          <w:tcPr>
            <w:tcW w:w="4995" w:type="dxa"/>
            <w:tcBorders>
              <w:left w:val="nil"/>
              <w:bottom w:val="single" w:sz="4" w:space="0" w:color="auto"/>
              <w:right w:val="nil"/>
            </w:tcBorders>
          </w:tcPr>
          <w:p w14:paraId="480A58B1" w14:textId="77777777" w:rsidR="00323BB2" w:rsidRPr="007761C2" w:rsidRDefault="00323BB2" w:rsidP="00453AFA">
            <w:pPr>
              <w:ind w:left="-108"/>
              <w:rPr>
                <w:rFonts w:asciiTheme="minorHAnsi" w:hAnsiTheme="minorHAnsi"/>
                <w:sz w:val="20"/>
                <w:lang w:val="en-IE"/>
              </w:rPr>
            </w:pPr>
          </w:p>
        </w:tc>
        <w:tc>
          <w:tcPr>
            <w:tcW w:w="2835" w:type="dxa"/>
            <w:tcBorders>
              <w:left w:val="nil"/>
              <w:bottom w:val="single" w:sz="4" w:space="0" w:color="auto"/>
              <w:right w:val="nil"/>
            </w:tcBorders>
          </w:tcPr>
          <w:p w14:paraId="4FF96567"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12.2</w:t>
            </w:r>
          </w:p>
        </w:tc>
        <w:tc>
          <w:tcPr>
            <w:tcW w:w="1985" w:type="dxa"/>
            <w:tcBorders>
              <w:left w:val="nil"/>
              <w:bottom w:val="single" w:sz="4" w:space="0" w:color="auto"/>
              <w:right w:val="nil"/>
            </w:tcBorders>
          </w:tcPr>
          <w:p w14:paraId="2DB3F7DC"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11.5</w:t>
            </w:r>
          </w:p>
        </w:tc>
      </w:tr>
      <w:tr w:rsidR="00323BB2" w:rsidRPr="007761C2" w14:paraId="1ABA63F4" w14:textId="77777777" w:rsidTr="00453AFA">
        <w:trPr>
          <w:trHeight w:val="165"/>
        </w:trPr>
        <w:tc>
          <w:tcPr>
            <w:tcW w:w="4995" w:type="dxa"/>
            <w:tcBorders>
              <w:left w:val="nil"/>
              <w:right w:val="nil"/>
            </w:tcBorders>
          </w:tcPr>
          <w:p w14:paraId="50578831" w14:textId="77777777" w:rsidR="00323BB2" w:rsidRPr="007761C2" w:rsidRDefault="00323BB2" w:rsidP="00453AFA">
            <w:pPr>
              <w:ind w:left="-108"/>
              <w:rPr>
                <w:rFonts w:asciiTheme="minorHAnsi" w:hAnsiTheme="minorHAnsi"/>
                <w:sz w:val="20"/>
                <w:lang w:val="en-IE"/>
              </w:rPr>
            </w:pPr>
          </w:p>
          <w:p w14:paraId="4910A87A" w14:textId="77777777" w:rsidR="00323BB2" w:rsidRPr="007761C2" w:rsidRDefault="00323BB2" w:rsidP="00453AFA">
            <w:pPr>
              <w:ind w:left="-108"/>
              <w:rPr>
                <w:rFonts w:asciiTheme="minorHAnsi" w:hAnsiTheme="minorHAnsi"/>
                <w:b/>
                <w:sz w:val="20"/>
                <w:lang w:val="en-IE"/>
              </w:rPr>
            </w:pPr>
            <w:r w:rsidRPr="007761C2">
              <w:rPr>
                <w:rFonts w:asciiTheme="minorHAnsi" w:hAnsiTheme="minorHAnsi"/>
                <w:b/>
                <w:sz w:val="20"/>
                <w:lang w:val="en-IE"/>
              </w:rPr>
              <w:t xml:space="preserve">Derivative financial liabilities </w:t>
            </w:r>
          </w:p>
        </w:tc>
        <w:tc>
          <w:tcPr>
            <w:tcW w:w="2835" w:type="dxa"/>
            <w:tcBorders>
              <w:left w:val="nil"/>
              <w:right w:val="nil"/>
            </w:tcBorders>
          </w:tcPr>
          <w:p w14:paraId="1F1C20A5" w14:textId="77777777" w:rsidR="00323BB2" w:rsidRPr="007761C2" w:rsidRDefault="00323BB2" w:rsidP="00453AFA">
            <w:pPr>
              <w:jc w:val="right"/>
              <w:rPr>
                <w:rFonts w:asciiTheme="minorHAnsi" w:hAnsiTheme="minorHAnsi"/>
                <w:b/>
                <w:bCs/>
                <w:sz w:val="20"/>
                <w:lang w:val="en-IE"/>
              </w:rPr>
            </w:pPr>
          </w:p>
        </w:tc>
        <w:tc>
          <w:tcPr>
            <w:tcW w:w="1985" w:type="dxa"/>
            <w:tcBorders>
              <w:left w:val="nil"/>
              <w:right w:val="nil"/>
            </w:tcBorders>
          </w:tcPr>
          <w:p w14:paraId="151D28FE" w14:textId="77777777" w:rsidR="00323BB2" w:rsidRPr="007761C2" w:rsidRDefault="00323BB2" w:rsidP="00453AFA">
            <w:pPr>
              <w:jc w:val="right"/>
              <w:rPr>
                <w:rFonts w:asciiTheme="minorHAnsi" w:hAnsiTheme="minorHAnsi"/>
                <w:bCs/>
                <w:sz w:val="20"/>
                <w:lang w:val="en-IE"/>
              </w:rPr>
            </w:pPr>
          </w:p>
        </w:tc>
      </w:tr>
      <w:tr w:rsidR="00323BB2" w:rsidRPr="007761C2" w14:paraId="1BD622A3" w14:textId="77777777" w:rsidTr="00453AFA">
        <w:trPr>
          <w:trHeight w:val="165"/>
        </w:trPr>
        <w:tc>
          <w:tcPr>
            <w:tcW w:w="4995" w:type="dxa"/>
            <w:tcBorders>
              <w:left w:val="nil"/>
              <w:right w:val="nil"/>
            </w:tcBorders>
          </w:tcPr>
          <w:p w14:paraId="7B994CA5"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lang w:val="en-IE"/>
              </w:rPr>
              <w:t>Derivatives held for hedging (see Note 16)</w:t>
            </w:r>
          </w:p>
        </w:tc>
        <w:tc>
          <w:tcPr>
            <w:tcW w:w="2835" w:type="dxa"/>
            <w:tcBorders>
              <w:left w:val="nil"/>
              <w:right w:val="nil"/>
            </w:tcBorders>
          </w:tcPr>
          <w:p w14:paraId="431E614F"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40.0</w:t>
            </w:r>
          </w:p>
        </w:tc>
        <w:tc>
          <w:tcPr>
            <w:tcW w:w="1985" w:type="dxa"/>
            <w:tcBorders>
              <w:left w:val="nil"/>
              <w:right w:val="nil"/>
            </w:tcBorders>
            <w:shd w:val="clear" w:color="auto" w:fill="auto"/>
          </w:tcPr>
          <w:p w14:paraId="7F87E7D7"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46AD04BE" w14:textId="77777777" w:rsidTr="00453AFA">
        <w:trPr>
          <w:trHeight w:val="165"/>
        </w:trPr>
        <w:tc>
          <w:tcPr>
            <w:tcW w:w="4995" w:type="dxa"/>
            <w:tcBorders>
              <w:left w:val="nil"/>
              <w:bottom w:val="single" w:sz="4" w:space="0" w:color="auto"/>
              <w:right w:val="nil"/>
            </w:tcBorders>
          </w:tcPr>
          <w:p w14:paraId="00FB80B0" w14:textId="77777777" w:rsidR="00323BB2" w:rsidRPr="007761C2" w:rsidRDefault="00323BB2" w:rsidP="00453AFA">
            <w:pPr>
              <w:ind w:left="-108"/>
              <w:rPr>
                <w:rFonts w:asciiTheme="minorHAnsi" w:hAnsiTheme="minorHAnsi"/>
                <w:sz w:val="20"/>
                <w:lang w:val="en-IE"/>
              </w:rPr>
            </w:pPr>
            <w:r w:rsidRPr="007761C2">
              <w:rPr>
                <w:rFonts w:asciiTheme="minorHAnsi" w:hAnsiTheme="minorHAnsi"/>
                <w:sz w:val="20"/>
                <w:lang w:val="en-IE"/>
              </w:rPr>
              <w:t>Sports betting open positions (see Note 16)</w:t>
            </w:r>
          </w:p>
        </w:tc>
        <w:tc>
          <w:tcPr>
            <w:tcW w:w="2835" w:type="dxa"/>
            <w:tcBorders>
              <w:left w:val="nil"/>
              <w:bottom w:val="single" w:sz="4" w:space="0" w:color="auto"/>
              <w:right w:val="nil"/>
            </w:tcBorders>
          </w:tcPr>
          <w:p w14:paraId="4B849FA0"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1.4</w:t>
            </w:r>
          </w:p>
        </w:tc>
        <w:tc>
          <w:tcPr>
            <w:tcW w:w="1985" w:type="dxa"/>
            <w:tcBorders>
              <w:left w:val="nil"/>
              <w:bottom w:val="single" w:sz="4" w:space="0" w:color="auto"/>
              <w:right w:val="nil"/>
            </w:tcBorders>
            <w:shd w:val="clear" w:color="auto" w:fill="auto"/>
          </w:tcPr>
          <w:p w14:paraId="39ECA61A"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0.7</w:t>
            </w:r>
          </w:p>
        </w:tc>
      </w:tr>
      <w:tr w:rsidR="00323BB2" w:rsidRPr="007761C2" w14:paraId="25F77E1A" w14:textId="77777777" w:rsidTr="00453AFA">
        <w:trPr>
          <w:trHeight w:val="165"/>
        </w:trPr>
        <w:tc>
          <w:tcPr>
            <w:tcW w:w="4995" w:type="dxa"/>
            <w:tcBorders>
              <w:top w:val="single" w:sz="4" w:space="0" w:color="auto"/>
              <w:left w:val="nil"/>
              <w:bottom w:val="single" w:sz="4" w:space="0" w:color="auto"/>
              <w:right w:val="nil"/>
            </w:tcBorders>
          </w:tcPr>
          <w:p w14:paraId="769BC9EE" w14:textId="77777777" w:rsidR="00323BB2" w:rsidRPr="007761C2" w:rsidRDefault="00323BB2" w:rsidP="00453AFA">
            <w:pPr>
              <w:ind w:left="-108"/>
              <w:rPr>
                <w:rFonts w:asciiTheme="minorHAnsi" w:hAnsiTheme="minorHAnsi"/>
                <w:sz w:val="20"/>
                <w:lang w:val="en-IE"/>
              </w:rPr>
            </w:pPr>
          </w:p>
        </w:tc>
        <w:tc>
          <w:tcPr>
            <w:tcW w:w="2835" w:type="dxa"/>
            <w:tcBorders>
              <w:top w:val="single" w:sz="4" w:space="0" w:color="auto"/>
              <w:left w:val="nil"/>
              <w:bottom w:val="single" w:sz="4" w:space="0" w:color="auto"/>
              <w:right w:val="nil"/>
            </w:tcBorders>
          </w:tcPr>
          <w:p w14:paraId="519EB8A7"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41.4</w:t>
            </w:r>
          </w:p>
        </w:tc>
        <w:tc>
          <w:tcPr>
            <w:tcW w:w="1985" w:type="dxa"/>
            <w:tcBorders>
              <w:top w:val="single" w:sz="4" w:space="0" w:color="auto"/>
              <w:left w:val="nil"/>
              <w:bottom w:val="single" w:sz="4" w:space="0" w:color="auto"/>
              <w:right w:val="nil"/>
            </w:tcBorders>
            <w:shd w:val="clear" w:color="auto" w:fill="auto"/>
          </w:tcPr>
          <w:p w14:paraId="511ECEFC"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0.7</w:t>
            </w:r>
          </w:p>
        </w:tc>
      </w:tr>
    </w:tbl>
    <w:p w14:paraId="22AD7C25" w14:textId="77777777" w:rsidR="00323BB2" w:rsidRPr="007761C2" w:rsidRDefault="00323BB2" w:rsidP="00323BB2">
      <w:pPr>
        <w:rPr>
          <w:rFonts w:asciiTheme="minorHAnsi" w:hAnsiTheme="minorHAnsi"/>
          <w:b/>
          <w:bCs/>
          <w:sz w:val="20"/>
          <w:lang w:val="en-IE"/>
        </w:rPr>
      </w:pPr>
    </w:p>
    <w:p w14:paraId="748062F7" w14:textId="77777777" w:rsidR="00323BB2" w:rsidRPr="007761C2" w:rsidRDefault="00323BB2" w:rsidP="00323BB2">
      <w:pPr>
        <w:rPr>
          <w:rFonts w:asciiTheme="minorHAnsi" w:hAnsiTheme="minorHAnsi"/>
          <w:bCs/>
          <w:sz w:val="20"/>
          <w:lang w:val="en-IE"/>
        </w:rPr>
      </w:pPr>
      <w:bookmarkStart w:id="19" w:name="_Hlk48215224"/>
      <w:r w:rsidRPr="007761C2">
        <w:rPr>
          <w:rFonts w:asciiTheme="minorHAnsi" w:hAnsiTheme="minorHAnsi"/>
          <w:bCs/>
          <w:sz w:val="20"/>
          <w:lang w:val="en-IE"/>
        </w:rPr>
        <w:t>Included in non-current accruals and other payables at 30 June 2020 is deferred and contingent consideration of £9.3m (31 December 2019: £11.0m) primarily due to Betfair’s historical acquisition of HRTV (£9.1m), a horseracing television network based in the United States. The amount payable in respect of the HRTV acquisition at 30 June 2020 amounted to £25.1m (31 December 2019: £18.3m), with £16.0m due within one year (31 December 2019: £7.3m) and £9.1m due after one year from the reporting date (31 December 2019: £11.0m). The amount payable within one year also includes amounts in respect of Diamond Game Enterprises, acquired as part of the combination with TSG (£5.1m).</w:t>
      </w:r>
    </w:p>
    <w:bookmarkEnd w:id="19"/>
    <w:p w14:paraId="7C61A187" w14:textId="77777777" w:rsidR="00323BB2" w:rsidRPr="007761C2" w:rsidRDefault="00323BB2" w:rsidP="00323BB2">
      <w:pPr>
        <w:rPr>
          <w:rFonts w:asciiTheme="minorHAnsi" w:hAnsiTheme="minorHAnsi"/>
          <w:bCs/>
          <w:sz w:val="20"/>
          <w:lang w:val="en-IE"/>
        </w:rPr>
      </w:pPr>
    </w:p>
    <w:p w14:paraId="487EA55D" w14:textId="77777777" w:rsidR="00323BB2" w:rsidRPr="007761C2" w:rsidRDefault="00323BB2" w:rsidP="00323BB2">
      <w:pPr>
        <w:rPr>
          <w:rFonts w:asciiTheme="minorHAnsi" w:hAnsiTheme="minorHAnsi"/>
          <w:bCs/>
          <w:sz w:val="20"/>
          <w:lang w:val="en-IE"/>
        </w:rPr>
      </w:pPr>
    </w:p>
    <w:p w14:paraId="3D9ABB39" w14:textId="77777777" w:rsidR="00323BB2" w:rsidRPr="007761C2" w:rsidRDefault="00323BB2" w:rsidP="00323BB2">
      <w:pPr>
        <w:rPr>
          <w:rFonts w:asciiTheme="minorHAnsi" w:hAnsiTheme="minorHAnsi"/>
          <w:bCs/>
          <w:sz w:val="20"/>
          <w:lang w:val="en-IE"/>
        </w:rPr>
      </w:pPr>
      <w:r w:rsidRPr="007761C2">
        <w:rPr>
          <w:rFonts w:asciiTheme="minorHAnsi" w:hAnsiTheme="minorHAnsi"/>
          <w:b/>
          <w:sz w:val="20"/>
          <w:lang w:val="en-IE"/>
        </w:rPr>
        <w:t>14. Financial instruments</w:t>
      </w:r>
    </w:p>
    <w:p w14:paraId="740D5CC2" w14:textId="77777777" w:rsidR="00323BB2" w:rsidRPr="007761C2" w:rsidRDefault="00323BB2" w:rsidP="00323BB2">
      <w:pPr>
        <w:pStyle w:val="BodyText"/>
        <w:spacing w:after="0"/>
        <w:rPr>
          <w:rFonts w:asciiTheme="minorHAnsi" w:hAnsiTheme="minorHAnsi"/>
          <w:b/>
          <w:sz w:val="20"/>
          <w:szCs w:val="20"/>
          <w:lang w:val="en-IE"/>
        </w:rPr>
      </w:pPr>
    </w:p>
    <w:p w14:paraId="3FAC83A0"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The Group determined that the carrying values of its short-term financial assets and liabilities approximate their fair value because of the relatively short periods to maturity of these instruments and their low credit risk.</w:t>
      </w:r>
    </w:p>
    <w:p w14:paraId="5842626C" w14:textId="77777777" w:rsidR="00323BB2" w:rsidRPr="007761C2" w:rsidRDefault="00323BB2" w:rsidP="00323BB2">
      <w:pPr>
        <w:jc w:val="both"/>
        <w:rPr>
          <w:rFonts w:asciiTheme="minorHAnsi" w:hAnsiTheme="minorHAnsi" w:cstheme="minorHAnsi"/>
          <w:sz w:val="20"/>
        </w:rPr>
      </w:pPr>
    </w:p>
    <w:p w14:paraId="05C6A626" w14:textId="77777777" w:rsidR="00323BB2" w:rsidRPr="007761C2" w:rsidRDefault="00323BB2" w:rsidP="00323BB2">
      <w:pPr>
        <w:spacing w:after="140"/>
        <w:rPr>
          <w:rFonts w:asciiTheme="minorHAnsi" w:hAnsiTheme="minorHAnsi" w:cstheme="minorHAnsi"/>
          <w:sz w:val="20"/>
        </w:rPr>
      </w:pPr>
      <w:r w:rsidRPr="007761C2">
        <w:rPr>
          <w:rFonts w:asciiTheme="minorHAnsi" w:hAnsiTheme="minorHAnsi" w:cstheme="minorHAnsi"/>
          <w:sz w:val="20"/>
        </w:rPr>
        <w:t>Certain of the Group’s financial assets and liabilities are measured at fair value, including at FVTPL or FVOCI, at the end of each reporting period. The following provides information about how the fair values of these financial assets and liabilities were determined as at 30 June 2020:</w:t>
      </w:r>
    </w:p>
    <w:p w14:paraId="30E0BC46" w14:textId="77777777" w:rsidR="00323BB2" w:rsidRPr="007761C2" w:rsidRDefault="00323BB2" w:rsidP="00323BB2">
      <w:pPr>
        <w:pStyle w:val="BodyText"/>
        <w:spacing w:after="0"/>
        <w:rPr>
          <w:rFonts w:asciiTheme="minorHAnsi" w:hAnsiTheme="minorHAnsi"/>
          <w:sz w:val="20"/>
          <w:szCs w:val="20"/>
          <w:lang w:val="en-IE"/>
        </w:rPr>
      </w:pPr>
    </w:p>
    <w:p w14:paraId="38A3934F"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br w:type="page"/>
      </w:r>
    </w:p>
    <w:p w14:paraId="76571B48" w14:textId="77777777" w:rsidR="00323BB2" w:rsidRPr="007761C2" w:rsidRDefault="00323BB2" w:rsidP="00323BB2">
      <w:pPr>
        <w:rPr>
          <w:rFonts w:asciiTheme="minorHAnsi" w:hAnsiTheme="minorHAnsi"/>
          <w:sz w:val="20"/>
        </w:rPr>
      </w:pPr>
      <w:r w:rsidRPr="007761C2">
        <w:rPr>
          <w:rFonts w:asciiTheme="minorHAnsi" w:hAnsiTheme="minorHAnsi"/>
          <w:b/>
          <w:sz w:val="20"/>
          <w:lang w:val="en-IE"/>
        </w:rPr>
        <w:lastRenderedPageBreak/>
        <w:t>14. Financial instruments (continued)</w:t>
      </w:r>
    </w:p>
    <w:p w14:paraId="06BE9458" w14:textId="77777777" w:rsidR="00323BB2" w:rsidRPr="007761C2" w:rsidRDefault="00323BB2" w:rsidP="00323BB2">
      <w:pPr>
        <w:pStyle w:val="BodyText"/>
        <w:spacing w:after="0"/>
        <w:rPr>
          <w:rFonts w:asciiTheme="minorHAnsi" w:hAnsiTheme="minorHAnsi"/>
          <w:b/>
          <w:sz w:val="20"/>
          <w:szCs w:val="20"/>
          <w:lang w:val="en-IE"/>
        </w:rPr>
      </w:pPr>
    </w:p>
    <w:p w14:paraId="584D98C2" w14:textId="77777777" w:rsidR="00323BB2" w:rsidRPr="007761C2" w:rsidRDefault="00323BB2" w:rsidP="00323BB2">
      <w:pPr>
        <w:pStyle w:val="BodyText"/>
        <w:spacing w:after="0"/>
        <w:rPr>
          <w:rFonts w:asciiTheme="minorHAnsi" w:hAnsiTheme="minorHAnsi"/>
          <w:b/>
          <w:sz w:val="20"/>
          <w:szCs w:val="20"/>
          <w:lang w:val="en-IE"/>
        </w:rPr>
      </w:pPr>
      <w:r w:rsidRPr="007761C2">
        <w:rPr>
          <w:rFonts w:asciiTheme="minorHAnsi" w:hAnsiTheme="minorHAnsi"/>
          <w:b/>
          <w:sz w:val="20"/>
          <w:szCs w:val="20"/>
          <w:lang w:val="en-IE"/>
        </w:rPr>
        <w:t>Financial instruments carried at fair value</w:t>
      </w:r>
    </w:p>
    <w:p w14:paraId="33EA2B6F" w14:textId="77777777" w:rsidR="00323BB2" w:rsidRPr="007761C2" w:rsidRDefault="00323BB2" w:rsidP="00323BB2">
      <w:pPr>
        <w:pStyle w:val="BodyText"/>
        <w:spacing w:after="0"/>
        <w:rPr>
          <w:rFonts w:asciiTheme="minorHAnsi" w:hAnsiTheme="minorHAnsi"/>
          <w:b/>
          <w:sz w:val="20"/>
          <w:szCs w:val="20"/>
          <w:lang w:val="en-IE"/>
        </w:rPr>
      </w:pPr>
    </w:p>
    <w:p w14:paraId="39911CD0" w14:textId="77777777" w:rsidR="00323BB2" w:rsidRPr="007761C2" w:rsidRDefault="00323BB2" w:rsidP="00323BB2">
      <w:pPr>
        <w:pStyle w:val="BodyText"/>
        <w:spacing w:after="0"/>
        <w:rPr>
          <w:rFonts w:asciiTheme="minorHAnsi" w:hAnsiTheme="minorHAnsi"/>
          <w:b/>
          <w:sz w:val="20"/>
          <w:szCs w:val="20"/>
          <w:lang w:val="en-IE"/>
        </w:rPr>
      </w:pPr>
      <w:r w:rsidRPr="007761C2">
        <w:rPr>
          <w:rFonts w:asciiTheme="minorHAnsi" w:hAnsiTheme="minorHAnsi"/>
          <w:b/>
          <w:sz w:val="20"/>
          <w:szCs w:val="20"/>
          <w:lang w:val="en-IE"/>
        </w:rPr>
        <w:t>Fair value hierarchy</w:t>
      </w:r>
    </w:p>
    <w:p w14:paraId="0F0B2916" w14:textId="77777777" w:rsidR="00323BB2" w:rsidRPr="007761C2" w:rsidRDefault="00323BB2" w:rsidP="00323BB2">
      <w:pPr>
        <w:pStyle w:val="BodyText"/>
        <w:spacing w:after="0"/>
        <w:rPr>
          <w:rFonts w:asciiTheme="minorHAnsi" w:hAnsiTheme="minorHAnsi"/>
          <w:sz w:val="20"/>
          <w:szCs w:val="20"/>
          <w:lang w:val="en-IE"/>
        </w:rPr>
      </w:pPr>
      <w:r w:rsidRPr="007761C2">
        <w:rPr>
          <w:rFonts w:asciiTheme="minorHAnsi" w:hAnsiTheme="minorHAnsi"/>
          <w:sz w:val="20"/>
          <w:szCs w:val="20"/>
          <w:lang w:val="en-IE"/>
        </w:rPr>
        <w:t>The table below analyses recurring fair value measurements for financial assets and financial liabilities. These fair value measurements are categorised into different levels in the fair value hierarchy based on the inputs to the valuation method used. The different levels are defined as follows:</w:t>
      </w:r>
    </w:p>
    <w:p w14:paraId="3A33FC72" w14:textId="77777777" w:rsidR="00323BB2" w:rsidRPr="007761C2" w:rsidRDefault="00323BB2" w:rsidP="00323BB2">
      <w:pPr>
        <w:pStyle w:val="BodyText"/>
        <w:spacing w:after="0"/>
        <w:rPr>
          <w:rFonts w:asciiTheme="minorHAnsi" w:hAnsiTheme="minorHAnsi"/>
          <w:sz w:val="20"/>
          <w:szCs w:val="20"/>
          <w:lang w:val="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8942"/>
      </w:tblGrid>
      <w:tr w:rsidR="00323BB2" w:rsidRPr="007761C2" w14:paraId="11FAB2E8" w14:textId="77777777" w:rsidTr="00453AFA">
        <w:tc>
          <w:tcPr>
            <w:tcW w:w="522" w:type="dxa"/>
          </w:tcPr>
          <w:p w14:paraId="776877E1" w14:textId="77777777" w:rsidR="00323BB2" w:rsidRPr="007761C2" w:rsidRDefault="00323BB2" w:rsidP="009B6BB8">
            <w:pPr>
              <w:pStyle w:val="BodyText"/>
              <w:numPr>
                <w:ilvl w:val="0"/>
                <w:numId w:val="23"/>
              </w:numPr>
              <w:spacing w:after="0"/>
              <w:ind w:hanging="589"/>
              <w:jc w:val="both"/>
              <w:rPr>
                <w:rFonts w:asciiTheme="minorHAnsi" w:hAnsiTheme="minorHAnsi"/>
                <w:sz w:val="20"/>
                <w:szCs w:val="20"/>
                <w:lang w:val="en-IE"/>
              </w:rPr>
            </w:pPr>
          </w:p>
        </w:tc>
        <w:tc>
          <w:tcPr>
            <w:tcW w:w="8942" w:type="dxa"/>
          </w:tcPr>
          <w:p w14:paraId="7DCBE41A" w14:textId="77777777" w:rsidR="00323BB2" w:rsidRPr="007761C2" w:rsidRDefault="00323BB2" w:rsidP="00453AFA">
            <w:pPr>
              <w:pStyle w:val="BodyText"/>
              <w:spacing w:after="0"/>
              <w:rPr>
                <w:rFonts w:asciiTheme="minorHAnsi" w:hAnsiTheme="minorHAnsi"/>
                <w:sz w:val="20"/>
                <w:szCs w:val="20"/>
                <w:lang w:val="en-IE"/>
              </w:rPr>
            </w:pPr>
            <w:r w:rsidRPr="007761C2">
              <w:rPr>
                <w:rFonts w:asciiTheme="minorHAnsi" w:hAnsiTheme="minorHAnsi"/>
                <w:sz w:val="20"/>
                <w:szCs w:val="20"/>
                <w:lang w:val="en-IE"/>
              </w:rPr>
              <w:t>Level 1: quoted prices (unadjusted) in active markets for identical assets or liabilities that the Group can access at the measurement date;</w:t>
            </w:r>
          </w:p>
        </w:tc>
      </w:tr>
      <w:tr w:rsidR="00323BB2" w:rsidRPr="007761C2" w14:paraId="2260C37C" w14:textId="77777777" w:rsidTr="00453AFA">
        <w:tc>
          <w:tcPr>
            <w:tcW w:w="522" w:type="dxa"/>
          </w:tcPr>
          <w:p w14:paraId="59AE32B1" w14:textId="77777777" w:rsidR="00323BB2" w:rsidRPr="007761C2" w:rsidRDefault="00323BB2" w:rsidP="009B6BB8">
            <w:pPr>
              <w:pStyle w:val="BodyText"/>
              <w:numPr>
                <w:ilvl w:val="0"/>
                <w:numId w:val="23"/>
              </w:numPr>
              <w:spacing w:after="0"/>
              <w:ind w:hanging="589"/>
              <w:jc w:val="both"/>
              <w:rPr>
                <w:rFonts w:asciiTheme="minorHAnsi" w:hAnsiTheme="minorHAnsi"/>
                <w:sz w:val="20"/>
                <w:szCs w:val="20"/>
                <w:lang w:val="en-IE"/>
              </w:rPr>
            </w:pPr>
          </w:p>
        </w:tc>
        <w:tc>
          <w:tcPr>
            <w:tcW w:w="8942" w:type="dxa"/>
          </w:tcPr>
          <w:p w14:paraId="0ADB83ED" w14:textId="77777777" w:rsidR="00323BB2" w:rsidRPr="007761C2" w:rsidRDefault="00323BB2" w:rsidP="00453AFA">
            <w:pPr>
              <w:pStyle w:val="BodyText"/>
              <w:spacing w:after="0"/>
              <w:rPr>
                <w:rFonts w:asciiTheme="minorHAnsi" w:hAnsiTheme="minorHAnsi"/>
                <w:sz w:val="20"/>
                <w:szCs w:val="20"/>
                <w:lang w:val="en-IE"/>
              </w:rPr>
            </w:pPr>
            <w:r w:rsidRPr="007761C2">
              <w:rPr>
                <w:rFonts w:asciiTheme="minorHAnsi" w:hAnsiTheme="minorHAnsi"/>
                <w:sz w:val="20"/>
                <w:szCs w:val="20"/>
                <w:lang w:val="en-IE"/>
              </w:rPr>
              <w:t>Level 2: inputs other than quoted prices included within Level 1 that are observable for the asset or liability, either directly or indirectly; and</w:t>
            </w:r>
          </w:p>
        </w:tc>
      </w:tr>
      <w:tr w:rsidR="00323BB2" w:rsidRPr="007761C2" w14:paraId="627EBE89" w14:textId="77777777" w:rsidTr="00453AFA">
        <w:tc>
          <w:tcPr>
            <w:tcW w:w="522" w:type="dxa"/>
          </w:tcPr>
          <w:p w14:paraId="75384236" w14:textId="77777777" w:rsidR="00323BB2" w:rsidRPr="007761C2" w:rsidRDefault="00323BB2" w:rsidP="009B6BB8">
            <w:pPr>
              <w:pStyle w:val="BodyText"/>
              <w:numPr>
                <w:ilvl w:val="0"/>
                <w:numId w:val="23"/>
              </w:numPr>
              <w:spacing w:after="0"/>
              <w:ind w:hanging="589"/>
              <w:jc w:val="both"/>
              <w:rPr>
                <w:rFonts w:asciiTheme="minorHAnsi" w:hAnsiTheme="minorHAnsi"/>
                <w:sz w:val="20"/>
                <w:szCs w:val="20"/>
                <w:lang w:val="en-IE"/>
              </w:rPr>
            </w:pPr>
          </w:p>
        </w:tc>
        <w:tc>
          <w:tcPr>
            <w:tcW w:w="8942" w:type="dxa"/>
          </w:tcPr>
          <w:p w14:paraId="0A510D7A" w14:textId="77777777" w:rsidR="00323BB2" w:rsidRPr="007761C2" w:rsidRDefault="00323BB2" w:rsidP="00453AFA">
            <w:pPr>
              <w:pStyle w:val="BodyText"/>
              <w:spacing w:after="0"/>
              <w:rPr>
                <w:rFonts w:asciiTheme="minorHAnsi" w:hAnsiTheme="minorHAnsi"/>
                <w:sz w:val="20"/>
                <w:szCs w:val="20"/>
                <w:lang w:val="en-IE"/>
              </w:rPr>
            </w:pPr>
            <w:r w:rsidRPr="007761C2">
              <w:rPr>
                <w:rFonts w:asciiTheme="minorHAnsi" w:hAnsiTheme="minorHAnsi"/>
                <w:sz w:val="20"/>
                <w:szCs w:val="20"/>
                <w:lang w:val="en-IE"/>
              </w:rPr>
              <w:t>Level 3: unobservable inputs for the asset or liability.</w:t>
            </w:r>
          </w:p>
        </w:tc>
      </w:tr>
    </w:tbl>
    <w:p w14:paraId="336076F8" w14:textId="77777777" w:rsidR="00323BB2" w:rsidRPr="007761C2" w:rsidRDefault="00323BB2" w:rsidP="00323BB2">
      <w:pPr>
        <w:rPr>
          <w:rFonts w:asciiTheme="minorHAnsi" w:hAnsiTheme="minorHAnsi"/>
          <w:sz w:val="20"/>
        </w:rPr>
      </w:pPr>
    </w:p>
    <w:p w14:paraId="16C0E2D6" w14:textId="77777777" w:rsidR="00323BB2" w:rsidRPr="007761C2" w:rsidRDefault="00323BB2" w:rsidP="00323BB2">
      <w:pPr>
        <w:rPr>
          <w:rFonts w:asciiTheme="minorHAnsi" w:hAnsiTheme="minorHAnsi"/>
          <w:sz w:val="20"/>
        </w:rPr>
      </w:pPr>
    </w:p>
    <w:tbl>
      <w:tblPr>
        <w:tblW w:w="9498" w:type="dxa"/>
        <w:tblInd w:w="108" w:type="dxa"/>
        <w:tblLook w:val="01E0" w:firstRow="1" w:lastRow="1" w:firstColumn="1" w:lastColumn="1" w:noHBand="0" w:noVBand="0"/>
      </w:tblPr>
      <w:tblGrid>
        <w:gridCol w:w="4027"/>
        <w:gridCol w:w="1464"/>
        <w:gridCol w:w="1297"/>
        <w:gridCol w:w="1297"/>
        <w:gridCol w:w="1413"/>
      </w:tblGrid>
      <w:tr w:rsidR="00323BB2" w:rsidRPr="007761C2" w14:paraId="0C051FB5" w14:textId="77777777" w:rsidTr="00453AFA">
        <w:trPr>
          <w:trHeight w:val="267"/>
        </w:trPr>
        <w:tc>
          <w:tcPr>
            <w:tcW w:w="4027" w:type="dxa"/>
            <w:tcBorders>
              <w:top w:val="single" w:sz="4" w:space="0" w:color="auto"/>
            </w:tcBorders>
            <w:shd w:val="clear" w:color="auto" w:fill="auto"/>
          </w:tcPr>
          <w:p w14:paraId="00CADDF3" w14:textId="77777777" w:rsidR="00323BB2" w:rsidRPr="007761C2" w:rsidRDefault="00323BB2" w:rsidP="00453AFA">
            <w:pPr>
              <w:rPr>
                <w:rFonts w:asciiTheme="minorHAnsi" w:hAnsiTheme="minorHAnsi"/>
                <w:b/>
                <w:sz w:val="20"/>
                <w:lang w:val="en-IE"/>
              </w:rPr>
            </w:pPr>
          </w:p>
        </w:tc>
        <w:tc>
          <w:tcPr>
            <w:tcW w:w="5471" w:type="dxa"/>
            <w:gridSpan w:val="4"/>
            <w:tcBorders>
              <w:top w:val="single" w:sz="4" w:space="0" w:color="auto"/>
            </w:tcBorders>
            <w:shd w:val="clear" w:color="auto" w:fill="auto"/>
          </w:tcPr>
          <w:p w14:paraId="01B15B38" w14:textId="77777777" w:rsidR="00323BB2" w:rsidRPr="007761C2" w:rsidRDefault="00323BB2" w:rsidP="00453AFA">
            <w:pPr>
              <w:ind w:left="-3"/>
              <w:jc w:val="center"/>
              <w:rPr>
                <w:rFonts w:asciiTheme="minorHAnsi" w:hAnsiTheme="minorHAnsi"/>
                <w:b/>
                <w:sz w:val="20"/>
                <w:lang w:val="en-IE"/>
              </w:rPr>
            </w:pPr>
            <w:r w:rsidRPr="007761C2">
              <w:rPr>
                <w:rFonts w:asciiTheme="minorHAnsi" w:hAnsiTheme="minorHAnsi"/>
                <w:b/>
                <w:sz w:val="20"/>
                <w:lang w:val="en-IE"/>
              </w:rPr>
              <w:t>30 June 2020</w:t>
            </w:r>
          </w:p>
        </w:tc>
      </w:tr>
      <w:tr w:rsidR="00323BB2" w:rsidRPr="007761C2" w14:paraId="651E8CD5" w14:textId="77777777" w:rsidTr="00453AFA">
        <w:trPr>
          <w:trHeight w:val="194"/>
        </w:trPr>
        <w:tc>
          <w:tcPr>
            <w:tcW w:w="4027" w:type="dxa"/>
            <w:shd w:val="clear" w:color="auto" w:fill="auto"/>
          </w:tcPr>
          <w:p w14:paraId="3B9E0FBF" w14:textId="77777777" w:rsidR="00323BB2" w:rsidRPr="007761C2" w:rsidRDefault="00323BB2" w:rsidP="00453AFA">
            <w:pPr>
              <w:rPr>
                <w:rFonts w:asciiTheme="minorHAnsi" w:hAnsiTheme="minorHAnsi"/>
                <w:b/>
                <w:sz w:val="20"/>
                <w:lang w:val="en-IE"/>
              </w:rPr>
            </w:pPr>
          </w:p>
        </w:tc>
        <w:tc>
          <w:tcPr>
            <w:tcW w:w="1464" w:type="dxa"/>
            <w:shd w:val="clear" w:color="auto" w:fill="auto"/>
          </w:tcPr>
          <w:p w14:paraId="39CEEB4D" w14:textId="77777777" w:rsidR="00323BB2" w:rsidRPr="007761C2" w:rsidRDefault="00323BB2" w:rsidP="00453AFA">
            <w:pPr>
              <w:ind w:left="-3"/>
              <w:jc w:val="right"/>
              <w:rPr>
                <w:rFonts w:asciiTheme="minorHAnsi" w:hAnsiTheme="minorHAnsi"/>
                <w:b/>
                <w:sz w:val="20"/>
                <w:lang w:val="en-IE"/>
              </w:rPr>
            </w:pPr>
            <w:r w:rsidRPr="007761C2">
              <w:rPr>
                <w:rFonts w:asciiTheme="minorHAnsi" w:hAnsiTheme="minorHAnsi"/>
                <w:b/>
                <w:sz w:val="20"/>
                <w:lang w:val="en-IE"/>
              </w:rPr>
              <w:t>Level 1</w:t>
            </w:r>
          </w:p>
        </w:tc>
        <w:tc>
          <w:tcPr>
            <w:tcW w:w="1297" w:type="dxa"/>
          </w:tcPr>
          <w:p w14:paraId="5225AC55" w14:textId="77777777" w:rsidR="00323BB2" w:rsidRPr="007761C2" w:rsidRDefault="00323BB2" w:rsidP="00453AFA">
            <w:pPr>
              <w:ind w:left="-3"/>
              <w:jc w:val="right"/>
              <w:rPr>
                <w:rFonts w:asciiTheme="minorHAnsi" w:hAnsiTheme="minorHAnsi"/>
                <w:b/>
                <w:sz w:val="20"/>
                <w:lang w:val="en-IE"/>
              </w:rPr>
            </w:pPr>
            <w:r w:rsidRPr="007761C2">
              <w:rPr>
                <w:rFonts w:asciiTheme="minorHAnsi" w:hAnsiTheme="minorHAnsi"/>
                <w:b/>
                <w:sz w:val="20"/>
                <w:lang w:val="en-IE"/>
              </w:rPr>
              <w:t>Level 2</w:t>
            </w:r>
          </w:p>
        </w:tc>
        <w:tc>
          <w:tcPr>
            <w:tcW w:w="1297" w:type="dxa"/>
          </w:tcPr>
          <w:p w14:paraId="0A511E09" w14:textId="77777777" w:rsidR="00323BB2" w:rsidRPr="007761C2" w:rsidRDefault="00323BB2" w:rsidP="00453AFA">
            <w:pPr>
              <w:ind w:left="-3"/>
              <w:jc w:val="right"/>
              <w:rPr>
                <w:rFonts w:asciiTheme="minorHAnsi" w:hAnsiTheme="minorHAnsi"/>
                <w:b/>
                <w:sz w:val="20"/>
                <w:lang w:val="en-IE"/>
              </w:rPr>
            </w:pPr>
            <w:r w:rsidRPr="007761C2">
              <w:rPr>
                <w:rFonts w:asciiTheme="minorHAnsi" w:hAnsiTheme="minorHAnsi"/>
                <w:b/>
                <w:sz w:val="20"/>
                <w:lang w:val="en-IE"/>
              </w:rPr>
              <w:t>Level 3</w:t>
            </w:r>
          </w:p>
        </w:tc>
        <w:tc>
          <w:tcPr>
            <w:tcW w:w="1413" w:type="dxa"/>
            <w:shd w:val="clear" w:color="auto" w:fill="auto"/>
          </w:tcPr>
          <w:p w14:paraId="64F9FAFC" w14:textId="77777777" w:rsidR="00323BB2" w:rsidRPr="007761C2" w:rsidRDefault="00323BB2" w:rsidP="00453AFA">
            <w:pPr>
              <w:ind w:left="-3"/>
              <w:jc w:val="right"/>
              <w:rPr>
                <w:rFonts w:asciiTheme="minorHAnsi" w:hAnsiTheme="minorHAnsi"/>
                <w:sz w:val="20"/>
                <w:lang w:val="en-IE"/>
              </w:rPr>
            </w:pPr>
            <w:r w:rsidRPr="007761C2">
              <w:rPr>
                <w:rFonts w:asciiTheme="minorHAnsi" w:hAnsiTheme="minorHAnsi"/>
                <w:b/>
                <w:sz w:val="20"/>
                <w:lang w:val="en-IE"/>
              </w:rPr>
              <w:t>Total</w:t>
            </w:r>
          </w:p>
        </w:tc>
      </w:tr>
      <w:tr w:rsidR="00323BB2" w:rsidRPr="007761C2" w14:paraId="7B9655B0" w14:textId="77777777" w:rsidTr="00453AFA">
        <w:trPr>
          <w:trHeight w:val="267"/>
        </w:trPr>
        <w:tc>
          <w:tcPr>
            <w:tcW w:w="4027" w:type="dxa"/>
            <w:tcBorders>
              <w:bottom w:val="single" w:sz="4" w:space="0" w:color="auto"/>
            </w:tcBorders>
            <w:shd w:val="clear" w:color="auto" w:fill="auto"/>
          </w:tcPr>
          <w:p w14:paraId="600DA7CF" w14:textId="77777777" w:rsidR="00323BB2" w:rsidRPr="007761C2" w:rsidRDefault="00323BB2" w:rsidP="00453AFA">
            <w:pPr>
              <w:rPr>
                <w:rFonts w:asciiTheme="minorHAnsi" w:hAnsiTheme="minorHAnsi"/>
                <w:sz w:val="20"/>
                <w:lang w:val="en-IE"/>
              </w:rPr>
            </w:pPr>
          </w:p>
        </w:tc>
        <w:tc>
          <w:tcPr>
            <w:tcW w:w="1464" w:type="dxa"/>
            <w:tcBorders>
              <w:bottom w:val="single" w:sz="4" w:space="0" w:color="auto"/>
            </w:tcBorders>
            <w:shd w:val="clear" w:color="auto" w:fill="auto"/>
          </w:tcPr>
          <w:p w14:paraId="06EBA7A4"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£m</w:t>
            </w:r>
          </w:p>
        </w:tc>
        <w:tc>
          <w:tcPr>
            <w:tcW w:w="1297" w:type="dxa"/>
            <w:tcBorders>
              <w:bottom w:val="single" w:sz="4" w:space="0" w:color="auto"/>
            </w:tcBorders>
          </w:tcPr>
          <w:p w14:paraId="198AE039"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£m</w:t>
            </w:r>
          </w:p>
        </w:tc>
        <w:tc>
          <w:tcPr>
            <w:tcW w:w="1297" w:type="dxa"/>
            <w:tcBorders>
              <w:bottom w:val="single" w:sz="4" w:space="0" w:color="auto"/>
            </w:tcBorders>
          </w:tcPr>
          <w:p w14:paraId="7FC8B389"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£m</w:t>
            </w:r>
          </w:p>
        </w:tc>
        <w:tc>
          <w:tcPr>
            <w:tcW w:w="1413" w:type="dxa"/>
            <w:tcBorders>
              <w:bottom w:val="single" w:sz="4" w:space="0" w:color="auto"/>
            </w:tcBorders>
            <w:shd w:val="clear" w:color="auto" w:fill="auto"/>
          </w:tcPr>
          <w:p w14:paraId="519C7DE3"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£m</w:t>
            </w:r>
          </w:p>
        </w:tc>
      </w:tr>
      <w:tr w:rsidR="00323BB2" w:rsidRPr="007761C2" w14:paraId="67C72B41" w14:textId="77777777" w:rsidTr="00453AFA">
        <w:trPr>
          <w:trHeight w:val="267"/>
        </w:trPr>
        <w:tc>
          <w:tcPr>
            <w:tcW w:w="4027" w:type="dxa"/>
            <w:tcBorders>
              <w:top w:val="single" w:sz="4" w:space="0" w:color="auto"/>
            </w:tcBorders>
            <w:shd w:val="clear" w:color="auto" w:fill="auto"/>
          </w:tcPr>
          <w:p w14:paraId="5162342D" w14:textId="77777777" w:rsidR="00323BB2" w:rsidRPr="007761C2" w:rsidRDefault="00323BB2" w:rsidP="00453AFA">
            <w:pPr>
              <w:rPr>
                <w:rFonts w:asciiTheme="minorHAnsi" w:hAnsiTheme="minorHAnsi"/>
                <w:sz w:val="20"/>
                <w:lang w:val="en-IE"/>
              </w:rPr>
            </w:pPr>
          </w:p>
        </w:tc>
        <w:tc>
          <w:tcPr>
            <w:tcW w:w="1464" w:type="dxa"/>
            <w:tcBorders>
              <w:top w:val="single" w:sz="4" w:space="0" w:color="auto"/>
            </w:tcBorders>
            <w:shd w:val="clear" w:color="auto" w:fill="auto"/>
            <w:vAlign w:val="bottom"/>
          </w:tcPr>
          <w:p w14:paraId="3F788A46" w14:textId="77777777" w:rsidR="00323BB2" w:rsidRPr="007761C2" w:rsidRDefault="00323BB2" w:rsidP="00453AFA">
            <w:pPr>
              <w:ind w:left="360"/>
              <w:jc w:val="right"/>
              <w:rPr>
                <w:rFonts w:asciiTheme="minorHAnsi" w:hAnsiTheme="minorHAnsi"/>
                <w:b/>
                <w:bCs/>
                <w:sz w:val="20"/>
                <w:lang w:val="en-IE"/>
              </w:rPr>
            </w:pPr>
          </w:p>
        </w:tc>
        <w:tc>
          <w:tcPr>
            <w:tcW w:w="1297" w:type="dxa"/>
            <w:tcBorders>
              <w:top w:val="single" w:sz="4" w:space="0" w:color="auto"/>
            </w:tcBorders>
          </w:tcPr>
          <w:p w14:paraId="0E5D76CD" w14:textId="77777777" w:rsidR="00323BB2" w:rsidRPr="007761C2" w:rsidRDefault="00323BB2" w:rsidP="00453AFA">
            <w:pPr>
              <w:ind w:left="360"/>
              <w:jc w:val="right"/>
              <w:rPr>
                <w:rFonts w:asciiTheme="minorHAnsi" w:hAnsiTheme="minorHAnsi"/>
                <w:b/>
                <w:bCs/>
                <w:sz w:val="20"/>
                <w:lang w:val="en-IE"/>
              </w:rPr>
            </w:pPr>
          </w:p>
        </w:tc>
        <w:tc>
          <w:tcPr>
            <w:tcW w:w="1297" w:type="dxa"/>
            <w:tcBorders>
              <w:top w:val="single" w:sz="4" w:space="0" w:color="auto"/>
            </w:tcBorders>
          </w:tcPr>
          <w:p w14:paraId="32A34202" w14:textId="77777777" w:rsidR="00323BB2" w:rsidRPr="007761C2" w:rsidRDefault="00323BB2" w:rsidP="00453AFA">
            <w:pPr>
              <w:ind w:left="360"/>
              <w:jc w:val="right"/>
              <w:rPr>
                <w:rFonts w:asciiTheme="minorHAnsi" w:hAnsiTheme="minorHAnsi"/>
                <w:b/>
                <w:bCs/>
                <w:sz w:val="20"/>
                <w:lang w:val="en-IE"/>
              </w:rPr>
            </w:pPr>
          </w:p>
        </w:tc>
        <w:tc>
          <w:tcPr>
            <w:tcW w:w="1413" w:type="dxa"/>
            <w:tcBorders>
              <w:top w:val="single" w:sz="4" w:space="0" w:color="auto"/>
            </w:tcBorders>
            <w:shd w:val="clear" w:color="auto" w:fill="auto"/>
            <w:vAlign w:val="bottom"/>
          </w:tcPr>
          <w:p w14:paraId="3C280EA9" w14:textId="77777777" w:rsidR="00323BB2" w:rsidRPr="007761C2" w:rsidRDefault="00323BB2" w:rsidP="00453AFA">
            <w:pPr>
              <w:ind w:left="360"/>
              <w:jc w:val="right"/>
              <w:rPr>
                <w:rFonts w:asciiTheme="minorHAnsi" w:hAnsiTheme="minorHAnsi"/>
                <w:b/>
                <w:bCs/>
                <w:sz w:val="20"/>
                <w:lang w:val="en-IE"/>
              </w:rPr>
            </w:pPr>
          </w:p>
        </w:tc>
      </w:tr>
      <w:tr w:rsidR="00323BB2" w:rsidRPr="007761C2" w14:paraId="192527AE" w14:textId="77777777" w:rsidTr="00453AFA">
        <w:trPr>
          <w:trHeight w:val="267"/>
        </w:trPr>
        <w:tc>
          <w:tcPr>
            <w:tcW w:w="4027" w:type="dxa"/>
            <w:shd w:val="clear" w:color="auto" w:fill="auto"/>
          </w:tcPr>
          <w:p w14:paraId="5ED34FDA"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Bonds – FVOCI</w:t>
            </w:r>
          </w:p>
        </w:tc>
        <w:tc>
          <w:tcPr>
            <w:tcW w:w="1464" w:type="dxa"/>
            <w:shd w:val="clear" w:color="auto" w:fill="auto"/>
            <w:vAlign w:val="bottom"/>
          </w:tcPr>
          <w:p w14:paraId="6BAB45F8"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87.2</w:t>
            </w:r>
          </w:p>
        </w:tc>
        <w:tc>
          <w:tcPr>
            <w:tcW w:w="1297" w:type="dxa"/>
            <w:shd w:val="clear" w:color="auto" w:fill="auto"/>
          </w:tcPr>
          <w:p w14:paraId="24A82AE4"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w:t>
            </w:r>
          </w:p>
        </w:tc>
        <w:tc>
          <w:tcPr>
            <w:tcW w:w="1297" w:type="dxa"/>
            <w:shd w:val="clear" w:color="auto" w:fill="auto"/>
          </w:tcPr>
          <w:p w14:paraId="6282209A"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w:t>
            </w:r>
          </w:p>
        </w:tc>
        <w:tc>
          <w:tcPr>
            <w:tcW w:w="1413" w:type="dxa"/>
            <w:shd w:val="clear" w:color="auto" w:fill="auto"/>
            <w:vAlign w:val="bottom"/>
          </w:tcPr>
          <w:p w14:paraId="3529A17E"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87.2</w:t>
            </w:r>
          </w:p>
        </w:tc>
      </w:tr>
      <w:tr w:rsidR="00323BB2" w:rsidRPr="007761C2" w14:paraId="3F2698F5" w14:textId="77777777" w:rsidTr="00453AFA">
        <w:trPr>
          <w:trHeight w:val="267"/>
        </w:trPr>
        <w:tc>
          <w:tcPr>
            <w:tcW w:w="4027" w:type="dxa"/>
            <w:shd w:val="clear" w:color="auto" w:fill="auto"/>
          </w:tcPr>
          <w:p w14:paraId="41700DEF"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Investments – FVTPL</w:t>
            </w:r>
          </w:p>
        </w:tc>
        <w:tc>
          <w:tcPr>
            <w:tcW w:w="1464" w:type="dxa"/>
            <w:shd w:val="clear" w:color="auto" w:fill="auto"/>
            <w:vAlign w:val="bottom"/>
          </w:tcPr>
          <w:p w14:paraId="02D36DDC"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w:t>
            </w:r>
          </w:p>
        </w:tc>
        <w:tc>
          <w:tcPr>
            <w:tcW w:w="1297" w:type="dxa"/>
            <w:shd w:val="clear" w:color="auto" w:fill="auto"/>
          </w:tcPr>
          <w:p w14:paraId="042A30D8"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w:t>
            </w:r>
          </w:p>
        </w:tc>
        <w:tc>
          <w:tcPr>
            <w:tcW w:w="1297" w:type="dxa"/>
            <w:shd w:val="clear" w:color="auto" w:fill="auto"/>
          </w:tcPr>
          <w:p w14:paraId="61A0907B"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4.6</w:t>
            </w:r>
          </w:p>
        </w:tc>
        <w:tc>
          <w:tcPr>
            <w:tcW w:w="1413" w:type="dxa"/>
            <w:shd w:val="clear" w:color="auto" w:fill="auto"/>
            <w:vAlign w:val="bottom"/>
          </w:tcPr>
          <w:p w14:paraId="67D3B07D"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4.6</w:t>
            </w:r>
          </w:p>
        </w:tc>
      </w:tr>
      <w:tr w:rsidR="00323BB2" w:rsidRPr="007761C2" w14:paraId="4F6B741E" w14:textId="77777777" w:rsidTr="00453AFA">
        <w:trPr>
          <w:trHeight w:val="267"/>
        </w:trPr>
        <w:tc>
          <w:tcPr>
            <w:tcW w:w="4027" w:type="dxa"/>
            <w:tcBorders>
              <w:bottom w:val="single" w:sz="4" w:space="0" w:color="auto"/>
            </w:tcBorders>
            <w:shd w:val="clear" w:color="auto" w:fill="auto"/>
          </w:tcPr>
          <w:p w14:paraId="46C6B7E9"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Derivatives</w:t>
            </w:r>
          </w:p>
        </w:tc>
        <w:tc>
          <w:tcPr>
            <w:tcW w:w="1464" w:type="dxa"/>
            <w:tcBorders>
              <w:bottom w:val="single" w:sz="4" w:space="0" w:color="auto"/>
            </w:tcBorders>
            <w:shd w:val="clear" w:color="auto" w:fill="auto"/>
            <w:vAlign w:val="bottom"/>
          </w:tcPr>
          <w:p w14:paraId="508A355E"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w:t>
            </w:r>
          </w:p>
        </w:tc>
        <w:tc>
          <w:tcPr>
            <w:tcW w:w="1297" w:type="dxa"/>
            <w:tcBorders>
              <w:bottom w:val="single" w:sz="4" w:space="0" w:color="auto"/>
            </w:tcBorders>
            <w:shd w:val="clear" w:color="auto" w:fill="auto"/>
          </w:tcPr>
          <w:p w14:paraId="612E3B2D"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31.6</w:t>
            </w:r>
          </w:p>
        </w:tc>
        <w:tc>
          <w:tcPr>
            <w:tcW w:w="1297" w:type="dxa"/>
            <w:tcBorders>
              <w:bottom w:val="single" w:sz="4" w:space="0" w:color="auto"/>
            </w:tcBorders>
            <w:shd w:val="clear" w:color="auto" w:fill="auto"/>
          </w:tcPr>
          <w:p w14:paraId="45A119FE"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55.7</w:t>
            </w:r>
          </w:p>
        </w:tc>
        <w:tc>
          <w:tcPr>
            <w:tcW w:w="1413" w:type="dxa"/>
            <w:tcBorders>
              <w:bottom w:val="single" w:sz="4" w:space="0" w:color="auto"/>
            </w:tcBorders>
            <w:shd w:val="clear" w:color="auto" w:fill="auto"/>
            <w:vAlign w:val="bottom"/>
          </w:tcPr>
          <w:p w14:paraId="506F0DA6"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87.3</w:t>
            </w:r>
          </w:p>
        </w:tc>
      </w:tr>
      <w:tr w:rsidR="00323BB2" w:rsidRPr="007761C2" w14:paraId="492618F1" w14:textId="77777777" w:rsidTr="00453AFA">
        <w:trPr>
          <w:trHeight w:val="267"/>
        </w:trPr>
        <w:tc>
          <w:tcPr>
            <w:tcW w:w="4027" w:type="dxa"/>
            <w:tcBorders>
              <w:top w:val="single" w:sz="4" w:space="0" w:color="auto"/>
              <w:bottom w:val="single" w:sz="4" w:space="0" w:color="auto"/>
            </w:tcBorders>
            <w:shd w:val="clear" w:color="auto" w:fill="auto"/>
          </w:tcPr>
          <w:p w14:paraId="6852826E" w14:textId="77777777" w:rsidR="00323BB2" w:rsidRPr="007761C2" w:rsidRDefault="00323BB2" w:rsidP="00453AFA">
            <w:pPr>
              <w:rPr>
                <w:rFonts w:asciiTheme="minorHAnsi" w:hAnsiTheme="minorHAnsi"/>
                <w:b/>
                <w:sz w:val="20"/>
                <w:lang w:val="en-IE"/>
              </w:rPr>
            </w:pPr>
            <w:r w:rsidRPr="007761C2">
              <w:rPr>
                <w:rFonts w:asciiTheme="minorHAnsi" w:hAnsiTheme="minorHAnsi"/>
                <w:b/>
                <w:sz w:val="20"/>
                <w:lang w:val="en-IE"/>
              </w:rPr>
              <w:t>Total financial assets</w:t>
            </w:r>
          </w:p>
        </w:tc>
        <w:tc>
          <w:tcPr>
            <w:tcW w:w="1464" w:type="dxa"/>
            <w:tcBorders>
              <w:top w:val="single" w:sz="4" w:space="0" w:color="auto"/>
              <w:bottom w:val="single" w:sz="4" w:space="0" w:color="auto"/>
            </w:tcBorders>
            <w:shd w:val="clear" w:color="auto" w:fill="auto"/>
            <w:vAlign w:val="bottom"/>
          </w:tcPr>
          <w:p w14:paraId="4062A681"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87.2</w:t>
            </w:r>
          </w:p>
        </w:tc>
        <w:tc>
          <w:tcPr>
            <w:tcW w:w="1297" w:type="dxa"/>
            <w:tcBorders>
              <w:top w:val="single" w:sz="4" w:space="0" w:color="auto"/>
              <w:bottom w:val="single" w:sz="4" w:space="0" w:color="auto"/>
            </w:tcBorders>
            <w:shd w:val="clear" w:color="auto" w:fill="auto"/>
          </w:tcPr>
          <w:p w14:paraId="239A75F6"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31.6</w:t>
            </w:r>
          </w:p>
        </w:tc>
        <w:tc>
          <w:tcPr>
            <w:tcW w:w="1297" w:type="dxa"/>
            <w:tcBorders>
              <w:top w:val="single" w:sz="4" w:space="0" w:color="auto"/>
              <w:bottom w:val="single" w:sz="4" w:space="0" w:color="auto"/>
            </w:tcBorders>
            <w:shd w:val="clear" w:color="auto" w:fill="auto"/>
          </w:tcPr>
          <w:p w14:paraId="77AC22B3"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60.3</w:t>
            </w:r>
          </w:p>
        </w:tc>
        <w:tc>
          <w:tcPr>
            <w:tcW w:w="1413" w:type="dxa"/>
            <w:tcBorders>
              <w:top w:val="single" w:sz="4" w:space="0" w:color="auto"/>
              <w:bottom w:val="single" w:sz="4" w:space="0" w:color="auto"/>
            </w:tcBorders>
            <w:shd w:val="clear" w:color="auto" w:fill="auto"/>
            <w:vAlign w:val="bottom"/>
          </w:tcPr>
          <w:p w14:paraId="21BC200B" w14:textId="77777777" w:rsidR="00323BB2" w:rsidRPr="007761C2" w:rsidRDefault="00323BB2" w:rsidP="00453AFA">
            <w:pPr>
              <w:ind w:left="360"/>
              <w:jc w:val="right"/>
              <w:rPr>
                <w:rFonts w:asciiTheme="minorHAnsi" w:hAnsiTheme="minorHAnsi"/>
                <w:b/>
                <w:bCs/>
                <w:sz w:val="20"/>
                <w:lang w:val="en-IE"/>
              </w:rPr>
            </w:pPr>
            <w:r w:rsidRPr="007761C2">
              <w:rPr>
                <w:rFonts w:asciiTheme="minorHAnsi" w:hAnsiTheme="minorHAnsi"/>
                <w:b/>
                <w:bCs/>
                <w:sz w:val="20"/>
                <w:lang w:val="en-IE"/>
              </w:rPr>
              <w:t>179.1</w:t>
            </w:r>
          </w:p>
        </w:tc>
      </w:tr>
      <w:tr w:rsidR="00323BB2" w:rsidRPr="007761C2" w14:paraId="2122F5F0" w14:textId="77777777" w:rsidTr="00453AFA">
        <w:trPr>
          <w:trHeight w:val="267"/>
        </w:trPr>
        <w:tc>
          <w:tcPr>
            <w:tcW w:w="4027" w:type="dxa"/>
            <w:tcBorders>
              <w:top w:val="single" w:sz="4" w:space="0" w:color="auto"/>
            </w:tcBorders>
            <w:shd w:val="clear" w:color="auto" w:fill="auto"/>
          </w:tcPr>
          <w:p w14:paraId="5597B250" w14:textId="77777777" w:rsidR="00323BB2" w:rsidRPr="007761C2" w:rsidRDefault="00323BB2" w:rsidP="00453AFA">
            <w:pPr>
              <w:rPr>
                <w:rFonts w:asciiTheme="minorHAnsi" w:hAnsiTheme="minorHAnsi"/>
                <w:sz w:val="20"/>
                <w:lang w:val="en-IE"/>
              </w:rPr>
            </w:pPr>
          </w:p>
        </w:tc>
        <w:tc>
          <w:tcPr>
            <w:tcW w:w="1464" w:type="dxa"/>
            <w:tcBorders>
              <w:top w:val="single" w:sz="4" w:space="0" w:color="auto"/>
            </w:tcBorders>
            <w:shd w:val="clear" w:color="auto" w:fill="auto"/>
            <w:vAlign w:val="bottom"/>
          </w:tcPr>
          <w:p w14:paraId="37A07BF5" w14:textId="77777777" w:rsidR="00323BB2" w:rsidRPr="007761C2" w:rsidRDefault="00323BB2" w:rsidP="00453AFA">
            <w:pPr>
              <w:ind w:left="360"/>
              <w:jc w:val="right"/>
              <w:rPr>
                <w:rFonts w:asciiTheme="minorHAnsi" w:hAnsiTheme="minorHAnsi"/>
                <w:b/>
                <w:bCs/>
                <w:sz w:val="20"/>
                <w:lang w:val="en-IE"/>
              </w:rPr>
            </w:pPr>
          </w:p>
        </w:tc>
        <w:tc>
          <w:tcPr>
            <w:tcW w:w="1297" w:type="dxa"/>
            <w:tcBorders>
              <w:top w:val="single" w:sz="4" w:space="0" w:color="auto"/>
            </w:tcBorders>
            <w:shd w:val="clear" w:color="auto" w:fill="auto"/>
          </w:tcPr>
          <w:p w14:paraId="22C03821" w14:textId="77777777" w:rsidR="00323BB2" w:rsidRPr="007761C2" w:rsidRDefault="00323BB2" w:rsidP="00453AFA">
            <w:pPr>
              <w:ind w:left="360"/>
              <w:jc w:val="right"/>
              <w:rPr>
                <w:rFonts w:asciiTheme="minorHAnsi" w:hAnsiTheme="minorHAnsi"/>
                <w:b/>
                <w:bCs/>
                <w:sz w:val="20"/>
                <w:lang w:val="en-IE"/>
              </w:rPr>
            </w:pPr>
          </w:p>
        </w:tc>
        <w:tc>
          <w:tcPr>
            <w:tcW w:w="1297" w:type="dxa"/>
            <w:tcBorders>
              <w:top w:val="single" w:sz="4" w:space="0" w:color="auto"/>
            </w:tcBorders>
            <w:shd w:val="clear" w:color="auto" w:fill="auto"/>
          </w:tcPr>
          <w:p w14:paraId="43360076" w14:textId="77777777" w:rsidR="00323BB2" w:rsidRPr="007761C2" w:rsidRDefault="00323BB2" w:rsidP="00453AFA">
            <w:pPr>
              <w:ind w:left="360"/>
              <w:jc w:val="right"/>
              <w:rPr>
                <w:rFonts w:asciiTheme="minorHAnsi" w:hAnsiTheme="minorHAnsi"/>
                <w:b/>
                <w:bCs/>
                <w:sz w:val="20"/>
                <w:lang w:val="en-IE"/>
              </w:rPr>
            </w:pPr>
          </w:p>
        </w:tc>
        <w:tc>
          <w:tcPr>
            <w:tcW w:w="1413" w:type="dxa"/>
            <w:tcBorders>
              <w:top w:val="single" w:sz="4" w:space="0" w:color="auto"/>
            </w:tcBorders>
            <w:shd w:val="clear" w:color="auto" w:fill="auto"/>
            <w:vAlign w:val="bottom"/>
          </w:tcPr>
          <w:p w14:paraId="09BC8ABC" w14:textId="77777777" w:rsidR="00323BB2" w:rsidRPr="007761C2" w:rsidRDefault="00323BB2" w:rsidP="00453AFA">
            <w:pPr>
              <w:ind w:left="360"/>
              <w:jc w:val="right"/>
              <w:rPr>
                <w:rFonts w:asciiTheme="minorHAnsi" w:hAnsiTheme="minorHAnsi"/>
                <w:b/>
                <w:bCs/>
                <w:sz w:val="20"/>
                <w:lang w:val="en-IE"/>
              </w:rPr>
            </w:pPr>
          </w:p>
        </w:tc>
      </w:tr>
      <w:tr w:rsidR="00323BB2" w:rsidRPr="007761C2" w14:paraId="16BE7C2E" w14:textId="77777777" w:rsidTr="00453AFA">
        <w:trPr>
          <w:trHeight w:val="267"/>
        </w:trPr>
        <w:tc>
          <w:tcPr>
            <w:tcW w:w="4027" w:type="dxa"/>
            <w:shd w:val="clear" w:color="auto" w:fill="auto"/>
          </w:tcPr>
          <w:p w14:paraId="5541AF09"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 xml:space="preserve">Derivatives </w:t>
            </w:r>
          </w:p>
        </w:tc>
        <w:tc>
          <w:tcPr>
            <w:tcW w:w="1464" w:type="dxa"/>
            <w:shd w:val="clear" w:color="auto" w:fill="auto"/>
            <w:vAlign w:val="bottom"/>
          </w:tcPr>
          <w:p w14:paraId="53E4C49C"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bCs/>
                <w:sz w:val="20"/>
                <w:lang w:val="en-IE"/>
              </w:rPr>
              <w:t>-</w:t>
            </w:r>
          </w:p>
        </w:tc>
        <w:tc>
          <w:tcPr>
            <w:tcW w:w="1297" w:type="dxa"/>
            <w:shd w:val="clear" w:color="auto" w:fill="auto"/>
          </w:tcPr>
          <w:p w14:paraId="0A57746F"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(51.6)</w:t>
            </w:r>
          </w:p>
        </w:tc>
        <w:tc>
          <w:tcPr>
            <w:tcW w:w="1297" w:type="dxa"/>
            <w:shd w:val="clear" w:color="auto" w:fill="auto"/>
          </w:tcPr>
          <w:p w14:paraId="581A7F0B"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(32.3)</w:t>
            </w:r>
          </w:p>
        </w:tc>
        <w:tc>
          <w:tcPr>
            <w:tcW w:w="1413" w:type="dxa"/>
            <w:shd w:val="clear" w:color="auto" w:fill="auto"/>
            <w:vAlign w:val="bottom"/>
          </w:tcPr>
          <w:p w14:paraId="0B88B618"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bCs/>
                <w:sz w:val="20"/>
                <w:lang w:val="en-IE"/>
              </w:rPr>
              <w:t>(83.9)</w:t>
            </w:r>
          </w:p>
        </w:tc>
      </w:tr>
      <w:tr w:rsidR="00323BB2" w:rsidRPr="007761C2" w14:paraId="022237B4" w14:textId="77777777" w:rsidTr="00453AFA">
        <w:trPr>
          <w:trHeight w:val="267"/>
        </w:trPr>
        <w:tc>
          <w:tcPr>
            <w:tcW w:w="4027" w:type="dxa"/>
            <w:tcBorders>
              <w:bottom w:val="single" w:sz="4" w:space="0" w:color="auto"/>
            </w:tcBorders>
            <w:shd w:val="clear" w:color="auto" w:fill="auto"/>
          </w:tcPr>
          <w:p w14:paraId="24AEB2CD" w14:textId="77777777" w:rsidR="00323BB2" w:rsidRPr="007761C2" w:rsidRDefault="00323BB2" w:rsidP="00453AFA">
            <w:pPr>
              <w:ind w:right="-63"/>
              <w:rPr>
                <w:rFonts w:asciiTheme="minorHAnsi" w:hAnsiTheme="minorHAnsi"/>
                <w:sz w:val="20"/>
                <w:lang w:val="en-IE"/>
              </w:rPr>
            </w:pPr>
            <w:r w:rsidRPr="007761C2">
              <w:rPr>
                <w:rFonts w:asciiTheme="minorHAnsi" w:hAnsiTheme="minorHAnsi"/>
                <w:sz w:val="20"/>
                <w:lang w:val="en-IE"/>
              </w:rPr>
              <w:t>Non-derivative financial liabilities</w:t>
            </w:r>
          </w:p>
        </w:tc>
        <w:tc>
          <w:tcPr>
            <w:tcW w:w="1464" w:type="dxa"/>
            <w:tcBorders>
              <w:bottom w:val="single" w:sz="4" w:space="0" w:color="auto"/>
            </w:tcBorders>
            <w:shd w:val="clear" w:color="auto" w:fill="auto"/>
            <w:vAlign w:val="bottom"/>
          </w:tcPr>
          <w:p w14:paraId="5D0E1DE4"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bCs/>
                <w:sz w:val="20"/>
                <w:lang w:val="en-IE"/>
              </w:rPr>
              <w:t>-</w:t>
            </w:r>
          </w:p>
        </w:tc>
        <w:tc>
          <w:tcPr>
            <w:tcW w:w="1297" w:type="dxa"/>
            <w:tcBorders>
              <w:bottom w:val="single" w:sz="4" w:space="0" w:color="auto"/>
            </w:tcBorders>
            <w:shd w:val="clear" w:color="auto" w:fill="auto"/>
          </w:tcPr>
          <w:p w14:paraId="019D8F3F"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bCs/>
                <w:sz w:val="20"/>
                <w:lang w:val="en-IE"/>
              </w:rPr>
              <w:t>-</w:t>
            </w:r>
          </w:p>
        </w:tc>
        <w:tc>
          <w:tcPr>
            <w:tcW w:w="1297" w:type="dxa"/>
            <w:tcBorders>
              <w:bottom w:val="single" w:sz="4" w:space="0" w:color="auto"/>
            </w:tcBorders>
            <w:shd w:val="clear" w:color="auto" w:fill="auto"/>
          </w:tcPr>
          <w:p w14:paraId="148D0814"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bCs/>
                <w:sz w:val="20"/>
                <w:lang w:val="en-IE"/>
              </w:rPr>
              <w:t>(26.0)</w:t>
            </w:r>
          </w:p>
        </w:tc>
        <w:tc>
          <w:tcPr>
            <w:tcW w:w="1413" w:type="dxa"/>
            <w:tcBorders>
              <w:bottom w:val="single" w:sz="4" w:space="0" w:color="auto"/>
            </w:tcBorders>
            <w:shd w:val="clear" w:color="auto" w:fill="auto"/>
            <w:vAlign w:val="bottom"/>
          </w:tcPr>
          <w:p w14:paraId="017BB6D8"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bCs/>
                <w:sz w:val="20"/>
                <w:lang w:val="en-IE"/>
              </w:rPr>
              <w:t>(26.0)</w:t>
            </w:r>
          </w:p>
        </w:tc>
      </w:tr>
      <w:tr w:rsidR="00323BB2" w:rsidRPr="007761C2" w14:paraId="33F54BF6" w14:textId="77777777" w:rsidTr="00453AFA">
        <w:trPr>
          <w:trHeight w:val="267"/>
        </w:trPr>
        <w:tc>
          <w:tcPr>
            <w:tcW w:w="4027" w:type="dxa"/>
            <w:tcBorders>
              <w:top w:val="single" w:sz="4" w:space="0" w:color="auto"/>
              <w:bottom w:val="single" w:sz="4" w:space="0" w:color="auto"/>
            </w:tcBorders>
            <w:shd w:val="clear" w:color="auto" w:fill="auto"/>
          </w:tcPr>
          <w:p w14:paraId="75BFAB33" w14:textId="77777777" w:rsidR="00323BB2" w:rsidRPr="007761C2" w:rsidRDefault="00323BB2" w:rsidP="00453AFA">
            <w:pPr>
              <w:rPr>
                <w:rFonts w:asciiTheme="minorHAnsi" w:hAnsiTheme="minorHAnsi"/>
                <w:b/>
                <w:sz w:val="20"/>
                <w:lang w:val="en-IE"/>
              </w:rPr>
            </w:pPr>
            <w:r w:rsidRPr="007761C2">
              <w:rPr>
                <w:rFonts w:asciiTheme="minorHAnsi" w:hAnsiTheme="minorHAnsi"/>
                <w:b/>
                <w:sz w:val="20"/>
                <w:lang w:val="en-IE"/>
              </w:rPr>
              <w:t>Total financial liabilities</w:t>
            </w:r>
          </w:p>
        </w:tc>
        <w:tc>
          <w:tcPr>
            <w:tcW w:w="1464" w:type="dxa"/>
            <w:tcBorders>
              <w:top w:val="single" w:sz="4" w:space="0" w:color="auto"/>
              <w:bottom w:val="single" w:sz="4" w:space="0" w:color="auto"/>
            </w:tcBorders>
            <w:shd w:val="clear" w:color="auto" w:fill="auto"/>
          </w:tcPr>
          <w:p w14:paraId="5517B710"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w:t>
            </w:r>
          </w:p>
        </w:tc>
        <w:tc>
          <w:tcPr>
            <w:tcW w:w="1297" w:type="dxa"/>
            <w:tcBorders>
              <w:top w:val="single" w:sz="4" w:space="0" w:color="auto"/>
              <w:bottom w:val="single" w:sz="4" w:space="0" w:color="auto"/>
            </w:tcBorders>
            <w:shd w:val="clear" w:color="auto" w:fill="auto"/>
          </w:tcPr>
          <w:p w14:paraId="09D6CD89"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b/>
                <w:sz w:val="20"/>
                <w:lang w:val="en-IE"/>
              </w:rPr>
              <w:t>(51.6)</w:t>
            </w:r>
          </w:p>
        </w:tc>
        <w:tc>
          <w:tcPr>
            <w:tcW w:w="1297" w:type="dxa"/>
            <w:tcBorders>
              <w:top w:val="single" w:sz="4" w:space="0" w:color="auto"/>
              <w:bottom w:val="single" w:sz="4" w:space="0" w:color="auto"/>
            </w:tcBorders>
            <w:shd w:val="clear" w:color="auto" w:fill="auto"/>
          </w:tcPr>
          <w:p w14:paraId="1097C9C1" w14:textId="77777777" w:rsidR="00323BB2" w:rsidRPr="007761C2" w:rsidRDefault="00323BB2" w:rsidP="00453AFA">
            <w:pPr>
              <w:ind w:left="-2349"/>
              <w:jc w:val="right"/>
              <w:rPr>
                <w:rFonts w:asciiTheme="minorHAnsi" w:hAnsiTheme="minorHAnsi"/>
                <w:b/>
                <w:sz w:val="20"/>
                <w:lang w:val="en-IE"/>
              </w:rPr>
            </w:pPr>
            <w:r w:rsidRPr="007761C2">
              <w:rPr>
                <w:rFonts w:asciiTheme="minorHAnsi" w:hAnsiTheme="minorHAnsi"/>
                <w:b/>
                <w:sz w:val="20"/>
                <w:lang w:val="en-IE"/>
              </w:rPr>
              <w:t>(58.3)</w:t>
            </w:r>
          </w:p>
        </w:tc>
        <w:tc>
          <w:tcPr>
            <w:tcW w:w="1413" w:type="dxa"/>
            <w:tcBorders>
              <w:top w:val="single" w:sz="4" w:space="0" w:color="auto"/>
              <w:bottom w:val="single" w:sz="4" w:space="0" w:color="auto"/>
            </w:tcBorders>
            <w:shd w:val="clear" w:color="auto" w:fill="auto"/>
          </w:tcPr>
          <w:p w14:paraId="2A23A172" w14:textId="77777777" w:rsidR="00323BB2" w:rsidRPr="007761C2" w:rsidRDefault="00323BB2" w:rsidP="00453AFA">
            <w:pPr>
              <w:ind w:left="-2625"/>
              <w:jc w:val="right"/>
              <w:rPr>
                <w:rFonts w:asciiTheme="minorHAnsi" w:hAnsiTheme="minorHAnsi"/>
                <w:b/>
                <w:sz w:val="20"/>
                <w:lang w:val="en-IE"/>
              </w:rPr>
            </w:pPr>
            <w:r w:rsidRPr="007761C2">
              <w:rPr>
                <w:rFonts w:asciiTheme="minorHAnsi" w:hAnsiTheme="minorHAnsi"/>
                <w:b/>
                <w:sz w:val="20"/>
                <w:lang w:val="en-IE"/>
              </w:rPr>
              <w:t>(109.9)</w:t>
            </w:r>
          </w:p>
        </w:tc>
      </w:tr>
    </w:tbl>
    <w:p w14:paraId="646FE306" w14:textId="77777777" w:rsidR="00323BB2" w:rsidRPr="007761C2" w:rsidRDefault="00323BB2" w:rsidP="00323BB2">
      <w:pPr>
        <w:rPr>
          <w:rFonts w:asciiTheme="minorHAnsi" w:hAnsiTheme="minorHAnsi"/>
          <w:b/>
          <w:sz w:val="20"/>
          <w:lang w:val="en-IE"/>
        </w:rPr>
      </w:pPr>
    </w:p>
    <w:tbl>
      <w:tblPr>
        <w:tblW w:w="9498" w:type="dxa"/>
        <w:tblInd w:w="108" w:type="dxa"/>
        <w:tblLook w:val="01E0" w:firstRow="1" w:lastRow="1" w:firstColumn="1" w:lastColumn="1" w:noHBand="0" w:noVBand="0"/>
      </w:tblPr>
      <w:tblGrid>
        <w:gridCol w:w="4068"/>
        <w:gridCol w:w="1466"/>
        <w:gridCol w:w="1273"/>
        <w:gridCol w:w="1276"/>
        <w:gridCol w:w="1415"/>
      </w:tblGrid>
      <w:tr w:rsidR="00323BB2" w:rsidRPr="007761C2" w14:paraId="62153EBA" w14:textId="77777777" w:rsidTr="00453AFA">
        <w:trPr>
          <w:trHeight w:val="267"/>
        </w:trPr>
        <w:tc>
          <w:tcPr>
            <w:tcW w:w="4068" w:type="dxa"/>
            <w:tcBorders>
              <w:top w:val="single" w:sz="4" w:space="0" w:color="auto"/>
            </w:tcBorders>
            <w:shd w:val="clear" w:color="auto" w:fill="auto"/>
          </w:tcPr>
          <w:p w14:paraId="33654209" w14:textId="77777777" w:rsidR="00323BB2" w:rsidRPr="007761C2" w:rsidRDefault="00323BB2" w:rsidP="00453AFA">
            <w:pPr>
              <w:rPr>
                <w:rFonts w:asciiTheme="minorHAnsi" w:hAnsiTheme="minorHAnsi"/>
                <w:sz w:val="20"/>
                <w:lang w:val="en-IE"/>
              </w:rPr>
            </w:pPr>
          </w:p>
        </w:tc>
        <w:tc>
          <w:tcPr>
            <w:tcW w:w="5430" w:type="dxa"/>
            <w:gridSpan w:val="4"/>
            <w:tcBorders>
              <w:top w:val="single" w:sz="4" w:space="0" w:color="auto"/>
            </w:tcBorders>
            <w:shd w:val="clear" w:color="auto" w:fill="auto"/>
          </w:tcPr>
          <w:p w14:paraId="4EA3197A" w14:textId="77777777" w:rsidR="00323BB2" w:rsidRPr="007761C2" w:rsidRDefault="00323BB2" w:rsidP="00453AFA">
            <w:pPr>
              <w:ind w:left="360"/>
              <w:jc w:val="center"/>
              <w:rPr>
                <w:rFonts w:asciiTheme="minorHAnsi" w:hAnsiTheme="minorHAnsi"/>
                <w:sz w:val="20"/>
                <w:lang w:val="en-IE"/>
              </w:rPr>
            </w:pPr>
            <w:r w:rsidRPr="007761C2">
              <w:rPr>
                <w:rFonts w:asciiTheme="minorHAnsi" w:hAnsiTheme="minorHAnsi"/>
                <w:sz w:val="20"/>
                <w:lang w:val="en-IE"/>
              </w:rPr>
              <w:t>31 December 2019</w:t>
            </w:r>
          </w:p>
        </w:tc>
      </w:tr>
      <w:tr w:rsidR="00323BB2" w:rsidRPr="007761C2" w14:paraId="4E79F4BD" w14:textId="77777777" w:rsidTr="00453AFA">
        <w:trPr>
          <w:trHeight w:val="267"/>
        </w:trPr>
        <w:tc>
          <w:tcPr>
            <w:tcW w:w="4068" w:type="dxa"/>
            <w:shd w:val="clear" w:color="auto" w:fill="auto"/>
          </w:tcPr>
          <w:p w14:paraId="64144481" w14:textId="77777777" w:rsidR="00323BB2" w:rsidRPr="007761C2" w:rsidRDefault="00323BB2" w:rsidP="00453AFA">
            <w:pPr>
              <w:rPr>
                <w:rFonts w:asciiTheme="minorHAnsi" w:hAnsiTheme="minorHAnsi"/>
                <w:sz w:val="20"/>
                <w:lang w:val="en-IE"/>
              </w:rPr>
            </w:pPr>
          </w:p>
        </w:tc>
        <w:tc>
          <w:tcPr>
            <w:tcW w:w="1466" w:type="dxa"/>
            <w:shd w:val="clear" w:color="auto" w:fill="auto"/>
          </w:tcPr>
          <w:p w14:paraId="7894E805"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Level 1</w:t>
            </w:r>
          </w:p>
        </w:tc>
        <w:tc>
          <w:tcPr>
            <w:tcW w:w="1273" w:type="dxa"/>
          </w:tcPr>
          <w:p w14:paraId="0395FBE2"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Level 2</w:t>
            </w:r>
          </w:p>
        </w:tc>
        <w:tc>
          <w:tcPr>
            <w:tcW w:w="1276" w:type="dxa"/>
          </w:tcPr>
          <w:p w14:paraId="2BECCE84"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Level 3</w:t>
            </w:r>
          </w:p>
        </w:tc>
        <w:tc>
          <w:tcPr>
            <w:tcW w:w="1415" w:type="dxa"/>
            <w:shd w:val="clear" w:color="auto" w:fill="auto"/>
          </w:tcPr>
          <w:p w14:paraId="36BB6762"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Total</w:t>
            </w:r>
          </w:p>
        </w:tc>
      </w:tr>
      <w:tr w:rsidR="00323BB2" w:rsidRPr="007761C2" w14:paraId="636297C4" w14:textId="77777777" w:rsidTr="00453AFA">
        <w:trPr>
          <w:trHeight w:val="267"/>
        </w:trPr>
        <w:tc>
          <w:tcPr>
            <w:tcW w:w="4068" w:type="dxa"/>
            <w:tcBorders>
              <w:bottom w:val="single" w:sz="4" w:space="0" w:color="auto"/>
            </w:tcBorders>
            <w:shd w:val="clear" w:color="auto" w:fill="auto"/>
          </w:tcPr>
          <w:p w14:paraId="37AEE435" w14:textId="77777777" w:rsidR="00323BB2" w:rsidRPr="007761C2" w:rsidRDefault="00323BB2" w:rsidP="00453AFA">
            <w:pPr>
              <w:rPr>
                <w:rFonts w:asciiTheme="minorHAnsi" w:hAnsiTheme="minorHAnsi"/>
                <w:sz w:val="20"/>
                <w:lang w:val="en-IE"/>
              </w:rPr>
            </w:pPr>
          </w:p>
        </w:tc>
        <w:tc>
          <w:tcPr>
            <w:tcW w:w="1466" w:type="dxa"/>
            <w:tcBorders>
              <w:bottom w:val="single" w:sz="4" w:space="0" w:color="auto"/>
            </w:tcBorders>
            <w:shd w:val="clear" w:color="auto" w:fill="auto"/>
          </w:tcPr>
          <w:p w14:paraId="4B758E29"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£m</w:t>
            </w:r>
          </w:p>
        </w:tc>
        <w:tc>
          <w:tcPr>
            <w:tcW w:w="1273" w:type="dxa"/>
            <w:tcBorders>
              <w:bottom w:val="single" w:sz="4" w:space="0" w:color="auto"/>
            </w:tcBorders>
          </w:tcPr>
          <w:p w14:paraId="77DB8A9D"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£m</w:t>
            </w:r>
          </w:p>
        </w:tc>
        <w:tc>
          <w:tcPr>
            <w:tcW w:w="1276" w:type="dxa"/>
            <w:tcBorders>
              <w:bottom w:val="single" w:sz="4" w:space="0" w:color="auto"/>
            </w:tcBorders>
          </w:tcPr>
          <w:p w14:paraId="3C61B36E"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£m</w:t>
            </w:r>
          </w:p>
        </w:tc>
        <w:tc>
          <w:tcPr>
            <w:tcW w:w="1415" w:type="dxa"/>
            <w:tcBorders>
              <w:bottom w:val="single" w:sz="4" w:space="0" w:color="auto"/>
            </w:tcBorders>
            <w:shd w:val="clear" w:color="auto" w:fill="auto"/>
          </w:tcPr>
          <w:p w14:paraId="0B2D4952"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£m</w:t>
            </w:r>
          </w:p>
        </w:tc>
      </w:tr>
      <w:tr w:rsidR="00323BB2" w:rsidRPr="007761C2" w14:paraId="43E62CF5" w14:textId="77777777" w:rsidTr="00453AFA">
        <w:trPr>
          <w:trHeight w:val="267"/>
        </w:trPr>
        <w:tc>
          <w:tcPr>
            <w:tcW w:w="4068" w:type="dxa"/>
            <w:tcBorders>
              <w:top w:val="single" w:sz="4" w:space="0" w:color="auto"/>
              <w:bottom w:val="single" w:sz="4" w:space="0" w:color="auto"/>
            </w:tcBorders>
            <w:shd w:val="clear" w:color="auto" w:fill="auto"/>
          </w:tcPr>
          <w:p w14:paraId="58653742"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Investments – FVTPL</w:t>
            </w:r>
          </w:p>
        </w:tc>
        <w:tc>
          <w:tcPr>
            <w:tcW w:w="1466" w:type="dxa"/>
            <w:tcBorders>
              <w:top w:val="single" w:sz="4" w:space="0" w:color="auto"/>
              <w:bottom w:val="single" w:sz="4" w:space="0" w:color="auto"/>
            </w:tcBorders>
            <w:shd w:val="clear" w:color="auto" w:fill="auto"/>
            <w:vAlign w:val="bottom"/>
          </w:tcPr>
          <w:p w14:paraId="3E05BEE3"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bCs/>
                <w:sz w:val="20"/>
                <w:lang w:val="en-IE"/>
              </w:rPr>
              <w:t>-</w:t>
            </w:r>
          </w:p>
        </w:tc>
        <w:tc>
          <w:tcPr>
            <w:tcW w:w="1273" w:type="dxa"/>
            <w:tcBorders>
              <w:top w:val="single" w:sz="4" w:space="0" w:color="auto"/>
              <w:bottom w:val="single" w:sz="4" w:space="0" w:color="auto"/>
            </w:tcBorders>
          </w:tcPr>
          <w:p w14:paraId="7D78D11E"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bCs/>
                <w:sz w:val="20"/>
                <w:lang w:val="en-IE"/>
              </w:rPr>
              <w:t>-</w:t>
            </w:r>
          </w:p>
        </w:tc>
        <w:tc>
          <w:tcPr>
            <w:tcW w:w="1276" w:type="dxa"/>
            <w:tcBorders>
              <w:top w:val="single" w:sz="4" w:space="0" w:color="auto"/>
              <w:bottom w:val="single" w:sz="4" w:space="0" w:color="auto"/>
            </w:tcBorders>
          </w:tcPr>
          <w:p w14:paraId="1EFB771E" w14:textId="77777777" w:rsidR="00323BB2" w:rsidRPr="007761C2" w:rsidRDefault="00323BB2" w:rsidP="00453AFA">
            <w:pPr>
              <w:ind w:left="360"/>
              <w:jc w:val="right"/>
              <w:rPr>
                <w:rFonts w:asciiTheme="minorHAnsi" w:hAnsiTheme="minorHAnsi"/>
                <w:bCs/>
                <w:sz w:val="20"/>
                <w:lang w:val="en-IE"/>
              </w:rPr>
            </w:pPr>
            <w:r w:rsidRPr="007761C2">
              <w:rPr>
                <w:rFonts w:asciiTheme="minorHAnsi" w:hAnsiTheme="minorHAnsi"/>
                <w:bCs/>
                <w:sz w:val="20"/>
                <w:lang w:val="en-IE"/>
              </w:rPr>
              <w:t>0.1</w:t>
            </w:r>
          </w:p>
        </w:tc>
        <w:tc>
          <w:tcPr>
            <w:tcW w:w="1415" w:type="dxa"/>
            <w:tcBorders>
              <w:top w:val="single" w:sz="4" w:space="0" w:color="auto"/>
              <w:bottom w:val="single" w:sz="4" w:space="0" w:color="auto"/>
            </w:tcBorders>
            <w:shd w:val="clear" w:color="auto" w:fill="auto"/>
            <w:vAlign w:val="bottom"/>
          </w:tcPr>
          <w:p w14:paraId="30158042" w14:textId="77777777" w:rsidR="00323BB2" w:rsidRPr="007761C2" w:rsidRDefault="00323BB2" w:rsidP="00453AFA">
            <w:pPr>
              <w:ind w:left="360"/>
              <w:jc w:val="right"/>
              <w:rPr>
                <w:rFonts w:asciiTheme="minorHAnsi" w:hAnsiTheme="minorHAnsi"/>
                <w:bCs/>
                <w:sz w:val="20"/>
                <w:lang w:val="en-IE"/>
              </w:rPr>
            </w:pPr>
            <w:r w:rsidRPr="007761C2">
              <w:rPr>
                <w:rFonts w:asciiTheme="minorHAnsi" w:hAnsiTheme="minorHAnsi"/>
                <w:bCs/>
                <w:sz w:val="20"/>
                <w:lang w:val="en-IE"/>
              </w:rPr>
              <w:t>0.1</w:t>
            </w:r>
          </w:p>
        </w:tc>
      </w:tr>
      <w:tr w:rsidR="00323BB2" w:rsidRPr="007761C2" w14:paraId="5BE0FEE7" w14:textId="77777777" w:rsidTr="00453AFA">
        <w:trPr>
          <w:trHeight w:val="267"/>
        </w:trPr>
        <w:tc>
          <w:tcPr>
            <w:tcW w:w="4068" w:type="dxa"/>
            <w:tcBorders>
              <w:top w:val="single" w:sz="4" w:space="0" w:color="auto"/>
            </w:tcBorders>
            <w:shd w:val="clear" w:color="auto" w:fill="auto"/>
          </w:tcPr>
          <w:p w14:paraId="705789B1" w14:textId="77777777" w:rsidR="00323BB2" w:rsidRPr="007761C2" w:rsidRDefault="00323BB2" w:rsidP="00453AFA">
            <w:pPr>
              <w:rPr>
                <w:rFonts w:asciiTheme="minorHAnsi" w:hAnsiTheme="minorHAnsi"/>
                <w:sz w:val="20"/>
                <w:lang w:val="en-IE"/>
              </w:rPr>
            </w:pPr>
          </w:p>
        </w:tc>
        <w:tc>
          <w:tcPr>
            <w:tcW w:w="1466" w:type="dxa"/>
            <w:tcBorders>
              <w:top w:val="single" w:sz="4" w:space="0" w:color="auto"/>
            </w:tcBorders>
            <w:shd w:val="clear" w:color="auto" w:fill="auto"/>
          </w:tcPr>
          <w:p w14:paraId="694A5192" w14:textId="77777777" w:rsidR="00323BB2" w:rsidRPr="007761C2" w:rsidRDefault="00323BB2" w:rsidP="00453AFA">
            <w:pPr>
              <w:ind w:left="360"/>
              <w:jc w:val="right"/>
              <w:rPr>
                <w:rFonts w:asciiTheme="minorHAnsi" w:hAnsiTheme="minorHAnsi"/>
                <w:sz w:val="20"/>
                <w:lang w:val="en-IE"/>
              </w:rPr>
            </w:pPr>
          </w:p>
        </w:tc>
        <w:tc>
          <w:tcPr>
            <w:tcW w:w="1273" w:type="dxa"/>
            <w:tcBorders>
              <w:top w:val="single" w:sz="4" w:space="0" w:color="auto"/>
            </w:tcBorders>
          </w:tcPr>
          <w:p w14:paraId="63283B0F" w14:textId="77777777" w:rsidR="00323BB2" w:rsidRPr="007761C2" w:rsidRDefault="00323BB2" w:rsidP="00453AFA">
            <w:pPr>
              <w:ind w:left="360"/>
              <w:jc w:val="right"/>
              <w:rPr>
                <w:rFonts w:asciiTheme="minorHAnsi" w:hAnsiTheme="minorHAnsi"/>
                <w:sz w:val="20"/>
                <w:lang w:val="en-IE"/>
              </w:rPr>
            </w:pPr>
          </w:p>
        </w:tc>
        <w:tc>
          <w:tcPr>
            <w:tcW w:w="1276" w:type="dxa"/>
            <w:tcBorders>
              <w:top w:val="single" w:sz="4" w:space="0" w:color="auto"/>
            </w:tcBorders>
          </w:tcPr>
          <w:p w14:paraId="196E934E" w14:textId="77777777" w:rsidR="00323BB2" w:rsidRPr="007761C2" w:rsidRDefault="00323BB2" w:rsidP="00453AFA">
            <w:pPr>
              <w:ind w:left="360"/>
              <w:jc w:val="right"/>
              <w:rPr>
                <w:rFonts w:asciiTheme="minorHAnsi" w:hAnsiTheme="minorHAnsi"/>
                <w:bCs/>
                <w:sz w:val="20"/>
                <w:lang w:val="en-IE"/>
              </w:rPr>
            </w:pPr>
          </w:p>
        </w:tc>
        <w:tc>
          <w:tcPr>
            <w:tcW w:w="1415" w:type="dxa"/>
            <w:tcBorders>
              <w:top w:val="single" w:sz="4" w:space="0" w:color="auto"/>
            </w:tcBorders>
            <w:shd w:val="clear" w:color="auto" w:fill="auto"/>
            <w:vAlign w:val="bottom"/>
          </w:tcPr>
          <w:p w14:paraId="4215DD8B" w14:textId="77777777" w:rsidR="00323BB2" w:rsidRPr="007761C2" w:rsidRDefault="00323BB2" w:rsidP="00453AFA">
            <w:pPr>
              <w:ind w:left="360"/>
              <w:jc w:val="right"/>
              <w:rPr>
                <w:rFonts w:asciiTheme="minorHAnsi" w:hAnsiTheme="minorHAnsi"/>
                <w:bCs/>
                <w:sz w:val="20"/>
                <w:lang w:val="en-IE"/>
              </w:rPr>
            </w:pPr>
          </w:p>
        </w:tc>
      </w:tr>
      <w:tr w:rsidR="00323BB2" w:rsidRPr="007761C2" w14:paraId="049EDF40" w14:textId="77777777" w:rsidTr="00453AFA">
        <w:trPr>
          <w:trHeight w:val="267"/>
        </w:trPr>
        <w:tc>
          <w:tcPr>
            <w:tcW w:w="4068" w:type="dxa"/>
            <w:shd w:val="clear" w:color="auto" w:fill="auto"/>
          </w:tcPr>
          <w:p w14:paraId="619FC2DA"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Derivative financial liabilities</w:t>
            </w:r>
          </w:p>
        </w:tc>
        <w:tc>
          <w:tcPr>
            <w:tcW w:w="1466" w:type="dxa"/>
            <w:shd w:val="clear" w:color="auto" w:fill="auto"/>
          </w:tcPr>
          <w:p w14:paraId="4903045B"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w:t>
            </w:r>
          </w:p>
        </w:tc>
        <w:tc>
          <w:tcPr>
            <w:tcW w:w="1273" w:type="dxa"/>
          </w:tcPr>
          <w:p w14:paraId="13CAE4C3"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w:t>
            </w:r>
          </w:p>
        </w:tc>
        <w:tc>
          <w:tcPr>
            <w:tcW w:w="1276" w:type="dxa"/>
          </w:tcPr>
          <w:p w14:paraId="69B6CE2D"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bCs/>
                <w:sz w:val="20"/>
                <w:lang w:val="en-IE"/>
              </w:rPr>
              <w:t>(21.1)</w:t>
            </w:r>
          </w:p>
        </w:tc>
        <w:tc>
          <w:tcPr>
            <w:tcW w:w="1415" w:type="dxa"/>
            <w:shd w:val="clear" w:color="auto" w:fill="auto"/>
            <w:vAlign w:val="bottom"/>
          </w:tcPr>
          <w:p w14:paraId="25107D2D"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bCs/>
                <w:sz w:val="20"/>
                <w:lang w:val="en-IE"/>
              </w:rPr>
              <w:t>(21.1)</w:t>
            </w:r>
          </w:p>
        </w:tc>
      </w:tr>
      <w:tr w:rsidR="00323BB2" w:rsidRPr="007761C2" w14:paraId="62891FF6" w14:textId="77777777" w:rsidTr="00453AFA">
        <w:trPr>
          <w:trHeight w:val="267"/>
        </w:trPr>
        <w:tc>
          <w:tcPr>
            <w:tcW w:w="4068" w:type="dxa"/>
            <w:shd w:val="clear" w:color="auto" w:fill="auto"/>
          </w:tcPr>
          <w:p w14:paraId="5DE73AB1" w14:textId="77777777" w:rsidR="00323BB2" w:rsidRPr="007761C2" w:rsidRDefault="00323BB2" w:rsidP="00453AFA">
            <w:pPr>
              <w:rPr>
                <w:rFonts w:asciiTheme="minorHAnsi" w:hAnsiTheme="minorHAnsi"/>
                <w:sz w:val="20"/>
                <w:lang w:val="en-IE"/>
              </w:rPr>
            </w:pPr>
            <w:r w:rsidRPr="007761C2">
              <w:rPr>
                <w:rFonts w:asciiTheme="minorHAnsi" w:hAnsiTheme="minorHAnsi"/>
                <w:sz w:val="20"/>
                <w:lang w:val="en-IE"/>
              </w:rPr>
              <w:t>Non-derivative financial liabilities</w:t>
            </w:r>
          </w:p>
        </w:tc>
        <w:tc>
          <w:tcPr>
            <w:tcW w:w="1466" w:type="dxa"/>
            <w:shd w:val="clear" w:color="auto" w:fill="auto"/>
          </w:tcPr>
          <w:p w14:paraId="0AC38B18" w14:textId="77777777" w:rsidR="00323BB2" w:rsidRPr="007761C2" w:rsidRDefault="00323BB2" w:rsidP="00453AFA">
            <w:pPr>
              <w:ind w:left="360"/>
              <w:jc w:val="right"/>
              <w:rPr>
                <w:rFonts w:asciiTheme="minorHAnsi" w:hAnsiTheme="minorHAnsi"/>
                <w:sz w:val="20"/>
                <w:lang w:val="en-IE"/>
              </w:rPr>
            </w:pPr>
          </w:p>
        </w:tc>
        <w:tc>
          <w:tcPr>
            <w:tcW w:w="1273" w:type="dxa"/>
          </w:tcPr>
          <w:p w14:paraId="0ABBD5B0" w14:textId="77777777" w:rsidR="00323BB2" w:rsidRPr="007761C2" w:rsidRDefault="00323BB2" w:rsidP="00453AFA">
            <w:pPr>
              <w:ind w:left="360"/>
              <w:jc w:val="right"/>
              <w:rPr>
                <w:rFonts w:asciiTheme="minorHAnsi" w:hAnsiTheme="minorHAnsi"/>
                <w:sz w:val="20"/>
                <w:lang w:val="en-IE"/>
              </w:rPr>
            </w:pPr>
          </w:p>
        </w:tc>
        <w:tc>
          <w:tcPr>
            <w:tcW w:w="1276" w:type="dxa"/>
          </w:tcPr>
          <w:p w14:paraId="63017CBA" w14:textId="77777777" w:rsidR="00323BB2" w:rsidRPr="007761C2" w:rsidRDefault="00323BB2" w:rsidP="00453AFA">
            <w:pPr>
              <w:ind w:left="360"/>
              <w:jc w:val="right"/>
              <w:rPr>
                <w:rFonts w:asciiTheme="minorHAnsi" w:hAnsiTheme="minorHAnsi"/>
                <w:bCs/>
                <w:sz w:val="20"/>
                <w:lang w:val="en-IE"/>
              </w:rPr>
            </w:pPr>
            <w:r w:rsidRPr="007761C2">
              <w:rPr>
                <w:rFonts w:asciiTheme="minorHAnsi" w:hAnsiTheme="minorHAnsi"/>
                <w:bCs/>
                <w:sz w:val="20"/>
                <w:lang w:val="en-IE"/>
              </w:rPr>
              <w:t>(18.4)</w:t>
            </w:r>
          </w:p>
        </w:tc>
        <w:tc>
          <w:tcPr>
            <w:tcW w:w="1415" w:type="dxa"/>
            <w:shd w:val="clear" w:color="auto" w:fill="auto"/>
            <w:vAlign w:val="bottom"/>
          </w:tcPr>
          <w:p w14:paraId="4B1AE9D3" w14:textId="77777777" w:rsidR="00323BB2" w:rsidRPr="007761C2" w:rsidRDefault="00323BB2" w:rsidP="00453AFA">
            <w:pPr>
              <w:ind w:left="360"/>
              <w:jc w:val="right"/>
              <w:rPr>
                <w:rFonts w:asciiTheme="minorHAnsi" w:hAnsiTheme="minorHAnsi"/>
                <w:bCs/>
                <w:sz w:val="20"/>
                <w:lang w:val="en-IE"/>
              </w:rPr>
            </w:pPr>
            <w:r w:rsidRPr="007761C2">
              <w:rPr>
                <w:rFonts w:asciiTheme="minorHAnsi" w:hAnsiTheme="minorHAnsi"/>
                <w:bCs/>
                <w:sz w:val="20"/>
                <w:lang w:val="en-IE"/>
              </w:rPr>
              <w:t>(18.4)</w:t>
            </w:r>
          </w:p>
        </w:tc>
      </w:tr>
      <w:tr w:rsidR="00323BB2" w:rsidRPr="007761C2" w14:paraId="4B500EA6" w14:textId="77777777" w:rsidTr="00453AFA">
        <w:trPr>
          <w:trHeight w:val="267"/>
        </w:trPr>
        <w:tc>
          <w:tcPr>
            <w:tcW w:w="4068" w:type="dxa"/>
            <w:tcBorders>
              <w:top w:val="single" w:sz="4" w:space="0" w:color="auto"/>
              <w:bottom w:val="single" w:sz="4" w:space="0" w:color="auto"/>
            </w:tcBorders>
            <w:shd w:val="clear" w:color="auto" w:fill="auto"/>
          </w:tcPr>
          <w:p w14:paraId="419C182E" w14:textId="77777777" w:rsidR="00323BB2" w:rsidRPr="007761C2" w:rsidRDefault="00323BB2" w:rsidP="00453AFA">
            <w:pPr>
              <w:ind w:left="2880" w:hanging="2880"/>
              <w:rPr>
                <w:rFonts w:asciiTheme="minorHAnsi" w:hAnsiTheme="minorHAnsi"/>
                <w:sz w:val="20"/>
                <w:lang w:val="en-IE"/>
              </w:rPr>
            </w:pPr>
            <w:r w:rsidRPr="007761C2">
              <w:rPr>
                <w:rFonts w:asciiTheme="minorHAnsi" w:hAnsiTheme="minorHAnsi"/>
                <w:sz w:val="20"/>
                <w:lang w:val="en-IE"/>
              </w:rPr>
              <w:t>Total financial liabilities</w:t>
            </w:r>
          </w:p>
        </w:tc>
        <w:tc>
          <w:tcPr>
            <w:tcW w:w="1466" w:type="dxa"/>
            <w:tcBorders>
              <w:top w:val="single" w:sz="4" w:space="0" w:color="auto"/>
              <w:bottom w:val="single" w:sz="4" w:space="0" w:color="auto"/>
            </w:tcBorders>
            <w:shd w:val="clear" w:color="auto" w:fill="auto"/>
          </w:tcPr>
          <w:p w14:paraId="1C586133"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w:t>
            </w:r>
          </w:p>
        </w:tc>
        <w:tc>
          <w:tcPr>
            <w:tcW w:w="1273" w:type="dxa"/>
            <w:tcBorders>
              <w:top w:val="single" w:sz="4" w:space="0" w:color="auto"/>
              <w:bottom w:val="single" w:sz="4" w:space="0" w:color="auto"/>
            </w:tcBorders>
          </w:tcPr>
          <w:p w14:paraId="059595C2"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w:t>
            </w:r>
          </w:p>
        </w:tc>
        <w:tc>
          <w:tcPr>
            <w:tcW w:w="1276" w:type="dxa"/>
            <w:tcBorders>
              <w:top w:val="single" w:sz="4" w:space="0" w:color="auto"/>
              <w:bottom w:val="single" w:sz="4" w:space="0" w:color="auto"/>
            </w:tcBorders>
          </w:tcPr>
          <w:p w14:paraId="569ED7BE" w14:textId="77777777" w:rsidR="00323BB2" w:rsidRPr="007761C2" w:rsidRDefault="00323BB2" w:rsidP="00453AFA">
            <w:pPr>
              <w:ind w:left="360"/>
              <w:jc w:val="right"/>
              <w:rPr>
                <w:rFonts w:asciiTheme="minorHAnsi" w:hAnsiTheme="minorHAnsi"/>
                <w:sz w:val="20"/>
                <w:lang w:val="en-IE"/>
              </w:rPr>
            </w:pPr>
            <w:r w:rsidRPr="007761C2">
              <w:rPr>
                <w:rFonts w:asciiTheme="minorHAnsi" w:hAnsiTheme="minorHAnsi"/>
                <w:sz w:val="20"/>
                <w:lang w:val="en-IE"/>
              </w:rPr>
              <w:t>(39.5)</w:t>
            </w:r>
          </w:p>
        </w:tc>
        <w:tc>
          <w:tcPr>
            <w:tcW w:w="1415" w:type="dxa"/>
            <w:tcBorders>
              <w:top w:val="single" w:sz="4" w:space="0" w:color="auto"/>
              <w:bottom w:val="single" w:sz="4" w:space="0" w:color="auto"/>
            </w:tcBorders>
            <w:shd w:val="clear" w:color="auto" w:fill="auto"/>
          </w:tcPr>
          <w:p w14:paraId="26C76A91" w14:textId="77777777" w:rsidR="00323BB2" w:rsidRPr="007761C2" w:rsidRDefault="00323BB2" w:rsidP="00453AFA">
            <w:pPr>
              <w:ind w:left="360"/>
              <w:jc w:val="right"/>
              <w:rPr>
                <w:rFonts w:asciiTheme="minorHAnsi" w:hAnsiTheme="minorHAnsi"/>
                <w:b/>
                <w:sz w:val="20"/>
                <w:lang w:val="en-IE"/>
              </w:rPr>
            </w:pPr>
            <w:r w:rsidRPr="007761C2">
              <w:rPr>
                <w:rFonts w:asciiTheme="minorHAnsi" w:hAnsiTheme="minorHAnsi"/>
                <w:sz w:val="20"/>
                <w:lang w:val="en-IE"/>
              </w:rPr>
              <w:t>(39.5)</w:t>
            </w:r>
          </w:p>
        </w:tc>
      </w:tr>
    </w:tbl>
    <w:p w14:paraId="594EC534" w14:textId="77777777" w:rsidR="00323BB2" w:rsidRPr="007761C2" w:rsidRDefault="00323BB2" w:rsidP="00323BB2">
      <w:pPr>
        <w:rPr>
          <w:rFonts w:asciiTheme="minorHAnsi" w:hAnsiTheme="minorHAnsi"/>
          <w:b/>
          <w:sz w:val="20"/>
          <w:lang w:val="en-IE"/>
        </w:rPr>
      </w:pPr>
    </w:p>
    <w:p w14:paraId="3DF03FFF" w14:textId="77777777" w:rsidR="00323BB2" w:rsidRPr="007761C2" w:rsidRDefault="00323BB2" w:rsidP="00323BB2">
      <w:pPr>
        <w:keepNext/>
        <w:spacing w:after="140"/>
        <w:rPr>
          <w:rFonts w:asciiTheme="minorHAnsi" w:hAnsiTheme="minorHAnsi" w:cstheme="minorHAnsi"/>
          <w:sz w:val="20"/>
        </w:rPr>
      </w:pPr>
      <w:r w:rsidRPr="007761C2">
        <w:rPr>
          <w:rFonts w:asciiTheme="minorHAnsi" w:hAnsiTheme="minorHAnsi" w:cstheme="minorHAnsi"/>
          <w:sz w:val="20"/>
        </w:rPr>
        <w:t>The fair values of other financial assets and liabilities measured at amortised cost, other than those for which the Group has determined that their carrying values approximate their fair values on the consolidated statement of financial position as at 30 June 2020 are as follows:</w:t>
      </w:r>
    </w:p>
    <w:p w14:paraId="44D3E6E3" w14:textId="77777777" w:rsidR="00323BB2" w:rsidRPr="007761C2" w:rsidRDefault="00323BB2" w:rsidP="00323BB2">
      <w:pPr>
        <w:rPr>
          <w:rFonts w:asciiTheme="minorHAnsi" w:hAnsiTheme="minorHAnsi"/>
          <w:b/>
          <w:bCs/>
          <w:sz w:val="20"/>
          <w:lang w:val="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415"/>
        <w:gridCol w:w="1415"/>
        <w:gridCol w:w="1415"/>
        <w:gridCol w:w="1416"/>
      </w:tblGrid>
      <w:tr w:rsidR="00323BB2" w:rsidRPr="007761C2" w14:paraId="0001AAEC" w14:textId="77777777" w:rsidTr="00453AFA">
        <w:trPr>
          <w:trHeight w:val="304"/>
        </w:trPr>
        <w:tc>
          <w:tcPr>
            <w:tcW w:w="3823" w:type="dxa"/>
          </w:tcPr>
          <w:p w14:paraId="104D76B9" w14:textId="77777777" w:rsidR="00323BB2" w:rsidRPr="007761C2" w:rsidRDefault="00323BB2" w:rsidP="00453AFA">
            <w:pPr>
              <w:rPr>
                <w:rFonts w:asciiTheme="minorHAnsi" w:hAnsiTheme="minorHAnsi"/>
                <w:b/>
                <w:bCs/>
                <w:sz w:val="20"/>
                <w:lang w:val="en-IE"/>
              </w:rPr>
            </w:pPr>
          </w:p>
        </w:tc>
        <w:tc>
          <w:tcPr>
            <w:tcW w:w="5661" w:type="dxa"/>
            <w:gridSpan w:val="4"/>
          </w:tcPr>
          <w:p w14:paraId="06D04C09" w14:textId="77777777" w:rsidR="00323BB2" w:rsidRPr="007761C2" w:rsidRDefault="00323BB2" w:rsidP="00453AFA">
            <w:pPr>
              <w:jc w:val="center"/>
              <w:rPr>
                <w:rFonts w:asciiTheme="minorHAnsi" w:hAnsiTheme="minorHAnsi"/>
                <w:b/>
                <w:bCs/>
                <w:sz w:val="20"/>
                <w:lang w:val="en-IE"/>
              </w:rPr>
            </w:pPr>
            <w:r w:rsidRPr="007761C2">
              <w:rPr>
                <w:rFonts w:asciiTheme="minorHAnsi" w:hAnsiTheme="minorHAnsi"/>
                <w:b/>
                <w:bCs/>
                <w:sz w:val="20"/>
                <w:lang w:val="en-IE"/>
              </w:rPr>
              <w:t>30 June 2020</w:t>
            </w:r>
          </w:p>
        </w:tc>
      </w:tr>
      <w:tr w:rsidR="00323BB2" w:rsidRPr="007761C2" w14:paraId="37D26CE4" w14:textId="77777777" w:rsidTr="00453AFA">
        <w:tc>
          <w:tcPr>
            <w:tcW w:w="3823" w:type="dxa"/>
          </w:tcPr>
          <w:p w14:paraId="5B06D54F" w14:textId="77777777" w:rsidR="00323BB2" w:rsidRPr="007761C2" w:rsidRDefault="00323BB2" w:rsidP="00453AFA">
            <w:pPr>
              <w:rPr>
                <w:rFonts w:asciiTheme="minorHAnsi" w:hAnsiTheme="minorHAnsi"/>
                <w:b/>
                <w:bCs/>
                <w:sz w:val="20"/>
                <w:lang w:val="en-IE"/>
              </w:rPr>
            </w:pPr>
          </w:p>
        </w:tc>
        <w:tc>
          <w:tcPr>
            <w:tcW w:w="1415" w:type="dxa"/>
          </w:tcPr>
          <w:p w14:paraId="30320CAC"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sz w:val="20"/>
                <w:lang w:val="en-IE"/>
              </w:rPr>
              <w:t>Level 1</w:t>
            </w:r>
          </w:p>
        </w:tc>
        <w:tc>
          <w:tcPr>
            <w:tcW w:w="1415" w:type="dxa"/>
          </w:tcPr>
          <w:p w14:paraId="0B1CE313"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sz w:val="20"/>
                <w:lang w:val="en-IE"/>
              </w:rPr>
              <w:t>Level 2</w:t>
            </w:r>
          </w:p>
        </w:tc>
        <w:tc>
          <w:tcPr>
            <w:tcW w:w="1415" w:type="dxa"/>
          </w:tcPr>
          <w:p w14:paraId="6E401968"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sz w:val="20"/>
                <w:lang w:val="en-IE"/>
              </w:rPr>
              <w:t>Level 3</w:t>
            </w:r>
          </w:p>
        </w:tc>
        <w:tc>
          <w:tcPr>
            <w:tcW w:w="1416" w:type="dxa"/>
          </w:tcPr>
          <w:p w14:paraId="2C1B8BE4"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Total</w:t>
            </w:r>
          </w:p>
        </w:tc>
      </w:tr>
      <w:tr w:rsidR="00323BB2" w:rsidRPr="007761C2" w14:paraId="2D8FA4FE" w14:textId="77777777" w:rsidTr="00453AFA">
        <w:tc>
          <w:tcPr>
            <w:tcW w:w="3823" w:type="dxa"/>
            <w:tcBorders>
              <w:bottom w:val="single" w:sz="4" w:space="0" w:color="auto"/>
            </w:tcBorders>
          </w:tcPr>
          <w:p w14:paraId="1EA8301C" w14:textId="77777777" w:rsidR="00323BB2" w:rsidRPr="007761C2" w:rsidRDefault="00323BB2" w:rsidP="00453AFA">
            <w:pPr>
              <w:rPr>
                <w:rFonts w:asciiTheme="minorHAnsi" w:hAnsiTheme="minorHAnsi"/>
                <w:b/>
                <w:bCs/>
                <w:sz w:val="20"/>
                <w:lang w:val="en-IE"/>
              </w:rPr>
            </w:pPr>
          </w:p>
        </w:tc>
        <w:tc>
          <w:tcPr>
            <w:tcW w:w="1415" w:type="dxa"/>
            <w:tcBorders>
              <w:bottom w:val="single" w:sz="4" w:space="0" w:color="auto"/>
            </w:tcBorders>
          </w:tcPr>
          <w:p w14:paraId="354A6E60"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415" w:type="dxa"/>
            <w:tcBorders>
              <w:bottom w:val="single" w:sz="4" w:space="0" w:color="auto"/>
            </w:tcBorders>
          </w:tcPr>
          <w:p w14:paraId="0379284E"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415" w:type="dxa"/>
            <w:tcBorders>
              <w:bottom w:val="single" w:sz="4" w:space="0" w:color="auto"/>
            </w:tcBorders>
          </w:tcPr>
          <w:p w14:paraId="5A0BDA21"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416" w:type="dxa"/>
            <w:tcBorders>
              <w:bottom w:val="single" w:sz="4" w:space="0" w:color="auto"/>
            </w:tcBorders>
          </w:tcPr>
          <w:p w14:paraId="13BBFAC2"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r>
      <w:tr w:rsidR="00323BB2" w:rsidRPr="007761C2" w14:paraId="577A0A3A" w14:textId="77777777" w:rsidTr="00453AFA">
        <w:tc>
          <w:tcPr>
            <w:tcW w:w="3823" w:type="dxa"/>
            <w:tcBorders>
              <w:top w:val="single" w:sz="4" w:space="0" w:color="auto"/>
            </w:tcBorders>
          </w:tcPr>
          <w:p w14:paraId="7AB966CE" w14:textId="77777777" w:rsidR="00323BB2" w:rsidRPr="007761C2" w:rsidRDefault="00323BB2" w:rsidP="00453AFA">
            <w:pPr>
              <w:rPr>
                <w:rFonts w:asciiTheme="minorHAnsi" w:hAnsiTheme="minorHAnsi"/>
                <w:bCs/>
                <w:sz w:val="20"/>
                <w:lang w:val="en-IE"/>
              </w:rPr>
            </w:pPr>
            <w:r w:rsidRPr="007761C2">
              <w:rPr>
                <w:rFonts w:asciiTheme="minorHAnsi" w:hAnsiTheme="minorHAnsi"/>
                <w:bCs/>
                <w:sz w:val="20"/>
                <w:lang w:val="en-IE"/>
              </w:rPr>
              <w:t>First Lien Term Loans B (as defined below)</w:t>
            </w:r>
          </w:p>
        </w:tc>
        <w:tc>
          <w:tcPr>
            <w:tcW w:w="1415" w:type="dxa"/>
            <w:tcBorders>
              <w:top w:val="single" w:sz="4" w:space="0" w:color="auto"/>
            </w:tcBorders>
          </w:tcPr>
          <w:p w14:paraId="35A9F86E"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415" w:type="dxa"/>
            <w:tcBorders>
              <w:top w:val="single" w:sz="4" w:space="0" w:color="auto"/>
            </w:tcBorders>
          </w:tcPr>
          <w:p w14:paraId="54AC56B9"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1,883.1</w:t>
            </w:r>
          </w:p>
        </w:tc>
        <w:tc>
          <w:tcPr>
            <w:tcW w:w="1415" w:type="dxa"/>
            <w:tcBorders>
              <w:top w:val="single" w:sz="4" w:space="0" w:color="auto"/>
            </w:tcBorders>
          </w:tcPr>
          <w:p w14:paraId="7287CAF9"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w:t>
            </w:r>
          </w:p>
        </w:tc>
        <w:tc>
          <w:tcPr>
            <w:tcW w:w="1416" w:type="dxa"/>
            <w:tcBorders>
              <w:top w:val="single" w:sz="4" w:space="0" w:color="auto"/>
            </w:tcBorders>
          </w:tcPr>
          <w:p w14:paraId="5E82B581"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1,883.1</w:t>
            </w:r>
          </w:p>
        </w:tc>
      </w:tr>
      <w:tr w:rsidR="00323BB2" w:rsidRPr="007761C2" w14:paraId="77FFB7C7" w14:textId="77777777" w:rsidTr="00453AFA">
        <w:trPr>
          <w:trHeight w:val="144"/>
        </w:trPr>
        <w:tc>
          <w:tcPr>
            <w:tcW w:w="3823" w:type="dxa"/>
            <w:tcBorders>
              <w:bottom w:val="single" w:sz="4" w:space="0" w:color="auto"/>
            </w:tcBorders>
          </w:tcPr>
          <w:p w14:paraId="7FE73047" w14:textId="77777777" w:rsidR="00323BB2" w:rsidRPr="007761C2" w:rsidRDefault="00323BB2" w:rsidP="00453AFA">
            <w:pPr>
              <w:rPr>
                <w:rFonts w:asciiTheme="minorHAnsi" w:hAnsiTheme="minorHAnsi"/>
                <w:bCs/>
                <w:sz w:val="20"/>
                <w:lang w:val="en-IE"/>
              </w:rPr>
            </w:pPr>
            <w:r w:rsidRPr="007761C2">
              <w:rPr>
                <w:rFonts w:asciiTheme="minorHAnsi" w:hAnsiTheme="minorHAnsi"/>
                <w:bCs/>
                <w:sz w:val="20"/>
                <w:lang w:val="en-IE"/>
              </w:rPr>
              <w:t>Senior Notes</w:t>
            </w:r>
          </w:p>
        </w:tc>
        <w:tc>
          <w:tcPr>
            <w:tcW w:w="1415" w:type="dxa"/>
            <w:tcBorders>
              <w:bottom w:val="single" w:sz="4" w:space="0" w:color="auto"/>
            </w:tcBorders>
          </w:tcPr>
          <w:p w14:paraId="6334127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415" w:type="dxa"/>
            <w:tcBorders>
              <w:bottom w:val="single" w:sz="4" w:space="0" w:color="auto"/>
            </w:tcBorders>
          </w:tcPr>
          <w:p w14:paraId="5FB671F8"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857.8</w:t>
            </w:r>
          </w:p>
        </w:tc>
        <w:tc>
          <w:tcPr>
            <w:tcW w:w="1415" w:type="dxa"/>
            <w:tcBorders>
              <w:bottom w:val="single" w:sz="4" w:space="0" w:color="auto"/>
            </w:tcBorders>
          </w:tcPr>
          <w:p w14:paraId="753F1D25"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w:t>
            </w:r>
          </w:p>
        </w:tc>
        <w:tc>
          <w:tcPr>
            <w:tcW w:w="1416" w:type="dxa"/>
            <w:tcBorders>
              <w:bottom w:val="single" w:sz="4" w:space="0" w:color="auto"/>
            </w:tcBorders>
          </w:tcPr>
          <w:p w14:paraId="114DFD6B"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857.8</w:t>
            </w:r>
          </w:p>
        </w:tc>
      </w:tr>
      <w:tr w:rsidR="00323BB2" w:rsidRPr="007761C2" w14:paraId="335023F0" w14:textId="77777777" w:rsidTr="00453AFA">
        <w:tc>
          <w:tcPr>
            <w:tcW w:w="3823" w:type="dxa"/>
            <w:tcBorders>
              <w:top w:val="single" w:sz="4" w:space="0" w:color="auto"/>
              <w:bottom w:val="single" w:sz="4" w:space="0" w:color="auto"/>
            </w:tcBorders>
          </w:tcPr>
          <w:p w14:paraId="283A3931" w14:textId="77777777" w:rsidR="00323BB2" w:rsidRPr="007761C2" w:rsidRDefault="00323BB2" w:rsidP="00453AFA">
            <w:pPr>
              <w:rPr>
                <w:rFonts w:asciiTheme="minorHAnsi" w:hAnsiTheme="minorHAnsi"/>
                <w:b/>
                <w:bCs/>
                <w:sz w:val="20"/>
                <w:lang w:val="en-IE"/>
              </w:rPr>
            </w:pPr>
            <w:r w:rsidRPr="007761C2">
              <w:rPr>
                <w:rFonts w:asciiTheme="minorHAnsi" w:hAnsiTheme="minorHAnsi"/>
                <w:b/>
                <w:bCs/>
                <w:sz w:val="20"/>
                <w:lang w:val="en-IE"/>
              </w:rPr>
              <w:t>Total financial liabilities</w:t>
            </w:r>
          </w:p>
        </w:tc>
        <w:tc>
          <w:tcPr>
            <w:tcW w:w="1415" w:type="dxa"/>
            <w:tcBorders>
              <w:top w:val="single" w:sz="4" w:space="0" w:color="auto"/>
              <w:bottom w:val="single" w:sz="4" w:space="0" w:color="auto"/>
            </w:tcBorders>
          </w:tcPr>
          <w:p w14:paraId="5CB0D5DB"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415" w:type="dxa"/>
            <w:tcBorders>
              <w:top w:val="single" w:sz="4" w:space="0" w:color="auto"/>
              <w:bottom w:val="single" w:sz="4" w:space="0" w:color="auto"/>
            </w:tcBorders>
          </w:tcPr>
          <w:p w14:paraId="07091039"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2,740.9</w:t>
            </w:r>
          </w:p>
        </w:tc>
        <w:tc>
          <w:tcPr>
            <w:tcW w:w="1415" w:type="dxa"/>
            <w:tcBorders>
              <w:top w:val="single" w:sz="4" w:space="0" w:color="auto"/>
              <w:bottom w:val="single" w:sz="4" w:space="0" w:color="auto"/>
            </w:tcBorders>
          </w:tcPr>
          <w:p w14:paraId="01C01023"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w:t>
            </w:r>
          </w:p>
        </w:tc>
        <w:tc>
          <w:tcPr>
            <w:tcW w:w="1416" w:type="dxa"/>
            <w:tcBorders>
              <w:top w:val="single" w:sz="4" w:space="0" w:color="auto"/>
              <w:bottom w:val="single" w:sz="4" w:space="0" w:color="auto"/>
            </w:tcBorders>
          </w:tcPr>
          <w:p w14:paraId="4037AF62"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2,740.9</w:t>
            </w:r>
          </w:p>
        </w:tc>
      </w:tr>
    </w:tbl>
    <w:p w14:paraId="247F76CC" w14:textId="77777777" w:rsidR="00323BB2" w:rsidRPr="007761C2" w:rsidRDefault="00323BB2" w:rsidP="00323BB2">
      <w:pPr>
        <w:rPr>
          <w:rFonts w:asciiTheme="minorHAnsi" w:hAnsiTheme="minorHAnsi"/>
          <w:b/>
          <w:bCs/>
          <w:sz w:val="20"/>
          <w:lang w:val="en-IE"/>
        </w:rPr>
      </w:pPr>
    </w:p>
    <w:p w14:paraId="48FD23F6"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As part of its periodic review of fair values, the Group recognises transfers, if any, between levels of the fair value hierarchy at the end of the reporting period during which the transfer occurred. There were no transfers between levels of the fair value hierarchy during the six months ended 30 June 2020 or the year ended 31 December 2019.</w:t>
      </w:r>
    </w:p>
    <w:p w14:paraId="32596285" w14:textId="77777777" w:rsidR="00323BB2" w:rsidRPr="007761C2" w:rsidRDefault="00323BB2" w:rsidP="00323BB2">
      <w:pPr>
        <w:jc w:val="both"/>
        <w:rPr>
          <w:rFonts w:asciiTheme="minorHAnsi" w:hAnsiTheme="minorHAnsi" w:cstheme="minorHAnsi"/>
          <w:b/>
          <w:sz w:val="20"/>
        </w:rPr>
      </w:pPr>
    </w:p>
    <w:p w14:paraId="2A254D1A"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br w:type="page"/>
      </w:r>
    </w:p>
    <w:p w14:paraId="740BAE8A" w14:textId="77777777" w:rsidR="00323BB2" w:rsidRPr="007761C2" w:rsidRDefault="00323BB2" w:rsidP="00323BB2">
      <w:pPr>
        <w:rPr>
          <w:rFonts w:asciiTheme="minorHAnsi" w:hAnsiTheme="minorHAnsi"/>
          <w:sz w:val="20"/>
        </w:rPr>
      </w:pPr>
      <w:r w:rsidRPr="007761C2">
        <w:rPr>
          <w:rFonts w:asciiTheme="minorHAnsi" w:hAnsiTheme="minorHAnsi"/>
          <w:b/>
          <w:sz w:val="20"/>
          <w:lang w:val="en-IE"/>
        </w:rPr>
        <w:lastRenderedPageBreak/>
        <w:t>14. Financial instruments (continued)</w:t>
      </w:r>
    </w:p>
    <w:p w14:paraId="7F33EB00" w14:textId="77777777" w:rsidR="00323BB2" w:rsidRPr="007761C2" w:rsidRDefault="00323BB2" w:rsidP="00323BB2">
      <w:pPr>
        <w:jc w:val="both"/>
        <w:rPr>
          <w:rFonts w:asciiTheme="minorHAnsi" w:hAnsiTheme="minorHAnsi" w:cstheme="minorHAnsi"/>
          <w:b/>
          <w:sz w:val="20"/>
        </w:rPr>
      </w:pPr>
    </w:p>
    <w:p w14:paraId="05CB5D68" w14:textId="77777777" w:rsidR="00323BB2" w:rsidRPr="007761C2" w:rsidRDefault="00323BB2" w:rsidP="00323BB2">
      <w:pPr>
        <w:jc w:val="both"/>
        <w:rPr>
          <w:rFonts w:asciiTheme="minorHAnsi" w:hAnsiTheme="minorHAnsi" w:cstheme="minorHAnsi"/>
          <w:b/>
          <w:sz w:val="20"/>
        </w:rPr>
      </w:pPr>
      <w:r w:rsidRPr="007761C2">
        <w:rPr>
          <w:rFonts w:asciiTheme="minorHAnsi" w:hAnsiTheme="minorHAnsi" w:cstheme="minorHAnsi"/>
          <w:b/>
          <w:sz w:val="20"/>
        </w:rPr>
        <w:t>Valuation of Level 2 financial instruments</w:t>
      </w:r>
    </w:p>
    <w:p w14:paraId="65CB22BD" w14:textId="77777777" w:rsidR="00323BB2" w:rsidRPr="007761C2" w:rsidRDefault="00323BB2" w:rsidP="00323BB2">
      <w:pPr>
        <w:jc w:val="both"/>
        <w:rPr>
          <w:rFonts w:asciiTheme="minorHAnsi" w:hAnsiTheme="minorHAnsi" w:cstheme="minorHAnsi"/>
          <w:b/>
          <w:i/>
          <w:sz w:val="20"/>
        </w:rPr>
      </w:pPr>
    </w:p>
    <w:p w14:paraId="3D00A332" w14:textId="77777777" w:rsidR="00323BB2" w:rsidRPr="007761C2" w:rsidRDefault="00323BB2" w:rsidP="00323BB2">
      <w:pPr>
        <w:jc w:val="both"/>
        <w:rPr>
          <w:rFonts w:asciiTheme="minorHAnsi" w:hAnsiTheme="minorHAnsi" w:cstheme="minorHAnsi"/>
          <w:b/>
          <w:i/>
          <w:sz w:val="20"/>
        </w:rPr>
      </w:pPr>
      <w:r w:rsidRPr="007761C2">
        <w:rPr>
          <w:rFonts w:asciiTheme="minorHAnsi" w:hAnsiTheme="minorHAnsi" w:cstheme="minorHAnsi"/>
          <w:b/>
          <w:i/>
          <w:sz w:val="20"/>
        </w:rPr>
        <w:t>Borrowings</w:t>
      </w:r>
    </w:p>
    <w:p w14:paraId="5C819CA3" w14:textId="77777777" w:rsidR="00323BB2" w:rsidRPr="007761C2" w:rsidRDefault="00323BB2" w:rsidP="00323BB2">
      <w:pPr>
        <w:jc w:val="both"/>
        <w:rPr>
          <w:rFonts w:asciiTheme="minorHAnsi" w:hAnsiTheme="minorHAnsi" w:cstheme="minorHAnsi"/>
          <w:sz w:val="20"/>
        </w:rPr>
      </w:pPr>
    </w:p>
    <w:p w14:paraId="7363137F" w14:textId="77777777" w:rsidR="00323BB2" w:rsidRDefault="00323BB2" w:rsidP="00323BB2">
      <w:pPr>
        <w:rPr>
          <w:rFonts w:asciiTheme="minorHAnsi" w:hAnsiTheme="minorHAnsi" w:cstheme="minorHAnsi"/>
          <w:sz w:val="20"/>
        </w:rPr>
      </w:pPr>
      <w:r w:rsidRPr="007761C2">
        <w:rPr>
          <w:rFonts w:asciiTheme="minorHAnsi" w:hAnsiTheme="minorHAnsi" w:cstheme="minorHAnsi"/>
          <w:sz w:val="20"/>
        </w:rPr>
        <w:t xml:space="preserve">The Group has determined that the carrying value of the GBP First Lien Term Loan A (as defined below) approximates its fair value. The Group estimates the fair value of its First Lien Term Loans B and Senior Notes by using a composite price derived from observable market data for a basket of similar instruments which approximates fair value. </w:t>
      </w:r>
    </w:p>
    <w:p w14:paraId="3AEFD9C3" w14:textId="77777777" w:rsidR="00323BB2" w:rsidRDefault="00323BB2" w:rsidP="00323BB2">
      <w:pPr>
        <w:rPr>
          <w:rFonts w:asciiTheme="minorHAnsi" w:hAnsiTheme="minorHAnsi" w:cstheme="minorHAnsi"/>
          <w:sz w:val="20"/>
        </w:rPr>
      </w:pPr>
    </w:p>
    <w:p w14:paraId="1E81D39A" w14:textId="77777777" w:rsidR="00323BB2" w:rsidRPr="007761C2" w:rsidRDefault="00323BB2" w:rsidP="00323BB2">
      <w:pPr>
        <w:jc w:val="both"/>
        <w:rPr>
          <w:rFonts w:asciiTheme="minorHAnsi" w:hAnsiTheme="minorHAnsi" w:cstheme="minorHAnsi"/>
          <w:i/>
          <w:iCs/>
          <w:sz w:val="20"/>
        </w:rPr>
      </w:pPr>
      <w:r w:rsidRPr="007761C2">
        <w:rPr>
          <w:rFonts w:asciiTheme="minorHAnsi" w:hAnsiTheme="minorHAnsi" w:cstheme="minorHAnsi"/>
          <w:i/>
          <w:iCs/>
          <w:sz w:val="20"/>
        </w:rPr>
        <w:t>Embedded derivative</w:t>
      </w:r>
    </w:p>
    <w:p w14:paraId="759F728A"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The fair value of the 0% interest rate floor included within the EUR First Lien Term Loan B was determined using a discounted value of the estimated cash flows using the forward EURIBOR rates compared to the estimated cash flows using the floor and considering Euro interest rate volatility. </w:t>
      </w:r>
    </w:p>
    <w:p w14:paraId="00FA0FCC" w14:textId="77777777" w:rsidR="00323BB2" w:rsidRPr="007761C2" w:rsidRDefault="00323BB2" w:rsidP="00323BB2">
      <w:pPr>
        <w:rPr>
          <w:rFonts w:asciiTheme="minorHAnsi" w:hAnsiTheme="minorHAnsi"/>
          <w:b/>
          <w:bCs/>
          <w:sz w:val="20"/>
          <w:lang w:val="en-IE"/>
        </w:rPr>
      </w:pPr>
    </w:p>
    <w:p w14:paraId="143CBBBC" w14:textId="77777777" w:rsidR="00323BB2" w:rsidRPr="007761C2" w:rsidRDefault="00323BB2" w:rsidP="00323BB2">
      <w:pPr>
        <w:jc w:val="both"/>
        <w:rPr>
          <w:rFonts w:asciiTheme="minorHAnsi" w:hAnsiTheme="minorHAnsi" w:cstheme="minorHAnsi"/>
          <w:b/>
          <w:i/>
          <w:sz w:val="20"/>
        </w:rPr>
      </w:pPr>
      <w:r w:rsidRPr="007761C2">
        <w:rPr>
          <w:rFonts w:asciiTheme="minorHAnsi" w:hAnsiTheme="minorHAnsi" w:cstheme="minorHAnsi"/>
          <w:b/>
          <w:i/>
          <w:sz w:val="20"/>
        </w:rPr>
        <w:t>Derivative Financial Instruments</w:t>
      </w:r>
    </w:p>
    <w:p w14:paraId="78FADEBB" w14:textId="77777777" w:rsidR="00323BB2" w:rsidRPr="007761C2" w:rsidRDefault="00323BB2" w:rsidP="00323BB2">
      <w:pPr>
        <w:jc w:val="both"/>
        <w:rPr>
          <w:rFonts w:asciiTheme="minorHAnsi" w:hAnsiTheme="minorHAnsi" w:cstheme="minorHAnsi"/>
          <w:sz w:val="20"/>
        </w:rPr>
      </w:pPr>
    </w:p>
    <w:p w14:paraId="4B3FA38E" w14:textId="77777777" w:rsidR="00323BB2" w:rsidRPr="007761C2" w:rsidRDefault="00323BB2" w:rsidP="00323BB2">
      <w:pPr>
        <w:rPr>
          <w:rFonts w:asciiTheme="minorHAnsi" w:hAnsiTheme="minorHAnsi" w:cstheme="minorHAnsi"/>
          <w:i/>
          <w:iCs/>
          <w:sz w:val="20"/>
        </w:rPr>
      </w:pPr>
      <w:r w:rsidRPr="007761C2">
        <w:rPr>
          <w:rFonts w:asciiTheme="minorHAnsi" w:hAnsiTheme="minorHAnsi" w:cstheme="minorHAnsi"/>
          <w:i/>
          <w:iCs/>
          <w:sz w:val="20"/>
        </w:rPr>
        <w:t>Swap Agreements</w:t>
      </w:r>
    </w:p>
    <w:p w14:paraId="63726B4E"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The Group uses derivative financial instruments to manage its interest rate</w:t>
      </w:r>
      <w:r w:rsidRPr="007761C2">
        <w:rPr>
          <w:rFonts w:asciiTheme="minorHAnsi" w:hAnsiTheme="minorHAnsi" w:cstheme="minorHAnsi"/>
          <w:b/>
          <w:sz w:val="20"/>
        </w:rPr>
        <w:t xml:space="preserve"> </w:t>
      </w:r>
      <w:r w:rsidRPr="007761C2">
        <w:rPr>
          <w:rFonts w:asciiTheme="minorHAnsi" w:hAnsiTheme="minorHAnsi" w:cstheme="minorHAnsi"/>
          <w:sz w:val="20"/>
        </w:rPr>
        <w:t>and foreign currency risk. The valuation of these instruments is determined using widely accepted valuation techniques including discounted cash flow analysis of the expected cash flows of each derivative. This analysis reflects the contractual terms of the derivatives, including the period to maturity, and uses observable market-based inputs, such as interest rate curves spot and forward FX rates.</w:t>
      </w:r>
    </w:p>
    <w:p w14:paraId="378B7EAE" w14:textId="77777777" w:rsidR="00323BB2" w:rsidRPr="007761C2" w:rsidRDefault="00323BB2" w:rsidP="00323BB2">
      <w:pPr>
        <w:rPr>
          <w:rFonts w:asciiTheme="minorHAnsi" w:hAnsiTheme="minorHAnsi" w:cstheme="minorHAnsi"/>
          <w:sz w:val="20"/>
        </w:rPr>
      </w:pPr>
    </w:p>
    <w:p w14:paraId="7D87AFE6"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To comply with the provisions of IFRS 13, </w:t>
      </w:r>
      <w:r w:rsidRPr="007761C2">
        <w:rPr>
          <w:rFonts w:asciiTheme="minorHAnsi" w:hAnsiTheme="minorHAnsi" w:cstheme="minorHAnsi"/>
          <w:i/>
          <w:sz w:val="20"/>
        </w:rPr>
        <w:t>Fair value measurement</w:t>
      </w:r>
      <w:r w:rsidRPr="007761C2">
        <w:rPr>
          <w:rFonts w:asciiTheme="minorHAnsi" w:hAnsiTheme="minorHAnsi" w:cstheme="minorHAnsi"/>
          <w:sz w:val="20"/>
        </w:rPr>
        <w:t>, the Group incorporates credit valuation adjustments to appropriately reflect both its own non-performance risk and the applicable counterparty’s non-performance risk in the fair value measurements. In adjusting the fair value of its derivative contracts for the effect of non-performance risk, the Group has considered the impact of netting and any applicable credit enhancements, such as collateral postings, thresholds, mutual puts and guarantees.</w:t>
      </w:r>
    </w:p>
    <w:p w14:paraId="597410D3" w14:textId="77777777" w:rsidR="00323BB2" w:rsidRPr="007761C2" w:rsidRDefault="00323BB2" w:rsidP="00323BB2">
      <w:pPr>
        <w:rPr>
          <w:rFonts w:asciiTheme="minorHAnsi" w:hAnsiTheme="minorHAnsi" w:cstheme="minorHAnsi"/>
          <w:sz w:val="20"/>
        </w:rPr>
      </w:pPr>
    </w:p>
    <w:p w14:paraId="54B65BAC"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Although the Group has determined that the majority of the inputs used to value its derivatives fall within Level 2 of the fair value hierarchy, the credit valuation adjustments associated with its derivatives utilise Level 3 inputs, such as estimates of current credit spreads to evaluate the likelihood of default by itself and its counterparties. As of 30 June 2020, the Group has assessed the significance of the impact of the credit valuation adjustments on the overall valuation of its derivative positions, with the exception of the Embedded Derivative</w:t>
      </w:r>
      <w:r>
        <w:rPr>
          <w:rFonts w:asciiTheme="minorHAnsi" w:hAnsiTheme="minorHAnsi" w:cstheme="minorHAnsi"/>
          <w:sz w:val="20"/>
        </w:rPr>
        <w:t xml:space="preserve"> in connection with the Senior Notes</w:t>
      </w:r>
      <w:r w:rsidRPr="007761C2">
        <w:rPr>
          <w:rFonts w:asciiTheme="minorHAnsi" w:hAnsiTheme="minorHAnsi" w:cstheme="minorHAnsi"/>
          <w:sz w:val="20"/>
        </w:rPr>
        <w:t>, which is classified as Level 3, and determined that the credit valuation adjustments are not significant to the overall valuation of its derivatives. As a result, the Group determined that its valuations of its derivatives in their entirety are classified in Level 2 of the fair value hierarchy.</w:t>
      </w:r>
    </w:p>
    <w:p w14:paraId="72E7BA56" w14:textId="77777777" w:rsidR="00323BB2" w:rsidRPr="007761C2" w:rsidRDefault="00323BB2" w:rsidP="00323BB2">
      <w:pPr>
        <w:jc w:val="both"/>
        <w:rPr>
          <w:rFonts w:asciiTheme="minorHAnsi" w:hAnsiTheme="minorHAnsi" w:cstheme="minorHAnsi"/>
          <w:sz w:val="20"/>
        </w:rPr>
      </w:pPr>
    </w:p>
    <w:p w14:paraId="3EE461D0" w14:textId="77777777" w:rsidR="00323BB2" w:rsidRPr="007761C2" w:rsidRDefault="00323BB2" w:rsidP="00323BB2">
      <w:pPr>
        <w:rPr>
          <w:rFonts w:asciiTheme="minorHAnsi" w:hAnsiTheme="minorHAnsi"/>
          <w:bCs/>
          <w:sz w:val="20"/>
          <w:lang w:val="en-IE"/>
        </w:rPr>
      </w:pPr>
    </w:p>
    <w:p w14:paraId="5A894A0B" w14:textId="77777777" w:rsidR="00323BB2" w:rsidRPr="007761C2" w:rsidRDefault="00323BB2" w:rsidP="00323BB2">
      <w:pPr>
        <w:spacing w:line="288" w:lineRule="auto"/>
        <w:rPr>
          <w:rFonts w:asciiTheme="minorHAnsi" w:hAnsiTheme="minorHAnsi" w:cstheme="minorHAnsi"/>
          <w:b/>
          <w:sz w:val="20"/>
        </w:rPr>
      </w:pPr>
      <w:r w:rsidRPr="007761C2">
        <w:rPr>
          <w:rFonts w:asciiTheme="minorHAnsi" w:hAnsiTheme="minorHAnsi" w:cstheme="minorHAnsi"/>
          <w:b/>
          <w:sz w:val="20"/>
        </w:rPr>
        <w:t>Level 3 fair values</w:t>
      </w:r>
    </w:p>
    <w:p w14:paraId="5FEA6DE6" w14:textId="77777777" w:rsidR="00323BB2" w:rsidRPr="007761C2" w:rsidRDefault="00323BB2" w:rsidP="00323BB2">
      <w:pPr>
        <w:rPr>
          <w:rFonts w:asciiTheme="minorHAnsi" w:hAnsiTheme="minorHAnsi"/>
          <w:bCs/>
          <w:sz w:val="20"/>
          <w:lang w:val="en-IE"/>
        </w:rPr>
      </w:pPr>
    </w:p>
    <w:p w14:paraId="3F86EB98"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Some of the Group’s financial assets and liabilities are classified as Level 3 of the fair value hierarchy because the respective fair value determinations use inputs that are not based on observable market data. As at 30 June 2020, the valuation techniques and key inputs used by the Group for each Level 3 asset or liability were as follows:</w:t>
      </w:r>
    </w:p>
    <w:p w14:paraId="3608F44C" w14:textId="77777777" w:rsidR="00323BB2" w:rsidRPr="007761C2" w:rsidRDefault="00323BB2" w:rsidP="00323BB2">
      <w:pPr>
        <w:rPr>
          <w:rFonts w:asciiTheme="minorHAnsi" w:hAnsiTheme="minorHAnsi"/>
          <w:bCs/>
          <w:sz w:val="20"/>
          <w:lang w:val="en-IE"/>
        </w:rPr>
      </w:pPr>
    </w:p>
    <w:p w14:paraId="1090C56E" w14:textId="77777777" w:rsidR="00323BB2" w:rsidRPr="007761C2" w:rsidRDefault="00323BB2" w:rsidP="00323BB2">
      <w:pPr>
        <w:rPr>
          <w:rFonts w:asciiTheme="minorHAnsi" w:hAnsiTheme="minorHAnsi" w:cstheme="minorHAnsi"/>
          <w:i/>
          <w:sz w:val="20"/>
        </w:rPr>
      </w:pPr>
      <w:r w:rsidRPr="007761C2">
        <w:rPr>
          <w:rFonts w:asciiTheme="minorHAnsi" w:hAnsiTheme="minorHAnsi" w:cstheme="minorHAnsi"/>
          <w:i/>
          <w:sz w:val="20"/>
        </w:rPr>
        <w:t xml:space="preserve">Embedded derivative redemption option in connection with the Senior Notes issuance </w:t>
      </w:r>
    </w:p>
    <w:p w14:paraId="1CF2BAD2"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The Group used an interest rate option pricing valuation model to determine the fair value of the redemption option using an implied credit spread of 4.2% at 30 June 2020. A 10-basis point increase or decrease in the implied credit spread would have a </w:t>
      </w:r>
      <w:r w:rsidRPr="007761C2">
        <w:rPr>
          <w:rFonts w:asciiTheme="minorHAnsi" w:hAnsiTheme="minorHAnsi" w:cstheme="minorHAnsi"/>
          <w:sz w:val="20"/>
          <w:lang w:val="en-CA"/>
        </w:rPr>
        <w:t>£3.5</w:t>
      </w:r>
      <w:r w:rsidRPr="007761C2">
        <w:rPr>
          <w:rFonts w:asciiTheme="minorHAnsi" w:hAnsiTheme="minorHAnsi" w:cstheme="minorHAnsi"/>
          <w:sz w:val="20"/>
        </w:rPr>
        <w:t xml:space="preserve">m or </w:t>
      </w:r>
      <w:r w:rsidRPr="007761C2">
        <w:rPr>
          <w:rFonts w:asciiTheme="minorHAnsi" w:hAnsiTheme="minorHAnsi" w:cstheme="minorHAnsi"/>
          <w:sz w:val="20"/>
          <w:lang w:val="en-CA"/>
        </w:rPr>
        <w:t>£</w:t>
      </w:r>
      <w:r w:rsidRPr="007761C2">
        <w:rPr>
          <w:rFonts w:asciiTheme="minorHAnsi" w:hAnsiTheme="minorHAnsi" w:cstheme="minorHAnsi"/>
          <w:sz w:val="20"/>
        </w:rPr>
        <w:t xml:space="preserve">3.5m impact on fair value, respectively. Changes in the fair value of the redemption option are recorded in financial income or expense </w:t>
      </w:r>
      <w:r>
        <w:rPr>
          <w:rFonts w:asciiTheme="minorHAnsi" w:hAnsiTheme="minorHAnsi" w:cstheme="minorHAnsi"/>
          <w:sz w:val="20"/>
        </w:rPr>
        <w:t>i</w:t>
      </w:r>
      <w:r w:rsidRPr="007761C2">
        <w:rPr>
          <w:rFonts w:asciiTheme="minorHAnsi" w:hAnsiTheme="minorHAnsi" w:cstheme="minorHAnsi"/>
          <w:sz w:val="20"/>
        </w:rPr>
        <w:t>n the consolidated income statement.</w:t>
      </w:r>
    </w:p>
    <w:p w14:paraId="26F5C410" w14:textId="77777777" w:rsidR="00323BB2" w:rsidRPr="007761C2" w:rsidRDefault="00323BB2" w:rsidP="00323BB2">
      <w:pPr>
        <w:rPr>
          <w:rFonts w:asciiTheme="minorHAnsi" w:hAnsiTheme="minorHAnsi"/>
          <w:bCs/>
          <w:sz w:val="20"/>
          <w:lang w:val="en-IE"/>
        </w:rPr>
      </w:pPr>
    </w:p>
    <w:p w14:paraId="3D6F4F03" w14:textId="77777777" w:rsidR="00323BB2" w:rsidRPr="007761C2" w:rsidRDefault="00323BB2" w:rsidP="00323BB2">
      <w:pPr>
        <w:rPr>
          <w:rFonts w:asciiTheme="minorHAnsi" w:hAnsiTheme="minorHAnsi"/>
          <w:bCs/>
          <w:i/>
          <w:sz w:val="20"/>
          <w:lang w:val="en-IE"/>
        </w:rPr>
      </w:pPr>
      <w:bookmarkStart w:id="20" w:name="_Hlk14980092"/>
      <w:r w:rsidRPr="007761C2">
        <w:rPr>
          <w:rFonts w:asciiTheme="minorHAnsi" w:hAnsiTheme="minorHAnsi"/>
          <w:bCs/>
          <w:i/>
          <w:sz w:val="20"/>
          <w:lang w:val="en-IE"/>
        </w:rPr>
        <w:t xml:space="preserve">Investments </w:t>
      </w:r>
    </w:p>
    <w:bookmarkEnd w:id="20"/>
    <w:p w14:paraId="7236FE94"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 xml:space="preserve">The Group valued its equity investments in private companies with reference to earnings measures from similar businesses in the same or similar industry and adjusts for any significant changes in the earnings multiple and the valuation. A reasonable change in assumptions would not have a material impact on fair value. Changes in the fair value of equity in private companies are recorded in financial income or financial expense in the consolidated income statement. </w:t>
      </w:r>
    </w:p>
    <w:p w14:paraId="42D16176" w14:textId="77777777" w:rsidR="00323BB2" w:rsidRPr="007761C2" w:rsidRDefault="00323BB2" w:rsidP="00323BB2">
      <w:pPr>
        <w:keepLines/>
        <w:jc w:val="both"/>
        <w:rPr>
          <w:rFonts w:asciiTheme="minorHAnsi" w:hAnsiTheme="minorHAnsi" w:cstheme="minorHAnsi"/>
          <w:sz w:val="20"/>
        </w:rPr>
      </w:pPr>
    </w:p>
    <w:p w14:paraId="7594C2B5" w14:textId="77777777" w:rsidR="00323BB2" w:rsidRPr="007761C2" w:rsidRDefault="00323BB2" w:rsidP="00323BB2">
      <w:pPr>
        <w:pStyle w:val="BodyText"/>
        <w:spacing w:after="0"/>
        <w:rPr>
          <w:rFonts w:asciiTheme="minorHAnsi" w:hAnsiTheme="minorHAnsi"/>
          <w:sz w:val="20"/>
          <w:szCs w:val="20"/>
          <w:lang w:val="en-IE"/>
        </w:rPr>
      </w:pPr>
    </w:p>
    <w:p w14:paraId="66FE8799" w14:textId="77777777" w:rsidR="00323BB2" w:rsidRDefault="00323BB2">
      <w:pPr>
        <w:rPr>
          <w:rFonts w:asciiTheme="minorHAnsi" w:hAnsiTheme="minorHAnsi"/>
          <w:b/>
          <w:sz w:val="20"/>
          <w:lang w:val="en-IE"/>
        </w:rPr>
      </w:pPr>
      <w:r>
        <w:rPr>
          <w:rFonts w:asciiTheme="minorHAnsi" w:hAnsiTheme="minorHAnsi"/>
          <w:b/>
          <w:sz w:val="20"/>
          <w:lang w:val="en-IE"/>
        </w:rPr>
        <w:br w:type="page"/>
      </w:r>
    </w:p>
    <w:p w14:paraId="4DA4DD83" w14:textId="77777777" w:rsidR="00323BB2" w:rsidRPr="007761C2" w:rsidRDefault="00323BB2" w:rsidP="00323BB2">
      <w:pPr>
        <w:rPr>
          <w:rFonts w:asciiTheme="minorHAnsi" w:hAnsiTheme="minorHAnsi"/>
          <w:sz w:val="20"/>
        </w:rPr>
      </w:pPr>
      <w:r w:rsidRPr="007761C2">
        <w:rPr>
          <w:rFonts w:asciiTheme="minorHAnsi" w:hAnsiTheme="minorHAnsi"/>
          <w:b/>
          <w:sz w:val="20"/>
          <w:lang w:val="en-IE"/>
        </w:rPr>
        <w:lastRenderedPageBreak/>
        <w:t>14. Financial instruments (continued)</w:t>
      </w:r>
    </w:p>
    <w:p w14:paraId="48D2B7C4" w14:textId="77777777" w:rsidR="00323BB2" w:rsidRPr="007761C2" w:rsidRDefault="00323BB2" w:rsidP="00323BB2">
      <w:pPr>
        <w:rPr>
          <w:rFonts w:asciiTheme="minorHAnsi" w:hAnsiTheme="minorHAnsi"/>
          <w:bCs/>
          <w:i/>
          <w:sz w:val="20"/>
          <w:lang w:val="en-IE"/>
        </w:rPr>
      </w:pPr>
    </w:p>
    <w:p w14:paraId="56E0B77D" w14:textId="77777777" w:rsidR="00323BB2" w:rsidRPr="007761C2" w:rsidRDefault="00323BB2" w:rsidP="00323BB2">
      <w:pPr>
        <w:rPr>
          <w:rFonts w:asciiTheme="minorHAnsi" w:hAnsiTheme="minorHAnsi"/>
          <w:bCs/>
          <w:i/>
          <w:sz w:val="20"/>
          <w:lang w:val="en-IE"/>
        </w:rPr>
      </w:pPr>
      <w:r w:rsidRPr="007761C2">
        <w:rPr>
          <w:rFonts w:asciiTheme="minorHAnsi" w:hAnsiTheme="minorHAnsi"/>
          <w:bCs/>
          <w:i/>
          <w:sz w:val="20"/>
          <w:lang w:val="en-IE"/>
        </w:rPr>
        <w:t>Sports betting open positions (Level 3)</w:t>
      </w:r>
    </w:p>
    <w:p w14:paraId="05EC15B9" w14:textId="77777777" w:rsidR="00323BB2" w:rsidRPr="007761C2" w:rsidRDefault="00323BB2" w:rsidP="00323BB2">
      <w:pPr>
        <w:rPr>
          <w:rFonts w:asciiTheme="minorHAnsi" w:hAnsiTheme="minorHAnsi" w:cstheme="minorHAnsi"/>
          <w:sz w:val="20"/>
        </w:rPr>
      </w:pPr>
      <w:r w:rsidRPr="007761C2">
        <w:rPr>
          <w:rFonts w:asciiTheme="minorHAnsi" w:hAnsiTheme="minorHAnsi"/>
          <w:bCs/>
          <w:sz w:val="20"/>
          <w:lang w:val="en-IE"/>
        </w:rPr>
        <w:t>Derivative financial liabilities comprise sports betting open positions.</w:t>
      </w:r>
      <w:r w:rsidRPr="007761C2">
        <w:rPr>
          <w:rFonts w:asciiTheme="minorHAnsi" w:hAnsiTheme="minorHAnsi"/>
          <w:sz w:val="20"/>
          <w:lang w:val="en-IE"/>
        </w:rPr>
        <w:t xml:space="preserve">  The fair value of open sports bets at the period end has been calculated using the latest available prices on relevant sporting events. </w:t>
      </w:r>
      <w:r w:rsidRPr="007761C2">
        <w:rPr>
          <w:rFonts w:asciiTheme="minorHAnsi" w:hAnsiTheme="minorHAnsi" w:cstheme="minorHAnsi"/>
          <w:sz w:val="20"/>
        </w:rPr>
        <w:t xml:space="preserve">Changes in the fair value of the unsettled bets are recorded in Revenue </w:t>
      </w:r>
      <w:r>
        <w:rPr>
          <w:rFonts w:asciiTheme="minorHAnsi" w:hAnsiTheme="minorHAnsi" w:cstheme="minorHAnsi"/>
          <w:sz w:val="20"/>
        </w:rPr>
        <w:t>i</w:t>
      </w:r>
      <w:r w:rsidRPr="007761C2">
        <w:rPr>
          <w:rFonts w:asciiTheme="minorHAnsi" w:hAnsiTheme="minorHAnsi" w:cstheme="minorHAnsi"/>
          <w:sz w:val="20"/>
        </w:rPr>
        <w:t>n the Condensed consolidated income statement.</w:t>
      </w:r>
    </w:p>
    <w:p w14:paraId="4D0A0F7B" w14:textId="77777777" w:rsidR="00323BB2" w:rsidRPr="007761C2" w:rsidRDefault="00323BB2" w:rsidP="00323BB2">
      <w:pPr>
        <w:rPr>
          <w:rFonts w:asciiTheme="minorHAnsi" w:hAnsiTheme="minorHAnsi"/>
          <w:bCs/>
          <w:sz w:val="20"/>
          <w:lang w:val="en-IE"/>
        </w:rPr>
      </w:pPr>
    </w:p>
    <w:p w14:paraId="1600C125" w14:textId="77777777" w:rsidR="00323BB2" w:rsidRPr="007761C2" w:rsidRDefault="00323BB2" w:rsidP="00323BB2">
      <w:pPr>
        <w:rPr>
          <w:rFonts w:asciiTheme="minorHAnsi" w:hAnsiTheme="minorHAnsi" w:cstheme="minorHAnsi"/>
          <w:sz w:val="20"/>
        </w:rPr>
      </w:pPr>
      <w:r w:rsidRPr="007761C2">
        <w:rPr>
          <w:rFonts w:asciiTheme="minorHAnsi" w:hAnsiTheme="minorHAnsi"/>
          <w:bCs/>
          <w:sz w:val="20"/>
          <w:lang w:val="en-IE"/>
        </w:rPr>
        <w:t>It is primarily based on expectations as to the results of sporting and other events on which bets are placed. Changes in those expectations and ultimately the actual results when the events occur will result in changes in fair value. There are no reasonably probable changes to assumptions and inputs that would lead to material changes in the fair value methodology although final value will be determined by future sporting results.</w:t>
      </w:r>
    </w:p>
    <w:p w14:paraId="35FE6BA7" w14:textId="77777777" w:rsidR="00323BB2" w:rsidRPr="007761C2" w:rsidRDefault="00323BB2" w:rsidP="00323BB2">
      <w:pPr>
        <w:rPr>
          <w:rFonts w:asciiTheme="minorHAnsi" w:hAnsiTheme="minorHAnsi"/>
          <w:bCs/>
          <w:sz w:val="20"/>
          <w:lang w:val="en-IE"/>
        </w:rPr>
      </w:pPr>
    </w:p>
    <w:p w14:paraId="7C74BCE2" w14:textId="77777777" w:rsidR="00323BB2" w:rsidRPr="007761C2" w:rsidRDefault="00323BB2" w:rsidP="00323BB2">
      <w:pPr>
        <w:rPr>
          <w:rFonts w:asciiTheme="minorHAnsi" w:hAnsiTheme="minorHAnsi" w:cstheme="minorHAnsi"/>
          <w:b/>
          <w:i/>
          <w:sz w:val="20"/>
        </w:rPr>
      </w:pPr>
      <w:r w:rsidRPr="007761C2">
        <w:rPr>
          <w:rFonts w:asciiTheme="minorHAnsi" w:hAnsiTheme="minorHAnsi" w:cstheme="minorHAnsi"/>
          <w:b/>
          <w:i/>
          <w:sz w:val="20"/>
        </w:rPr>
        <w:t>Non-derivative financial liabilities (Level 3)</w:t>
      </w:r>
    </w:p>
    <w:p w14:paraId="257F146D" w14:textId="77777777" w:rsidR="00323BB2" w:rsidRPr="007761C2" w:rsidRDefault="00323BB2" w:rsidP="00323BB2">
      <w:pPr>
        <w:rPr>
          <w:rFonts w:asciiTheme="minorHAnsi" w:hAnsiTheme="minorHAnsi"/>
          <w:i/>
          <w:sz w:val="20"/>
          <w:lang w:val="en-IE"/>
        </w:rPr>
      </w:pPr>
    </w:p>
    <w:p w14:paraId="173F69D9" w14:textId="77777777" w:rsidR="00323BB2" w:rsidRPr="007761C2" w:rsidRDefault="00323BB2" w:rsidP="00323BB2">
      <w:pPr>
        <w:rPr>
          <w:rFonts w:asciiTheme="minorHAnsi" w:hAnsiTheme="minorHAnsi"/>
          <w:i/>
          <w:sz w:val="20"/>
          <w:lang w:val="en-IE"/>
        </w:rPr>
      </w:pPr>
      <w:r w:rsidRPr="007761C2">
        <w:rPr>
          <w:rFonts w:asciiTheme="minorHAnsi" w:hAnsiTheme="minorHAnsi"/>
          <w:i/>
          <w:sz w:val="20"/>
          <w:lang w:val="en-IE"/>
        </w:rPr>
        <w:t>Contingent consideration (Level 3)</w:t>
      </w:r>
    </w:p>
    <w:p w14:paraId="76CC71E9" w14:textId="77777777" w:rsidR="00323BB2" w:rsidRPr="007761C2" w:rsidRDefault="00323BB2" w:rsidP="00323BB2">
      <w:pPr>
        <w:rPr>
          <w:rFonts w:asciiTheme="minorHAnsi" w:hAnsiTheme="minorHAnsi"/>
          <w:bCs/>
          <w:sz w:val="20"/>
          <w:lang w:val="en-IE"/>
        </w:rPr>
      </w:pPr>
      <w:r w:rsidRPr="007761C2">
        <w:rPr>
          <w:rFonts w:asciiTheme="minorHAnsi" w:hAnsiTheme="minorHAnsi"/>
          <w:sz w:val="20"/>
          <w:lang w:val="en-IE"/>
        </w:rPr>
        <w:t xml:space="preserve">Non-derivative financial liabilities includes contingent consideration.  The contingent consideration payable is determined with reference to forecast performance for the acquired businesses during the relevant time periods and the amounts to be paid in such scenarios. </w:t>
      </w:r>
      <w:r w:rsidRPr="007761C2">
        <w:rPr>
          <w:rFonts w:asciiTheme="minorHAnsi" w:hAnsiTheme="minorHAnsi"/>
          <w:bCs/>
          <w:sz w:val="20"/>
          <w:lang w:val="en-IE"/>
        </w:rPr>
        <w:t>The fair value was estimated by assigning probabilities to the potential payout scenarios. The significant unobservable inputs are forecast performance for the acquired businesses.</w:t>
      </w:r>
    </w:p>
    <w:p w14:paraId="1C3AEDCF" w14:textId="77777777" w:rsidR="00323BB2" w:rsidRPr="007761C2" w:rsidRDefault="00323BB2" w:rsidP="00323BB2">
      <w:pPr>
        <w:rPr>
          <w:rFonts w:asciiTheme="minorHAnsi" w:hAnsiTheme="minorHAnsi"/>
          <w:b/>
          <w:bCs/>
          <w:sz w:val="20"/>
          <w:lang w:val="en-IE"/>
        </w:rPr>
      </w:pPr>
    </w:p>
    <w:p w14:paraId="1BC1E2E9" w14:textId="77777777" w:rsidR="00323BB2" w:rsidRPr="007761C2" w:rsidRDefault="00323BB2" w:rsidP="00323BB2">
      <w:pPr>
        <w:rPr>
          <w:rFonts w:asciiTheme="minorHAnsi" w:hAnsiTheme="minorHAnsi"/>
          <w:bCs/>
          <w:sz w:val="20"/>
          <w:lang w:val="en-IE"/>
        </w:rPr>
      </w:pPr>
      <w:r w:rsidRPr="007761C2">
        <w:rPr>
          <w:rFonts w:asciiTheme="minorHAnsi" w:hAnsiTheme="minorHAnsi"/>
          <w:bCs/>
          <w:sz w:val="20"/>
          <w:lang w:val="en-IE"/>
        </w:rPr>
        <w:t>The fair value of contingent consideration is primarily dependent on forecast performance for the acquired businesses in excess of a predetermined base target. An increase and decrease of 10% in the excess over the predetermined base target during the relevant time periods would increase and decrease the value of contingent consideration at 30 June 2020 by £1.7m and £1.7m respectively (31 December 2019: £0.</w:t>
      </w:r>
      <w:r>
        <w:rPr>
          <w:rFonts w:asciiTheme="minorHAnsi" w:hAnsiTheme="minorHAnsi"/>
          <w:bCs/>
          <w:sz w:val="20"/>
          <w:lang w:val="en-IE"/>
        </w:rPr>
        <w:t>7</w:t>
      </w:r>
      <w:r w:rsidRPr="007761C2">
        <w:rPr>
          <w:rFonts w:asciiTheme="minorHAnsi" w:hAnsiTheme="minorHAnsi"/>
          <w:bCs/>
          <w:sz w:val="20"/>
          <w:lang w:val="en-IE"/>
        </w:rPr>
        <w:t>m and £0.</w:t>
      </w:r>
      <w:r>
        <w:rPr>
          <w:rFonts w:asciiTheme="minorHAnsi" w:hAnsiTheme="minorHAnsi"/>
          <w:bCs/>
          <w:sz w:val="20"/>
          <w:lang w:val="en-IE"/>
        </w:rPr>
        <w:t>7</w:t>
      </w:r>
      <w:r w:rsidRPr="007761C2">
        <w:rPr>
          <w:rFonts w:asciiTheme="minorHAnsi" w:hAnsiTheme="minorHAnsi"/>
          <w:bCs/>
          <w:sz w:val="20"/>
          <w:lang w:val="en-IE"/>
        </w:rPr>
        <w:t>m).</w:t>
      </w:r>
    </w:p>
    <w:p w14:paraId="782ACDC5" w14:textId="77777777" w:rsidR="00323BB2" w:rsidRPr="007761C2" w:rsidRDefault="00323BB2" w:rsidP="00323BB2">
      <w:pPr>
        <w:rPr>
          <w:rFonts w:asciiTheme="minorHAnsi" w:hAnsiTheme="minorHAnsi"/>
          <w:bCs/>
          <w:sz w:val="20"/>
          <w:lang w:val="en-IE"/>
        </w:rPr>
      </w:pPr>
    </w:p>
    <w:p w14:paraId="1D250990" w14:textId="77777777" w:rsidR="00323BB2" w:rsidRPr="007761C2" w:rsidRDefault="00323BB2" w:rsidP="00323BB2">
      <w:pPr>
        <w:keepLines/>
        <w:rPr>
          <w:rFonts w:asciiTheme="minorHAnsi" w:hAnsiTheme="minorHAnsi" w:cstheme="minorHAnsi"/>
          <w:i/>
          <w:sz w:val="20"/>
        </w:rPr>
      </w:pPr>
      <w:r w:rsidRPr="007761C2">
        <w:rPr>
          <w:rFonts w:asciiTheme="minorHAnsi" w:hAnsiTheme="minorHAnsi" w:cstheme="minorHAnsi"/>
          <w:i/>
          <w:sz w:val="20"/>
        </w:rPr>
        <w:t>EBITDA support agreement (Level 3)</w:t>
      </w:r>
    </w:p>
    <w:p w14:paraId="30EC8AB1"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In connection with the initial public offering Innova Gaming Group Inc. (TSX: IGG) (“Innova”), TSG entered into an EBITDA support agreement with Innova. The Group uses a net present value approach for the EBITDA support agreement. T</w:t>
      </w:r>
      <w:r w:rsidRPr="007761C2">
        <w:rPr>
          <w:rFonts w:asciiTheme="minorHAnsi" w:hAnsiTheme="minorHAnsi"/>
          <w:bCs/>
          <w:sz w:val="20"/>
          <w:lang w:val="en-IE"/>
        </w:rPr>
        <w:t>here are no reasonably probable changes to assumptions and inputs that would lead to material changes in the fair value methodology.</w:t>
      </w:r>
    </w:p>
    <w:p w14:paraId="7D9176AC" w14:textId="77777777" w:rsidR="00323BB2" w:rsidRPr="007761C2" w:rsidRDefault="00323BB2" w:rsidP="00323BB2">
      <w:pPr>
        <w:keepLines/>
        <w:jc w:val="both"/>
        <w:rPr>
          <w:rFonts w:asciiTheme="minorHAnsi" w:hAnsiTheme="minorHAnsi" w:cstheme="minorHAnsi"/>
          <w:sz w:val="20"/>
        </w:rPr>
      </w:pPr>
    </w:p>
    <w:p w14:paraId="5082A489" w14:textId="77777777" w:rsidR="00323BB2" w:rsidRPr="007761C2" w:rsidRDefault="00323BB2" w:rsidP="00323BB2">
      <w:pPr>
        <w:rPr>
          <w:rFonts w:asciiTheme="minorHAnsi" w:hAnsiTheme="minorHAnsi"/>
          <w:bCs/>
          <w:sz w:val="20"/>
          <w:lang w:val="en-IE"/>
        </w:rPr>
      </w:pPr>
    </w:p>
    <w:p w14:paraId="3EEF05F1" w14:textId="77777777" w:rsidR="00323BB2" w:rsidRPr="007761C2" w:rsidRDefault="00323BB2" w:rsidP="00323BB2">
      <w:pPr>
        <w:rPr>
          <w:rFonts w:ascii="Times New Roman" w:hAnsi="Times New Roman"/>
          <w:b/>
          <w:sz w:val="20"/>
          <w:lang w:val="en-IE"/>
        </w:rPr>
      </w:pPr>
      <w:r w:rsidRPr="007761C2">
        <w:rPr>
          <w:b/>
          <w:sz w:val="20"/>
          <w:lang w:val="en-IE"/>
        </w:rPr>
        <w:br w:type="page"/>
      </w:r>
    </w:p>
    <w:p w14:paraId="72C3D726" w14:textId="77777777" w:rsidR="00323BB2" w:rsidRPr="007761C2" w:rsidRDefault="00323BB2" w:rsidP="00323BB2">
      <w:pPr>
        <w:rPr>
          <w:rFonts w:asciiTheme="minorHAnsi" w:hAnsiTheme="minorHAnsi"/>
          <w:b/>
          <w:sz w:val="20"/>
          <w:lang w:val="en-IE"/>
        </w:rPr>
      </w:pPr>
      <w:bookmarkStart w:id="21" w:name="_Hlk13832089"/>
      <w:r w:rsidRPr="007761C2">
        <w:rPr>
          <w:rFonts w:asciiTheme="minorHAnsi" w:hAnsiTheme="minorHAnsi"/>
          <w:b/>
          <w:sz w:val="20"/>
          <w:lang w:val="en-IE"/>
        </w:rPr>
        <w:lastRenderedPageBreak/>
        <w:t xml:space="preserve">15. Borrowings </w:t>
      </w:r>
    </w:p>
    <w:p w14:paraId="5E21BC85" w14:textId="77777777" w:rsidR="00323BB2" w:rsidRPr="007761C2" w:rsidRDefault="00323BB2" w:rsidP="00323BB2">
      <w:pPr>
        <w:rPr>
          <w:rFonts w:asciiTheme="minorHAnsi" w:hAnsiTheme="minorHAnsi"/>
          <w:b/>
          <w:sz w:val="20"/>
          <w:lang w:val="en-IE"/>
        </w:rPr>
      </w:pPr>
    </w:p>
    <w:p w14:paraId="4F4A33ED" w14:textId="77777777" w:rsidR="00323BB2" w:rsidRPr="007761C2" w:rsidRDefault="00323BB2" w:rsidP="00323BB2">
      <w:pPr>
        <w:rPr>
          <w:rFonts w:asciiTheme="minorHAnsi" w:hAnsiTheme="minorHAnsi" w:cstheme="minorHAnsi"/>
          <w:sz w:val="20"/>
          <w:lang w:val="en-IE"/>
        </w:rPr>
      </w:pPr>
      <w:r w:rsidRPr="007761C2">
        <w:rPr>
          <w:rFonts w:asciiTheme="minorHAnsi" w:hAnsiTheme="minorHAnsi" w:cstheme="minorHAnsi"/>
          <w:sz w:val="20"/>
        </w:rPr>
        <w:t>The following is a summary of borrowings, including accrued interest, outstanding as at 30 June 2020 and 31 December 2019.</w:t>
      </w:r>
    </w:p>
    <w:p w14:paraId="6CB6DD5E" w14:textId="77777777" w:rsidR="00323BB2" w:rsidRPr="007761C2" w:rsidRDefault="00323BB2" w:rsidP="00323BB2">
      <w:pPr>
        <w:rPr>
          <w:rFonts w:asciiTheme="minorHAnsi" w:hAnsiTheme="minorHAnsi"/>
          <w:sz w:val="20"/>
          <w:lang w:val="en-IE"/>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18"/>
        <w:gridCol w:w="1417"/>
        <w:gridCol w:w="1276"/>
        <w:gridCol w:w="1418"/>
        <w:gridCol w:w="1417"/>
      </w:tblGrid>
      <w:tr w:rsidR="00323BB2" w:rsidRPr="007761C2" w14:paraId="01A37625" w14:textId="77777777" w:rsidTr="00453AFA">
        <w:trPr>
          <w:trHeight w:val="1955"/>
        </w:trPr>
        <w:tc>
          <w:tcPr>
            <w:tcW w:w="3402" w:type="dxa"/>
          </w:tcPr>
          <w:p w14:paraId="3E5749EC" w14:textId="77777777" w:rsidR="00323BB2" w:rsidRPr="007761C2" w:rsidRDefault="00323BB2" w:rsidP="00453AFA">
            <w:pPr>
              <w:rPr>
                <w:rFonts w:asciiTheme="minorHAnsi" w:hAnsiTheme="minorHAnsi"/>
                <w:sz w:val="20"/>
                <w:lang w:val="en-IE"/>
              </w:rPr>
            </w:pPr>
          </w:p>
        </w:tc>
        <w:tc>
          <w:tcPr>
            <w:tcW w:w="1418" w:type="dxa"/>
            <w:vAlign w:val="bottom"/>
          </w:tcPr>
          <w:p w14:paraId="35BBB66E"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b/>
                <w:sz w:val="20"/>
              </w:rPr>
              <w:t>Contractual interest rate</w:t>
            </w:r>
          </w:p>
        </w:tc>
        <w:tc>
          <w:tcPr>
            <w:tcW w:w="1417" w:type="dxa"/>
            <w:vAlign w:val="bottom"/>
          </w:tcPr>
          <w:p w14:paraId="7D526FAD"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b/>
                <w:color w:val="000000"/>
                <w:sz w:val="20"/>
              </w:rPr>
              <w:t xml:space="preserve">30 June 2020  </w:t>
            </w:r>
            <w:r w:rsidRPr="007761C2">
              <w:rPr>
                <w:rFonts w:asciiTheme="minorHAnsi" w:hAnsiTheme="minorHAnsi" w:cstheme="minorHAnsi"/>
                <w:b/>
                <w:color w:val="000000"/>
                <w:sz w:val="20"/>
              </w:rPr>
              <w:br/>
              <w:t xml:space="preserve">Principal  </w:t>
            </w:r>
            <w:r w:rsidRPr="007761C2">
              <w:rPr>
                <w:rFonts w:asciiTheme="minorHAnsi" w:hAnsiTheme="minorHAnsi" w:cstheme="minorHAnsi"/>
                <w:b/>
                <w:color w:val="000000"/>
                <w:sz w:val="20"/>
              </w:rPr>
              <w:br/>
              <w:t xml:space="preserve">outstanding  </w:t>
            </w:r>
            <w:r w:rsidRPr="007761C2">
              <w:rPr>
                <w:rFonts w:asciiTheme="minorHAnsi" w:hAnsiTheme="minorHAnsi" w:cstheme="minorHAnsi"/>
                <w:b/>
                <w:color w:val="000000"/>
                <w:sz w:val="20"/>
              </w:rPr>
              <w:br/>
              <w:t xml:space="preserve">balance in  </w:t>
            </w:r>
            <w:r w:rsidRPr="007761C2">
              <w:rPr>
                <w:rFonts w:asciiTheme="minorHAnsi" w:hAnsiTheme="minorHAnsi" w:cstheme="minorHAnsi"/>
                <w:b/>
                <w:color w:val="000000"/>
                <w:sz w:val="20"/>
              </w:rPr>
              <w:br/>
              <w:t xml:space="preserve">currency  </w:t>
            </w:r>
            <w:r w:rsidRPr="007761C2">
              <w:rPr>
                <w:rFonts w:asciiTheme="minorHAnsi" w:hAnsiTheme="minorHAnsi" w:cstheme="minorHAnsi"/>
                <w:b/>
                <w:color w:val="000000"/>
                <w:sz w:val="20"/>
              </w:rPr>
              <w:br/>
              <w:t xml:space="preserve">of borrowing </w:t>
            </w:r>
          </w:p>
        </w:tc>
        <w:tc>
          <w:tcPr>
            <w:tcW w:w="1276" w:type="dxa"/>
            <w:vAlign w:val="bottom"/>
          </w:tcPr>
          <w:p w14:paraId="5E933842"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b/>
                <w:color w:val="000000"/>
                <w:sz w:val="20"/>
              </w:rPr>
              <w:t xml:space="preserve">30 June 2020  </w:t>
            </w:r>
            <w:r w:rsidRPr="007761C2">
              <w:rPr>
                <w:rFonts w:asciiTheme="minorHAnsi" w:hAnsiTheme="minorHAnsi" w:cstheme="minorHAnsi"/>
                <w:b/>
                <w:color w:val="000000"/>
                <w:sz w:val="20"/>
              </w:rPr>
              <w:br/>
              <w:t xml:space="preserve">Carrying  </w:t>
            </w:r>
            <w:r w:rsidRPr="007761C2">
              <w:rPr>
                <w:rFonts w:asciiTheme="minorHAnsi" w:hAnsiTheme="minorHAnsi" w:cstheme="minorHAnsi"/>
                <w:b/>
                <w:color w:val="000000"/>
                <w:sz w:val="20"/>
              </w:rPr>
              <w:br/>
              <w:t>amount (including accrued interest)</w:t>
            </w:r>
          </w:p>
        </w:tc>
        <w:tc>
          <w:tcPr>
            <w:tcW w:w="1418" w:type="dxa"/>
          </w:tcPr>
          <w:p w14:paraId="50E211EB" w14:textId="77777777" w:rsidR="00323BB2" w:rsidRPr="007761C2" w:rsidRDefault="00323BB2" w:rsidP="00453AFA">
            <w:pPr>
              <w:rPr>
                <w:rFonts w:asciiTheme="minorHAnsi" w:hAnsiTheme="minorHAnsi" w:cstheme="minorHAnsi"/>
                <w:b/>
                <w:color w:val="000000"/>
                <w:sz w:val="20"/>
              </w:rPr>
            </w:pPr>
          </w:p>
          <w:p w14:paraId="0BD64B53"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b/>
                <w:color w:val="000000"/>
                <w:sz w:val="20"/>
              </w:rPr>
              <w:t>31 December</w:t>
            </w:r>
            <w:r w:rsidRPr="007761C2">
              <w:rPr>
                <w:rFonts w:asciiTheme="minorHAnsi" w:hAnsiTheme="minorHAnsi" w:cstheme="minorHAnsi"/>
                <w:b/>
                <w:color w:val="000000"/>
                <w:sz w:val="20"/>
              </w:rPr>
              <w:br/>
              <w:t xml:space="preserve">2019  </w:t>
            </w:r>
            <w:r w:rsidRPr="007761C2">
              <w:rPr>
                <w:rFonts w:asciiTheme="minorHAnsi" w:hAnsiTheme="minorHAnsi" w:cstheme="minorHAnsi"/>
                <w:b/>
                <w:color w:val="000000"/>
                <w:sz w:val="20"/>
              </w:rPr>
              <w:br/>
              <w:t xml:space="preserve">Principal  </w:t>
            </w:r>
            <w:r w:rsidRPr="007761C2">
              <w:rPr>
                <w:rFonts w:asciiTheme="minorHAnsi" w:hAnsiTheme="minorHAnsi" w:cstheme="minorHAnsi"/>
                <w:b/>
                <w:color w:val="000000"/>
                <w:sz w:val="20"/>
              </w:rPr>
              <w:br/>
              <w:t xml:space="preserve">outstanding  </w:t>
            </w:r>
            <w:r w:rsidRPr="007761C2">
              <w:rPr>
                <w:rFonts w:asciiTheme="minorHAnsi" w:hAnsiTheme="minorHAnsi" w:cstheme="minorHAnsi"/>
                <w:b/>
                <w:color w:val="000000"/>
                <w:sz w:val="20"/>
              </w:rPr>
              <w:br/>
              <w:t xml:space="preserve">balance in  </w:t>
            </w:r>
            <w:r w:rsidRPr="007761C2">
              <w:rPr>
                <w:rFonts w:asciiTheme="minorHAnsi" w:hAnsiTheme="minorHAnsi" w:cstheme="minorHAnsi"/>
                <w:b/>
                <w:color w:val="000000"/>
                <w:sz w:val="20"/>
              </w:rPr>
              <w:br/>
              <w:t xml:space="preserve">currency of  </w:t>
            </w:r>
            <w:r w:rsidRPr="007761C2">
              <w:rPr>
                <w:rFonts w:asciiTheme="minorHAnsi" w:hAnsiTheme="minorHAnsi" w:cstheme="minorHAnsi"/>
                <w:b/>
                <w:color w:val="000000"/>
                <w:sz w:val="20"/>
              </w:rPr>
              <w:br/>
              <w:t>borrowing</w:t>
            </w:r>
          </w:p>
        </w:tc>
        <w:tc>
          <w:tcPr>
            <w:tcW w:w="1417" w:type="dxa"/>
          </w:tcPr>
          <w:p w14:paraId="371478A8" w14:textId="77777777" w:rsidR="00323BB2" w:rsidRPr="007761C2" w:rsidRDefault="00323BB2" w:rsidP="00453AFA">
            <w:pPr>
              <w:rPr>
                <w:rFonts w:asciiTheme="minorHAnsi" w:hAnsiTheme="minorHAnsi" w:cstheme="minorHAnsi"/>
                <w:b/>
                <w:color w:val="000000"/>
                <w:sz w:val="20"/>
              </w:rPr>
            </w:pPr>
          </w:p>
          <w:p w14:paraId="2765A624" w14:textId="77777777" w:rsidR="00323BB2" w:rsidRPr="007761C2" w:rsidRDefault="00323BB2" w:rsidP="00453AFA">
            <w:pPr>
              <w:rPr>
                <w:rFonts w:asciiTheme="minorHAnsi" w:hAnsiTheme="minorHAnsi" w:cstheme="minorHAnsi"/>
                <w:b/>
                <w:color w:val="000000"/>
                <w:sz w:val="20"/>
              </w:rPr>
            </w:pPr>
            <w:r w:rsidRPr="007761C2">
              <w:rPr>
                <w:rFonts w:asciiTheme="minorHAnsi" w:hAnsiTheme="minorHAnsi" w:cstheme="minorHAnsi"/>
                <w:b/>
                <w:color w:val="000000"/>
                <w:sz w:val="20"/>
              </w:rPr>
              <w:t xml:space="preserve">31 December </w:t>
            </w:r>
            <w:r w:rsidRPr="007761C2">
              <w:rPr>
                <w:rFonts w:asciiTheme="minorHAnsi" w:hAnsiTheme="minorHAnsi" w:cstheme="minorHAnsi"/>
                <w:b/>
                <w:color w:val="000000"/>
                <w:sz w:val="20"/>
              </w:rPr>
              <w:br/>
              <w:t xml:space="preserve">2019  </w:t>
            </w:r>
            <w:r w:rsidRPr="007761C2">
              <w:rPr>
                <w:rFonts w:asciiTheme="minorHAnsi" w:hAnsiTheme="minorHAnsi" w:cstheme="minorHAnsi"/>
                <w:b/>
                <w:color w:val="000000"/>
                <w:sz w:val="20"/>
              </w:rPr>
              <w:br/>
              <w:t xml:space="preserve">Carrying  </w:t>
            </w:r>
            <w:r w:rsidRPr="007761C2">
              <w:rPr>
                <w:rFonts w:asciiTheme="minorHAnsi" w:hAnsiTheme="minorHAnsi" w:cstheme="minorHAnsi"/>
                <w:b/>
                <w:color w:val="000000"/>
                <w:sz w:val="20"/>
              </w:rPr>
              <w:br/>
              <w:t>amount (including accrued interest)</w:t>
            </w:r>
          </w:p>
        </w:tc>
      </w:tr>
      <w:tr w:rsidR="00323BB2" w:rsidRPr="007761C2" w14:paraId="4A0E378F" w14:textId="77777777" w:rsidTr="00453AFA">
        <w:trPr>
          <w:trHeight w:val="70"/>
        </w:trPr>
        <w:tc>
          <w:tcPr>
            <w:tcW w:w="3402" w:type="dxa"/>
            <w:tcBorders>
              <w:bottom w:val="single" w:sz="4" w:space="0" w:color="auto"/>
            </w:tcBorders>
            <w:vAlign w:val="bottom"/>
          </w:tcPr>
          <w:p w14:paraId="76F80C5B" w14:textId="77777777" w:rsidR="00323BB2" w:rsidRPr="007761C2" w:rsidRDefault="00323BB2" w:rsidP="00453AFA">
            <w:pPr>
              <w:rPr>
                <w:rFonts w:asciiTheme="minorHAnsi" w:hAnsiTheme="minorHAnsi" w:cstheme="minorHAnsi"/>
                <w:sz w:val="18"/>
                <w:szCs w:val="18"/>
              </w:rPr>
            </w:pPr>
          </w:p>
        </w:tc>
        <w:tc>
          <w:tcPr>
            <w:tcW w:w="1418" w:type="dxa"/>
            <w:tcBorders>
              <w:bottom w:val="single" w:sz="4" w:space="0" w:color="auto"/>
            </w:tcBorders>
            <w:vAlign w:val="bottom"/>
          </w:tcPr>
          <w:p w14:paraId="24FEF1A1" w14:textId="77777777" w:rsidR="00323BB2" w:rsidRPr="007761C2" w:rsidRDefault="00323BB2" w:rsidP="00453AFA">
            <w:pPr>
              <w:jc w:val="right"/>
              <w:rPr>
                <w:rFonts w:asciiTheme="minorHAnsi" w:hAnsiTheme="minorHAnsi" w:cstheme="minorHAnsi"/>
                <w:b/>
                <w:sz w:val="16"/>
                <w:szCs w:val="16"/>
              </w:rPr>
            </w:pPr>
            <w:r w:rsidRPr="007761C2">
              <w:rPr>
                <w:rFonts w:asciiTheme="minorHAnsi" w:hAnsiTheme="minorHAnsi" w:cstheme="minorHAnsi"/>
                <w:b/>
                <w:sz w:val="16"/>
                <w:szCs w:val="16"/>
              </w:rPr>
              <w:t>%</w:t>
            </w:r>
          </w:p>
        </w:tc>
        <w:tc>
          <w:tcPr>
            <w:tcW w:w="1417" w:type="dxa"/>
            <w:tcBorders>
              <w:bottom w:val="single" w:sz="4" w:space="0" w:color="auto"/>
            </w:tcBorders>
            <w:vAlign w:val="bottom"/>
          </w:tcPr>
          <w:p w14:paraId="63886229" w14:textId="77777777" w:rsidR="00323BB2" w:rsidRPr="007761C2" w:rsidRDefault="00323BB2" w:rsidP="00453AFA">
            <w:pPr>
              <w:jc w:val="right"/>
              <w:rPr>
                <w:rFonts w:asciiTheme="minorHAnsi" w:hAnsiTheme="minorHAnsi" w:cstheme="minorHAnsi"/>
                <w:b/>
                <w:sz w:val="16"/>
                <w:szCs w:val="16"/>
              </w:rPr>
            </w:pPr>
            <w:r w:rsidRPr="007761C2">
              <w:rPr>
                <w:rFonts w:asciiTheme="minorHAnsi" w:hAnsiTheme="minorHAnsi" w:cstheme="minorHAnsi"/>
                <w:b/>
                <w:sz w:val="16"/>
                <w:szCs w:val="16"/>
              </w:rPr>
              <w:t>Local currency m</w:t>
            </w:r>
          </w:p>
        </w:tc>
        <w:tc>
          <w:tcPr>
            <w:tcW w:w="1276" w:type="dxa"/>
            <w:tcBorders>
              <w:bottom w:val="single" w:sz="4" w:space="0" w:color="auto"/>
            </w:tcBorders>
          </w:tcPr>
          <w:p w14:paraId="022AB356" w14:textId="77777777" w:rsidR="00323BB2" w:rsidRPr="007761C2" w:rsidRDefault="00323BB2" w:rsidP="00453AFA">
            <w:pPr>
              <w:jc w:val="right"/>
              <w:rPr>
                <w:rFonts w:asciiTheme="minorHAnsi" w:hAnsiTheme="minorHAnsi"/>
                <w:b/>
                <w:sz w:val="16"/>
                <w:szCs w:val="16"/>
                <w:lang w:val="en-IE"/>
              </w:rPr>
            </w:pPr>
          </w:p>
          <w:p w14:paraId="3B2EA80F" w14:textId="77777777" w:rsidR="00323BB2" w:rsidRPr="007761C2" w:rsidRDefault="00323BB2" w:rsidP="00453AFA">
            <w:pPr>
              <w:jc w:val="right"/>
              <w:rPr>
                <w:rFonts w:asciiTheme="minorHAnsi" w:hAnsiTheme="minorHAnsi"/>
                <w:b/>
                <w:sz w:val="16"/>
                <w:szCs w:val="16"/>
                <w:lang w:val="en-IE"/>
              </w:rPr>
            </w:pPr>
            <w:r w:rsidRPr="007761C2">
              <w:rPr>
                <w:rFonts w:asciiTheme="minorHAnsi" w:hAnsiTheme="minorHAnsi"/>
                <w:b/>
                <w:sz w:val="16"/>
                <w:szCs w:val="16"/>
                <w:lang w:val="en-IE"/>
              </w:rPr>
              <w:t>£m*</w:t>
            </w:r>
          </w:p>
        </w:tc>
        <w:tc>
          <w:tcPr>
            <w:tcW w:w="1418" w:type="dxa"/>
            <w:tcBorders>
              <w:bottom w:val="single" w:sz="4" w:space="0" w:color="auto"/>
            </w:tcBorders>
          </w:tcPr>
          <w:p w14:paraId="07F21BAD" w14:textId="77777777" w:rsidR="00323BB2" w:rsidRPr="007761C2" w:rsidRDefault="00323BB2" w:rsidP="00453AFA">
            <w:pPr>
              <w:jc w:val="right"/>
              <w:rPr>
                <w:rFonts w:asciiTheme="minorHAnsi" w:hAnsiTheme="minorHAnsi" w:cstheme="minorHAnsi"/>
                <w:b/>
                <w:sz w:val="16"/>
                <w:szCs w:val="16"/>
              </w:rPr>
            </w:pPr>
          </w:p>
          <w:p w14:paraId="6E1C6641" w14:textId="77777777" w:rsidR="00323BB2" w:rsidRPr="007761C2" w:rsidRDefault="00323BB2" w:rsidP="00453AFA">
            <w:pPr>
              <w:jc w:val="right"/>
              <w:rPr>
                <w:rFonts w:asciiTheme="minorHAnsi" w:hAnsiTheme="minorHAnsi"/>
                <w:b/>
                <w:sz w:val="16"/>
                <w:szCs w:val="16"/>
                <w:lang w:val="en-IE"/>
              </w:rPr>
            </w:pPr>
            <w:r w:rsidRPr="007761C2">
              <w:rPr>
                <w:rFonts w:asciiTheme="minorHAnsi" w:hAnsiTheme="minorHAnsi" w:cstheme="minorHAnsi"/>
                <w:b/>
                <w:sz w:val="16"/>
                <w:szCs w:val="16"/>
              </w:rPr>
              <w:t>Local currency m</w:t>
            </w:r>
          </w:p>
        </w:tc>
        <w:tc>
          <w:tcPr>
            <w:tcW w:w="1417" w:type="dxa"/>
            <w:tcBorders>
              <w:bottom w:val="single" w:sz="4" w:space="0" w:color="auto"/>
            </w:tcBorders>
          </w:tcPr>
          <w:p w14:paraId="528BC479" w14:textId="77777777" w:rsidR="00323BB2" w:rsidRPr="007761C2" w:rsidRDefault="00323BB2" w:rsidP="00453AFA">
            <w:pPr>
              <w:jc w:val="right"/>
              <w:rPr>
                <w:rFonts w:asciiTheme="minorHAnsi" w:hAnsiTheme="minorHAnsi"/>
                <w:b/>
                <w:sz w:val="16"/>
                <w:szCs w:val="16"/>
                <w:lang w:val="en-IE"/>
              </w:rPr>
            </w:pPr>
          </w:p>
          <w:p w14:paraId="56FD2F58" w14:textId="77777777" w:rsidR="00323BB2" w:rsidRPr="007761C2" w:rsidRDefault="00323BB2" w:rsidP="00453AFA">
            <w:pPr>
              <w:jc w:val="right"/>
              <w:rPr>
                <w:rFonts w:asciiTheme="minorHAnsi" w:hAnsiTheme="minorHAnsi"/>
                <w:b/>
                <w:sz w:val="16"/>
                <w:szCs w:val="16"/>
                <w:lang w:val="en-IE"/>
              </w:rPr>
            </w:pPr>
            <w:r w:rsidRPr="007761C2">
              <w:rPr>
                <w:rFonts w:asciiTheme="minorHAnsi" w:hAnsiTheme="minorHAnsi"/>
                <w:b/>
                <w:sz w:val="16"/>
                <w:szCs w:val="16"/>
                <w:lang w:val="en-IE"/>
              </w:rPr>
              <w:t>£m*</w:t>
            </w:r>
          </w:p>
        </w:tc>
      </w:tr>
      <w:tr w:rsidR="00323BB2" w:rsidRPr="007761C2" w14:paraId="035B70CF" w14:textId="77777777" w:rsidTr="00453AFA">
        <w:tc>
          <w:tcPr>
            <w:tcW w:w="3402" w:type="dxa"/>
            <w:tcBorders>
              <w:top w:val="single" w:sz="4" w:space="0" w:color="auto"/>
            </w:tcBorders>
            <w:vAlign w:val="bottom"/>
          </w:tcPr>
          <w:p w14:paraId="1E7634B4" w14:textId="77777777" w:rsidR="00323BB2" w:rsidRPr="007761C2" w:rsidRDefault="00323BB2" w:rsidP="00453AFA">
            <w:pPr>
              <w:rPr>
                <w:rFonts w:asciiTheme="minorHAnsi" w:hAnsiTheme="minorHAnsi" w:cstheme="minorHAnsi"/>
                <w:sz w:val="20"/>
              </w:rPr>
            </w:pPr>
          </w:p>
        </w:tc>
        <w:tc>
          <w:tcPr>
            <w:tcW w:w="1418" w:type="dxa"/>
            <w:tcBorders>
              <w:top w:val="single" w:sz="4" w:space="0" w:color="auto"/>
            </w:tcBorders>
            <w:vAlign w:val="bottom"/>
          </w:tcPr>
          <w:p w14:paraId="37D0A95E" w14:textId="77777777" w:rsidR="00323BB2" w:rsidRPr="007761C2" w:rsidRDefault="00323BB2" w:rsidP="00453AFA">
            <w:pPr>
              <w:jc w:val="right"/>
              <w:rPr>
                <w:rFonts w:asciiTheme="minorHAnsi" w:hAnsiTheme="minorHAnsi" w:cstheme="minorHAnsi"/>
                <w:sz w:val="20"/>
              </w:rPr>
            </w:pPr>
          </w:p>
        </w:tc>
        <w:tc>
          <w:tcPr>
            <w:tcW w:w="1417" w:type="dxa"/>
            <w:tcBorders>
              <w:top w:val="single" w:sz="4" w:space="0" w:color="auto"/>
            </w:tcBorders>
            <w:vAlign w:val="bottom"/>
          </w:tcPr>
          <w:p w14:paraId="5AFE5C08" w14:textId="77777777" w:rsidR="00323BB2" w:rsidRPr="007761C2" w:rsidRDefault="00323BB2" w:rsidP="00453AFA">
            <w:pPr>
              <w:jc w:val="right"/>
              <w:rPr>
                <w:rFonts w:asciiTheme="minorHAnsi" w:hAnsiTheme="minorHAnsi" w:cstheme="minorHAnsi"/>
                <w:sz w:val="20"/>
              </w:rPr>
            </w:pPr>
          </w:p>
        </w:tc>
        <w:tc>
          <w:tcPr>
            <w:tcW w:w="1276" w:type="dxa"/>
            <w:tcBorders>
              <w:top w:val="single" w:sz="4" w:space="0" w:color="auto"/>
            </w:tcBorders>
          </w:tcPr>
          <w:p w14:paraId="6B1D736C" w14:textId="77777777" w:rsidR="00323BB2" w:rsidRPr="007761C2" w:rsidRDefault="00323BB2" w:rsidP="00453AFA">
            <w:pPr>
              <w:jc w:val="right"/>
              <w:rPr>
                <w:rFonts w:asciiTheme="minorHAnsi" w:hAnsiTheme="minorHAnsi"/>
                <w:sz w:val="20"/>
                <w:lang w:val="en-IE"/>
              </w:rPr>
            </w:pPr>
          </w:p>
        </w:tc>
        <w:tc>
          <w:tcPr>
            <w:tcW w:w="1418" w:type="dxa"/>
            <w:tcBorders>
              <w:top w:val="single" w:sz="4" w:space="0" w:color="auto"/>
            </w:tcBorders>
          </w:tcPr>
          <w:p w14:paraId="63E1F23D" w14:textId="77777777" w:rsidR="00323BB2" w:rsidRPr="007761C2" w:rsidRDefault="00323BB2" w:rsidP="00453AFA">
            <w:pPr>
              <w:jc w:val="right"/>
              <w:rPr>
                <w:rFonts w:asciiTheme="minorHAnsi" w:hAnsiTheme="minorHAnsi"/>
                <w:sz w:val="20"/>
                <w:lang w:val="en-IE"/>
              </w:rPr>
            </w:pPr>
          </w:p>
        </w:tc>
        <w:tc>
          <w:tcPr>
            <w:tcW w:w="1417" w:type="dxa"/>
            <w:tcBorders>
              <w:top w:val="single" w:sz="4" w:space="0" w:color="auto"/>
            </w:tcBorders>
          </w:tcPr>
          <w:p w14:paraId="6E16FFAD" w14:textId="77777777" w:rsidR="00323BB2" w:rsidRPr="007761C2" w:rsidRDefault="00323BB2" w:rsidP="00453AFA">
            <w:pPr>
              <w:jc w:val="right"/>
              <w:rPr>
                <w:rFonts w:asciiTheme="minorHAnsi" w:hAnsiTheme="minorHAnsi"/>
                <w:sz w:val="20"/>
                <w:lang w:val="en-IE"/>
              </w:rPr>
            </w:pPr>
          </w:p>
        </w:tc>
      </w:tr>
      <w:tr w:rsidR="00323BB2" w:rsidRPr="007761C2" w14:paraId="2F07D4D9" w14:textId="77777777" w:rsidTr="00453AFA">
        <w:tc>
          <w:tcPr>
            <w:tcW w:w="3402" w:type="dxa"/>
            <w:tcBorders>
              <w:top w:val="single" w:sz="4" w:space="0" w:color="auto"/>
            </w:tcBorders>
            <w:vAlign w:val="bottom"/>
          </w:tcPr>
          <w:p w14:paraId="66036A79"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sz w:val="20"/>
              </w:rPr>
              <w:t>GBP First Lien Term Loan A</w:t>
            </w:r>
          </w:p>
        </w:tc>
        <w:tc>
          <w:tcPr>
            <w:tcW w:w="1418" w:type="dxa"/>
            <w:tcBorders>
              <w:top w:val="single" w:sz="4" w:space="0" w:color="auto"/>
            </w:tcBorders>
            <w:vAlign w:val="bottom"/>
          </w:tcPr>
          <w:p w14:paraId="2C18836B"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1.84 and 1.93</w:t>
            </w:r>
          </w:p>
        </w:tc>
        <w:tc>
          <w:tcPr>
            <w:tcW w:w="1417" w:type="dxa"/>
            <w:tcBorders>
              <w:top w:val="single" w:sz="4" w:space="0" w:color="auto"/>
            </w:tcBorders>
            <w:vAlign w:val="bottom"/>
          </w:tcPr>
          <w:p w14:paraId="43766315"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£950.0</w:t>
            </w:r>
          </w:p>
        </w:tc>
        <w:tc>
          <w:tcPr>
            <w:tcW w:w="1276" w:type="dxa"/>
            <w:tcBorders>
              <w:top w:val="single" w:sz="4" w:space="0" w:color="auto"/>
            </w:tcBorders>
          </w:tcPr>
          <w:p w14:paraId="2FC3F3D9"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940.7</w:t>
            </w:r>
          </w:p>
        </w:tc>
        <w:tc>
          <w:tcPr>
            <w:tcW w:w="1418" w:type="dxa"/>
            <w:tcBorders>
              <w:top w:val="single" w:sz="4" w:space="0" w:color="auto"/>
            </w:tcBorders>
          </w:tcPr>
          <w:p w14:paraId="0B6E8FCC"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c>
          <w:tcPr>
            <w:tcW w:w="1417" w:type="dxa"/>
            <w:tcBorders>
              <w:top w:val="single" w:sz="4" w:space="0" w:color="auto"/>
            </w:tcBorders>
          </w:tcPr>
          <w:p w14:paraId="2B8F2EEC"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r>
      <w:tr w:rsidR="00323BB2" w:rsidRPr="007761C2" w14:paraId="3A321ED7" w14:textId="77777777" w:rsidTr="00453AFA">
        <w:tc>
          <w:tcPr>
            <w:tcW w:w="3402" w:type="dxa"/>
            <w:vAlign w:val="bottom"/>
          </w:tcPr>
          <w:p w14:paraId="5A7D5CC0"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sz w:val="20"/>
              </w:rPr>
              <w:t>USD First Lien Term Loan B</w:t>
            </w:r>
          </w:p>
        </w:tc>
        <w:tc>
          <w:tcPr>
            <w:tcW w:w="1418" w:type="dxa"/>
            <w:vAlign w:val="bottom"/>
          </w:tcPr>
          <w:p w14:paraId="165C1C60" w14:textId="77777777" w:rsidR="00323BB2" w:rsidRPr="007761C2" w:rsidRDefault="00323BB2" w:rsidP="00453AFA">
            <w:pPr>
              <w:jc w:val="right"/>
              <w:rPr>
                <w:rFonts w:asciiTheme="minorHAnsi" w:hAnsiTheme="minorHAnsi"/>
                <w:sz w:val="20"/>
                <w:lang w:val="en-IE"/>
              </w:rPr>
            </w:pPr>
            <w:r w:rsidRPr="002C142C">
              <w:rPr>
                <w:rFonts w:asciiTheme="minorHAnsi" w:hAnsiTheme="minorHAnsi" w:cstheme="minorHAnsi"/>
                <w:sz w:val="20"/>
              </w:rPr>
              <w:t>3.81</w:t>
            </w:r>
          </w:p>
        </w:tc>
        <w:tc>
          <w:tcPr>
            <w:tcW w:w="1417" w:type="dxa"/>
            <w:vAlign w:val="bottom"/>
          </w:tcPr>
          <w:p w14:paraId="66B9548E"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$1,76</w:t>
            </w:r>
            <w:r>
              <w:rPr>
                <w:rFonts w:asciiTheme="minorHAnsi" w:hAnsiTheme="minorHAnsi" w:cstheme="minorHAnsi"/>
                <w:sz w:val="20"/>
              </w:rPr>
              <w:t>1</w:t>
            </w:r>
            <w:r w:rsidRPr="007761C2">
              <w:rPr>
                <w:rFonts w:asciiTheme="minorHAnsi" w:hAnsiTheme="minorHAnsi" w:cstheme="minorHAnsi"/>
                <w:sz w:val="20"/>
              </w:rPr>
              <w:t>.</w:t>
            </w:r>
            <w:r>
              <w:rPr>
                <w:rFonts w:asciiTheme="minorHAnsi" w:hAnsiTheme="minorHAnsi" w:cstheme="minorHAnsi"/>
                <w:sz w:val="20"/>
              </w:rPr>
              <w:t>8</w:t>
            </w:r>
          </w:p>
        </w:tc>
        <w:tc>
          <w:tcPr>
            <w:tcW w:w="1276" w:type="dxa"/>
          </w:tcPr>
          <w:p w14:paraId="6EEDC8F0"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1,39</w:t>
            </w:r>
            <w:r>
              <w:rPr>
                <w:rFonts w:asciiTheme="minorHAnsi" w:hAnsiTheme="minorHAnsi"/>
                <w:sz w:val="20"/>
                <w:lang w:val="en-IE"/>
              </w:rPr>
              <w:t>2</w:t>
            </w:r>
            <w:r w:rsidRPr="007761C2">
              <w:rPr>
                <w:rFonts w:asciiTheme="minorHAnsi" w:hAnsiTheme="minorHAnsi"/>
                <w:sz w:val="20"/>
                <w:lang w:val="en-IE"/>
              </w:rPr>
              <w:t>.</w:t>
            </w:r>
            <w:r>
              <w:rPr>
                <w:rFonts w:asciiTheme="minorHAnsi" w:hAnsiTheme="minorHAnsi"/>
                <w:sz w:val="20"/>
                <w:lang w:val="en-IE"/>
              </w:rPr>
              <w:t>0</w:t>
            </w:r>
          </w:p>
        </w:tc>
        <w:tc>
          <w:tcPr>
            <w:tcW w:w="1418" w:type="dxa"/>
          </w:tcPr>
          <w:p w14:paraId="33429AF8"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c>
          <w:tcPr>
            <w:tcW w:w="1417" w:type="dxa"/>
          </w:tcPr>
          <w:p w14:paraId="1D3FF8A2"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r>
      <w:tr w:rsidR="00323BB2" w:rsidRPr="007761C2" w14:paraId="28F04854" w14:textId="77777777" w:rsidTr="00453AFA">
        <w:tc>
          <w:tcPr>
            <w:tcW w:w="3402" w:type="dxa"/>
            <w:vAlign w:val="bottom"/>
          </w:tcPr>
          <w:p w14:paraId="2FD5FC97"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sz w:val="20"/>
              </w:rPr>
              <w:t>EUR First Lien Term Loan B**</w:t>
            </w:r>
          </w:p>
        </w:tc>
        <w:tc>
          <w:tcPr>
            <w:tcW w:w="1418" w:type="dxa"/>
            <w:vAlign w:val="bottom"/>
          </w:tcPr>
          <w:p w14:paraId="3F480891"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3.75</w:t>
            </w:r>
          </w:p>
        </w:tc>
        <w:tc>
          <w:tcPr>
            <w:tcW w:w="1417" w:type="dxa"/>
            <w:vAlign w:val="bottom"/>
          </w:tcPr>
          <w:p w14:paraId="497D891A"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€507.2</w:t>
            </w:r>
          </w:p>
        </w:tc>
        <w:tc>
          <w:tcPr>
            <w:tcW w:w="1276" w:type="dxa"/>
          </w:tcPr>
          <w:p w14:paraId="70018FE5"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455.5</w:t>
            </w:r>
          </w:p>
        </w:tc>
        <w:tc>
          <w:tcPr>
            <w:tcW w:w="1418" w:type="dxa"/>
          </w:tcPr>
          <w:p w14:paraId="06FA4226"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c>
          <w:tcPr>
            <w:tcW w:w="1417" w:type="dxa"/>
          </w:tcPr>
          <w:p w14:paraId="49C86C51"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r>
      <w:tr w:rsidR="00323BB2" w14:paraId="4FEBF1BB" w14:textId="77777777" w:rsidTr="00453AFA">
        <w:tc>
          <w:tcPr>
            <w:tcW w:w="3402" w:type="dxa"/>
            <w:vAlign w:val="bottom"/>
          </w:tcPr>
          <w:p w14:paraId="25137D62" w14:textId="77777777" w:rsidR="00323BB2" w:rsidRPr="007761C2" w:rsidRDefault="00323BB2" w:rsidP="00453AFA">
            <w:pPr>
              <w:rPr>
                <w:rFonts w:asciiTheme="minorHAnsi" w:hAnsiTheme="minorHAnsi"/>
                <w:sz w:val="20"/>
                <w:lang w:val="en-IE"/>
              </w:rPr>
            </w:pPr>
            <w:r w:rsidRPr="007761C2">
              <w:rPr>
                <w:rFonts w:asciiTheme="minorHAnsi" w:hAnsiTheme="minorHAnsi" w:cstheme="minorHAnsi"/>
                <w:sz w:val="20"/>
              </w:rPr>
              <w:t>Senior Notes**</w:t>
            </w:r>
          </w:p>
        </w:tc>
        <w:tc>
          <w:tcPr>
            <w:tcW w:w="1418" w:type="dxa"/>
            <w:vAlign w:val="bottom"/>
          </w:tcPr>
          <w:p w14:paraId="77BDDB49"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7.00</w:t>
            </w:r>
          </w:p>
        </w:tc>
        <w:tc>
          <w:tcPr>
            <w:tcW w:w="1417" w:type="dxa"/>
            <w:vAlign w:val="bottom"/>
          </w:tcPr>
          <w:p w14:paraId="499272AF" w14:textId="77777777" w:rsidR="00323BB2" w:rsidRPr="007761C2" w:rsidRDefault="00323BB2" w:rsidP="00453AFA">
            <w:pPr>
              <w:jc w:val="right"/>
              <w:rPr>
                <w:rFonts w:asciiTheme="minorHAnsi" w:hAnsiTheme="minorHAnsi"/>
                <w:sz w:val="20"/>
                <w:lang w:val="en-IE"/>
              </w:rPr>
            </w:pPr>
            <w:r w:rsidRPr="007761C2">
              <w:rPr>
                <w:rFonts w:asciiTheme="minorHAnsi" w:hAnsiTheme="minorHAnsi" w:cstheme="minorHAnsi"/>
                <w:sz w:val="20"/>
              </w:rPr>
              <w:t>$1,000</w:t>
            </w:r>
          </w:p>
        </w:tc>
        <w:tc>
          <w:tcPr>
            <w:tcW w:w="1276" w:type="dxa"/>
          </w:tcPr>
          <w:p w14:paraId="12468476"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837.</w:t>
            </w:r>
            <w:r>
              <w:rPr>
                <w:rFonts w:asciiTheme="minorHAnsi" w:hAnsiTheme="minorHAnsi"/>
                <w:sz w:val="20"/>
                <w:lang w:val="en-IE"/>
              </w:rPr>
              <w:t>0</w:t>
            </w:r>
          </w:p>
        </w:tc>
        <w:tc>
          <w:tcPr>
            <w:tcW w:w="1418" w:type="dxa"/>
          </w:tcPr>
          <w:p w14:paraId="36545106" w14:textId="77777777" w:rsidR="00323BB2" w:rsidRPr="007761C2" w:rsidRDefault="00323BB2" w:rsidP="00453AFA">
            <w:pPr>
              <w:jc w:val="right"/>
              <w:rPr>
                <w:rFonts w:asciiTheme="minorHAnsi" w:hAnsiTheme="minorHAnsi"/>
                <w:sz w:val="20"/>
                <w:lang w:val="en-IE"/>
              </w:rPr>
            </w:pPr>
            <w:r w:rsidRPr="007761C2">
              <w:rPr>
                <w:rFonts w:asciiTheme="minorHAnsi" w:hAnsiTheme="minorHAnsi"/>
                <w:sz w:val="20"/>
                <w:lang w:val="en-IE"/>
              </w:rPr>
              <w:t>-</w:t>
            </w:r>
          </w:p>
        </w:tc>
        <w:tc>
          <w:tcPr>
            <w:tcW w:w="1417" w:type="dxa"/>
          </w:tcPr>
          <w:p w14:paraId="5BB528D2" w14:textId="77777777" w:rsidR="00323BB2" w:rsidRPr="00521FB8" w:rsidRDefault="00323BB2" w:rsidP="00453AFA">
            <w:pPr>
              <w:jc w:val="right"/>
              <w:rPr>
                <w:rFonts w:asciiTheme="minorHAnsi" w:hAnsiTheme="minorHAnsi"/>
                <w:sz w:val="20"/>
                <w:lang w:val="en-IE"/>
              </w:rPr>
            </w:pPr>
            <w:r w:rsidRPr="007761C2">
              <w:rPr>
                <w:rFonts w:asciiTheme="minorHAnsi" w:hAnsiTheme="minorHAnsi"/>
                <w:sz w:val="20"/>
                <w:lang w:val="en-IE"/>
              </w:rPr>
              <w:t>-</w:t>
            </w:r>
          </w:p>
        </w:tc>
      </w:tr>
      <w:tr w:rsidR="00323BB2" w14:paraId="666307E3" w14:textId="77777777" w:rsidTr="00453AFA">
        <w:tc>
          <w:tcPr>
            <w:tcW w:w="3402" w:type="dxa"/>
            <w:vAlign w:val="bottom"/>
          </w:tcPr>
          <w:p w14:paraId="29A56CED" w14:textId="77777777" w:rsidR="00323BB2" w:rsidRPr="00521FB8" w:rsidRDefault="00323BB2" w:rsidP="00453AFA">
            <w:pPr>
              <w:rPr>
                <w:rFonts w:asciiTheme="minorHAnsi" w:hAnsiTheme="minorHAnsi"/>
                <w:sz w:val="20"/>
                <w:lang w:val="en-IE"/>
              </w:rPr>
            </w:pPr>
            <w:r w:rsidRPr="003E44E6">
              <w:rPr>
                <w:rFonts w:asciiTheme="minorHAnsi" w:hAnsiTheme="minorHAnsi" w:cstheme="minorHAnsi"/>
                <w:color w:val="000000"/>
                <w:sz w:val="20"/>
              </w:rPr>
              <w:t>Previous GBP Term Loan</w:t>
            </w:r>
          </w:p>
        </w:tc>
        <w:tc>
          <w:tcPr>
            <w:tcW w:w="1418" w:type="dxa"/>
          </w:tcPr>
          <w:p w14:paraId="4A507958"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1.51</w:t>
            </w:r>
          </w:p>
        </w:tc>
        <w:tc>
          <w:tcPr>
            <w:tcW w:w="1417" w:type="dxa"/>
          </w:tcPr>
          <w:p w14:paraId="0C4BF61F"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w:t>
            </w:r>
          </w:p>
        </w:tc>
        <w:tc>
          <w:tcPr>
            <w:tcW w:w="1276" w:type="dxa"/>
          </w:tcPr>
          <w:p w14:paraId="592DABDF" w14:textId="77777777" w:rsidR="00323BB2" w:rsidRPr="00521FB8" w:rsidRDefault="00323BB2" w:rsidP="00453AFA">
            <w:pPr>
              <w:jc w:val="right"/>
              <w:rPr>
                <w:rFonts w:asciiTheme="minorHAnsi" w:hAnsiTheme="minorHAnsi"/>
                <w:sz w:val="20"/>
                <w:lang w:val="en-IE"/>
              </w:rPr>
            </w:pPr>
            <w:r w:rsidRPr="005A0FDA">
              <w:rPr>
                <w:rFonts w:asciiTheme="minorHAnsi" w:hAnsiTheme="minorHAnsi"/>
                <w:sz w:val="20"/>
                <w:lang w:val="en-IE"/>
              </w:rPr>
              <w:t>-</w:t>
            </w:r>
          </w:p>
        </w:tc>
        <w:tc>
          <w:tcPr>
            <w:tcW w:w="1418" w:type="dxa"/>
          </w:tcPr>
          <w:p w14:paraId="48277516"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£250.0</w:t>
            </w:r>
          </w:p>
        </w:tc>
        <w:tc>
          <w:tcPr>
            <w:tcW w:w="1417" w:type="dxa"/>
            <w:shd w:val="clear" w:color="auto" w:fill="auto"/>
          </w:tcPr>
          <w:p w14:paraId="2CC39620" w14:textId="77777777" w:rsidR="00323BB2" w:rsidRPr="002C142C" w:rsidRDefault="00323BB2" w:rsidP="00453AFA">
            <w:pPr>
              <w:jc w:val="right"/>
              <w:rPr>
                <w:rFonts w:asciiTheme="minorHAnsi" w:hAnsiTheme="minorHAnsi"/>
                <w:sz w:val="20"/>
                <w:lang w:val="en-IE"/>
              </w:rPr>
            </w:pPr>
            <w:r w:rsidRPr="002C142C">
              <w:rPr>
                <w:rFonts w:asciiTheme="minorHAnsi" w:hAnsiTheme="minorHAnsi"/>
                <w:sz w:val="20"/>
                <w:lang w:val="en-IE"/>
              </w:rPr>
              <w:t>249.7</w:t>
            </w:r>
          </w:p>
        </w:tc>
      </w:tr>
      <w:tr w:rsidR="00323BB2" w14:paraId="35376266" w14:textId="77777777" w:rsidTr="00453AFA">
        <w:tc>
          <w:tcPr>
            <w:tcW w:w="3402" w:type="dxa"/>
            <w:vAlign w:val="bottom"/>
          </w:tcPr>
          <w:p w14:paraId="00328D80" w14:textId="77777777" w:rsidR="00323BB2" w:rsidRPr="00521FB8" w:rsidRDefault="00323BB2" w:rsidP="00453AFA">
            <w:pPr>
              <w:rPr>
                <w:rFonts w:asciiTheme="minorHAnsi" w:hAnsiTheme="minorHAnsi" w:cstheme="minorHAnsi"/>
                <w:sz w:val="20"/>
              </w:rPr>
            </w:pPr>
            <w:r>
              <w:rPr>
                <w:rFonts w:asciiTheme="minorHAnsi" w:hAnsiTheme="minorHAnsi" w:cstheme="minorHAnsi"/>
                <w:sz w:val="20"/>
              </w:rPr>
              <w:t>Previous GBP RCF</w:t>
            </w:r>
            <w:r w:rsidRPr="003E44E6">
              <w:rPr>
                <w:rFonts w:asciiTheme="minorHAnsi" w:hAnsiTheme="minorHAnsi" w:cstheme="minorHAnsi"/>
                <w:sz w:val="20"/>
              </w:rPr>
              <w:t xml:space="preserve"> </w:t>
            </w:r>
            <w:r>
              <w:rPr>
                <w:rFonts w:asciiTheme="minorHAnsi" w:hAnsiTheme="minorHAnsi" w:cstheme="minorHAnsi"/>
                <w:sz w:val="20"/>
              </w:rPr>
              <w:t>– GBP</w:t>
            </w:r>
          </w:p>
        </w:tc>
        <w:tc>
          <w:tcPr>
            <w:tcW w:w="1418" w:type="dxa"/>
          </w:tcPr>
          <w:p w14:paraId="2E6B088B" w14:textId="77777777" w:rsidR="00323BB2" w:rsidRPr="002C142C" w:rsidRDefault="00323BB2" w:rsidP="00453AFA">
            <w:pPr>
              <w:jc w:val="right"/>
              <w:rPr>
                <w:rFonts w:asciiTheme="minorHAnsi" w:hAnsiTheme="minorHAnsi"/>
                <w:sz w:val="20"/>
                <w:lang w:val="en-IE"/>
              </w:rPr>
            </w:pPr>
            <w:r w:rsidRPr="002C142C">
              <w:rPr>
                <w:rFonts w:asciiTheme="minorHAnsi" w:hAnsiTheme="minorHAnsi"/>
                <w:sz w:val="20"/>
                <w:lang w:val="en-IE"/>
              </w:rPr>
              <w:t>1.80 and 1.81</w:t>
            </w:r>
          </w:p>
        </w:tc>
        <w:tc>
          <w:tcPr>
            <w:tcW w:w="1417" w:type="dxa"/>
          </w:tcPr>
          <w:p w14:paraId="5B339A4E"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w:t>
            </w:r>
          </w:p>
        </w:tc>
        <w:tc>
          <w:tcPr>
            <w:tcW w:w="1276" w:type="dxa"/>
          </w:tcPr>
          <w:p w14:paraId="65B39A72" w14:textId="77777777" w:rsidR="00323BB2" w:rsidRPr="00521FB8" w:rsidRDefault="00323BB2" w:rsidP="00453AFA">
            <w:pPr>
              <w:jc w:val="right"/>
              <w:rPr>
                <w:rFonts w:asciiTheme="minorHAnsi" w:hAnsiTheme="minorHAnsi"/>
                <w:sz w:val="20"/>
                <w:lang w:val="en-IE"/>
              </w:rPr>
            </w:pPr>
            <w:r w:rsidRPr="005A0FDA">
              <w:rPr>
                <w:rFonts w:asciiTheme="minorHAnsi" w:hAnsiTheme="minorHAnsi"/>
                <w:sz w:val="20"/>
                <w:lang w:val="en-IE"/>
              </w:rPr>
              <w:t>-</w:t>
            </w:r>
          </w:p>
        </w:tc>
        <w:tc>
          <w:tcPr>
            <w:tcW w:w="1418" w:type="dxa"/>
          </w:tcPr>
          <w:p w14:paraId="3638E7C6"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£79.0</w:t>
            </w:r>
          </w:p>
        </w:tc>
        <w:tc>
          <w:tcPr>
            <w:tcW w:w="1417" w:type="dxa"/>
            <w:shd w:val="clear" w:color="auto" w:fill="auto"/>
          </w:tcPr>
          <w:p w14:paraId="40206109" w14:textId="77777777" w:rsidR="00323BB2" w:rsidRPr="002C142C" w:rsidRDefault="00323BB2" w:rsidP="00453AFA">
            <w:pPr>
              <w:jc w:val="right"/>
              <w:rPr>
                <w:rFonts w:asciiTheme="minorHAnsi" w:hAnsiTheme="minorHAnsi"/>
                <w:sz w:val="20"/>
                <w:lang w:val="en-IE"/>
              </w:rPr>
            </w:pPr>
            <w:r w:rsidRPr="002C142C">
              <w:rPr>
                <w:rFonts w:asciiTheme="minorHAnsi" w:hAnsiTheme="minorHAnsi"/>
                <w:sz w:val="20"/>
                <w:lang w:val="en-IE"/>
              </w:rPr>
              <w:t>78.1</w:t>
            </w:r>
          </w:p>
        </w:tc>
      </w:tr>
      <w:tr w:rsidR="00323BB2" w14:paraId="34E066C7" w14:textId="77777777" w:rsidTr="00453AFA">
        <w:tc>
          <w:tcPr>
            <w:tcW w:w="3402" w:type="dxa"/>
            <w:vAlign w:val="bottom"/>
          </w:tcPr>
          <w:p w14:paraId="28C6AB83" w14:textId="77777777" w:rsidR="00323BB2" w:rsidRDefault="00323BB2" w:rsidP="00453AFA">
            <w:pPr>
              <w:rPr>
                <w:rFonts w:asciiTheme="minorHAnsi" w:hAnsiTheme="minorHAnsi" w:cstheme="minorHAnsi"/>
                <w:b/>
                <w:sz w:val="20"/>
              </w:rPr>
            </w:pPr>
            <w:r>
              <w:rPr>
                <w:rFonts w:asciiTheme="minorHAnsi" w:hAnsiTheme="minorHAnsi" w:cstheme="minorHAnsi"/>
                <w:sz w:val="20"/>
              </w:rPr>
              <w:t>Previous GBP RCF – Euro</w:t>
            </w:r>
          </w:p>
        </w:tc>
        <w:tc>
          <w:tcPr>
            <w:tcW w:w="1418" w:type="dxa"/>
          </w:tcPr>
          <w:p w14:paraId="68AE8CDD" w14:textId="77777777" w:rsidR="00323BB2" w:rsidRPr="002C142C" w:rsidRDefault="00323BB2" w:rsidP="00453AFA">
            <w:pPr>
              <w:jc w:val="right"/>
              <w:rPr>
                <w:rFonts w:asciiTheme="minorHAnsi" w:hAnsiTheme="minorHAnsi"/>
                <w:sz w:val="20"/>
                <w:lang w:val="en-IE"/>
              </w:rPr>
            </w:pPr>
            <w:r w:rsidRPr="002C142C">
              <w:rPr>
                <w:rFonts w:asciiTheme="minorHAnsi" w:hAnsiTheme="minorHAnsi"/>
                <w:sz w:val="20"/>
                <w:lang w:val="en-IE"/>
              </w:rPr>
              <w:t>0.63 and 0.65</w:t>
            </w:r>
          </w:p>
        </w:tc>
        <w:tc>
          <w:tcPr>
            <w:tcW w:w="1417" w:type="dxa"/>
          </w:tcPr>
          <w:p w14:paraId="0B5EF70B"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w:t>
            </w:r>
          </w:p>
        </w:tc>
        <w:tc>
          <w:tcPr>
            <w:tcW w:w="1276" w:type="dxa"/>
          </w:tcPr>
          <w:p w14:paraId="55382508" w14:textId="77777777" w:rsidR="00323BB2" w:rsidRPr="005A0FDA" w:rsidRDefault="00323BB2" w:rsidP="00453AFA">
            <w:pPr>
              <w:jc w:val="right"/>
              <w:rPr>
                <w:rFonts w:asciiTheme="minorHAnsi" w:hAnsiTheme="minorHAnsi"/>
                <w:sz w:val="20"/>
                <w:lang w:val="en-IE"/>
              </w:rPr>
            </w:pPr>
            <w:r>
              <w:rPr>
                <w:rFonts w:asciiTheme="minorHAnsi" w:hAnsiTheme="minorHAnsi"/>
                <w:sz w:val="20"/>
                <w:lang w:val="en-IE"/>
              </w:rPr>
              <w:t>-</w:t>
            </w:r>
          </w:p>
        </w:tc>
        <w:tc>
          <w:tcPr>
            <w:tcW w:w="1418" w:type="dxa"/>
          </w:tcPr>
          <w:p w14:paraId="65F17B0C" w14:textId="77777777" w:rsidR="00323BB2" w:rsidRDefault="00323BB2" w:rsidP="00453AFA">
            <w:pPr>
              <w:jc w:val="right"/>
              <w:rPr>
                <w:rFonts w:asciiTheme="minorHAnsi" w:hAnsiTheme="minorHAnsi"/>
                <w:sz w:val="20"/>
                <w:lang w:val="en-IE"/>
              </w:rPr>
            </w:pPr>
            <w:r>
              <w:rPr>
                <w:rFonts w:asciiTheme="minorHAnsi" w:hAnsiTheme="minorHAnsi"/>
                <w:sz w:val="20"/>
                <w:lang w:val="en-IE"/>
              </w:rPr>
              <w:t>€45.0</w:t>
            </w:r>
          </w:p>
        </w:tc>
        <w:tc>
          <w:tcPr>
            <w:tcW w:w="1417" w:type="dxa"/>
            <w:shd w:val="clear" w:color="auto" w:fill="auto"/>
          </w:tcPr>
          <w:p w14:paraId="7C0A5EB6" w14:textId="77777777" w:rsidR="00323BB2" w:rsidRPr="002C142C" w:rsidRDefault="00323BB2" w:rsidP="00453AFA">
            <w:pPr>
              <w:jc w:val="right"/>
              <w:rPr>
                <w:rFonts w:asciiTheme="minorHAnsi" w:hAnsiTheme="minorHAnsi"/>
                <w:sz w:val="20"/>
                <w:lang w:val="en-IE"/>
              </w:rPr>
            </w:pPr>
            <w:r w:rsidRPr="002C142C">
              <w:rPr>
                <w:rFonts w:asciiTheme="minorHAnsi" w:hAnsiTheme="minorHAnsi"/>
                <w:sz w:val="20"/>
                <w:lang w:val="en-IE"/>
              </w:rPr>
              <w:t>37.9</w:t>
            </w:r>
          </w:p>
        </w:tc>
      </w:tr>
      <w:tr w:rsidR="00323BB2" w14:paraId="055321FB" w14:textId="77777777" w:rsidTr="00453AFA">
        <w:tc>
          <w:tcPr>
            <w:tcW w:w="3402" w:type="dxa"/>
            <w:tcBorders>
              <w:bottom w:val="single" w:sz="4" w:space="0" w:color="auto"/>
            </w:tcBorders>
            <w:vAlign w:val="bottom"/>
          </w:tcPr>
          <w:p w14:paraId="1FD3A11C" w14:textId="77777777" w:rsidR="00323BB2" w:rsidRPr="00852D7F" w:rsidRDefault="00323BB2" w:rsidP="00453AFA">
            <w:pPr>
              <w:rPr>
                <w:rFonts w:asciiTheme="minorHAnsi" w:hAnsiTheme="minorHAnsi" w:cstheme="minorHAnsi"/>
                <w:sz w:val="20"/>
              </w:rPr>
            </w:pPr>
            <w:r w:rsidRPr="00852D7F">
              <w:rPr>
                <w:rFonts w:asciiTheme="minorHAnsi" w:hAnsiTheme="minorHAnsi" w:cstheme="minorHAnsi"/>
                <w:sz w:val="20"/>
              </w:rPr>
              <w:t>Overdraft facility</w:t>
            </w:r>
          </w:p>
        </w:tc>
        <w:tc>
          <w:tcPr>
            <w:tcW w:w="1418" w:type="dxa"/>
            <w:tcBorders>
              <w:bottom w:val="single" w:sz="4" w:space="0" w:color="auto"/>
            </w:tcBorders>
          </w:tcPr>
          <w:p w14:paraId="14D86739" w14:textId="77777777" w:rsidR="00323BB2" w:rsidRPr="006D74A1" w:rsidRDefault="00323BB2" w:rsidP="00453AFA">
            <w:pPr>
              <w:jc w:val="right"/>
              <w:rPr>
                <w:rFonts w:asciiTheme="minorHAnsi" w:hAnsiTheme="minorHAnsi"/>
                <w:sz w:val="20"/>
                <w:highlight w:val="yellow"/>
                <w:lang w:val="en-IE"/>
              </w:rPr>
            </w:pPr>
            <w:r w:rsidRPr="00CA05C2">
              <w:rPr>
                <w:rFonts w:asciiTheme="minorHAnsi" w:hAnsiTheme="minorHAnsi"/>
                <w:sz w:val="20"/>
                <w:lang w:val="en-IE"/>
              </w:rPr>
              <w:t>0.50</w:t>
            </w:r>
          </w:p>
        </w:tc>
        <w:tc>
          <w:tcPr>
            <w:tcW w:w="1417" w:type="dxa"/>
            <w:tcBorders>
              <w:bottom w:val="single" w:sz="4" w:space="0" w:color="auto"/>
            </w:tcBorders>
          </w:tcPr>
          <w:p w14:paraId="4CFCA416"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w:t>
            </w:r>
          </w:p>
        </w:tc>
        <w:tc>
          <w:tcPr>
            <w:tcW w:w="1276" w:type="dxa"/>
            <w:tcBorders>
              <w:bottom w:val="single" w:sz="4" w:space="0" w:color="auto"/>
            </w:tcBorders>
          </w:tcPr>
          <w:p w14:paraId="132FCA8B" w14:textId="77777777" w:rsidR="00323BB2" w:rsidRPr="00521FB8" w:rsidRDefault="00323BB2" w:rsidP="00453AFA">
            <w:pPr>
              <w:jc w:val="right"/>
              <w:rPr>
                <w:rFonts w:asciiTheme="minorHAnsi" w:hAnsiTheme="minorHAnsi"/>
                <w:sz w:val="20"/>
                <w:lang w:val="en-IE"/>
              </w:rPr>
            </w:pPr>
            <w:r w:rsidRPr="005A0FDA">
              <w:rPr>
                <w:rFonts w:asciiTheme="minorHAnsi" w:hAnsiTheme="minorHAnsi"/>
                <w:sz w:val="20"/>
                <w:lang w:val="en-IE"/>
              </w:rPr>
              <w:t>-</w:t>
            </w:r>
          </w:p>
        </w:tc>
        <w:tc>
          <w:tcPr>
            <w:tcW w:w="1418" w:type="dxa"/>
            <w:tcBorders>
              <w:bottom w:val="single" w:sz="4" w:space="0" w:color="auto"/>
            </w:tcBorders>
          </w:tcPr>
          <w:p w14:paraId="2B79F536"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£5.0</w:t>
            </w:r>
          </w:p>
        </w:tc>
        <w:tc>
          <w:tcPr>
            <w:tcW w:w="1417" w:type="dxa"/>
            <w:tcBorders>
              <w:bottom w:val="single" w:sz="4" w:space="0" w:color="auto"/>
            </w:tcBorders>
          </w:tcPr>
          <w:p w14:paraId="00C0F3BC"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£5.0</w:t>
            </w:r>
          </w:p>
        </w:tc>
      </w:tr>
      <w:tr w:rsidR="00323BB2" w14:paraId="4EAB37D4" w14:textId="77777777" w:rsidTr="00453AFA">
        <w:tc>
          <w:tcPr>
            <w:tcW w:w="3402" w:type="dxa"/>
            <w:tcBorders>
              <w:top w:val="single" w:sz="4" w:space="0" w:color="auto"/>
              <w:bottom w:val="single" w:sz="4" w:space="0" w:color="auto"/>
            </w:tcBorders>
            <w:vAlign w:val="bottom"/>
          </w:tcPr>
          <w:p w14:paraId="614B53E1" w14:textId="77777777" w:rsidR="00323BB2" w:rsidRPr="00852D7F" w:rsidRDefault="00323BB2" w:rsidP="00453AFA">
            <w:pPr>
              <w:rPr>
                <w:rFonts w:asciiTheme="minorHAnsi" w:hAnsiTheme="minorHAnsi" w:cstheme="minorHAnsi"/>
                <w:b/>
                <w:sz w:val="20"/>
              </w:rPr>
            </w:pPr>
            <w:r w:rsidRPr="00852D7F">
              <w:rPr>
                <w:rFonts w:asciiTheme="minorHAnsi" w:hAnsiTheme="minorHAnsi" w:cstheme="minorHAnsi"/>
                <w:b/>
                <w:sz w:val="20"/>
              </w:rPr>
              <w:t>Total borrowings</w:t>
            </w:r>
          </w:p>
        </w:tc>
        <w:tc>
          <w:tcPr>
            <w:tcW w:w="1418" w:type="dxa"/>
            <w:tcBorders>
              <w:top w:val="single" w:sz="4" w:space="0" w:color="auto"/>
              <w:bottom w:val="single" w:sz="4" w:space="0" w:color="auto"/>
            </w:tcBorders>
          </w:tcPr>
          <w:p w14:paraId="21DDBED5" w14:textId="77777777" w:rsidR="00323BB2" w:rsidRPr="00852D7F" w:rsidRDefault="00323BB2" w:rsidP="00453AFA">
            <w:pPr>
              <w:jc w:val="right"/>
              <w:rPr>
                <w:rFonts w:asciiTheme="minorHAnsi" w:hAnsiTheme="minorHAnsi"/>
                <w:b/>
                <w:sz w:val="20"/>
                <w:lang w:val="en-IE"/>
              </w:rPr>
            </w:pPr>
          </w:p>
        </w:tc>
        <w:tc>
          <w:tcPr>
            <w:tcW w:w="1417" w:type="dxa"/>
            <w:tcBorders>
              <w:top w:val="single" w:sz="4" w:space="0" w:color="auto"/>
              <w:bottom w:val="single" w:sz="4" w:space="0" w:color="auto"/>
            </w:tcBorders>
          </w:tcPr>
          <w:p w14:paraId="52EEAEAB" w14:textId="77777777" w:rsidR="00323BB2" w:rsidRPr="00852D7F" w:rsidRDefault="00323BB2" w:rsidP="00453AFA">
            <w:pPr>
              <w:jc w:val="right"/>
              <w:rPr>
                <w:rFonts w:asciiTheme="minorHAnsi" w:hAnsiTheme="minorHAnsi"/>
                <w:b/>
                <w:sz w:val="20"/>
                <w:lang w:val="en-IE"/>
              </w:rPr>
            </w:pPr>
          </w:p>
        </w:tc>
        <w:tc>
          <w:tcPr>
            <w:tcW w:w="1276" w:type="dxa"/>
            <w:tcBorders>
              <w:top w:val="single" w:sz="4" w:space="0" w:color="auto"/>
              <w:bottom w:val="single" w:sz="4" w:space="0" w:color="auto"/>
            </w:tcBorders>
          </w:tcPr>
          <w:p w14:paraId="29AFC64A" w14:textId="77777777" w:rsidR="00323BB2" w:rsidRPr="00852D7F" w:rsidRDefault="00323BB2" w:rsidP="00453AFA">
            <w:pPr>
              <w:jc w:val="right"/>
              <w:rPr>
                <w:rFonts w:asciiTheme="minorHAnsi" w:hAnsiTheme="minorHAnsi"/>
                <w:b/>
                <w:sz w:val="20"/>
                <w:lang w:val="en-IE"/>
              </w:rPr>
            </w:pPr>
            <w:r w:rsidRPr="00852D7F">
              <w:rPr>
                <w:rFonts w:asciiTheme="minorHAnsi" w:hAnsiTheme="minorHAnsi"/>
                <w:b/>
                <w:sz w:val="20"/>
                <w:lang w:val="en-IE"/>
              </w:rPr>
              <w:t>3,6</w:t>
            </w:r>
            <w:r>
              <w:rPr>
                <w:rFonts w:asciiTheme="minorHAnsi" w:hAnsiTheme="minorHAnsi"/>
                <w:b/>
                <w:sz w:val="20"/>
                <w:lang w:val="en-IE"/>
              </w:rPr>
              <w:t>25</w:t>
            </w:r>
            <w:r w:rsidRPr="00852D7F">
              <w:rPr>
                <w:rFonts w:asciiTheme="minorHAnsi" w:hAnsiTheme="minorHAnsi"/>
                <w:b/>
                <w:sz w:val="20"/>
                <w:lang w:val="en-IE"/>
              </w:rPr>
              <w:t>.</w:t>
            </w:r>
            <w:r>
              <w:rPr>
                <w:rFonts w:asciiTheme="minorHAnsi" w:hAnsiTheme="minorHAnsi"/>
                <w:b/>
                <w:sz w:val="20"/>
                <w:lang w:val="en-IE"/>
              </w:rPr>
              <w:t>2</w:t>
            </w:r>
          </w:p>
        </w:tc>
        <w:tc>
          <w:tcPr>
            <w:tcW w:w="1418" w:type="dxa"/>
            <w:tcBorders>
              <w:top w:val="single" w:sz="4" w:space="0" w:color="auto"/>
              <w:bottom w:val="single" w:sz="4" w:space="0" w:color="auto"/>
            </w:tcBorders>
          </w:tcPr>
          <w:p w14:paraId="5756DB80" w14:textId="77777777" w:rsidR="00323BB2" w:rsidRPr="00852D7F" w:rsidRDefault="00323BB2" w:rsidP="00453AFA">
            <w:pPr>
              <w:jc w:val="right"/>
              <w:rPr>
                <w:rFonts w:asciiTheme="minorHAnsi" w:hAnsiTheme="minorHAnsi"/>
                <w:b/>
                <w:sz w:val="20"/>
                <w:lang w:val="en-IE"/>
              </w:rPr>
            </w:pPr>
          </w:p>
        </w:tc>
        <w:tc>
          <w:tcPr>
            <w:tcW w:w="1417" w:type="dxa"/>
            <w:tcBorders>
              <w:top w:val="single" w:sz="4" w:space="0" w:color="auto"/>
              <w:bottom w:val="single" w:sz="4" w:space="0" w:color="auto"/>
            </w:tcBorders>
          </w:tcPr>
          <w:p w14:paraId="3A2F9671" w14:textId="77777777" w:rsidR="00323BB2" w:rsidRPr="00852D7F" w:rsidRDefault="00323BB2" w:rsidP="00453AFA">
            <w:pPr>
              <w:jc w:val="right"/>
              <w:rPr>
                <w:rFonts w:asciiTheme="minorHAnsi" w:hAnsiTheme="minorHAnsi"/>
                <w:b/>
                <w:sz w:val="20"/>
                <w:lang w:val="en-IE"/>
              </w:rPr>
            </w:pPr>
            <w:r w:rsidRPr="00852D7F">
              <w:rPr>
                <w:rFonts w:asciiTheme="minorHAnsi" w:hAnsiTheme="minorHAnsi"/>
                <w:b/>
                <w:sz w:val="20"/>
                <w:lang w:val="en-IE"/>
              </w:rPr>
              <w:t>370.7</w:t>
            </w:r>
          </w:p>
        </w:tc>
      </w:tr>
      <w:tr w:rsidR="00323BB2" w14:paraId="2F8E9491" w14:textId="77777777" w:rsidTr="00453AFA">
        <w:tc>
          <w:tcPr>
            <w:tcW w:w="3402" w:type="dxa"/>
            <w:tcBorders>
              <w:top w:val="single" w:sz="4" w:space="0" w:color="auto"/>
              <w:bottom w:val="single" w:sz="4" w:space="0" w:color="auto"/>
            </w:tcBorders>
            <w:vAlign w:val="bottom"/>
          </w:tcPr>
          <w:p w14:paraId="1989A47F" w14:textId="77777777" w:rsidR="00323BB2" w:rsidRPr="00521FB8" w:rsidRDefault="00323BB2" w:rsidP="00453AFA">
            <w:pPr>
              <w:rPr>
                <w:rFonts w:asciiTheme="minorHAnsi" w:hAnsiTheme="minorHAnsi" w:cstheme="minorHAnsi"/>
                <w:b/>
                <w:sz w:val="20"/>
              </w:rPr>
            </w:pPr>
            <w:r w:rsidRPr="00521FB8">
              <w:rPr>
                <w:rFonts w:asciiTheme="minorHAnsi" w:hAnsiTheme="minorHAnsi" w:cstheme="minorHAnsi"/>
                <w:sz w:val="20"/>
              </w:rPr>
              <w:t>Current portion</w:t>
            </w:r>
          </w:p>
        </w:tc>
        <w:tc>
          <w:tcPr>
            <w:tcW w:w="1418" w:type="dxa"/>
            <w:tcBorders>
              <w:top w:val="single" w:sz="4" w:space="0" w:color="auto"/>
              <w:bottom w:val="single" w:sz="4" w:space="0" w:color="auto"/>
            </w:tcBorders>
          </w:tcPr>
          <w:p w14:paraId="507865DE" w14:textId="77777777" w:rsidR="00323BB2" w:rsidRPr="00521FB8" w:rsidRDefault="00323BB2" w:rsidP="00453AFA">
            <w:pPr>
              <w:jc w:val="right"/>
              <w:rPr>
                <w:rFonts w:asciiTheme="minorHAnsi" w:hAnsiTheme="minorHAnsi"/>
                <w:sz w:val="20"/>
                <w:lang w:val="en-IE"/>
              </w:rPr>
            </w:pPr>
          </w:p>
        </w:tc>
        <w:tc>
          <w:tcPr>
            <w:tcW w:w="1417" w:type="dxa"/>
            <w:tcBorders>
              <w:top w:val="single" w:sz="4" w:space="0" w:color="auto"/>
              <w:bottom w:val="single" w:sz="4" w:space="0" w:color="auto"/>
            </w:tcBorders>
          </w:tcPr>
          <w:p w14:paraId="35E8C54C" w14:textId="77777777" w:rsidR="00323BB2" w:rsidRPr="00521FB8" w:rsidRDefault="00323BB2" w:rsidP="00453AFA">
            <w:pPr>
              <w:jc w:val="right"/>
              <w:rPr>
                <w:rFonts w:asciiTheme="minorHAnsi" w:hAnsiTheme="minorHAnsi"/>
                <w:sz w:val="20"/>
                <w:lang w:val="en-IE"/>
              </w:rPr>
            </w:pPr>
          </w:p>
        </w:tc>
        <w:tc>
          <w:tcPr>
            <w:tcW w:w="1276" w:type="dxa"/>
            <w:tcBorders>
              <w:top w:val="single" w:sz="4" w:space="0" w:color="auto"/>
              <w:bottom w:val="single" w:sz="4" w:space="0" w:color="auto"/>
            </w:tcBorders>
          </w:tcPr>
          <w:p w14:paraId="3DE5D1AC" w14:textId="77777777" w:rsidR="00323BB2" w:rsidRPr="00D118F7" w:rsidRDefault="00323BB2" w:rsidP="00453AFA">
            <w:pPr>
              <w:jc w:val="right"/>
              <w:rPr>
                <w:rFonts w:asciiTheme="minorHAnsi" w:hAnsiTheme="minorHAnsi"/>
                <w:sz w:val="20"/>
                <w:lang w:val="en-IE"/>
              </w:rPr>
            </w:pPr>
            <w:r w:rsidRPr="00D118F7">
              <w:rPr>
                <w:rFonts w:asciiTheme="minorHAnsi" w:hAnsiTheme="minorHAnsi"/>
                <w:sz w:val="20"/>
                <w:lang w:val="en-IE"/>
              </w:rPr>
              <w:t>56.2</w:t>
            </w:r>
          </w:p>
        </w:tc>
        <w:tc>
          <w:tcPr>
            <w:tcW w:w="1418" w:type="dxa"/>
            <w:tcBorders>
              <w:top w:val="single" w:sz="4" w:space="0" w:color="auto"/>
              <w:bottom w:val="single" w:sz="4" w:space="0" w:color="auto"/>
            </w:tcBorders>
          </w:tcPr>
          <w:p w14:paraId="34A97DE4" w14:textId="77777777" w:rsidR="00323BB2" w:rsidRPr="00D118F7" w:rsidRDefault="00323BB2" w:rsidP="00453AFA">
            <w:pPr>
              <w:jc w:val="right"/>
              <w:rPr>
                <w:rFonts w:asciiTheme="minorHAnsi" w:hAnsiTheme="minorHAnsi"/>
                <w:sz w:val="20"/>
                <w:lang w:val="en-IE"/>
              </w:rPr>
            </w:pPr>
          </w:p>
        </w:tc>
        <w:tc>
          <w:tcPr>
            <w:tcW w:w="1417" w:type="dxa"/>
            <w:tcBorders>
              <w:top w:val="single" w:sz="4" w:space="0" w:color="auto"/>
              <w:bottom w:val="single" w:sz="4" w:space="0" w:color="auto"/>
            </w:tcBorders>
          </w:tcPr>
          <w:p w14:paraId="654F5577"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255.0</w:t>
            </w:r>
          </w:p>
        </w:tc>
      </w:tr>
      <w:tr w:rsidR="00323BB2" w14:paraId="437D506B" w14:textId="77777777" w:rsidTr="00453AFA">
        <w:tc>
          <w:tcPr>
            <w:tcW w:w="3402" w:type="dxa"/>
            <w:tcBorders>
              <w:top w:val="single" w:sz="4" w:space="0" w:color="auto"/>
              <w:bottom w:val="single" w:sz="4" w:space="0" w:color="auto"/>
            </w:tcBorders>
            <w:vAlign w:val="bottom"/>
          </w:tcPr>
          <w:p w14:paraId="0BE64C74" w14:textId="77777777" w:rsidR="00323BB2" w:rsidRPr="00521FB8" w:rsidRDefault="00323BB2" w:rsidP="00453AFA">
            <w:pPr>
              <w:rPr>
                <w:rFonts w:asciiTheme="minorHAnsi" w:hAnsiTheme="minorHAnsi" w:cstheme="minorHAnsi"/>
                <w:sz w:val="20"/>
              </w:rPr>
            </w:pPr>
            <w:r w:rsidRPr="00521FB8">
              <w:rPr>
                <w:rFonts w:asciiTheme="minorHAnsi" w:hAnsiTheme="minorHAnsi" w:cstheme="minorHAnsi"/>
                <w:sz w:val="20"/>
              </w:rPr>
              <w:t>Non-current portion</w:t>
            </w:r>
          </w:p>
        </w:tc>
        <w:tc>
          <w:tcPr>
            <w:tcW w:w="1418" w:type="dxa"/>
            <w:tcBorders>
              <w:top w:val="single" w:sz="4" w:space="0" w:color="auto"/>
              <w:bottom w:val="single" w:sz="4" w:space="0" w:color="auto"/>
            </w:tcBorders>
          </w:tcPr>
          <w:p w14:paraId="1D0FC673" w14:textId="77777777" w:rsidR="00323BB2" w:rsidRPr="00521FB8" w:rsidRDefault="00323BB2" w:rsidP="00453AFA">
            <w:pPr>
              <w:jc w:val="right"/>
              <w:rPr>
                <w:rFonts w:asciiTheme="minorHAnsi" w:hAnsiTheme="minorHAnsi"/>
                <w:sz w:val="20"/>
                <w:lang w:val="en-IE"/>
              </w:rPr>
            </w:pPr>
          </w:p>
        </w:tc>
        <w:tc>
          <w:tcPr>
            <w:tcW w:w="1417" w:type="dxa"/>
            <w:tcBorders>
              <w:top w:val="single" w:sz="4" w:space="0" w:color="auto"/>
              <w:bottom w:val="single" w:sz="4" w:space="0" w:color="auto"/>
            </w:tcBorders>
          </w:tcPr>
          <w:p w14:paraId="013CE81F" w14:textId="77777777" w:rsidR="00323BB2" w:rsidRPr="00521FB8" w:rsidRDefault="00323BB2" w:rsidP="00453AFA">
            <w:pPr>
              <w:jc w:val="right"/>
              <w:rPr>
                <w:rFonts w:asciiTheme="minorHAnsi" w:hAnsiTheme="minorHAnsi"/>
                <w:sz w:val="20"/>
                <w:lang w:val="en-IE"/>
              </w:rPr>
            </w:pPr>
          </w:p>
        </w:tc>
        <w:tc>
          <w:tcPr>
            <w:tcW w:w="1276" w:type="dxa"/>
            <w:tcBorders>
              <w:top w:val="single" w:sz="4" w:space="0" w:color="auto"/>
              <w:bottom w:val="single" w:sz="4" w:space="0" w:color="auto"/>
            </w:tcBorders>
          </w:tcPr>
          <w:p w14:paraId="18A1A589"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3,569.0</w:t>
            </w:r>
          </w:p>
        </w:tc>
        <w:tc>
          <w:tcPr>
            <w:tcW w:w="1418" w:type="dxa"/>
            <w:tcBorders>
              <w:top w:val="single" w:sz="4" w:space="0" w:color="auto"/>
              <w:bottom w:val="single" w:sz="4" w:space="0" w:color="auto"/>
            </w:tcBorders>
          </w:tcPr>
          <w:p w14:paraId="0C583C0F" w14:textId="77777777" w:rsidR="00323BB2" w:rsidRPr="00521FB8" w:rsidRDefault="00323BB2" w:rsidP="00453AFA">
            <w:pPr>
              <w:jc w:val="right"/>
              <w:rPr>
                <w:rFonts w:asciiTheme="minorHAnsi" w:hAnsiTheme="minorHAnsi"/>
                <w:sz w:val="20"/>
                <w:lang w:val="en-IE"/>
              </w:rPr>
            </w:pPr>
          </w:p>
        </w:tc>
        <w:tc>
          <w:tcPr>
            <w:tcW w:w="1417" w:type="dxa"/>
            <w:tcBorders>
              <w:top w:val="single" w:sz="4" w:space="0" w:color="auto"/>
              <w:bottom w:val="single" w:sz="4" w:space="0" w:color="auto"/>
            </w:tcBorders>
          </w:tcPr>
          <w:p w14:paraId="3004CEC6" w14:textId="77777777" w:rsidR="00323BB2" w:rsidRPr="00521FB8" w:rsidRDefault="00323BB2" w:rsidP="00453AFA">
            <w:pPr>
              <w:jc w:val="right"/>
              <w:rPr>
                <w:rFonts w:asciiTheme="minorHAnsi" w:hAnsiTheme="minorHAnsi"/>
                <w:sz w:val="20"/>
                <w:lang w:val="en-IE"/>
              </w:rPr>
            </w:pPr>
            <w:r>
              <w:rPr>
                <w:rFonts w:asciiTheme="minorHAnsi" w:hAnsiTheme="minorHAnsi"/>
                <w:sz w:val="20"/>
                <w:lang w:val="en-IE"/>
              </w:rPr>
              <w:t>115.7</w:t>
            </w:r>
          </w:p>
        </w:tc>
      </w:tr>
    </w:tbl>
    <w:p w14:paraId="3982E9D5" w14:textId="77777777" w:rsidR="00323BB2" w:rsidRDefault="00323BB2" w:rsidP="00323BB2">
      <w:pPr>
        <w:rPr>
          <w:rFonts w:asciiTheme="minorHAnsi" w:hAnsiTheme="minorHAnsi"/>
          <w:sz w:val="20"/>
          <w:lang w:val="en-IE"/>
        </w:rPr>
      </w:pPr>
    </w:p>
    <w:p w14:paraId="6E516126" w14:textId="77777777" w:rsidR="00323BB2" w:rsidRDefault="00323BB2" w:rsidP="00323BB2">
      <w:pPr>
        <w:jc w:val="both"/>
        <w:rPr>
          <w:rFonts w:asciiTheme="minorHAnsi" w:hAnsiTheme="minorHAnsi" w:cstheme="minorHAnsi"/>
          <w:sz w:val="20"/>
        </w:rPr>
      </w:pPr>
      <w:r w:rsidRPr="00852D7F">
        <w:rPr>
          <w:rFonts w:asciiTheme="minorHAnsi" w:hAnsiTheme="minorHAnsi"/>
          <w:sz w:val="20"/>
          <w:lang w:val="en-IE"/>
        </w:rPr>
        <w:t>*</w:t>
      </w:r>
      <w:bookmarkEnd w:id="21"/>
      <w:r w:rsidRPr="00852D7F">
        <w:rPr>
          <w:rFonts w:asciiTheme="minorHAnsi" w:hAnsiTheme="minorHAnsi" w:cstheme="minorHAnsi"/>
        </w:rPr>
        <w:t xml:space="preserve"> </w:t>
      </w:r>
      <w:r w:rsidRPr="00852D7F">
        <w:rPr>
          <w:rFonts w:asciiTheme="minorHAnsi" w:hAnsiTheme="minorHAnsi" w:cstheme="minorHAnsi"/>
          <w:sz w:val="20"/>
        </w:rPr>
        <w:t xml:space="preserve">The carrying amounts include accrued interest as at </w:t>
      </w:r>
      <w:r>
        <w:rPr>
          <w:rFonts w:asciiTheme="minorHAnsi" w:hAnsiTheme="minorHAnsi" w:cstheme="minorHAnsi"/>
          <w:sz w:val="20"/>
        </w:rPr>
        <w:t>30 June 2020</w:t>
      </w:r>
      <w:r w:rsidRPr="00852D7F">
        <w:rPr>
          <w:rFonts w:asciiTheme="minorHAnsi" w:hAnsiTheme="minorHAnsi" w:cstheme="minorHAnsi"/>
          <w:sz w:val="20"/>
        </w:rPr>
        <w:t xml:space="preserve"> and</w:t>
      </w:r>
      <w:r>
        <w:rPr>
          <w:rFonts w:asciiTheme="minorHAnsi" w:hAnsiTheme="minorHAnsi" w:cstheme="minorHAnsi"/>
          <w:sz w:val="20"/>
        </w:rPr>
        <w:t xml:space="preserve"> 31</w:t>
      </w:r>
      <w:r w:rsidRPr="00852D7F">
        <w:rPr>
          <w:rFonts w:asciiTheme="minorHAnsi" w:hAnsiTheme="minorHAnsi" w:cstheme="minorHAnsi"/>
          <w:sz w:val="20"/>
        </w:rPr>
        <w:t xml:space="preserve"> December 20</w:t>
      </w:r>
      <w:r>
        <w:rPr>
          <w:rFonts w:asciiTheme="minorHAnsi" w:hAnsiTheme="minorHAnsi" w:cstheme="minorHAnsi"/>
          <w:sz w:val="20"/>
        </w:rPr>
        <w:t>19</w:t>
      </w:r>
      <w:r w:rsidRPr="00852D7F">
        <w:rPr>
          <w:rFonts w:asciiTheme="minorHAnsi" w:hAnsiTheme="minorHAnsi" w:cstheme="minorHAnsi"/>
          <w:sz w:val="20"/>
        </w:rPr>
        <w:t xml:space="preserve"> of £</w:t>
      </w:r>
      <w:r>
        <w:rPr>
          <w:rFonts w:asciiTheme="minorHAnsi" w:hAnsiTheme="minorHAnsi" w:cstheme="minorHAnsi"/>
          <w:sz w:val="20"/>
        </w:rPr>
        <w:t>27.2m and £0.5m</w:t>
      </w:r>
      <w:r w:rsidRPr="00852D7F">
        <w:rPr>
          <w:rFonts w:asciiTheme="minorHAnsi" w:hAnsiTheme="minorHAnsi" w:cstheme="minorHAnsi"/>
          <w:sz w:val="20"/>
        </w:rPr>
        <w:t>, respectively</w:t>
      </w:r>
      <w:r>
        <w:rPr>
          <w:rFonts w:asciiTheme="minorHAnsi" w:hAnsiTheme="minorHAnsi" w:cstheme="minorHAnsi"/>
          <w:sz w:val="20"/>
        </w:rPr>
        <w:t xml:space="preserve"> and is included within the current portion of borrowings above</w:t>
      </w:r>
      <w:r w:rsidRPr="00852D7F">
        <w:rPr>
          <w:rFonts w:asciiTheme="minorHAnsi" w:hAnsiTheme="minorHAnsi" w:cstheme="minorHAnsi"/>
          <w:sz w:val="20"/>
        </w:rPr>
        <w:t>.</w:t>
      </w:r>
    </w:p>
    <w:p w14:paraId="4308E7AA" w14:textId="77777777" w:rsidR="00323BB2" w:rsidRDefault="00323BB2" w:rsidP="00323BB2">
      <w:pPr>
        <w:jc w:val="both"/>
        <w:rPr>
          <w:rFonts w:asciiTheme="minorHAnsi" w:hAnsiTheme="minorHAnsi" w:cstheme="minorHAnsi"/>
          <w:sz w:val="20"/>
        </w:rPr>
      </w:pPr>
    </w:p>
    <w:p w14:paraId="47AC3E26" w14:textId="77777777" w:rsidR="00323BB2" w:rsidRDefault="00323BB2" w:rsidP="00323BB2">
      <w:pPr>
        <w:jc w:val="both"/>
        <w:rPr>
          <w:rFonts w:asciiTheme="minorHAnsi" w:hAnsiTheme="minorHAnsi" w:cstheme="minorHAnsi"/>
          <w:sz w:val="20"/>
        </w:rPr>
      </w:pPr>
      <w:r>
        <w:rPr>
          <w:rFonts w:asciiTheme="minorHAnsi" w:hAnsiTheme="minorHAnsi" w:cstheme="minorHAnsi"/>
          <w:sz w:val="20"/>
        </w:rPr>
        <w:t>** The carrying amounts include a liability of £11.6m and an asset of £55.7m relating to the embedded derivatives in the EUR First Lien Term Loan B and the Senior Notes respectively. See below in this note for further detail.</w:t>
      </w:r>
    </w:p>
    <w:p w14:paraId="35D90608" w14:textId="77777777" w:rsidR="00323BB2" w:rsidRDefault="00323BB2" w:rsidP="00323BB2">
      <w:pPr>
        <w:jc w:val="both"/>
        <w:rPr>
          <w:rFonts w:asciiTheme="minorHAnsi" w:hAnsiTheme="minorHAnsi" w:cstheme="minorHAnsi"/>
          <w:sz w:val="20"/>
        </w:rPr>
      </w:pPr>
    </w:p>
    <w:p w14:paraId="61C92CA8" w14:textId="77777777" w:rsidR="00323BB2" w:rsidRDefault="00323BB2" w:rsidP="00323BB2">
      <w:pPr>
        <w:jc w:val="both"/>
        <w:rPr>
          <w:rFonts w:asciiTheme="minorHAnsi" w:hAnsiTheme="minorHAnsi" w:cstheme="minorHAnsi"/>
          <w:sz w:val="20"/>
        </w:rPr>
      </w:pPr>
    </w:p>
    <w:p w14:paraId="7DC31B5E" w14:textId="77777777" w:rsidR="00323BB2" w:rsidRPr="00852D7F" w:rsidRDefault="00323BB2" w:rsidP="00323BB2">
      <w:pPr>
        <w:jc w:val="both"/>
        <w:rPr>
          <w:rFonts w:asciiTheme="minorHAnsi" w:hAnsiTheme="minorHAnsi" w:cstheme="minorHAnsi"/>
          <w:sz w:val="20"/>
        </w:rPr>
      </w:pPr>
    </w:p>
    <w:p w14:paraId="40FDEC65" w14:textId="77777777" w:rsidR="00323BB2" w:rsidRDefault="00323BB2" w:rsidP="00323BB2">
      <w:pPr>
        <w:rPr>
          <w:rFonts w:asciiTheme="minorHAnsi" w:hAnsiTheme="minorHAnsi" w:cstheme="minorHAnsi"/>
          <w:sz w:val="20"/>
        </w:rPr>
      </w:pPr>
      <w:r>
        <w:rPr>
          <w:rFonts w:asciiTheme="minorHAnsi" w:hAnsiTheme="minorHAnsi" w:cstheme="minorHAnsi"/>
          <w:sz w:val="20"/>
        </w:rPr>
        <w:br w:type="page"/>
      </w:r>
    </w:p>
    <w:p w14:paraId="6862B349" w14:textId="77777777" w:rsidR="00323BB2" w:rsidRDefault="00323BB2" w:rsidP="00323BB2">
      <w:pPr>
        <w:rPr>
          <w:rFonts w:asciiTheme="minorHAnsi" w:hAnsiTheme="minorHAnsi"/>
          <w:b/>
          <w:sz w:val="20"/>
          <w:lang w:val="en-IE"/>
        </w:rPr>
      </w:pPr>
      <w:r w:rsidRPr="009D30BC">
        <w:rPr>
          <w:rFonts w:asciiTheme="minorHAnsi" w:hAnsiTheme="minorHAnsi"/>
          <w:b/>
          <w:sz w:val="20"/>
          <w:lang w:val="en-IE"/>
        </w:rPr>
        <w:lastRenderedPageBreak/>
        <w:t>1</w:t>
      </w:r>
      <w:r>
        <w:rPr>
          <w:rFonts w:asciiTheme="minorHAnsi" w:hAnsiTheme="minorHAnsi"/>
          <w:b/>
          <w:sz w:val="20"/>
          <w:lang w:val="en-IE"/>
        </w:rPr>
        <w:t>5</w:t>
      </w:r>
      <w:r w:rsidRPr="009D30BC">
        <w:rPr>
          <w:rFonts w:asciiTheme="minorHAnsi" w:hAnsiTheme="minorHAnsi"/>
          <w:b/>
          <w:sz w:val="20"/>
          <w:lang w:val="en-IE"/>
        </w:rPr>
        <w:t xml:space="preserve">. Borrowings </w:t>
      </w:r>
      <w:r>
        <w:rPr>
          <w:rFonts w:asciiTheme="minorHAnsi" w:hAnsiTheme="minorHAnsi"/>
          <w:b/>
          <w:sz w:val="20"/>
          <w:lang w:val="en-IE"/>
        </w:rPr>
        <w:t>(continued)</w:t>
      </w:r>
    </w:p>
    <w:p w14:paraId="2D84D422" w14:textId="77777777" w:rsidR="00323BB2" w:rsidRDefault="00323BB2" w:rsidP="00323BB2">
      <w:pPr>
        <w:keepNext/>
        <w:spacing w:after="140"/>
        <w:jc w:val="both"/>
        <w:rPr>
          <w:rFonts w:asciiTheme="minorHAnsi" w:hAnsiTheme="minorHAnsi" w:cstheme="minorHAnsi"/>
          <w:sz w:val="20"/>
        </w:rPr>
      </w:pPr>
    </w:p>
    <w:p w14:paraId="5BCAE34F" w14:textId="77777777" w:rsidR="00323BB2" w:rsidRPr="00852D7F" w:rsidRDefault="00323BB2" w:rsidP="00323BB2">
      <w:pPr>
        <w:keepNext/>
        <w:spacing w:after="140"/>
        <w:rPr>
          <w:rFonts w:asciiTheme="minorHAnsi" w:hAnsiTheme="minorHAnsi" w:cstheme="minorHAnsi"/>
          <w:sz w:val="20"/>
        </w:rPr>
      </w:pPr>
      <w:r w:rsidRPr="00852D7F">
        <w:rPr>
          <w:rFonts w:asciiTheme="minorHAnsi" w:hAnsiTheme="minorHAnsi" w:cstheme="minorHAnsi"/>
          <w:sz w:val="20"/>
        </w:rPr>
        <w:t>During the six months ended</w:t>
      </w:r>
      <w:r>
        <w:rPr>
          <w:rFonts w:asciiTheme="minorHAnsi" w:hAnsiTheme="minorHAnsi" w:cstheme="minorHAnsi"/>
          <w:sz w:val="20"/>
        </w:rPr>
        <w:t xml:space="preserve"> 30</w:t>
      </w:r>
      <w:r w:rsidRPr="00852D7F">
        <w:rPr>
          <w:rFonts w:asciiTheme="minorHAnsi" w:hAnsiTheme="minorHAnsi" w:cstheme="minorHAnsi"/>
          <w:sz w:val="20"/>
        </w:rPr>
        <w:t xml:space="preserve"> June</w:t>
      </w:r>
      <w:r>
        <w:rPr>
          <w:rFonts w:asciiTheme="minorHAnsi" w:hAnsiTheme="minorHAnsi" w:cstheme="minorHAnsi"/>
          <w:sz w:val="20"/>
        </w:rPr>
        <w:t xml:space="preserve"> </w:t>
      </w:r>
      <w:r w:rsidRPr="00852D7F">
        <w:rPr>
          <w:rFonts w:asciiTheme="minorHAnsi" w:hAnsiTheme="minorHAnsi" w:cstheme="minorHAnsi"/>
          <w:sz w:val="20"/>
        </w:rPr>
        <w:t xml:space="preserve">2020, the </w:t>
      </w:r>
      <w:r>
        <w:rPr>
          <w:rFonts w:asciiTheme="minorHAnsi" w:hAnsiTheme="minorHAnsi" w:cstheme="minorHAnsi"/>
          <w:sz w:val="20"/>
        </w:rPr>
        <w:t>Group</w:t>
      </w:r>
      <w:r w:rsidRPr="00852D7F">
        <w:rPr>
          <w:rFonts w:asciiTheme="minorHAnsi" w:hAnsiTheme="minorHAnsi" w:cstheme="minorHAnsi"/>
          <w:sz w:val="20"/>
        </w:rPr>
        <w:t xml:space="preserve"> incurred the following interest on its then</w:t>
      </w:r>
      <w:r>
        <w:rPr>
          <w:rFonts w:asciiTheme="minorHAnsi" w:hAnsiTheme="minorHAnsi" w:cstheme="minorHAnsi"/>
          <w:sz w:val="20"/>
        </w:rPr>
        <w:t xml:space="preserve"> </w:t>
      </w:r>
      <w:r w:rsidRPr="00852D7F">
        <w:rPr>
          <w:rFonts w:asciiTheme="minorHAnsi" w:hAnsiTheme="minorHAnsi" w:cstheme="minorHAnsi"/>
          <w:sz w:val="20"/>
        </w:rPr>
        <w:t>outstanding borrowings: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520"/>
        <w:gridCol w:w="1521"/>
        <w:gridCol w:w="1520"/>
        <w:gridCol w:w="1521"/>
      </w:tblGrid>
      <w:tr w:rsidR="00323BB2" w14:paraId="11A145CE" w14:textId="77777777" w:rsidTr="00453AFA">
        <w:tc>
          <w:tcPr>
            <w:tcW w:w="3402" w:type="dxa"/>
          </w:tcPr>
          <w:p w14:paraId="117F2811" w14:textId="77777777" w:rsidR="00323BB2" w:rsidRDefault="00323BB2" w:rsidP="00453AFA">
            <w:pPr>
              <w:rPr>
                <w:rFonts w:asciiTheme="minorHAnsi" w:hAnsiTheme="minorHAnsi" w:cstheme="minorHAnsi"/>
                <w:sz w:val="20"/>
                <w:lang w:val="en-IE"/>
              </w:rPr>
            </w:pPr>
          </w:p>
        </w:tc>
        <w:tc>
          <w:tcPr>
            <w:tcW w:w="1520" w:type="dxa"/>
          </w:tcPr>
          <w:p w14:paraId="5630C9E6" w14:textId="77777777" w:rsidR="00323BB2" w:rsidRPr="001C1929" w:rsidRDefault="00323BB2" w:rsidP="00453AFA">
            <w:pPr>
              <w:jc w:val="right"/>
              <w:rPr>
                <w:rFonts w:asciiTheme="minorHAnsi" w:hAnsiTheme="minorHAnsi" w:cstheme="minorHAnsi"/>
                <w:b/>
                <w:sz w:val="20"/>
                <w:lang w:val="en-IE"/>
              </w:rPr>
            </w:pPr>
            <w:r w:rsidRPr="001C1929">
              <w:rPr>
                <w:rFonts w:asciiTheme="minorHAnsi" w:hAnsiTheme="minorHAnsi" w:cstheme="minorHAnsi"/>
                <w:b/>
                <w:sz w:val="20"/>
                <w:lang w:val="en-IE"/>
              </w:rPr>
              <w:t>Effective Interest rate</w:t>
            </w:r>
            <w:r>
              <w:rPr>
                <w:rFonts w:asciiTheme="minorHAnsi" w:hAnsiTheme="minorHAnsi" w:cstheme="minorHAnsi"/>
                <w:b/>
                <w:sz w:val="20"/>
                <w:lang w:val="en-IE"/>
              </w:rPr>
              <w:t>*</w:t>
            </w:r>
          </w:p>
        </w:tc>
        <w:tc>
          <w:tcPr>
            <w:tcW w:w="1521" w:type="dxa"/>
          </w:tcPr>
          <w:p w14:paraId="28BE5F76" w14:textId="77777777" w:rsidR="00323BB2" w:rsidRPr="001C1929" w:rsidRDefault="00323BB2" w:rsidP="00453AFA">
            <w:pPr>
              <w:jc w:val="right"/>
              <w:rPr>
                <w:rFonts w:asciiTheme="minorHAnsi" w:hAnsiTheme="minorHAnsi" w:cstheme="minorHAnsi"/>
                <w:b/>
                <w:sz w:val="20"/>
                <w:lang w:val="en-IE"/>
              </w:rPr>
            </w:pPr>
            <w:r w:rsidRPr="001C1929">
              <w:rPr>
                <w:rFonts w:asciiTheme="minorHAnsi" w:hAnsiTheme="minorHAnsi" w:cstheme="minorHAnsi"/>
                <w:b/>
                <w:sz w:val="20"/>
                <w:lang w:val="en-IE"/>
              </w:rPr>
              <w:t>Interest</w:t>
            </w:r>
            <w:r>
              <w:rPr>
                <w:rFonts w:asciiTheme="minorHAnsi" w:hAnsiTheme="minorHAnsi" w:cstheme="minorHAnsi"/>
                <w:b/>
                <w:sz w:val="20"/>
                <w:lang w:val="en-IE"/>
              </w:rPr>
              <w:t>**</w:t>
            </w:r>
          </w:p>
        </w:tc>
        <w:tc>
          <w:tcPr>
            <w:tcW w:w="1520" w:type="dxa"/>
          </w:tcPr>
          <w:p w14:paraId="2A6102B7" w14:textId="77777777" w:rsidR="00323BB2" w:rsidRPr="001C1929" w:rsidRDefault="00323BB2" w:rsidP="00453AFA">
            <w:pPr>
              <w:jc w:val="right"/>
              <w:rPr>
                <w:rFonts w:asciiTheme="minorHAnsi" w:hAnsiTheme="minorHAnsi" w:cstheme="minorHAnsi"/>
                <w:b/>
                <w:sz w:val="20"/>
                <w:lang w:val="en-IE"/>
              </w:rPr>
            </w:pPr>
            <w:r w:rsidRPr="001C1929">
              <w:rPr>
                <w:rFonts w:asciiTheme="minorHAnsi" w:hAnsiTheme="minorHAnsi" w:cstheme="minorHAnsi"/>
                <w:b/>
                <w:sz w:val="20"/>
                <w:lang w:val="en-IE"/>
              </w:rPr>
              <w:t>Interest accretion</w:t>
            </w:r>
            <w:r>
              <w:rPr>
                <w:rFonts w:asciiTheme="minorHAnsi" w:hAnsiTheme="minorHAnsi" w:cstheme="minorHAnsi"/>
                <w:b/>
                <w:sz w:val="20"/>
                <w:lang w:val="en-IE"/>
              </w:rPr>
              <w:t>***</w:t>
            </w:r>
          </w:p>
        </w:tc>
        <w:tc>
          <w:tcPr>
            <w:tcW w:w="1521" w:type="dxa"/>
          </w:tcPr>
          <w:p w14:paraId="66B1FFF1" w14:textId="77777777" w:rsidR="00323BB2" w:rsidRDefault="00323BB2" w:rsidP="00453AFA">
            <w:pPr>
              <w:jc w:val="right"/>
              <w:rPr>
                <w:rFonts w:asciiTheme="minorHAnsi" w:hAnsiTheme="minorHAnsi" w:cstheme="minorHAnsi"/>
                <w:b/>
                <w:sz w:val="20"/>
                <w:lang w:val="en-IE"/>
              </w:rPr>
            </w:pPr>
          </w:p>
          <w:p w14:paraId="55B4BC1B" w14:textId="77777777" w:rsidR="00323BB2" w:rsidRPr="001C1929" w:rsidRDefault="00323BB2" w:rsidP="00453AFA">
            <w:pPr>
              <w:jc w:val="right"/>
              <w:rPr>
                <w:rFonts w:asciiTheme="minorHAnsi" w:hAnsiTheme="minorHAnsi" w:cstheme="minorHAnsi"/>
                <w:b/>
                <w:sz w:val="20"/>
                <w:lang w:val="en-IE"/>
              </w:rPr>
            </w:pPr>
            <w:r w:rsidRPr="001C1929">
              <w:rPr>
                <w:rFonts w:asciiTheme="minorHAnsi" w:hAnsiTheme="minorHAnsi" w:cstheme="minorHAnsi"/>
                <w:b/>
                <w:sz w:val="20"/>
                <w:lang w:val="en-IE"/>
              </w:rPr>
              <w:t>Total interest</w:t>
            </w:r>
          </w:p>
        </w:tc>
      </w:tr>
      <w:tr w:rsidR="00323BB2" w14:paraId="4B8C4B7C" w14:textId="77777777" w:rsidTr="00453AFA">
        <w:tc>
          <w:tcPr>
            <w:tcW w:w="3402" w:type="dxa"/>
            <w:tcBorders>
              <w:bottom w:val="single" w:sz="4" w:space="0" w:color="auto"/>
            </w:tcBorders>
            <w:vAlign w:val="bottom"/>
          </w:tcPr>
          <w:p w14:paraId="72FFBC2F" w14:textId="77777777" w:rsidR="00323BB2" w:rsidRPr="001C1929" w:rsidRDefault="00323BB2" w:rsidP="00453AFA">
            <w:pPr>
              <w:rPr>
                <w:rFonts w:asciiTheme="minorHAnsi" w:hAnsiTheme="minorHAnsi" w:cstheme="minorHAnsi"/>
                <w:sz w:val="20"/>
              </w:rPr>
            </w:pPr>
          </w:p>
        </w:tc>
        <w:tc>
          <w:tcPr>
            <w:tcW w:w="1520" w:type="dxa"/>
            <w:tcBorders>
              <w:bottom w:val="single" w:sz="4" w:space="0" w:color="auto"/>
            </w:tcBorders>
          </w:tcPr>
          <w:p w14:paraId="57E35ACC" w14:textId="77777777" w:rsidR="00323BB2" w:rsidRPr="00154BA6" w:rsidRDefault="00323BB2" w:rsidP="00453AFA">
            <w:pPr>
              <w:jc w:val="right"/>
              <w:rPr>
                <w:rFonts w:asciiTheme="minorHAnsi" w:hAnsiTheme="minorHAnsi" w:cstheme="minorHAnsi"/>
                <w:b/>
                <w:sz w:val="20"/>
                <w:lang w:val="en-IE"/>
              </w:rPr>
            </w:pPr>
            <w:r w:rsidRPr="00154BA6">
              <w:rPr>
                <w:rFonts w:asciiTheme="minorHAnsi" w:hAnsiTheme="minorHAnsi" w:cstheme="minorHAnsi"/>
                <w:b/>
                <w:sz w:val="20"/>
                <w:lang w:val="en-IE"/>
              </w:rPr>
              <w:t>%</w:t>
            </w:r>
          </w:p>
        </w:tc>
        <w:tc>
          <w:tcPr>
            <w:tcW w:w="1521" w:type="dxa"/>
            <w:tcBorders>
              <w:bottom w:val="single" w:sz="4" w:space="0" w:color="auto"/>
            </w:tcBorders>
          </w:tcPr>
          <w:p w14:paraId="481F2A89" w14:textId="77777777" w:rsidR="00323BB2" w:rsidRPr="00154BA6" w:rsidRDefault="00323BB2" w:rsidP="00453AFA">
            <w:pPr>
              <w:jc w:val="right"/>
              <w:rPr>
                <w:rFonts w:asciiTheme="minorHAnsi" w:hAnsiTheme="minorHAnsi" w:cstheme="minorHAnsi"/>
                <w:b/>
                <w:sz w:val="20"/>
                <w:lang w:val="en-IE"/>
              </w:rPr>
            </w:pPr>
            <w:r w:rsidRPr="00154BA6">
              <w:rPr>
                <w:rFonts w:asciiTheme="minorHAnsi" w:hAnsiTheme="minorHAnsi" w:cstheme="minorHAnsi"/>
                <w:b/>
                <w:sz w:val="20"/>
                <w:lang w:val="en-IE"/>
              </w:rPr>
              <w:t>£m</w:t>
            </w:r>
          </w:p>
        </w:tc>
        <w:tc>
          <w:tcPr>
            <w:tcW w:w="1520" w:type="dxa"/>
            <w:tcBorders>
              <w:bottom w:val="single" w:sz="4" w:space="0" w:color="auto"/>
            </w:tcBorders>
          </w:tcPr>
          <w:p w14:paraId="6EAFAF38" w14:textId="77777777" w:rsidR="00323BB2" w:rsidRPr="001C1929" w:rsidRDefault="00323BB2" w:rsidP="00453AFA">
            <w:pPr>
              <w:jc w:val="right"/>
              <w:rPr>
                <w:rFonts w:asciiTheme="minorHAnsi" w:hAnsiTheme="minorHAnsi" w:cstheme="minorHAnsi"/>
                <w:b/>
                <w:sz w:val="20"/>
                <w:lang w:val="en-IE"/>
              </w:rPr>
            </w:pPr>
            <w:r w:rsidRPr="001C1929">
              <w:rPr>
                <w:rFonts w:asciiTheme="minorHAnsi" w:hAnsiTheme="minorHAnsi" w:cstheme="minorHAnsi"/>
                <w:b/>
                <w:sz w:val="20"/>
                <w:lang w:val="en-IE"/>
              </w:rPr>
              <w:t>£m</w:t>
            </w:r>
          </w:p>
        </w:tc>
        <w:tc>
          <w:tcPr>
            <w:tcW w:w="1521" w:type="dxa"/>
            <w:tcBorders>
              <w:bottom w:val="single" w:sz="4" w:space="0" w:color="auto"/>
            </w:tcBorders>
          </w:tcPr>
          <w:p w14:paraId="64E1F54C" w14:textId="77777777" w:rsidR="00323BB2" w:rsidRPr="001C1929" w:rsidRDefault="00323BB2" w:rsidP="00453AFA">
            <w:pPr>
              <w:jc w:val="right"/>
              <w:rPr>
                <w:rFonts w:asciiTheme="minorHAnsi" w:hAnsiTheme="minorHAnsi" w:cstheme="minorHAnsi"/>
                <w:b/>
                <w:sz w:val="20"/>
                <w:lang w:val="en-IE"/>
              </w:rPr>
            </w:pPr>
            <w:r w:rsidRPr="001C1929">
              <w:rPr>
                <w:rFonts w:asciiTheme="minorHAnsi" w:hAnsiTheme="minorHAnsi" w:cstheme="minorHAnsi"/>
                <w:b/>
                <w:sz w:val="20"/>
                <w:lang w:val="en-IE"/>
              </w:rPr>
              <w:t>£m</w:t>
            </w:r>
          </w:p>
        </w:tc>
      </w:tr>
      <w:tr w:rsidR="00323BB2" w14:paraId="19ABE002" w14:textId="77777777" w:rsidTr="00453AFA">
        <w:tc>
          <w:tcPr>
            <w:tcW w:w="3402" w:type="dxa"/>
            <w:vAlign w:val="bottom"/>
          </w:tcPr>
          <w:p w14:paraId="6038BCF2" w14:textId="77777777" w:rsidR="00323BB2" w:rsidRPr="001C1929" w:rsidRDefault="00323BB2" w:rsidP="00453AFA">
            <w:pPr>
              <w:rPr>
                <w:rFonts w:asciiTheme="minorHAnsi" w:hAnsiTheme="minorHAnsi" w:cstheme="minorHAnsi"/>
                <w:color w:val="000000"/>
                <w:sz w:val="20"/>
              </w:rPr>
            </w:pPr>
            <w:r w:rsidRPr="001C1929">
              <w:rPr>
                <w:rFonts w:asciiTheme="minorHAnsi" w:hAnsiTheme="minorHAnsi" w:cstheme="minorHAnsi"/>
                <w:sz w:val="20"/>
              </w:rPr>
              <w:t>GBP First Lien Term Loan A</w:t>
            </w:r>
          </w:p>
        </w:tc>
        <w:tc>
          <w:tcPr>
            <w:tcW w:w="1520" w:type="dxa"/>
          </w:tcPr>
          <w:p w14:paraId="7BB57524" w14:textId="77777777" w:rsidR="00323BB2" w:rsidRPr="00154BA6" w:rsidRDefault="00323BB2" w:rsidP="00453AFA">
            <w:pPr>
              <w:jc w:val="right"/>
              <w:rPr>
                <w:rFonts w:asciiTheme="minorHAnsi" w:hAnsiTheme="minorHAnsi" w:cstheme="minorHAnsi"/>
                <w:sz w:val="20"/>
                <w:lang w:val="en-IE"/>
              </w:rPr>
            </w:pPr>
            <w:r w:rsidRPr="00154BA6">
              <w:rPr>
                <w:rFonts w:asciiTheme="minorHAnsi" w:hAnsiTheme="minorHAnsi" w:cstheme="minorHAnsi"/>
                <w:sz w:val="20"/>
                <w:lang w:val="en-IE"/>
              </w:rPr>
              <w:t>2.08</w:t>
            </w:r>
          </w:p>
        </w:tc>
        <w:tc>
          <w:tcPr>
            <w:tcW w:w="1521" w:type="dxa"/>
          </w:tcPr>
          <w:p w14:paraId="7B5BCF20" w14:textId="77777777" w:rsidR="00323BB2" w:rsidRPr="00154BA6" w:rsidRDefault="00323BB2" w:rsidP="00453AFA">
            <w:pPr>
              <w:jc w:val="right"/>
              <w:rPr>
                <w:rFonts w:asciiTheme="minorHAnsi" w:hAnsiTheme="minorHAnsi" w:cstheme="minorHAnsi"/>
                <w:sz w:val="20"/>
                <w:lang w:val="en-IE"/>
              </w:rPr>
            </w:pPr>
            <w:r w:rsidRPr="00154BA6">
              <w:rPr>
                <w:rFonts w:asciiTheme="minorHAnsi" w:hAnsiTheme="minorHAnsi" w:cstheme="minorHAnsi"/>
                <w:sz w:val="20"/>
                <w:lang w:val="en-IE"/>
              </w:rPr>
              <w:t>1.9</w:t>
            </w:r>
          </w:p>
        </w:tc>
        <w:tc>
          <w:tcPr>
            <w:tcW w:w="1520" w:type="dxa"/>
          </w:tcPr>
          <w:p w14:paraId="0C25F1F1"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0.1</w:t>
            </w:r>
          </w:p>
        </w:tc>
        <w:tc>
          <w:tcPr>
            <w:tcW w:w="1521" w:type="dxa"/>
          </w:tcPr>
          <w:p w14:paraId="26BF7302"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2.0</w:t>
            </w:r>
          </w:p>
        </w:tc>
      </w:tr>
      <w:tr w:rsidR="00323BB2" w14:paraId="5151EF31" w14:textId="77777777" w:rsidTr="00453AFA">
        <w:tc>
          <w:tcPr>
            <w:tcW w:w="3402" w:type="dxa"/>
            <w:vAlign w:val="bottom"/>
          </w:tcPr>
          <w:p w14:paraId="71BD5CC1" w14:textId="77777777" w:rsidR="00323BB2" w:rsidRPr="001C1929" w:rsidRDefault="00323BB2" w:rsidP="00453AFA">
            <w:pPr>
              <w:rPr>
                <w:rFonts w:asciiTheme="minorHAnsi" w:hAnsiTheme="minorHAnsi" w:cstheme="minorHAnsi"/>
                <w:sz w:val="20"/>
                <w:lang w:val="en-IE"/>
              </w:rPr>
            </w:pPr>
            <w:r w:rsidRPr="001C1929">
              <w:rPr>
                <w:rFonts w:asciiTheme="minorHAnsi" w:hAnsiTheme="minorHAnsi" w:cstheme="minorHAnsi"/>
                <w:color w:val="000000"/>
                <w:sz w:val="20"/>
              </w:rPr>
              <w:t>USD First Lien Term Loan B</w:t>
            </w:r>
          </w:p>
        </w:tc>
        <w:tc>
          <w:tcPr>
            <w:tcW w:w="1520" w:type="dxa"/>
          </w:tcPr>
          <w:p w14:paraId="089C4284"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5.74</w:t>
            </w:r>
          </w:p>
        </w:tc>
        <w:tc>
          <w:tcPr>
            <w:tcW w:w="1521" w:type="dxa"/>
          </w:tcPr>
          <w:p w14:paraId="6DB072BB"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16.7</w:t>
            </w:r>
          </w:p>
        </w:tc>
        <w:tc>
          <w:tcPr>
            <w:tcW w:w="1520" w:type="dxa"/>
          </w:tcPr>
          <w:p w14:paraId="252E534A"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21.5</w:t>
            </w:r>
          </w:p>
        </w:tc>
        <w:tc>
          <w:tcPr>
            <w:tcW w:w="1521" w:type="dxa"/>
          </w:tcPr>
          <w:p w14:paraId="7D3E1253"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38.2</w:t>
            </w:r>
          </w:p>
        </w:tc>
      </w:tr>
      <w:tr w:rsidR="00323BB2" w14:paraId="3B3E19EF" w14:textId="77777777" w:rsidTr="00453AFA">
        <w:tc>
          <w:tcPr>
            <w:tcW w:w="3402" w:type="dxa"/>
            <w:vAlign w:val="bottom"/>
          </w:tcPr>
          <w:p w14:paraId="4F51FA26" w14:textId="77777777" w:rsidR="00323BB2" w:rsidRPr="001C1929" w:rsidRDefault="00323BB2" w:rsidP="00453AFA">
            <w:pPr>
              <w:rPr>
                <w:rFonts w:asciiTheme="minorHAnsi" w:hAnsiTheme="minorHAnsi" w:cstheme="minorHAnsi"/>
                <w:sz w:val="20"/>
                <w:lang w:val="en-IE"/>
              </w:rPr>
            </w:pPr>
            <w:r w:rsidRPr="001C1929">
              <w:rPr>
                <w:rFonts w:asciiTheme="minorHAnsi" w:hAnsiTheme="minorHAnsi" w:cstheme="minorHAnsi"/>
                <w:color w:val="000000"/>
                <w:sz w:val="20"/>
              </w:rPr>
              <w:t>EUR First Lien Term Loan B</w:t>
            </w:r>
          </w:p>
        </w:tc>
        <w:tc>
          <w:tcPr>
            <w:tcW w:w="1520" w:type="dxa"/>
          </w:tcPr>
          <w:p w14:paraId="16F66B5C"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4.74</w:t>
            </w:r>
          </w:p>
        </w:tc>
        <w:tc>
          <w:tcPr>
            <w:tcW w:w="1521" w:type="dxa"/>
          </w:tcPr>
          <w:p w14:paraId="06815CF3"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4.2</w:t>
            </w:r>
          </w:p>
        </w:tc>
        <w:tc>
          <w:tcPr>
            <w:tcW w:w="1520" w:type="dxa"/>
          </w:tcPr>
          <w:p w14:paraId="2BD7966B"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11.3</w:t>
            </w:r>
          </w:p>
        </w:tc>
        <w:tc>
          <w:tcPr>
            <w:tcW w:w="1521" w:type="dxa"/>
          </w:tcPr>
          <w:p w14:paraId="08B24CEF"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15.5</w:t>
            </w:r>
          </w:p>
        </w:tc>
      </w:tr>
      <w:tr w:rsidR="00323BB2" w14:paraId="353FF2A3" w14:textId="77777777" w:rsidTr="00453AFA">
        <w:tc>
          <w:tcPr>
            <w:tcW w:w="3402" w:type="dxa"/>
            <w:vAlign w:val="bottom"/>
          </w:tcPr>
          <w:p w14:paraId="5875A6A3" w14:textId="77777777" w:rsidR="00323BB2" w:rsidRPr="001C1929" w:rsidRDefault="00323BB2" w:rsidP="00453AFA">
            <w:pPr>
              <w:rPr>
                <w:rFonts w:asciiTheme="minorHAnsi" w:hAnsiTheme="minorHAnsi" w:cstheme="minorHAnsi"/>
                <w:sz w:val="20"/>
                <w:lang w:val="en-IE"/>
              </w:rPr>
            </w:pPr>
            <w:r w:rsidRPr="001C1929">
              <w:rPr>
                <w:rFonts w:asciiTheme="minorHAnsi" w:hAnsiTheme="minorHAnsi" w:cstheme="minorHAnsi"/>
                <w:color w:val="000000"/>
                <w:sz w:val="20"/>
              </w:rPr>
              <w:t>Senior Notes</w:t>
            </w:r>
          </w:p>
        </w:tc>
        <w:tc>
          <w:tcPr>
            <w:tcW w:w="1520" w:type="dxa"/>
          </w:tcPr>
          <w:p w14:paraId="348699A0"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5.70</w:t>
            </w:r>
          </w:p>
        </w:tc>
        <w:tc>
          <w:tcPr>
            <w:tcW w:w="1521" w:type="dxa"/>
          </w:tcPr>
          <w:p w14:paraId="2AC063DF"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8.8</w:t>
            </w:r>
          </w:p>
        </w:tc>
        <w:tc>
          <w:tcPr>
            <w:tcW w:w="1520" w:type="dxa"/>
          </w:tcPr>
          <w:p w14:paraId="31C42633"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(1.1)</w:t>
            </w:r>
          </w:p>
        </w:tc>
        <w:tc>
          <w:tcPr>
            <w:tcW w:w="1521" w:type="dxa"/>
          </w:tcPr>
          <w:p w14:paraId="4CFA313E"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7.7</w:t>
            </w:r>
          </w:p>
        </w:tc>
      </w:tr>
      <w:tr w:rsidR="00323BB2" w14:paraId="07778D5D" w14:textId="77777777" w:rsidTr="00453AFA">
        <w:tc>
          <w:tcPr>
            <w:tcW w:w="3402" w:type="dxa"/>
            <w:vAlign w:val="bottom"/>
          </w:tcPr>
          <w:p w14:paraId="714C2C41" w14:textId="77777777" w:rsidR="00323BB2" w:rsidRPr="00130096" w:rsidRDefault="00323BB2" w:rsidP="00453AFA">
            <w:pPr>
              <w:rPr>
                <w:rFonts w:asciiTheme="minorHAnsi" w:hAnsiTheme="minorHAnsi" w:cstheme="minorHAnsi"/>
                <w:color w:val="000000"/>
                <w:sz w:val="20"/>
              </w:rPr>
            </w:pPr>
            <w:r w:rsidRPr="00130096">
              <w:rPr>
                <w:rFonts w:asciiTheme="minorHAnsi" w:hAnsiTheme="minorHAnsi" w:cstheme="minorHAnsi"/>
                <w:color w:val="000000"/>
                <w:sz w:val="20"/>
              </w:rPr>
              <w:t>Previous GBP Term Loan</w:t>
            </w:r>
          </w:p>
        </w:tc>
        <w:tc>
          <w:tcPr>
            <w:tcW w:w="1520" w:type="dxa"/>
          </w:tcPr>
          <w:p w14:paraId="124AC00A"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1.63</w:t>
            </w:r>
          </w:p>
        </w:tc>
        <w:tc>
          <w:tcPr>
            <w:tcW w:w="1521" w:type="dxa"/>
          </w:tcPr>
          <w:p w14:paraId="58B5EE03"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1.4</w:t>
            </w:r>
          </w:p>
        </w:tc>
        <w:tc>
          <w:tcPr>
            <w:tcW w:w="1520" w:type="dxa"/>
          </w:tcPr>
          <w:p w14:paraId="5678D3A3"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0.5</w:t>
            </w:r>
          </w:p>
        </w:tc>
        <w:tc>
          <w:tcPr>
            <w:tcW w:w="1521" w:type="dxa"/>
          </w:tcPr>
          <w:p w14:paraId="745BF94A"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1.9</w:t>
            </w:r>
          </w:p>
        </w:tc>
      </w:tr>
      <w:tr w:rsidR="00323BB2" w14:paraId="04205906" w14:textId="77777777" w:rsidTr="00453AFA">
        <w:tc>
          <w:tcPr>
            <w:tcW w:w="3402" w:type="dxa"/>
            <w:vAlign w:val="bottom"/>
          </w:tcPr>
          <w:p w14:paraId="1076D778" w14:textId="77777777" w:rsidR="00323BB2" w:rsidRPr="00130096" w:rsidRDefault="00323BB2" w:rsidP="00453AFA">
            <w:pPr>
              <w:rPr>
                <w:rFonts w:asciiTheme="minorHAnsi" w:hAnsiTheme="minorHAnsi" w:cstheme="minorHAnsi"/>
                <w:color w:val="000000"/>
                <w:sz w:val="20"/>
              </w:rPr>
            </w:pPr>
            <w:r w:rsidRPr="00130096">
              <w:rPr>
                <w:rFonts w:asciiTheme="minorHAnsi" w:hAnsiTheme="minorHAnsi" w:cstheme="minorHAnsi"/>
                <w:sz w:val="20"/>
              </w:rPr>
              <w:t>Previous GBP RCF – GBP</w:t>
            </w:r>
          </w:p>
        </w:tc>
        <w:tc>
          <w:tcPr>
            <w:tcW w:w="1520" w:type="dxa"/>
          </w:tcPr>
          <w:p w14:paraId="3A34D04A"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2.36</w:t>
            </w:r>
          </w:p>
        </w:tc>
        <w:tc>
          <w:tcPr>
            <w:tcW w:w="1521" w:type="dxa"/>
          </w:tcPr>
          <w:p w14:paraId="17277B7B"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0.7</w:t>
            </w:r>
          </w:p>
        </w:tc>
        <w:tc>
          <w:tcPr>
            <w:tcW w:w="1520" w:type="dxa"/>
          </w:tcPr>
          <w:p w14:paraId="60B8D3EE"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1.1</w:t>
            </w:r>
          </w:p>
        </w:tc>
        <w:tc>
          <w:tcPr>
            <w:tcW w:w="1521" w:type="dxa"/>
          </w:tcPr>
          <w:p w14:paraId="2DA73EC8"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1.8</w:t>
            </w:r>
          </w:p>
        </w:tc>
      </w:tr>
      <w:tr w:rsidR="00323BB2" w14:paraId="54B5879E" w14:textId="77777777" w:rsidTr="00453AFA">
        <w:tc>
          <w:tcPr>
            <w:tcW w:w="3402" w:type="dxa"/>
            <w:tcBorders>
              <w:bottom w:val="single" w:sz="4" w:space="0" w:color="auto"/>
            </w:tcBorders>
            <w:vAlign w:val="bottom"/>
          </w:tcPr>
          <w:p w14:paraId="6803F0E7" w14:textId="77777777" w:rsidR="00323BB2" w:rsidRPr="00130096" w:rsidRDefault="00323BB2" w:rsidP="00453AFA">
            <w:pPr>
              <w:rPr>
                <w:rFonts w:asciiTheme="minorHAnsi" w:hAnsiTheme="minorHAnsi" w:cstheme="minorHAnsi"/>
                <w:sz w:val="20"/>
              </w:rPr>
            </w:pPr>
            <w:r w:rsidRPr="00130096">
              <w:rPr>
                <w:rFonts w:asciiTheme="minorHAnsi" w:hAnsiTheme="minorHAnsi" w:cstheme="minorHAnsi"/>
                <w:sz w:val="20"/>
              </w:rPr>
              <w:t>Previous GBP RCF – Euro</w:t>
            </w:r>
          </w:p>
        </w:tc>
        <w:tc>
          <w:tcPr>
            <w:tcW w:w="1520" w:type="dxa"/>
            <w:tcBorders>
              <w:bottom w:val="single" w:sz="4" w:space="0" w:color="auto"/>
            </w:tcBorders>
          </w:tcPr>
          <w:p w14:paraId="7A3DB0D2"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0.81</w:t>
            </w:r>
          </w:p>
        </w:tc>
        <w:tc>
          <w:tcPr>
            <w:tcW w:w="1521" w:type="dxa"/>
            <w:tcBorders>
              <w:bottom w:val="single" w:sz="4" w:space="0" w:color="auto"/>
            </w:tcBorders>
          </w:tcPr>
          <w:p w14:paraId="2BB55F80"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0.1</w:t>
            </w:r>
          </w:p>
        </w:tc>
        <w:tc>
          <w:tcPr>
            <w:tcW w:w="1520" w:type="dxa"/>
            <w:tcBorders>
              <w:bottom w:val="single" w:sz="4" w:space="0" w:color="auto"/>
            </w:tcBorders>
          </w:tcPr>
          <w:p w14:paraId="681D8B0A"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0.5</w:t>
            </w:r>
          </w:p>
        </w:tc>
        <w:tc>
          <w:tcPr>
            <w:tcW w:w="1521" w:type="dxa"/>
            <w:tcBorders>
              <w:bottom w:val="single" w:sz="4" w:space="0" w:color="auto"/>
            </w:tcBorders>
          </w:tcPr>
          <w:p w14:paraId="506BDACB" w14:textId="77777777" w:rsidR="00323BB2" w:rsidRPr="00130096" w:rsidRDefault="00323BB2" w:rsidP="00453AFA">
            <w:pPr>
              <w:jc w:val="right"/>
              <w:rPr>
                <w:rFonts w:asciiTheme="minorHAnsi" w:hAnsiTheme="minorHAnsi" w:cstheme="minorHAnsi"/>
                <w:sz w:val="20"/>
                <w:lang w:val="en-IE"/>
              </w:rPr>
            </w:pPr>
            <w:r w:rsidRPr="00130096">
              <w:rPr>
                <w:rFonts w:asciiTheme="minorHAnsi" w:hAnsiTheme="minorHAnsi" w:cstheme="minorHAnsi"/>
                <w:sz w:val="20"/>
                <w:lang w:val="en-IE"/>
              </w:rPr>
              <w:t>0.6</w:t>
            </w:r>
          </w:p>
        </w:tc>
      </w:tr>
      <w:tr w:rsidR="00323BB2" w14:paraId="6EFC36F2" w14:textId="77777777" w:rsidTr="00453AFA">
        <w:tc>
          <w:tcPr>
            <w:tcW w:w="3402" w:type="dxa"/>
            <w:tcBorders>
              <w:top w:val="single" w:sz="4" w:space="0" w:color="auto"/>
              <w:bottom w:val="single" w:sz="4" w:space="0" w:color="auto"/>
            </w:tcBorders>
            <w:vAlign w:val="bottom"/>
          </w:tcPr>
          <w:p w14:paraId="5320AB7D" w14:textId="77777777" w:rsidR="00323BB2" w:rsidRPr="001C1929" w:rsidRDefault="00323BB2" w:rsidP="00453AFA">
            <w:pPr>
              <w:rPr>
                <w:rFonts w:asciiTheme="minorHAnsi" w:hAnsiTheme="minorHAnsi" w:cstheme="minorHAnsi"/>
                <w:sz w:val="20"/>
              </w:rPr>
            </w:pPr>
          </w:p>
        </w:tc>
        <w:tc>
          <w:tcPr>
            <w:tcW w:w="1520" w:type="dxa"/>
            <w:tcBorders>
              <w:top w:val="single" w:sz="4" w:space="0" w:color="auto"/>
              <w:bottom w:val="single" w:sz="4" w:space="0" w:color="auto"/>
            </w:tcBorders>
          </w:tcPr>
          <w:p w14:paraId="275FB440" w14:textId="77777777" w:rsidR="00323BB2" w:rsidRDefault="00323BB2" w:rsidP="00453AFA">
            <w:pPr>
              <w:rPr>
                <w:rFonts w:asciiTheme="minorHAnsi" w:hAnsiTheme="minorHAnsi" w:cstheme="minorHAnsi"/>
                <w:sz w:val="20"/>
                <w:lang w:val="en-IE"/>
              </w:rPr>
            </w:pPr>
          </w:p>
        </w:tc>
        <w:tc>
          <w:tcPr>
            <w:tcW w:w="1521" w:type="dxa"/>
            <w:tcBorders>
              <w:top w:val="single" w:sz="4" w:space="0" w:color="auto"/>
              <w:bottom w:val="single" w:sz="4" w:space="0" w:color="auto"/>
            </w:tcBorders>
          </w:tcPr>
          <w:p w14:paraId="1D92CCED" w14:textId="77777777" w:rsidR="00323BB2" w:rsidRPr="00EE528D" w:rsidRDefault="00323BB2" w:rsidP="00453AFA">
            <w:pPr>
              <w:jc w:val="right"/>
              <w:rPr>
                <w:rFonts w:asciiTheme="minorHAnsi" w:hAnsiTheme="minorHAnsi" w:cstheme="minorHAnsi"/>
                <w:b/>
                <w:sz w:val="20"/>
                <w:lang w:val="en-IE"/>
              </w:rPr>
            </w:pPr>
            <w:r w:rsidRPr="00EE528D">
              <w:rPr>
                <w:rFonts w:asciiTheme="minorHAnsi" w:hAnsiTheme="minorHAnsi" w:cstheme="minorHAnsi"/>
                <w:b/>
                <w:sz w:val="20"/>
                <w:lang w:val="en-IE"/>
              </w:rPr>
              <w:t>33.</w:t>
            </w:r>
            <w:r>
              <w:rPr>
                <w:rFonts w:asciiTheme="minorHAnsi" w:hAnsiTheme="minorHAnsi" w:cstheme="minorHAnsi"/>
                <w:b/>
                <w:sz w:val="20"/>
                <w:lang w:val="en-IE"/>
              </w:rPr>
              <w:t>8</w:t>
            </w:r>
          </w:p>
        </w:tc>
        <w:tc>
          <w:tcPr>
            <w:tcW w:w="1520" w:type="dxa"/>
            <w:tcBorders>
              <w:top w:val="single" w:sz="4" w:space="0" w:color="auto"/>
              <w:bottom w:val="single" w:sz="4" w:space="0" w:color="auto"/>
            </w:tcBorders>
          </w:tcPr>
          <w:p w14:paraId="23CC5320" w14:textId="77777777" w:rsidR="00323BB2" w:rsidRPr="00EE528D" w:rsidRDefault="00323BB2" w:rsidP="00453AFA">
            <w:pPr>
              <w:jc w:val="right"/>
              <w:rPr>
                <w:rFonts w:asciiTheme="minorHAnsi" w:hAnsiTheme="minorHAnsi" w:cstheme="minorHAnsi"/>
                <w:b/>
                <w:sz w:val="20"/>
                <w:lang w:val="en-IE"/>
              </w:rPr>
            </w:pPr>
            <w:r w:rsidRPr="00EE528D">
              <w:rPr>
                <w:rFonts w:asciiTheme="minorHAnsi" w:hAnsiTheme="minorHAnsi" w:cstheme="minorHAnsi"/>
                <w:b/>
                <w:sz w:val="20"/>
                <w:lang w:val="en-IE"/>
              </w:rPr>
              <w:t>33.</w:t>
            </w:r>
            <w:r>
              <w:rPr>
                <w:rFonts w:asciiTheme="minorHAnsi" w:hAnsiTheme="minorHAnsi" w:cstheme="minorHAnsi"/>
                <w:b/>
                <w:sz w:val="20"/>
                <w:lang w:val="en-IE"/>
              </w:rPr>
              <w:t>9</w:t>
            </w:r>
          </w:p>
        </w:tc>
        <w:tc>
          <w:tcPr>
            <w:tcW w:w="1521" w:type="dxa"/>
            <w:tcBorders>
              <w:top w:val="single" w:sz="4" w:space="0" w:color="auto"/>
              <w:bottom w:val="single" w:sz="4" w:space="0" w:color="auto"/>
            </w:tcBorders>
          </w:tcPr>
          <w:p w14:paraId="709DC0D9" w14:textId="77777777" w:rsidR="00323BB2" w:rsidRPr="00EE528D" w:rsidRDefault="00323BB2" w:rsidP="00453AFA">
            <w:pPr>
              <w:jc w:val="right"/>
              <w:rPr>
                <w:rFonts w:asciiTheme="minorHAnsi" w:hAnsiTheme="minorHAnsi" w:cstheme="minorHAnsi"/>
                <w:b/>
                <w:sz w:val="20"/>
                <w:lang w:val="en-IE"/>
              </w:rPr>
            </w:pPr>
            <w:r w:rsidRPr="00EE528D">
              <w:rPr>
                <w:rFonts w:asciiTheme="minorHAnsi" w:hAnsiTheme="minorHAnsi" w:cstheme="minorHAnsi"/>
                <w:b/>
                <w:sz w:val="20"/>
                <w:lang w:val="en-IE"/>
              </w:rPr>
              <w:t>6</w:t>
            </w:r>
            <w:r>
              <w:rPr>
                <w:rFonts w:asciiTheme="minorHAnsi" w:hAnsiTheme="minorHAnsi" w:cstheme="minorHAnsi"/>
                <w:b/>
                <w:sz w:val="20"/>
                <w:lang w:val="en-IE"/>
              </w:rPr>
              <w:t>7</w:t>
            </w:r>
            <w:r w:rsidRPr="00EE528D">
              <w:rPr>
                <w:rFonts w:asciiTheme="minorHAnsi" w:hAnsiTheme="minorHAnsi" w:cstheme="minorHAnsi"/>
                <w:b/>
                <w:sz w:val="20"/>
                <w:lang w:val="en-IE"/>
              </w:rPr>
              <w:t>.</w:t>
            </w:r>
            <w:r>
              <w:rPr>
                <w:rFonts w:asciiTheme="minorHAnsi" w:hAnsiTheme="minorHAnsi" w:cstheme="minorHAnsi"/>
                <w:b/>
                <w:sz w:val="20"/>
                <w:lang w:val="en-IE"/>
              </w:rPr>
              <w:t>7</w:t>
            </w:r>
          </w:p>
        </w:tc>
      </w:tr>
    </w:tbl>
    <w:p w14:paraId="5CD4D454" w14:textId="77777777" w:rsidR="00323BB2" w:rsidRDefault="00323BB2" w:rsidP="00323BB2">
      <w:pPr>
        <w:rPr>
          <w:rFonts w:asciiTheme="minorHAnsi" w:hAnsiTheme="minorHAnsi" w:cstheme="minorHAnsi"/>
          <w:sz w:val="20"/>
          <w:lang w:val="en-IE"/>
        </w:rPr>
      </w:pPr>
    </w:p>
    <w:p w14:paraId="6BE28270" w14:textId="77777777" w:rsidR="00323BB2" w:rsidRPr="00B4443B" w:rsidRDefault="00323BB2" w:rsidP="00323BB2">
      <w:pPr>
        <w:jc w:val="both"/>
        <w:rPr>
          <w:rFonts w:asciiTheme="minorHAnsi" w:hAnsiTheme="minorHAnsi" w:cstheme="minorHAnsi"/>
          <w:sz w:val="20"/>
        </w:rPr>
      </w:pPr>
      <w:r w:rsidRPr="00B4443B">
        <w:rPr>
          <w:rFonts w:asciiTheme="minorHAnsi" w:hAnsiTheme="minorHAnsi" w:cstheme="minorHAnsi"/>
          <w:sz w:val="20"/>
        </w:rPr>
        <w:t>* The effective interest rate calculation excludes the impact of the accelerated interest accretion expense due to prepayments as well as the impact of the Swap Agreements (as defined below).</w:t>
      </w:r>
    </w:p>
    <w:p w14:paraId="6BB3006A" w14:textId="77777777" w:rsidR="00323BB2" w:rsidRPr="00B4443B" w:rsidRDefault="00323BB2" w:rsidP="00323BB2">
      <w:pPr>
        <w:jc w:val="both"/>
        <w:rPr>
          <w:rFonts w:asciiTheme="minorHAnsi" w:hAnsiTheme="minorHAnsi" w:cstheme="minorHAnsi"/>
          <w:sz w:val="20"/>
        </w:rPr>
      </w:pPr>
      <w:r w:rsidRPr="00B4443B">
        <w:rPr>
          <w:rFonts w:asciiTheme="minorHAnsi" w:hAnsiTheme="minorHAnsi" w:cstheme="minorHAnsi"/>
          <w:sz w:val="20"/>
        </w:rPr>
        <w:t xml:space="preserve">** In addition to the amount included above, the </w:t>
      </w:r>
      <w:r>
        <w:rPr>
          <w:rFonts w:asciiTheme="minorHAnsi" w:hAnsiTheme="minorHAnsi" w:cstheme="minorHAnsi"/>
          <w:sz w:val="20"/>
        </w:rPr>
        <w:t>Group</w:t>
      </w:r>
      <w:r w:rsidRPr="00B4443B">
        <w:rPr>
          <w:rFonts w:asciiTheme="minorHAnsi" w:hAnsiTheme="minorHAnsi" w:cstheme="minorHAnsi"/>
          <w:sz w:val="20"/>
        </w:rPr>
        <w:t xml:space="preserve"> </w:t>
      </w:r>
      <w:r w:rsidRPr="00130096">
        <w:rPr>
          <w:rFonts w:asciiTheme="minorHAnsi" w:hAnsiTheme="minorHAnsi" w:cstheme="minorHAnsi"/>
          <w:sz w:val="20"/>
        </w:rPr>
        <w:t>incurred £1.1m of</w:t>
      </w:r>
      <w:r w:rsidRPr="00B4443B">
        <w:rPr>
          <w:rFonts w:asciiTheme="minorHAnsi" w:hAnsiTheme="minorHAnsi" w:cstheme="minorHAnsi"/>
          <w:sz w:val="20"/>
        </w:rPr>
        <w:t xml:space="preserve"> interest expense relating to commitment, utili</w:t>
      </w:r>
      <w:r>
        <w:rPr>
          <w:rFonts w:asciiTheme="minorHAnsi" w:hAnsiTheme="minorHAnsi" w:cstheme="minorHAnsi"/>
          <w:sz w:val="20"/>
        </w:rPr>
        <w:t>s</w:t>
      </w:r>
      <w:r w:rsidRPr="00B4443B">
        <w:rPr>
          <w:rFonts w:asciiTheme="minorHAnsi" w:hAnsiTheme="minorHAnsi" w:cstheme="minorHAnsi"/>
          <w:sz w:val="20"/>
        </w:rPr>
        <w:t xml:space="preserve">ation, and fronting fees associated with its Revolving Credit Facility and its </w:t>
      </w:r>
      <w:r>
        <w:rPr>
          <w:rFonts w:asciiTheme="minorHAnsi" w:hAnsiTheme="minorHAnsi" w:cstheme="minorHAnsi"/>
          <w:sz w:val="20"/>
        </w:rPr>
        <w:t>Previous GBP RCF</w:t>
      </w:r>
      <w:r w:rsidRPr="00B4443B">
        <w:rPr>
          <w:rFonts w:asciiTheme="minorHAnsi" w:hAnsiTheme="minorHAnsi" w:cstheme="minorHAnsi"/>
          <w:sz w:val="20"/>
        </w:rPr>
        <w:t>.</w:t>
      </w:r>
    </w:p>
    <w:p w14:paraId="4D23DAEB" w14:textId="77777777" w:rsidR="00323BB2" w:rsidRPr="00B4443B" w:rsidRDefault="00323BB2" w:rsidP="00323BB2">
      <w:pPr>
        <w:keepNext/>
        <w:keepLines/>
        <w:spacing w:before="40" w:after="40"/>
        <w:ind w:right="20"/>
        <w:jc w:val="both"/>
        <w:rPr>
          <w:rFonts w:asciiTheme="minorHAnsi" w:hAnsiTheme="minorHAnsi" w:cstheme="minorHAnsi"/>
          <w:color w:val="000000"/>
          <w:sz w:val="20"/>
        </w:rPr>
      </w:pPr>
      <w:r w:rsidRPr="00B4443B">
        <w:rPr>
          <w:rFonts w:asciiTheme="minorHAnsi" w:hAnsiTheme="minorHAnsi" w:cstheme="minorHAnsi"/>
          <w:sz w:val="20"/>
        </w:rPr>
        <w:t xml:space="preserve">*** Interest accretion for the six months ended 30 June 2020 includes </w:t>
      </w:r>
      <w:r w:rsidRPr="00130096">
        <w:rPr>
          <w:rFonts w:asciiTheme="minorHAnsi" w:hAnsiTheme="minorHAnsi" w:cstheme="minorHAnsi"/>
          <w:sz w:val="20"/>
        </w:rPr>
        <w:t>£32.8m i</w:t>
      </w:r>
      <w:r w:rsidRPr="00B4443B">
        <w:rPr>
          <w:rFonts w:asciiTheme="minorHAnsi" w:hAnsiTheme="minorHAnsi" w:cstheme="minorHAnsi"/>
          <w:sz w:val="20"/>
        </w:rPr>
        <w:t xml:space="preserve">ncluded within financial expenses in respect of prepayments of the </w:t>
      </w:r>
      <w:r>
        <w:rPr>
          <w:rFonts w:asciiTheme="minorHAnsi" w:hAnsiTheme="minorHAnsi" w:cstheme="minorHAnsi"/>
          <w:sz w:val="20"/>
        </w:rPr>
        <w:t>Group</w:t>
      </w:r>
      <w:r w:rsidRPr="00B4443B">
        <w:rPr>
          <w:rFonts w:asciiTheme="minorHAnsi" w:hAnsiTheme="minorHAnsi" w:cstheme="minorHAnsi"/>
          <w:sz w:val="20"/>
        </w:rPr>
        <w:t xml:space="preserve">’s First Lien Term Loans B and its </w:t>
      </w:r>
      <w:r w:rsidRPr="00B4443B">
        <w:rPr>
          <w:rFonts w:asciiTheme="minorHAnsi" w:hAnsiTheme="minorHAnsi" w:cstheme="minorHAnsi"/>
          <w:color w:val="000000"/>
          <w:sz w:val="20"/>
        </w:rPr>
        <w:t xml:space="preserve">Previous GBP Term </w:t>
      </w:r>
      <w:r>
        <w:rPr>
          <w:rFonts w:asciiTheme="minorHAnsi" w:hAnsiTheme="minorHAnsi" w:cstheme="minorHAnsi"/>
          <w:color w:val="000000"/>
          <w:sz w:val="20"/>
        </w:rPr>
        <w:t>L</w:t>
      </w:r>
      <w:r w:rsidRPr="00B4443B">
        <w:rPr>
          <w:rFonts w:asciiTheme="minorHAnsi" w:hAnsiTheme="minorHAnsi" w:cstheme="minorHAnsi"/>
          <w:color w:val="000000"/>
          <w:sz w:val="20"/>
        </w:rPr>
        <w:t>oan</w:t>
      </w:r>
      <w:r>
        <w:rPr>
          <w:rFonts w:asciiTheme="minorHAnsi" w:hAnsiTheme="minorHAnsi" w:cstheme="minorHAnsi"/>
          <w:color w:val="000000"/>
          <w:sz w:val="20"/>
        </w:rPr>
        <w:t xml:space="preserve"> and previous GBP RCF</w:t>
      </w:r>
      <w:r w:rsidRPr="00B4443B">
        <w:rPr>
          <w:rFonts w:asciiTheme="minorHAnsi" w:hAnsiTheme="minorHAnsi" w:cstheme="minorHAnsi"/>
          <w:sz w:val="20"/>
        </w:rPr>
        <w:t>.</w:t>
      </w:r>
    </w:p>
    <w:p w14:paraId="73923F50" w14:textId="77777777" w:rsidR="00323BB2" w:rsidRDefault="00323BB2" w:rsidP="00323BB2">
      <w:pPr>
        <w:rPr>
          <w:rFonts w:asciiTheme="minorHAnsi" w:hAnsiTheme="minorHAnsi" w:cstheme="minorHAnsi"/>
          <w:sz w:val="20"/>
          <w:lang w:val="en-IE"/>
        </w:rPr>
      </w:pPr>
    </w:p>
    <w:p w14:paraId="4C93C703" w14:textId="77777777" w:rsidR="00323BB2" w:rsidRPr="00FA1C7E" w:rsidRDefault="00323BB2" w:rsidP="00323BB2">
      <w:pPr>
        <w:keepNext/>
        <w:spacing w:after="140"/>
        <w:jc w:val="both"/>
        <w:rPr>
          <w:rFonts w:asciiTheme="minorHAnsi" w:hAnsiTheme="minorHAnsi" w:cstheme="minorHAnsi"/>
          <w:sz w:val="20"/>
        </w:rPr>
      </w:pPr>
      <w:r w:rsidRPr="00FA1C7E">
        <w:rPr>
          <w:rFonts w:asciiTheme="minorHAnsi" w:hAnsiTheme="minorHAnsi" w:cstheme="minorHAnsi"/>
          <w:sz w:val="20"/>
        </w:rPr>
        <w:t xml:space="preserve">The </w:t>
      </w:r>
      <w:r>
        <w:rPr>
          <w:rFonts w:asciiTheme="minorHAnsi" w:hAnsiTheme="minorHAnsi" w:cstheme="minorHAnsi"/>
          <w:sz w:val="20"/>
        </w:rPr>
        <w:t>Group</w:t>
      </w:r>
      <w:r w:rsidRPr="00FA1C7E">
        <w:rPr>
          <w:rFonts w:asciiTheme="minorHAnsi" w:hAnsiTheme="minorHAnsi" w:cstheme="minorHAnsi"/>
          <w:sz w:val="20"/>
        </w:rPr>
        <w:t>’s change in borrowings</w:t>
      </w:r>
      <w:r>
        <w:rPr>
          <w:rFonts w:asciiTheme="minorHAnsi" w:hAnsiTheme="minorHAnsi" w:cstheme="minorHAnsi"/>
          <w:sz w:val="20"/>
        </w:rPr>
        <w:t xml:space="preserve"> (excluding accrued interest)</w:t>
      </w:r>
      <w:r w:rsidRPr="00FA1C7E">
        <w:rPr>
          <w:rFonts w:asciiTheme="minorHAnsi" w:hAnsiTheme="minorHAnsi" w:cstheme="minorHAnsi"/>
          <w:sz w:val="20"/>
        </w:rPr>
        <w:t xml:space="preserve"> from </w:t>
      </w:r>
      <w:r>
        <w:rPr>
          <w:rFonts w:asciiTheme="minorHAnsi" w:hAnsiTheme="minorHAnsi" w:cstheme="minorHAnsi"/>
          <w:sz w:val="20"/>
        </w:rPr>
        <w:t>31 December 2019</w:t>
      </w:r>
      <w:r w:rsidRPr="00FA1C7E">
        <w:rPr>
          <w:rFonts w:asciiTheme="minorHAnsi" w:hAnsiTheme="minorHAnsi" w:cstheme="minorHAnsi"/>
          <w:sz w:val="20"/>
        </w:rPr>
        <w:t xml:space="preserve"> to </w:t>
      </w:r>
      <w:r>
        <w:rPr>
          <w:rFonts w:asciiTheme="minorHAnsi" w:hAnsiTheme="minorHAnsi" w:cstheme="minorHAnsi"/>
          <w:sz w:val="20"/>
        </w:rPr>
        <w:t>30 June 2020</w:t>
      </w:r>
      <w:r w:rsidRPr="00FA1C7E">
        <w:rPr>
          <w:rFonts w:asciiTheme="minorHAnsi" w:hAnsiTheme="minorHAnsi" w:cstheme="minorHAnsi"/>
          <w:sz w:val="20"/>
        </w:rPr>
        <w:t xml:space="preserve"> was as follows:</w:t>
      </w:r>
    </w:p>
    <w:tbl>
      <w:tblPr>
        <w:tblStyle w:val="TableGrid"/>
        <w:tblW w:w="1137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983"/>
        <w:gridCol w:w="975"/>
        <w:gridCol w:w="1123"/>
        <w:gridCol w:w="1334"/>
        <w:gridCol w:w="1187"/>
        <w:gridCol w:w="1133"/>
        <w:gridCol w:w="1124"/>
        <w:gridCol w:w="979"/>
      </w:tblGrid>
      <w:tr w:rsidR="00323BB2" w14:paraId="4EE050B3" w14:textId="77777777" w:rsidTr="00453AFA">
        <w:tc>
          <w:tcPr>
            <w:tcW w:w="2535" w:type="dxa"/>
            <w:vAlign w:val="bottom"/>
          </w:tcPr>
          <w:p w14:paraId="5C46AE1B" w14:textId="77777777" w:rsidR="00323BB2" w:rsidRPr="003E44E6" w:rsidRDefault="00323BB2" w:rsidP="00453AFA">
            <w:pPr>
              <w:rPr>
                <w:rFonts w:asciiTheme="minorHAnsi" w:hAnsiTheme="minorHAnsi" w:cstheme="minorHAnsi"/>
                <w:sz w:val="20"/>
              </w:rPr>
            </w:pPr>
          </w:p>
        </w:tc>
        <w:tc>
          <w:tcPr>
            <w:tcW w:w="983" w:type="dxa"/>
          </w:tcPr>
          <w:p w14:paraId="1E9230DB" w14:textId="77777777" w:rsidR="00323BB2" w:rsidRDefault="00323BB2" w:rsidP="00453AFA">
            <w:pPr>
              <w:jc w:val="right"/>
              <w:rPr>
                <w:rFonts w:asciiTheme="minorHAnsi" w:hAnsiTheme="minorHAnsi" w:cstheme="minorHAnsi"/>
                <w:b/>
                <w:color w:val="000000"/>
                <w:sz w:val="20"/>
              </w:rPr>
            </w:pPr>
          </w:p>
          <w:p w14:paraId="6968FC60" w14:textId="77777777" w:rsidR="00323BB2" w:rsidRDefault="00323BB2" w:rsidP="00453AFA">
            <w:pPr>
              <w:jc w:val="right"/>
              <w:rPr>
                <w:rFonts w:asciiTheme="minorHAnsi" w:hAnsiTheme="minorHAnsi" w:cstheme="minorHAnsi"/>
                <w:color w:val="000000"/>
                <w:sz w:val="20"/>
              </w:rPr>
            </w:pPr>
            <w:r w:rsidRPr="00FA1C7E">
              <w:rPr>
                <w:rFonts w:asciiTheme="minorHAnsi" w:hAnsiTheme="minorHAnsi" w:cstheme="minorHAnsi"/>
                <w:b/>
                <w:color w:val="000000"/>
                <w:sz w:val="20"/>
              </w:rPr>
              <w:t xml:space="preserve">Opening balance </w:t>
            </w:r>
          </w:p>
        </w:tc>
        <w:tc>
          <w:tcPr>
            <w:tcW w:w="975" w:type="dxa"/>
          </w:tcPr>
          <w:p w14:paraId="7BA6DF44" w14:textId="77777777" w:rsidR="00323BB2" w:rsidRPr="00FA1C7E" w:rsidRDefault="00323BB2" w:rsidP="00453AFA">
            <w:pPr>
              <w:jc w:val="right"/>
              <w:rPr>
                <w:rFonts w:asciiTheme="minorHAnsi" w:hAnsiTheme="minorHAnsi" w:cstheme="minorHAnsi"/>
                <w:b/>
                <w:sz w:val="20"/>
              </w:rPr>
            </w:pPr>
          </w:p>
          <w:p w14:paraId="4BD01F3A" w14:textId="77777777" w:rsidR="00323BB2" w:rsidRDefault="00323BB2" w:rsidP="00453AFA">
            <w:pPr>
              <w:jc w:val="right"/>
              <w:rPr>
                <w:rFonts w:asciiTheme="minorHAnsi" w:hAnsiTheme="minorHAnsi" w:cstheme="minorHAnsi"/>
                <w:sz w:val="20"/>
              </w:rPr>
            </w:pPr>
            <w:r w:rsidRPr="00FA1C7E">
              <w:rPr>
                <w:rFonts w:asciiTheme="minorHAnsi" w:hAnsiTheme="minorHAnsi" w:cstheme="minorHAnsi"/>
                <w:b/>
                <w:sz w:val="20"/>
              </w:rPr>
              <w:t>New Debt</w:t>
            </w:r>
          </w:p>
        </w:tc>
        <w:tc>
          <w:tcPr>
            <w:tcW w:w="1123" w:type="dxa"/>
          </w:tcPr>
          <w:p w14:paraId="0A4AC0BA" w14:textId="77777777" w:rsidR="00323BB2" w:rsidRDefault="00323BB2" w:rsidP="00453AFA">
            <w:pPr>
              <w:jc w:val="right"/>
              <w:rPr>
                <w:rFonts w:asciiTheme="minorHAnsi" w:hAnsiTheme="minorHAnsi" w:cstheme="minorHAnsi"/>
                <w:b/>
                <w:sz w:val="20"/>
              </w:rPr>
            </w:pPr>
          </w:p>
          <w:p w14:paraId="70D04C13" w14:textId="77777777" w:rsidR="00323BB2" w:rsidRDefault="00323BB2" w:rsidP="00453AFA">
            <w:pPr>
              <w:jc w:val="right"/>
              <w:rPr>
                <w:rFonts w:asciiTheme="minorHAnsi" w:hAnsiTheme="minorHAnsi" w:cstheme="minorHAnsi"/>
                <w:sz w:val="20"/>
              </w:rPr>
            </w:pPr>
            <w:r w:rsidRPr="00FA1C7E">
              <w:rPr>
                <w:rFonts w:asciiTheme="minorHAnsi" w:hAnsiTheme="minorHAnsi" w:cstheme="minorHAnsi"/>
                <w:b/>
                <w:sz w:val="20"/>
              </w:rPr>
              <w:t xml:space="preserve">Principal payments </w:t>
            </w:r>
          </w:p>
        </w:tc>
        <w:tc>
          <w:tcPr>
            <w:tcW w:w="1334" w:type="dxa"/>
            <w:vAlign w:val="bottom"/>
          </w:tcPr>
          <w:p w14:paraId="02037110" w14:textId="77777777" w:rsidR="00323BB2" w:rsidRDefault="00323BB2" w:rsidP="00453AFA">
            <w:pPr>
              <w:jc w:val="right"/>
              <w:rPr>
                <w:rFonts w:asciiTheme="minorHAnsi" w:hAnsiTheme="minorHAnsi" w:cstheme="minorHAnsi"/>
                <w:sz w:val="20"/>
              </w:rPr>
            </w:pPr>
            <w:r w:rsidRPr="00FA1C7E">
              <w:rPr>
                <w:rFonts w:asciiTheme="minorHAnsi" w:hAnsiTheme="minorHAnsi" w:cstheme="minorHAnsi"/>
                <w:b/>
                <w:sz w:val="20"/>
              </w:rPr>
              <w:t>Adjustments to amortised costs</w:t>
            </w:r>
            <w:r>
              <w:rPr>
                <w:rFonts w:asciiTheme="minorHAnsi" w:hAnsiTheme="minorHAnsi" w:cstheme="minorHAnsi"/>
                <w:b/>
                <w:sz w:val="20"/>
              </w:rPr>
              <w:t>*</w:t>
            </w:r>
          </w:p>
        </w:tc>
        <w:tc>
          <w:tcPr>
            <w:tcW w:w="1187" w:type="dxa"/>
            <w:vAlign w:val="bottom"/>
          </w:tcPr>
          <w:p w14:paraId="5915258A" w14:textId="77777777" w:rsidR="00323BB2" w:rsidRDefault="00323BB2" w:rsidP="00453AFA">
            <w:pPr>
              <w:jc w:val="right"/>
              <w:rPr>
                <w:rFonts w:asciiTheme="minorHAnsi" w:hAnsiTheme="minorHAnsi" w:cstheme="minorHAnsi"/>
                <w:sz w:val="20"/>
              </w:rPr>
            </w:pPr>
            <w:r w:rsidRPr="00FA1C7E">
              <w:rPr>
                <w:rFonts w:asciiTheme="minorHAnsi" w:hAnsiTheme="minorHAnsi" w:cstheme="minorHAnsi"/>
                <w:b/>
                <w:sz w:val="20"/>
              </w:rPr>
              <w:t>Interest accretion</w:t>
            </w:r>
            <w:r>
              <w:rPr>
                <w:rFonts w:asciiTheme="minorHAnsi" w:hAnsiTheme="minorHAnsi" w:cstheme="minorHAnsi"/>
                <w:b/>
                <w:sz w:val="20"/>
              </w:rPr>
              <w:t>**</w:t>
            </w:r>
          </w:p>
        </w:tc>
        <w:tc>
          <w:tcPr>
            <w:tcW w:w="1133" w:type="dxa"/>
            <w:vAlign w:val="bottom"/>
          </w:tcPr>
          <w:p w14:paraId="1B4DF7DA" w14:textId="77777777" w:rsidR="00323BB2" w:rsidRDefault="00323BB2" w:rsidP="00453AFA">
            <w:pPr>
              <w:jc w:val="right"/>
              <w:rPr>
                <w:rFonts w:asciiTheme="minorHAnsi" w:hAnsiTheme="minorHAnsi" w:cstheme="minorHAnsi"/>
                <w:sz w:val="20"/>
              </w:rPr>
            </w:pPr>
            <w:r>
              <w:rPr>
                <w:rFonts w:asciiTheme="minorHAnsi" w:hAnsiTheme="minorHAnsi" w:cstheme="minorHAnsi"/>
                <w:b/>
                <w:sz w:val="20"/>
              </w:rPr>
              <w:t>Gain on Embedded derivative</w:t>
            </w:r>
          </w:p>
        </w:tc>
        <w:tc>
          <w:tcPr>
            <w:tcW w:w="1124" w:type="dxa"/>
            <w:vAlign w:val="bottom"/>
          </w:tcPr>
          <w:p w14:paraId="192A3313" w14:textId="77777777" w:rsidR="00323BB2" w:rsidRPr="00FA1C7E" w:rsidRDefault="00323BB2" w:rsidP="00453AFA">
            <w:pPr>
              <w:jc w:val="right"/>
              <w:rPr>
                <w:rFonts w:asciiTheme="minorHAnsi" w:hAnsiTheme="minorHAnsi" w:cstheme="minorHAnsi"/>
                <w:b/>
                <w:sz w:val="20"/>
              </w:rPr>
            </w:pPr>
            <w:r w:rsidRPr="00FA1C7E">
              <w:rPr>
                <w:rFonts w:asciiTheme="minorHAnsi" w:hAnsiTheme="minorHAnsi" w:cstheme="minorHAnsi"/>
                <w:b/>
                <w:sz w:val="20"/>
              </w:rPr>
              <w:t>FX translation</w:t>
            </w:r>
          </w:p>
        </w:tc>
        <w:tc>
          <w:tcPr>
            <w:tcW w:w="979" w:type="dxa"/>
          </w:tcPr>
          <w:p w14:paraId="02F62152" w14:textId="77777777" w:rsidR="00323BB2" w:rsidRPr="00FA1C7E" w:rsidRDefault="00323BB2" w:rsidP="00453AFA">
            <w:pPr>
              <w:jc w:val="right"/>
              <w:rPr>
                <w:rFonts w:asciiTheme="minorHAnsi" w:hAnsiTheme="minorHAnsi" w:cstheme="minorHAnsi"/>
                <w:b/>
                <w:sz w:val="20"/>
              </w:rPr>
            </w:pPr>
          </w:p>
          <w:p w14:paraId="3768E9DB" w14:textId="77777777" w:rsidR="00323BB2" w:rsidRDefault="00323BB2" w:rsidP="00453AFA">
            <w:pPr>
              <w:jc w:val="right"/>
              <w:rPr>
                <w:rFonts w:asciiTheme="minorHAnsi" w:hAnsiTheme="minorHAnsi" w:cstheme="minorHAnsi"/>
                <w:sz w:val="20"/>
              </w:rPr>
            </w:pPr>
            <w:r w:rsidRPr="00FA1C7E">
              <w:rPr>
                <w:rFonts w:asciiTheme="minorHAnsi" w:hAnsiTheme="minorHAnsi" w:cstheme="minorHAnsi"/>
                <w:b/>
                <w:sz w:val="20"/>
              </w:rPr>
              <w:t>Closing balance</w:t>
            </w:r>
          </w:p>
        </w:tc>
      </w:tr>
      <w:tr w:rsidR="00323BB2" w14:paraId="65FBA059" w14:textId="77777777" w:rsidTr="00453AFA">
        <w:tc>
          <w:tcPr>
            <w:tcW w:w="2535" w:type="dxa"/>
            <w:tcBorders>
              <w:bottom w:val="single" w:sz="4" w:space="0" w:color="auto"/>
            </w:tcBorders>
            <w:vAlign w:val="bottom"/>
          </w:tcPr>
          <w:p w14:paraId="0E84C137" w14:textId="77777777" w:rsidR="00323BB2" w:rsidRPr="003E44E6" w:rsidRDefault="00323BB2" w:rsidP="00453AFA">
            <w:pPr>
              <w:rPr>
                <w:rFonts w:asciiTheme="minorHAnsi" w:hAnsiTheme="minorHAnsi" w:cstheme="minorHAnsi"/>
                <w:sz w:val="20"/>
              </w:rPr>
            </w:pPr>
          </w:p>
        </w:tc>
        <w:tc>
          <w:tcPr>
            <w:tcW w:w="983" w:type="dxa"/>
            <w:tcBorders>
              <w:bottom w:val="single" w:sz="4" w:space="0" w:color="auto"/>
            </w:tcBorders>
          </w:tcPr>
          <w:p w14:paraId="15F51AD3" w14:textId="77777777" w:rsidR="00323BB2" w:rsidRDefault="00323BB2" w:rsidP="00453AFA">
            <w:pPr>
              <w:jc w:val="right"/>
              <w:rPr>
                <w:rFonts w:asciiTheme="minorHAnsi" w:hAnsiTheme="minorHAnsi" w:cstheme="minorHAnsi"/>
                <w:color w:val="000000"/>
                <w:sz w:val="20"/>
              </w:rPr>
            </w:pPr>
            <w:r w:rsidRPr="003E44E6">
              <w:rPr>
                <w:rFonts w:asciiTheme="minorHAnsi" w:hAnsiTheme="minorHAnsi" w:cstheme="minorHAnsi"/>
                <w:b/>
                <w:color w:val="000000"/>
                <w:sz w:val="20"/>
              </w:rPr>
              <w:t>£m</w:t>
            </w:r>
          </w:p>
        </w:tc>
        <w:tc>
          <w:tcPr>
            <w:tcW w:w="975" w:type="dxa"/>
            <w:tcBorders>
              <w:bottom w:val="single" w:sz="4" w:space="0" w:color="auto"/>
            </w:tcBorders>
          </w:tcPr>
          <w:p w14:paraId="7712BAD5" w14:textId="77777777" w:rsidR="00323BB2" w:rsidRDefault="00323BB2" w:rsidP="00453AFA">
            <w:pPr>
              <w:jc w:val="right"/>
              <w:rPr>
                <w:rFonts w:asciiTheme="minorHAnsi" w:hAnsiTheme="minorHAnsi" w:cstheme="minorHAnsi"/>
                <w:sz w:val="20"/>
              </w:rPr>
            </w:pPr>
            <w:r w:rsidRPr="003E44E6">
              <w:rPr>
                <w:rFonts w:asciiTheme="minorHAnsi" w:hAnsiTheme="minorHAnsi" w:cstheme="minorHAnsi"/>
                <w:b/>
                <w:color w:val="000000"/>
                <w:sz w:val="20"/>
              </w:rPr>
              <w:t>£m</w:t>
            </w:r>
          </w:p>
        </w:tc>
        <w:tc>
          <w:tcPr>
            <w:tcW w:w="1123" w:type="dxa"/>
            <w:tcBorders>
              <w:bottom w:val="single" w:sz="4" w:space="0" w:color="auto"/>
            </w:tcBorders>
          </w:tcPr>
          <w:p w14:paraId="249687B3" w14:textId="77777777" w:rsidR="00323BB2" w:rsidRDefault="00323BB2" w:rsidP="00453AFA">
            <w:pPr>
              <w:jc w:val="right"/>
              <w:rPr>
                <w:rFonts w:asciiTheme="minorHAnsi" w:hAnsiTheme="minorHAnsi" w:cstheme="minorHAnsi"/>
                <w:sz w:val="20"/>
              </w:rPr>
            </w:pPr>
            <w:r w:rsidRPr="003E44E6">
              <w:rPr>
                <w:rFonts w:asciiTheme="minorHAnsi" w:hAnsiTheme="minorHAnsi" w:cstheme="minorHAnsi"/>
                <w:b/>
                <w:color w:val="000000"/>
                <w:sz w:val="20"/>
              </w:rPr>
              <w:t>£m</w:t>
            </w:r>
          </w:p>
        </w:tc>
        <w:tc>
          <w:tcPr>
            <w:tcW w:w="1334" w:type="dxa"/>
            <w:tcBorders>
              <w:bottom w:val="single" w:sz="4" w:space="0" w:color="auto"/>
            </w:tcBorders>
          </w:tcPr>
          <w:p w14:paraId="3DE09D7E" w14:textId="77777777" w:rsidR="00323BB2" w:rsidRDefault="00323BB2" w:rsidP="00453AFA">
            <w:pPr>
              <w:jc w:val="right"/>
              <w:rPr>
                <w:rFonts w:asciiTheme="minorHAnsi" w:hAnsiTheme="minorHAnsi" w:cstheme="minorHAnsi"/>
                <w:sz w:val="20"/>
              </w:rPr>
            </w:pPr>
            <w:r w:rsidRPr="003E44E6">
              <w:rPr>
                <w:rFonts w:asciiTheme="minorHAnsi" w:hAnsiTheme="minorHAnsi" w:cstheme="minorHAnsi"/>
                <w:b/>
                <w:color w:val="000000"/>
                <w:sz w:val="20"/>
              </w:rPr>
              <w:t>£m</w:t>
            </w:r>
          </w:p>
        </w:tc>
        <w:tc>
          <w:tcPr>
            <w:tcW w:w="1187" w:type="dxa"/>
            <w:tcBorders>
              <w:bottom w:val="single" w:sz="4" w:space="0" w:color="auto"/>
            </w:tcBorders>
          </w:tcPr>
          <w:p w14:paraId="6D06BED7" w14:textId="77777777" w:rsidR="00323BB2" w:rsidRDefault="00323BB2" w:rsidP="00453AFA">
            <w:pPr>
              <w:jc w:val="right"/>
              <w:rPr>
                <w:rFonts w:asciiTheme="minorHAnsi" w:hAnsiTheme="minorHAnsi" w:cstheme="minorHAnsi"/>
                <w:sz w:val="20"/>
              </w:rPr>
            </w:pPr>
            <w:r w:rsidRPr="003E44E6">
              <w:rPr>
                <w:rFonts w:asciiTheme="minorHAnsi" w:hAnsiTheme="minorHAnsi" w:cstheme="minorHAnsi"/>
                <w:b/>
                <w:color w:val="000000"/>
                <w:sz w:val="20"/>
              </w:rPr>
              <w:t>£m</w:t>
            </w:r>
          </w:p>
        </w:tc>
        <w:tc>
          <w:tcPr>
            <w:tcW w:w="1133" w:type="dxa"/>
            <w:tcBorders>
              <w:bottom w:val="single" w:sz="4" w:space="0" w:color="auto"/>
            </w:tcBorders>
          </w:tcPr>
          <w:p w14:paraId="36D436AA" w14:textId="77777777" w:rsidR="00323BB2" w:rsidRDefault="00323BB2" w:rsidP="00453AFA">
            <w:pPr>
              <w:jc w:val="right"/>
              <w:rPr>
                <w:rFonts w:asciiTheme="minorHAnsi" w:hAnsiTheme="minorHAnsi" w:cstheme="minorHAnsi"/>
                <w:sz w:val="20"/>
              </w:rPr>
            </w:pPr>
            <w:r w:rsidRPr="003E44E6">
              <w:rPr>
                <w:rFonts w:asciiTheme="minorHAnsi" w:hAnsiTheme="minorHAnsi" w:cstheme="minorHAnsi"/>
                <w:b/>
                <w:color w:val="000000"/>
                <w:sz w:val="20"/>
              </w:rPr>
              <w:t>£m</w:t>
            </w:r>
          </w:p>
        </w:tc>
        <w:tc>
          <w:tcPr>
            <w:tcW w:w="1124" w:type="dxa"/>
            <w:tcBorders>
              <w:bottom w:val="single" w:sz="4" w:space="0" w:color="auto"/>
            </w:tcBorders>
          </w:tcPr>
          <w:p w14:paraId="0641FBA4" w14:textId="77777777" w:rsidR="00323BB2" w:rsidRPr="003E44E6" w:rsidRDefault="00323BB2" w:rsidP="00453AFA">
            <w:pPr>
              <w:jc w:val="right"/>
              <w:rPr>
                <w:rFonts w:asciiTheme="minorHAnsi" w:hAnsiTheme="minorHAnsi" w:cstheme="minorHAnsi"/>
                <w:b/>
                <w:color w:val="000000"/>
                <w:sz w:val="20"/>
              </w:rPr>
            </w:pPr>
            <w:r w:rsidRPr="003E44E6">
              <w:rPr>
                <w:rFonts w:asciiTheme="minorHAnsi" w:hAnsiTheme="minorHAnsi" w:cstheme="minorHAnsi"/>
                <w:b/>
                <w:color w:val="000000"/>
                <w:sz w:val="20"/>
              </w:rPr>
              <w:t>£m</w:t>
            </w:r>
          </w:p>
        </w:tc>
        <w:tc>
          <w:tcPr>
            <w:tcW w:w="979" w:type="dxa"/>
            <w:tcBorders>
              <w:bottom w:val="single" w:sz="4" w:space="0" w:color="auto"/>
            </w:tcBorders>
          </w:tcPr>
          <w:p w14:paraId="2C5F7AED" w14:textId="77777777" w:rsidR="00323BB2" w:rsidRDefault="00323BB2" w:rsidP="00453AFA">
            <w:pPr>
              <w:jc w:val="right"/>
              <w:rPr>
                <w:rFonts w:asciiTheme="minorHAnsi" w:hAnsiTheme="minorHAnsi" w:cstheme="minorHAnsi"/>
                <w:sz w:val="20"/>
              </w:rPr>
            </w:pPr>
            <w:r w:rsidRPr="003E44E6">
              <w:rPr>
                <w:rFonts w:asciiTheme="minorHAnsi" w:hAnsiTheme="minorHAnsi" w:cstheme="minorHAnsi"/>
                <w:b/>
                <w:color w:val="000000"/>
                <w:sz w:val="20"/>
              </w:rPr>
              <w:t>£m</w:t>
            </w:r>
          </w:p>
        </w:tc>
      </w:tr>
      <w:tr w:rsidR="00323BB2" w14:paraId="0F47BF06" w14:textId="77777777" w:rsidTr="00453AFA">
        <w:tc>
          <w:tcPr>
            <w:tcW w:w="2535" w:type="dxa"/>
            <w:tcBorders>
              <w:top w:val="single" w:sz="4" w:space="0" w:color="auto"/>
            </w:tcBorders>
            <w:vAlign w:val="bottom"/>
          </w:tcPr>
          <w:p w14:paraId="014376C3" w14:textId="77777777" w:rsidR="00323BB2" w:rsidRDefault="00323BB2" w:rsidP="00453AFA">
            <w:pPr>
              <w:rPr>
                <w:rFonts w:asciiTheme="minorHAnsi" w:hAnsiTheme="minorHAnsi" w:cstheme="minorHAnsi"/>
                <w:sz w:val="20"/>
                <w:lang w:val="en-IE"/>
              </w:rPr>
            </w:pPr>
            <w:r w:rsidRPr="003E44E6">
              <w:rPr>
                <w:rFonts w:asciiTheme="minorHAnsi" w:hAnsiTheme="minorHAnsi" w:cstheme="minorHAnsi"/>
                <w:sz w:val="20"/>
              </w:rPr>
              <w:t>GBP First Lien Term Loan A</w:t>
            </w:r>
          </w:p>
        </w:tc>
        <w:tc>
          <w:tcPr>
            <w:tcW w:w="983" w:type="dxa"/>
            <w:tcBorders>
              <w:top w:val="single" w:sz="4" w:space="0" w:color="auto"/>
            </w:tcBorders>
          </w:tcPr>
          <w:p w14:paraId="142FD70E"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color w:val="000000"/>
                <w:sz w:val="20"/>
              </w:rPr>
              <w:t>-</w:t>
            </w:r>
          </w:p>
        </w:tc>
        <w:tc>
          <w:tcPr>
            <w:tcW w:w="975" w:type="dxa"/>
            <w:tcBorders>
              <w:top w:val="single" w:sz="4" w:space="0" w:color="auto"/>
            </w:tcBorders>
          </w:tcPr>
          <w:p w14:paraId="0A5A011E"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950.0</w:t>
            </w:r>
          </w:p>
        </w:tc>
        <w:tc>
          <w:tcPr>
            <w:tcW w:w="1123" w:type="dxa"/>
            <w:tcBorders>
              <w:top w:val="single" w:sz="4" w:space="0" w:color="auto"/>
            </w:tcBorders>
          </w:tcPr>
          <w:p w14:paraId="39E99063"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334" w:type="dxa"/>
            <w:tcBorders>
              <w:top w:val="single" w:sz="4" w:space="0" w:color="auto"/>
            </w:tcBorders>
            <w:vAlign w:val="bottom"/>
          </w:tcPr>
          <w:p w14:paraId="5054F5CD"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(10.5)</w:t>
            </w:r>
          </w:p>
        </w:tc>
        <w:tc>
          <w:tcPr>
            <w:tcW w:w="1187" w:type="dxa"/>
            <w:tcBorders>
              <w:top w:val="single" w:sz="4" w:space="0" w:color="auto"/>
            </w:tcBorders>
            <w:vAlign w:val="bottom"/>
          </w:tcPr>
          <w:p w14:paraId="666694BC"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0.1</w:t>
            </w:r>
          </w:p>
        </w:tc>
        <w:tc>
          <w:tcPr>
            <w:tcW w:w="1133" w:type="dxa"/>
            <w:tcBorders>
              <w:top w:val="single" w:sz="4" w:space="0" w:color="auto"/>
            </w:tcBorders>
            <w:vAlign w:val="bottom"/>
          </w:tcPr>
          <w:p w14:paraId="0864D348"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124" w:type="dxa"/>
            <w:tcBorders>
              <w:top w:val="single" w:sz="4" w:space="0" w:color="auto"/>
            </w:tcBorders>
            <w:vAlign w:val="bottom"/>
          </w:tcPr>
          <w:p w14:paraId="1F0A229C" w14:textId="77777777" w:rsidR="00323BB2" w:rsidRDefault="00323BB2" w:rsidP="00453AFA">
            <w:pPr>
              <w:jc w:val="right"/>
              <w:rPr>
                <w:rFonts w:asciiTheme="minorHAnsi" w:hAnsiTheme="minorHAnsi" w:cstheme="minorHAnsi"/>
                <w:sz w:val="20"/>
              </w:rPr>
            </w:pPr>
            <w:r>
              <w:rPr>
                <w:rFonts w:asciiTheme="minorHAnsi" w:hAnsiTheme="minorHAnsi" w:cstheme="minorHAnsi"/>
                <w:sz w:val="20"/>
              </w:rPr>
              <w:t>-</w:t>
            </w:r>
          </w:p>
        </w:tc>
        <w:tc>
          <w:tcPr>
            <w:tcW w:w="979" w:type="dxa"/>
            <w:tcBorders>
              <w:top w:val="single" w:sz="4" w:space="0" w:color="auto"/>
            </w:tcBorders>
          </w:tcPr>
          <w:p w14:paraId="62DE9003"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939.6</w:t>
            </w:r>
          </w:p>
        </w:tc>
      </w:tr>
      <w:tr w:rsidR="00323BB2" w14:paraId="5A06C74F" w14:textId="77777777" w:rsidTr="00453AFA">
        <w:tc>
          <w:tcPr>
            <w:tcW w:w="2535" w:type="dxa"/>
            <w:vAlign w:val="bottom"/>
          </w:tcPr>
          <w:p w14:paraId="4E780D4A" w14:textId="77777777" w:rsidR="00323BB2" w:rsidRDefault="00323BB2" w:rsidP="00453AFA">
            <w:pPr>
              <w:rPr>
                <w:rFonts w:asciiTheme="minorHAnsi" w:hAnsiTheme="minorHAnsi" w:cstheme="minorHAnsi"/>
                <w:sz w:val="20"/>
                <w:lang w:val="en-IE"/>
              </w:rPr>
            </w:pPr>
            <w:r w:rsidRPr="003E44E6">
              <w:rPr>
                <w:rFonts w:asciiTheme="minorHAnsi" w:hAnsiTheme="minorHAnsi" w:cstheme="minorHAnsi"/>
                <w:color w:val="000000"/>
                <w:sz w:val="20"/>
              </w:rPr>
              <w:t>USD First Lien Term Loan B</w:t>
            </w:r>
          </w:p>
        </w:tc>
        <w:tc>
          <w:tcPr>
            <w:tcW w:w="983" w:type="dxa"/>
          </w:tcPr>
          <w:p w14:paraId="6EA2ADFD"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975" w:type="dxa"/>
          </w:tcPr>
          <w:p w14:paraId="71F9C881"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2,329.5</w:t>
            </w:r>
          </w:p>
        </w:tc>
        <w:tc>
          <w:tcPr>
            <w:tcW w:w="1123" w:type="dxa"/>
          </w:tcPr>
          <w:p w14:paraId="168DF7F9"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(955.6)</w:t>
            </w:r>
          </w:p>
        </w:tc>
        <w:tc>
          <w:tcPr>
            <w:tcW w:w="1334" w:type="dxa"/>
          </w:tcPr>
          <w:p w14:paraId="5F6ECFB7"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(5.1)</w:t>
            </w:r>
          </w:p>
        </w:tc>
        <w:tc>
          <w:tcPr>
            <w:tcW w:w="1187" w:type="dxa"/>
            <w:vAlign w:val="bottom"/>
          </w:tcPr>
          <w:p w14:paraId="39238B87"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21.5</w:t>
            </w:r>
          </w:p>
        </w:tc>
        <w:tc>
          <w:tcPr>
            <w:tcW w:w="1133" w:type="dxa"/>
            <w:vAlign w:val="bottom"/>
          </w:tcPr>
          <w:p w14:paraId="23AC9109"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124" w:type="dxa"/>
            <w:vAlign w:val="bottom"/>
          </w:tcPr>
          <w:p w14:paraId="2E44DBB0" w14:textId="77777777" w:rsidR="00323BB2" w:rsidRDefault="00323BB2" w:rsidP="00453AFA">
            <w:pPr>
              <w:jc w:val="right"/>
              <w:rPr>
                <w:rFonts w:asciiTheme="minorHAnsi" w:hAnsiTheme="minorHAnsi" w:cstheme="minorHAnsi"/>
                <w:sz w:val="20"/>
              </w:rPr>
            </w:pPr>
            <w:r>
              <w:rPr>
                <w:rFonts w:asciiTheme="minorHAnsi" w:hAnsiTheme="minorHAnsi" w:cstheme="minorHAnsi"/>
                <w:sz w:val="20"/>
              </w:rPr>
              <w:t>1.7</w:t>
            </w:r>
          </w:p>
        </w:tc>
        <w:tc>
          <w:tcPr>
            <w:tcW w:w="979" w:type="dxa"/>
          </w:tcPr>
          <w:p w14:paraId="22ACCB7A"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1,392.0</w:t>
            </w:r>
          </w:p>
        </w:tc>
      </w:tr>
      <w:tr w:rsidR="00323BB2" w14:paraId="7C549C88" w14:textId="77777777" w:rsidTr="00453AFA">
        <w:tc>
          <w:tcPr>
            <w:tcW w:w="2535" w:type="dxa"/>
            <w:vAlign w:val="bottom"/>
          </w:tcPr>
          <w:p w14:paraId="5119002F" w14:textId="77777777" w:rsidR="00323BB2" w:rsidRDefault="00323BB2" w:rsidP="00453AFA">
            <w:pPr>
              <w:rPr>
                <w:rFonts w:asciiTheme="minorHAnsi" w:hAnsiTheme="minorHAnsi" w:cstheme="minorHAnsi"/>
                <w:sz w:val="20"/>
                <w:lang w:val="en-IE"/>
              </w:rPr>
            </w:pPr>
            <w:r w:rsidRPr="003E44E6">
              <w:rPr>
                <w:rFonts w:asciiTheme="minorHAnsi" w:hAnsiTheme="minorHAnsi" w:cstheme="minorHAnsi"/>
                <w:color w:val="000000"/>
                <w:sz w:val="20"/>
              </w:rPr>
              <w:t>EUR First Lien Term Loan B</w:t>
            </w:r>
          </w:p>
        </w:tc>
        <w:tc>
          <w:tcPr>
            <w:tcW w:w="983" w:type="dxa"/>
          </w:tcPr>
          <w:p w14:paraId="4728E6C9"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975" w:type="dxa"/>
          </w:tcPr>
          <w:p w14:paraId="072A9373"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738.2</w:t>
            </w:r>
          </w:p>
        </w:tc>
        <w:tc>
          <w:tcPr>
            <w:tcW w:w="1123" w:type="dxa"/>
          </w:tcPr>
          <w:p w14:paraId="076761DF"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(307.9)</w:t>
            </w:r>
          </w:p>
        </w:tc>
        <w:tc>
          <w:tcPr>
            <w:tcW w:w="1334" w:type="dxa"/>
          </w:tcPr>
          <w:p w14:paraId="2422593E"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(2.1)</w:t>
            </w:r>
          </w:p>
        </w:tc>
        <w:tc>
          <w:tcPr>
            <w:tcW w:w="1187" w:type="dxa"/>
            <w:vAlign w:val="bottom"/>
          </w:tcPr>
          <w:p w14:paraId="54C65FF6"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11.3</w:t>
            </w:r>
          </w:p>
        </w:tc>
        <w:tc>
          <w:tcPr>
            <w:tcW w:w="1133" w:type="dxa"/>
            <w:vAlign w:val="bottom"/>
          </w:tcPr>
          <w:p w14:paraId="595C424C"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(7.0)</w:t>
            </w:r>
          </w:p>
        </w:tc>
        <w:tc>
          <w:tcPr>
            <w:tcW w:w="1124" w:type="dxa"/>
            <w:vAlign w:val="bottom"/>
          </w:tcPr>
          <w:p w14:paraId="436846F5" w14:textId="77777777" w:rsidR="00323BB2" w:rsidRDefault="00323BB2" w:rsidP="00453AFA">
            <w:pPr>
              <w:jc w:val="right"/>
              <w:rPr>
                <w:rFonts w:asciiTheme="minorHAnsi" w:hAnsiTheme="minorHAnsi" w:cstheme="minorHAnsi"/>
                <w:sz w:val="20"/>
              </w:rPr>
            </w:pPr>
            <w:r>
              <w:rPr>
                <w:rFonts w:asciiTheme="minorHAnsi" w:hAnsiTheme="minorHAnsi" w:cstheme="minorHAnsi"/>
                <w:sz w:val="20"/>
              </w:rPr>
              <w:t>23.0</w:t>
            </w:r>
          </w:p>
        </w:tc>
        <w:tc>
          <w:tcPr>
            <w:tcW w:w="979" w:type="dxa"/>
          </w:tcPr>
          <w:p w14:paraId="12770DAF"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455.5</w:t>
            </w:r>
          </w:p>
        </w:tc>
      </w:tr>
      <w:tr w:rsidR="00323BB2" w14:paraId="3D957B30" w14:textId="77777777" w:rsidTr="00453AFA">
        <w:tc>
          <w:tcPr>
            <w:tcW w:w="2535" w:type="dxa"/>
            <w:vAlign w:val="bottom"/>
          </w:tcPr>
          <w:p w14:paraId="550602D1" w14:textId="77777777" w:rsidR="00323BB2" w:rsidRDefault="00323BB2" w:rsidP="00453AFA">
            <w:pPr>
              <w:rPr>
                <w:rFonts w:asciiTheme="minorHAnsi" w:hAnsiTheme="minorHAnsi" w:cstheme="minorHAnsi"/>
                <w:sz w:val="20"/>
                <w:lang w:val="en-IE"/>
              </w:rPr>
            </w:pPr>
            <w:r w:rsidRPr="003E44E6">
              <w:rPr>
                <w:rFonts w:asciiTheme="minorHAnsi" w:hAnsiTheme="minorHAnsi" w:cstheme="minorHAnsi"/>
                <w:color w:val="000000"/>
                <w:sz w:val="20"/>
              </w:rPr>
              <w:t>Senior Notes</w:t>
            </w:r>
          </w:p>
        </w:tc>
        <w:tc>
          <w:tcPr>
            <w:tcW w:w="983" w:type="dxa"/>
            <w:vAlign w:val="bottom"/>
          </w:tcPr>
          <w:p w14:paraId="62A6FE0A"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color w:val="000000"/>
                <w:sz w:val="20"/>
              </w:rPr>
              <w:t>-</w:t>
            </w:r>
          </w:p>
        </w:tc>
        <w:tc>
          <w:tcPr>
            <w:tcW w:w="975" w:type="dxa"/>
          </w:tcPr>
          <w:p w14:paraId="3B6CB7F9"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834.9</w:t>
            </w:r>
          </w:p>
        </w:tc>
        <w:tc>
          <w:tcPr>
            <w:tcW w:w="1123" w:type="dxa"/>
          </w:tcPr>
          <w:p w14:paraId="54DAAC57"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334" w:type="dxa"/>
          </w:tcPr>
          <w:p w14:paraId="64125A1F"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187" w:type="dxa"/>
            <w:vAlign w:val="bottom"/>
          </w:tcPr>
          <w:p w14:paraId="2F185345"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(1.1)</w:t>
            </w:r>
          </w:p>
        </w:tc>
        <w:tc>
          <w:tcPr>
            <w:tcW w:w="1133" w:type="dxa"/>
            <w:vAlign w:val="bottom"/>
          </w:tcPr>
          <w:p w14:paraId="533F4925"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(29.9)</w:t>
            </w:r>
          </w:p>
        </w:tc>
        <w:tc>
          <w:tcPr>
            <w:tcW w:w="1124" w:type="dxa"/>
            <w:vAlign w:val="bottom"/>
          </w:tcPr>
          <w:p w14:paraId="3DE5EA6E" w14:textId="77777777" w:rsidR="00323BB2" w:rsidRDefault="00323BB2" w:rsidP="00453AFA">
            <w:pPr>
              <w:jc w:val="right"/>
              <w:rPr>
                <w:rFonts w:asciiTheme="minorHAnsi" w:hAnsiTheme="minorHAnsi" w:cstheme="minorHAnsi"/>
                <w:sz w:val="20"/>
              </w:rPr>
            </w:pPr>
            <w:r>
              <w:rPr>
                <w:rFonts w:asciiTheme="minorHAnsi" w:hAnsiTheme="minorHAnsi" w:cstheme="minorHAnsi"/>
                <w:sz w:val="20"/>
              </w:rPr>
              <w:t>7.0</w:t>
            </w:r>
          </w:p>
        </w:tc>
        <w:tc>
          <w:tcPr>
            <w:tcW w:w="979" w:type="dxa"/>
          </w:tcPr>
          <w:p w14:paraId="385F5D92"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810.9</w:t>
            </w:r>
          </w:p>
        </w:tc>
      </w:tr>
      <w:tr w:rsidR="00323BB2" w14:paraId="6C78ABDF" w14:textId="77777777" w:rsidTr="00453AFA">
        <w:tc>
          <w:tcPr>
            <w:tcW w:w="2535" w:type="dxa"/>
            <w:vAlign w:val="bottom"/>
          </w:tcPr>
          <w:p w14:paraId="2AA3AF6A" w14:textId="77777777" w:rsidR="00323BB2" w:rsidRDefault="00323BB2" w:rsidP="00453AFA">
            <w:pPr>
              <w:rPr>
                <w:rFonts w:asciiTheme="minorHAnsi" w:hAnsiTheme="minorHAnsi" w:cstheme="minorHAnsi"/>
                <w:sz w:val="20"/>
                <w:lang w:val="en-IE"/>
              </w:rPr>
            </w:pPr>
            <w:r w:rsidRPr="003E44E6">
              <w:rPr>
                <w:rFonts w:asciiTheme="minorHAnsi" w:hAnsiTheme="minorHAnsi" w:cstheme="minorHAnsi"/>
                <w:color w:val="000000"/>
                <w:sz w:val="20"/>
              </w:rPr>
              <w:t>Previous GBP Term Loan</w:t>
            </w:r>
          </w:p>
        </w:tc>
        <w:tc>
          <w:tcPr>
            <w:tcW w:w="983" w:type="dxa"/>
            <w:vAlign w:val="bottom"/>
          </w:tcPr>
          <w:p w14:paraId="648D3A37"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color w:val="000000"/>
                <w:sz w:val="20"/>
              </w:rPr>
              <w:t>249.5</w:t>
            </w:r>
          </w:p>
        </w:tc>
        <w:tc>
          <w:tcPr>
            <w:tcW w:w="975" w:type="dxa"/>
          </w:tcPr>
          <w:p w14:paraId="18FF3F7A"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w:t>
            </w:r>
          </w:p>
        </w:tc>
        <w:tc>
          <w:tcPr>
            <w:tcW w:w="1123" w:type="dxa"/>
            <w:shd w:val="clear" w:color="auto" w:fill="auto"/>
          </w:tcPr>
          <w:p w14:paraId="1332E997"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(250.0)</w:t>
            </w:r>
          </w:p>
        </w:tc>
        <w:tc>
          <w:tcPr>
            <w:tcW w:w="1334" w:type="dxa"/>
            <w:shd w:val="clear" w:color="auto" w:fill="auto"/>
          </w:tcPr>
          <w:p w14:paraId="2337F729"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w:t>
            </w:r>
          </w:p>
        </w:tc>
        <w:tc>
          <w:tcPr>
            <w:tcW w:w="1187" w:type="dxa"/>
            <w:shd w:val="clear" w:color="auto" w:fill="auto"/>
            <w:vAlign w:val="bottom"/>
          </w:tcPr>
          <w:p w14:paraId="3511A74D"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0.5</w:t>
            </w:r>
          </w:p>
        </w:tc>
        <w:tc>
          <w:tcPr>
            <w:tcW w:w="1133" w:type="dxa"/>
            <w:shd w:val="clear" w:color="auto" w:fill="auto"/>
            <w:vAlign w:val="bottom"/>
          </w:tcPr>
          <w:p w14:paraId="014C12C9"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w:t>
            </w:r>
          </w:p>
        </w:tc>
        <w:tc>
          <w:tcPr>
            <w:tcW w:w="1124" w:type="dxa"/>
            <w:vAlign w:val="bottom"/>
          </w:tcPr>
          <w:p w14:paraId="5E796C61" w14:textId="77777777" w:rsidR="00323BB2" w:rsidRDefault="00323BB2" w:rsidP="00453AFA">
            <w:pPr>
              <w:jc w:val="right"/>
              <w:rPr>
                <w:rFonts w:asciiTheme="minorHAnsi" w:hAnsiTheme="minorHAnsi" w:cstheme="minorHAnsi"/>
                <w:sz w:val="20"/>
              </w:rPr>
            </w:pPr>
            <w:r>
              <w:rPr>
                <w:rFonts w:asciiTheme="minorHAnsi" w:hAnsiTheme="minorHAnsi" w:cstheme="minorHAnsi"/>
                <w:sz w:val="20"/>
              </w:rPr>
              <w:t>-</w:t>
            </w:r>
          </w:p>
        </w:tc>
        <w:tc>
          <w:tcPr>
            <w:tcW w:w="979" w:type="dxa"/>
          </w:tcPr>
          <w:p w14:paraId="733FAA64"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r>
      <w:tr w:rsidR="00323BB2" w14:paraId="59F721C2" w14:textId="77777777" w:rsidTr="00453AFA">
        <w:tc>
          <w:tcPr>
            <w:tcW w:w="2535" w:type="dxa"/>
            <w:vAlign w:val="bottom"/>
          </w:tcPr>
          <w:p w14:paraId="6C66796D" w14:textId="77777777" w:rsidR="00323BB2" w:rsidRDefault="00323BB2" w:rsidP="00453AFA">
            <w:pPr>
              <w:rPr>
                <w:rFonts w:asciiTheme="minorHAnsi" w:hAnsiTheme="minorHAnsi" w:cstheme="minorHAnsi"/>
                <w:sz w:val="20"/>
                <w:lang w:val="en-IE"/>
              </w:rPr>
            </w:pPr>
            <w:r>
              <w:rPr>
                <w:rFonts w:asciiTheme="minorHAnsi" w:hAnsiTheme="minorHAnsi" w:cstheme="minorHAnsi"/>
                <w:sz w:val="20"/>
              </w:rPr>
              <w:t>Previous GBP RCF</w:t>
            </w:r>
            <w:r w:rsidRPr="003E44E6">
              <w:rPr>
                <w:rFonts w:asciiTheme="minorHAnsi" w:hAnsiTheme="minorHAnsi" w:cstheme="minorHAnsi"/>
                <w:sz w:val="20"/>
              </w:rPr>
              <w:t xml:space="preserve"> </w:t>
            </w:r>
          </w:p>
        </w:tc>
        <w:tc>
          <w:tcPr>
            <w:tcW w:w="983" w:type="dxa"/>
            <w:vAlign w:val="bottom"/>
          </w:tcPr>
          <w:p w14:paraId="324D4EB3"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color w:val="000000"/>
                <w:sz w:val="20"/>
              </w:rPr>
              <w:t>115.7</w:t>
            </w:r>
          </w:p>
        </w:tc>
        <w:tc>
          <w:tcPr>
            <w:tcW w:w="975" w:type="dxa"/>
          </w:tcPr>
          <w:p w14:paraId="5AD0E57E"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lang w:val="en-IE"/>
              </w:rPr>
              <w:t>130.0</w:t>
            </w:r>
          </w:p>
        </w:tc>
        <w:tc>
          <w:tcPr>
            <w:tcW w:w="1123" w:type="dxa"/>
          </w:tcPr>
          <w:p w14:paraId="1B010305"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(247.2)</w:t>
            </w:r>
          </w:p>
        </w:tc>
        <w:tc>
          <w:tcPr>
            <w:tcW w:w="1334" w:type="dxa"/>
          </w:tcPr>
          <w:p w14:paraId="10DD8E0B"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187" w:type="dxa"/>
            <w:vAlign w:val="bottom"/>
          </w:tcPr>
          <w:p w14:paraId="1E9EEA74"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1.6</w:t>
            </w:r>
          </w:p>
        </w:tc>
        <w:tc>
          <w:tcPr>
            <w:tcW w:w="1133" w:type="dxa"/>
            <w:vAlign w:val="bottom"/>
          </w:tcPr>
          <w:p w14:paraId="51952F4B"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w:t>
            </w:r>
          </w:p>
        </w:tc>
        <w:tc>
          <w:tcPr>
            <w:tcW w:w="1124" w:type="dxa"/>
            <w:vAlign w:val="bottom"/>
          </w:tcPr>
          <w:p w14:paraId="63443134" w14:textId="77777777" w:rsidR="00323BB2" w:rsidRPr="001C5B0D" w:rsidRDefault="00323BB2" w:rsidP="00453AFA">
            <w:pPr>
              <w:jc w:val="right"/>
              <w:rPr>
                <w:rFonts w:asciiTheme="minorHAnsi" w:hAnsiTheme="minorHAnsi" w:cstheme="minorHAnsi"/>
                <w:sz w:val="20"/>
              </w:rPr>
            </w:pPr>
            <w:r w:rsidRPr="001C5B0D">
              <w:rPr>
                <w:rFonts w:asciiTheme="minorHAnsi" w:hAnsiTheme="minorHAnsi" w:cstheme="minorHAnsi"/>
                <w:sz w:val="20"/>
              </w:rPr>
              <w:t>(0.1)</w:t>
            </w:r>
          </w:p>
        </w:tc>
        <w:tc>
          <w:tcPr>
            <w:tcW w:w="979" w:type="dxa"/>
          </w:tcPr>
          <w:p w14:paraId="4A207361"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r>
      <w:tr w:rsidR="00323BB2" w14:paraId="39C50B5C" w14:textId="77777777" w:rsidTr="00453AFA">
        <w:tc>
          <w:tcPr>
            <w:tcW w:w="2535" w:type="dxa"/>
            <w:tcBorders>
              <w:bottom w:val="single" w:sz="4" w:space="0" w:color="auto"/>
            </w:tcBorders>
            <w:vAlign w:val="bottom"/>
          </w:tcPr>
          <w:p w14:paraId="78D7014A" w14:textId="77777777" w:rsidR="00323BB2" w:rsidRDefault="00323BB2" w:rsidP="00453AFA">
            <w:pPr>
              <w:rPr>
                <w:rFonts w:asciiTheme="minorHAnsi" w:hAnsiTheme="minorHAnsi" w:cstheme="minorHAnsi"/>
                <w:sz w:val="20"/>
                <w:lang w:val="en-IE"/>
              </w:rPr>
            </w:pPr>
            <w:r>
              <w:rPr>
                <w:rFonts w:asciiTheme="minorHAnsi" w:hAnsiTheme="minorHAnsi" w:cstheme="minorHAnsi"/>
                <w:sz w:val="20"/>
              </w:rPr>
              <w:t>Overdraft</w:t>
            </w:r>
          </w:p>
        </w:tc>
        <w:tc>
          <w:tcPr>
            <w:tcW w:w="983" w:type="dxa"/>
            <w:tcBorders>
              <w:bottom w:val="single" w:sz="4" w:space="0" w:color="auto"/>
            </w:tcBorders>
            <w:vAlign w:val="bottom"/>
          </w:tcPr>
          <w:p w14:paraId="6B5970B6"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color w:val="000000"/>
                <w:sz w:val="20"/>
              </w:rPr>
              <w:t>5.0</w:t>
            </w:r>
          </w:p>
        </w:tc>
        <w:tc>
          <w:tcPr>
            <w:tcW w:w="975" w:type="dxa"/>
            <w:tcBorders>
              <w:bottom w:val="single" w:sz="4" w:space="0" w:color="auto"/>
            </w:tcBorders>
          </w:tcPr>
          <w:p w14:paraId="6145E7A2" w14:textId="77777777" w:rsidR="00323BB2" w:rsidRPr="001C5B0D" w:rsidRDefault="00323BB2" w:rsidP="00453AFA">
            <w:pPr>
              <w:jc w:val="right"/>
              <w:rPr>
                <w:rFonts w:asciiTheme="minorHAnsi" w:hAnsiTheme="minorHAnsi" w:cstheme="minorHAnsi"/>
                <w:sz w:val="20"/>
                <w:lang w:val="en-IE"/>
              </w:rPr>
            </w:pPr>
            <w:r w:rsidRPr="001C5B0D">
              <w:rPr>
                <w:rFonts w:asciiTheme="minorHAnsi" w:hAnsiTheme="minorHAnsi" w:cstheme="minorHAnsi"/>
                <w:sz w:val="20"/>
              </w:rPr>
              <w:t>-</w:t>
            </w:r>
          </w:p>
        </w:tc>
        <w:tc>
          <w:tcPr>
            <w:tcW w:w="1123" w:type="dxa"/>
            <w:tcBorders>
              <w:bottom w:val="single" w:sz="4" w:space="0" w:color="auto"/>
            </w:tcBorders>
          </w:tcPr>
          <w:p w14:paraId="51D412E2"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(5.0)</w:t>
            </w:r>
          </w:p>
        </w:tc>
        <w:tc>
          <w:tcPr>
            <w:tcW w:w="1334" w:type="dxa"/>
            <w:tcBorders>
              <w:bottom w:val="single" w:sz="4" w:space="0" w:color="auto"/>
            </w:tcBorders>
          </w:tcPr>
          <w:p w14:paraId="4FE54A8F"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 xml:space="preserve">- </w:t>
            </w:r>
          </w:p>
        </w:tc>
        <w:tc>
          <w:tcPr>
            <w:tcW w:w="1187" w:type="dxa"/>
            <w:tcBorders>
              <w:bottom w:val="single" w:sz="4" w:space="0" w:color="auto"/>
            </w:tcBorders>
            <w:vAlign w:val="bottom"/>
          </w:tcPr>
          <w:p w14:paraId="2A6A1D5A"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133" w:type="dxa"/>
            <w:tcBorders>
              <w:bottom w:val="single" w:sz="4" w:space="0" w:color="auto"/>
            </w:tcBorders>
            <w:vAlign w:val="bottom"/>
          </w:tcPr>
          <w:p w14:paraId="43F4D186"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c>
          <w:tcPr>
            <w:tcW w:w="1124" w:type="dxa"/>
            <w:tcBorders>
              <w:bottom w:val="single" w:sz="4" w:space="0" w:color="auto"/>
            </w:tcBorders>
            <w:vAlign w:val="bottom"/>
          </w:tcPr>
          <w:p w14:paraId="2216D4A1" w14:textId="77777777" w:rsidR="00323BB2" w:rsidRDefault="00323BB2" w:rsidP="00453AFA">
            <w:pPr>
              <w:jc w:val="right"/>
              <w:rPr>
                <w:rFonts w:asciiTheme="minorHAnsi" w:hAnsiTheme="minorHAnsi" w:cstheme="minorHAnsi"/>
                <w:sz w:val="20"/>
              </w:rPr>
            </w:pPr>
            <w:r>
              <w:rPr>
                <w:rFonts w:asciiTheme="minorHAnsi" w:hAnsiTheme="minorHAnsi" w:cstheme="minorHAnsi"/>
                <w:sz w:val="20"/>
              </w:rPr>
              <w:t>-</w:t>
            </w:r>
          </w:p>
        </w:tc>
        <w:tc>
          <w:tcPr>
            <w:tcW w:w="979" w:type="dxa"/>
            <w:tcBorders>
              <w:bottom w:val="single" w:sz="4" w:space="0" w:color="auto"/>
            </w:tcBorders>
          </w:tcPr>
          <w:p w14:paraId="60E7DAE2" w14:textId="77777777" w:rsidR="00323BB2" w:rsidRDefault="00323BB2" w:rsidP="00453AFA">
            <w:pPr>
              <w:jc w:val="right"/>
              <w:rPr>
                <w:rFonts w:asciiTheme="minorHAnsi" w:hAnsiTheme="minorHAnsi" w:cstheme="minorHAnsi"/>
                <w:sz w:val="20"/>
                <w:lang w:val="en-IE"/>
              </w:rPr>
            </w:pPr>
            <w:r>
              <w:rPr>
                <w:rFonts w:asciiTheme="minorHAnsi" w:hAnsiTheme="minorHAnsi" w:cstheme="minorHAnsi"/>
                <w:sz w:val="20"/>
              </w:rPr>
              <w:t>-</w:t>
            </w:r>
          </w:p>
        </w:tc>
      </w:tr>
      <w:tr w:rsidR="00323BB2" w:rsidRPr="00FD6AFF" w14:paraId="682D92E1" w14:textId="77777777" w:rsidTr="00453AFA">
        <w:trPr>
          <w:trHeight w:val="294"/>
        </w:trPr>
        <w:tc>
          <w:tcPr>
            <w:tcW w:w="2535" w:type="dxa"/>
            <w:tcBorders>
              <w:top w:val="single" w:sz="4" w:space="0" w:color="auto"/>
              <w:bottom w:val="single" w:sz="4" w:space="0" w:color="auto"/>
            </w:tcBorders>
          </w:tcPr>
          <w:p w14:paraId="57519A8B" w14:textId="77777777" w:rsidR="00323BB2" w:rsidRDefault="00323BB2" w:rsidP="00453AFA">
            <w:pPr>
              <w:rPr>
                <w:rFonts w:asciiTheme="minorHAnsi" w:hAnsiTheme="minorHAnsi" w:cstheme="minorHAnsi"/>
                <w:sz w:val="20"/>
              </w:rPr>
            </w:pPr>
            <w:r w:rsidRPr="00711B64">
              <w:rPr>
                <w:rFonts w:asciiTheme="minorHAnsi" w:hAnsiTheme="minorHAnsi" w:cstheme="minorHAnsi"/>
                <w:b/>
                <w:color w:val="000000"/>
                <w:sz w:val="20"/>
              </w:rPr>
              <w:t>Total</w:t>
            </w:r>
          </w:p>
        </w:tc>
        <w:tc>
          <w:tcPr>
            <w:tcW w:w="983" w:type="dxa"/>
            <w:tcBorders>
              <w:top w:val="single" w:sz="4" w:space="0" w:color="auto"/>
              <w:bottom w:val="single" w:sz="4" w:space="0" w:color="auto"/>
            </w:tcBorders>
          </w:tcPr>
          <w:p w14:paraId="70A2A354" w14:textId="77777777" w:rsidR="00323BB2" w:rsidRPr="001C5B0D" w:rsidRDefault="00323BB2" w:rsidP="00453AFA">
            <w:pPr>
              <w:jc w:val="right"/>
              <w:rPr>
                <w:rFonts w:asciiTheme="minorHAnsi" w:hAnsiTheme="minorHAnsi" w:cstheme="minorHAnsi"/>
                <w:color w:val="000000"/>
                <w:sz w:val="20"/>
              </w:rPr>
            </w:pPr>
            <w:r w:rsidRPr="001C5B0D">
              <w:rPr>
                <w:rFonts w:asciiTheme="minorHAnsi" w:hAnsiTheme="minorHAnsi" w:cstheme="minorHAnsi"/>
                <w:b/>
                <w:sz w:val="20"/>
              </w:rPr>
              <w:t>370.2</w:t>
            </w:r>
          </w:p>
        </w:tc>
        <w:tc>
          <w:tcPr>
            <w:tcW w:w="975" w:type="dxa"/>
            <w:tcBorders>
              <w:top w:val="single" w:sz="4" w:space="0" w:color="auto"/>
              <w:bottom w:val="single" w:sz="4" w:space="0" w:color="auto"/>
            </w:tcBorders>
          </w:tcPr>
          <w:p w14:paraId="2A60CFBE" w14:textId="77777777" w:rsidR="00323BB2" w:rsidRPr="001C5B0D" w:rsidRDefault="00323BB2" w:rsidP="00453AFA">
            <w:pPr>
              <w:jc w:val="right"/>
              <w:rPr>
                <w:rFonts w:asciiTheme="minorHAnsi" w:hAnsiTheme="minorHAnsi" w:cstheme="minorHAnsi"/>
                <w:sz w:val="20"/>
              </w:rPr>
            </w:pPr>
            <w:r w:rsidRPr="001C5B0D">
              <w:rPr>
                <w:rFonts w:asciiTheme="minorHAnsi" w:hAnsiTheme="minorHAnsi" w:cstheme="minorHAnsi"/>
                <w:b/>
                <w:sz w:val="20"/>
              </w:rPr>
              <w:t>4,982.6</w:t>
            </w:r>
          </w:p>
        </w:tc>
        <w:tc>
          <w:tcPr>
            <w:tcW w:w="1123" w:type="dxa"/>
            <w:tcBorders>
              <w:top w:val="single" w:sz="4" w:space="0" w:color="auto"/>
              <w:bottom w:val="single" w:sz="4" w:space="0" w:color="auto"/>
            </w:tcBorders>
          </w:tcPr>
          <w:p w14:paraId="5F0E7A2C" w14:textId="77777777" w:rsidR="00323BB2" w:rsidRPr="00FD6AFF" w:rsidRDefault="00323BB2" w:rsidP="00453AFA">
            <w:pPr>
              <w:jc w:val="right"/>
              <w:rPr>
                <w:rFonts w:asciiTheme="minorHAnsi" w:hAnsiTheme="minorHAnsi" w:cstheme="minorHAnsi"/>
                <w:b/>
                <w:sz w:val="20"/>
              </w:rPr>
            </w:pPr>
            <w:r w:rsidRPr="00711B64">
              <w:rPr>
                <w:rFonts w:asciiTheme="minorHAnsi" w:hAnsiTheme="minorHAnsi" w:cstheme="minorHAnsi"/>
                <w:b/>
                <w:sz w:val="20"/>
              </w:rPr>
              <w:t>(1,</w:t>
            </w:r>
            <w:r>
              <w:rPr>
                <w:rFonts w:asciiTheme="minorHAnsi" w:hAnsiTheme="minorHAnsi" w:cstheme="minorHAnsi"/>
                <w:b/>
                <w:sz w:val="20"/>
              </w:rPr>
              <w:t>765</w:t>
            </w:r>
            <w:r w:rsidRPr="00711B64">
              <w:rPr>
                <w:rFonts w:asciiTheme="minorHAnsi" w:hAnsiTheme="minorHAnsi" w:cstheme="minorHAnsi"/>
                <w:b/>
                <w:sz w:val="20"/>
              </w:rPr>
              <w:t>.</w:t>
            </w:r>
            <w:r>
              <w:rPr>
                <w:rFonts w:asciiTheme="minorHAnsi" w:hAnsiTheme="minorHAnsi" w:cstheme="minorHAnsi"/>
                <w:b/>
                <w:sz w:val="20"/>
              </w:rPr>
              <w:t>7</w:t>
            </w:r>
            <w:r w:rsidRPr="00711B64">
              <w:rPr>
                <w:rFonts w:asciiTheme="minorHAnsi" w:hAnsiTheme="minorHAnsi" w:cstheme="minorHAnsi"/>
                <w:b/>
                <w:sz w:val="20"/>
              </w:rPr>
              <w:t>)</w:t>
            </w:r>
          </w:p>
        </w:tc>
        <w:tc>
          <w:tcPr>
            <w:tcW w:w="1334" w:type="dxa"/>
            <w:tcBorders>
              <w:top w:val="single" w:sz="4" w:space="0" w:color="auto"/>
              <w:bottom w:val="single" w:sz="4" w:space="0" w:color="auto"/>
            </w:tcBorders>
          </w:tcPr>
          <w:p w14:paraId="4971D522" w14:textId="77777777" w:rsidR="00323BB2" w:rsidRDefault="00323BB2" w:rsidP="00453AFA">
            <w:pPr>
              <w:jc w:val="right"/>
              <w:rPr>
                <w:rFonts w:asciiTheme="minorHAnsi" w:hAnsiTheme="minorHAnsi" w:cstheme="minorHAnsi"/>
                <w:sz w:val="20"/>
              </w:rPr>
            </w:pPr>
            <w:r>
              <w:rPr>
                <w:rFonts w:asciiTheme="minorHAnsi" w:hAnsiTheme="minorHAnsi" w:cstheme="minorHAnsi"/>
                <w:b/>
                <w:sz w:val="20"/>
              </w:rPr>
              <w:t>(17.7)</w:t>
            </w:r>
          </w:p>
        </w:tc>
        <w:tc>
          <w:tcPr>
            <w:tcW w:w="1187" w:type="dxa"/>
            <w:tcBorders>
              <w:top w:val="single" w:sz="4" w:space="0" w:color="auto"/>
              <w:bottom w:val="single" w:sz="4" w:space="0" w:color="auto"/>
            </w:tcBorders>
          </w:tcPr>
          <w:p w14:paraId="2F0A4974" w14:textId="77777777" w:rsidR="00323BB2" w:rsidRPr="00FD6AFF" w:rsidRDefault="00323BB2" w:rsidP="00453AFA">
            <w:pPr>
              <w:jc w:val="right"/>
              <w:rPr>
                <w:rFonts w:asciiTheme="minorHAnsi" w:hAnsiTheme="minorHAnsi" w:cstheme="minorHAnsi"/>
                <w:b/>
                <w:sz w:val="20"/>
              </w:rPr>
            </w:pPr>
            <w:r w:rsidRPr="00FD6AFF">
              <w:rPr>
                <w:rFonts w:asciiTheme="minorHAnsi" w:hAnsiTheme="minorHAnsi" w:cstheme="minorHAnsi"/>
                <w:b/>
                <w:sz w:val="20"/>
              </w:rPr>
              <w:t>33.</w:t>
            </w:r>
            <w:r>
              <w:rPr>
                <w:rFonts w:asciiTheme="minorHAnsi" w:hAnsiTheme="minorHAnsi" w:cstheme="minorHAnsi"/>
                <w:b/>
                <w:sz w:val="20"/>
              </w:rPr>
              <w:t>9</w:t>
            </w:r>
          </w:p>
        </w:tc>
        <w:tc>
          <w:tcPr>
            <w:tcW w:w="1133" w:type="dxa"/>
            <w:tcBorders>
              <w:top w:val="single" w:sz="4" w:space="0" w:color="auto"/>
              <w:bottom w:val="single" w:sz="4" w:space="0" w:color="auto"/>
            </w:tcBorders>
          </w:tcPr>
          <w:p w14:paraId="38B0A149" w14:textId="77777777" w:rsidR="00323BB2" w:rsidRDefault="00323BB2" w:rsidP="00453AFA">
            <w:pPr>
              <w:jc w:val="right"/>
              <w:rPr>
                <w:rFonts w:asciiTheme="minorHAnsi" w:hAnsiTheme="minorHAnsi" w:cstheme="minorHAnsi"/>
                <w:sz w:val="20"/>
              </w:rPr>
            </w:pPr>
            <w:r>
              <w:rPr>
                <w:rFonts w:asciiTheme="minorHAnsi" w:hAnsiTheme="minorHAnsi" w:cstheme="minorHAnsi"/>
                <w:b/>
                <w:sz w:val="20"/>
              </w:rPr>
              <w:t>(36.9)</w:t>
            </w:r>
          </w:p>
        </w:tc>
        <w:tc>
          <w:tcPr>
            <w:tcW w:w="1124" w:type="dxa"/>
            <w:tcBorders>
              <w:top w:val="single" w:sz="4" w:space="0" w:color="auto"/>
              <w:bottom w:val="single" w:sz="4" w:space="0" w:color="auto"/>
            </w:tcBorders>
          </w:tcPr>
          <w:p w14:paraId="6B28458F" w14:textId="77777777" w:rsidR="00323BB2" w:rsidRPr="00FD6AFF" w:rsidRDefault="00323BB2" w:rsidP="00453AFA">
            <w:pPr>
              <w:jc w:val="right"/>
              <w:rPr>
                <w:rFonts w:asciiTheme="minorHAnsi" w:hAnsiTheme="minorHAnsi" w:cstheme="minorHAnsi"/>
                <w:b/>
                <w:sz w:val="20"/>
              </w:rPr>
            </w:pPr>
            <w:r>
              <w:rPr>
                <w:rFonts w:asciiTheme="minorHAnsi" w:hAnsiTheme="minorHAnsi" w:cstheme="minorHAnsi"/>
                <w:b/>
                <w:sz w:val="20"/>
              </w:rPr>
              <w:t>31.6</w:t>
            </w:r>
          </w:p>
        </w:tc>
        <w:tc>
          <w:tcPr>
            <w:tcW w:w="979" w:type="dxa"/>
            <w:tcBorders>
              <w:top w:val="single" w:sz="4" w:space="0" w:color="auto"/>
              <w:bottom w:val="single" w:sz="4" w:space="0" w:color="auto"/>
            </w:tcBorders>
          </w:tcPr>
          <w:p w14:paraId="03016934" w14:textId="77777777" w:rsidR="00323BB2" w:rsidRPr="00FD6AFF" w:rsidRDefault="00323BB2" w:rsidP="00453AFA">
            <w:pPr>
              <w:jc w:val="right"/>
              <w:rPr>
                <w:rFonts w:asciiTheme="minorHAnsi" w:hAnsiTheme="minorHAnsi" w:cstheme="minorHAnsi"/>
                <w:sz w:val="20"/>
              </w:rPr>
            </w:pPr>
            <w:r w:rsidRPr="00FD6AFF">
              <w:rPr>
                <w:rFonts w:asciiTheme="minorHAnsi" w:hAnsiTheme="minorHAnsi" w:cstheme="minorHAnsi"/>
                <w:b/>
                <w:sz w:val="20"/>
              </w:rPr>
              <w:t>3,</w:t>
            </w:r>
            <w:r>
              <w:rPr>
                <w:rFonts w:asciiTheme="minorHAnsi" w:hAnsiTheme="minorHAnsi" w:cstheme="minorHAnsi"/>
                <w:b/>
                <w:sz w:val="20"/>
              </w:rPr>
              <w:t>598</w:t>
            </w:r>
            <w:r w:rsidRPr="00FD6AFF">
              <w:rPr>
                <w:rFonts w:asciiTheme="minorHAnsi" w:hAnsiTheme="minorHAnsi" w:cstheme="minorHAnsi"/>
                <w:b/>
                <w:sz w:val="20"/>
              </w:rPr>
              <w:t>.</w:t>
            </w:r>
            <w:r>
              <w:rPr>
                <w:rFonts w:asciiTheme="minorHAnsi" w:hAnsiTheme="minorHAnsi" w:cstheme="minorHAnsi"/>
                <w:b/>
                <w:sz w:val="20"/>
              </w:rPr>
              <w:t>0</w:t>
            </w:r>
          </w:p>
        </w:tc>
      </w:tr>
    </w:tbl>
    <w:p w14:paraId="3768BB46" w14:textId="77777777" w:rsidR="00323BB2" w:rsidRPr="00707875" w:rsidRDefault="00323BB2" w:rsidP="00323BB2">
      <w:pPr>
        <w:rPr>
          <w:rFonts w:asciiTheme="minorHAnsi" w:hAnsiTheme="minorHAnsi" w:cstheme="minorHAnsi"/>
          <w:sz w:val="20"/>
          <w:lang w:val="en-IE"/>
        </w:rPr>
      </w:pPr>
    </w:p>
    <w:p w14:paraId="47E54EBC" w14:textId="77777777" w:rsidR="00323BB2" w:rsidRPr="00D33BC8" w:rsidRDefault="00323BB2" w:rsidP="00323BB2">
      <w:pPr>
        <w:jc w:val="both"/>
        <w:rPr>
          <w:rFonts w:asciiTheme="minorHAnsi" w:hAnsiTheme="minorHAnsi" w:cstheme="minorHAnsi"/>
          <w:sz w:val="20"/>
        </w:rPr>
      </w:pPr>
      <w:r w:rsidRPr="00D33BC8">
        <w:rPr>
          <w:rFonts w:asciiTheme="minorHAnsi" w:hAnsiTheme="minorHAnsi" w:cstheme="minorHAnsi"/>
          <w:sz w:val="20"/>
        </w:rPr>
        <w:t>* Adjustments to amorti</w:t>
      </w:r>
      <w:r>
        <w:rPr>
          <w:rFonts w:asciiTheme="minorHAnsi" w:hAnsiTheme="minorHAnsi" w:cstheme="minorHAnsi"/>
          <w:sz w:val="20"/>
        </w:rPr>
        <w:t>s</w:t>
      </w:r>
      <w:r w:rsidRPr="00D33BC8">
        <w:rPr>
          <w:rFonts w:asciiTheme="minorHAnsi" w:hAnsiTheme="minorHAnsi" w:cstheme="minorHAnsi"/>
          <w:sz w:val="20"/>
        </w:rPr>
        <w:t>ed costs include transactions costs and fees incurred and capitali</w:t>
      </w:r>
      <w:r>
        <w:rPr>
          <w:rFonts w:asciiTheme="minorHAnsi" w:hAnsiTheme="minorHAnsi" w:cstheme="minorHAnsi"/>
          <w:sz w:val="20"/>
        </w:rPr>
        <w:t>s</w:t>
      </w:r>
      <w:r w:rsidRPr="00D33BC8">
        <w:rPr>
          <w:rFonts w:asciiTheme="minorHAnsi" w:hAnsiTheme="minorHAnsi" w:cstheme="minorHAnsi"/>
          <w:sz w:val="20"/>
        </w:rPr>
        <w:t>ed in respect of the TLA Agreement and the amendment to the Syndicated Facility Agreement.</w:t>
      </w:r>
    </w:p>
    <w:p w14:paraId="430A6820" w14:textId="77777777" w:rsidR="00323BB2" w:rsidRPr="00D33BC8" w:rsidRDefault="00323BB2" w:rsidP="00323BB2">
      <w:pPr>
        <w:jc w:val="both"/>
        <w:rPr>
          <w:rFonts w:asciiTheme="minorHAnsi" w:hAnsiTheme="minorHAnsi" w:cstheme="minorHAnsi"/>
          <w:sz w:val="20"/>
        </w:rPr>
      </w:pPr>
      <w:r w:rsidRPr="00D33BC8">
        <w:rPr>
          <w:rFonts w:asciiTheme="minorHAnsi" w:hAnsiTheme="minorHAnsi" w:cstheme="minorHAnsi"/>
          <w:sz w:val="20"/>
        </w:rPr>
        <w:t>** Interest accretion represents interest expense calculated at the effective interest rate less interest expense calculated at the contractual interest rate and is recorded in financial expenses in the consolidated income statement. Interest accretion for the six months ended</w:t>
      </w:r>
      <w:r>
        <w:rPr>
          <w:rFonts w:asciiTheme="minorHAnsi" w:hAnsiTheme="minorHAnsi" w:cstheme="minorHAnsi"/>
          <w:sz w:val="20"/>
        </w:rPr>
        <w:t xml:space="preserve"> 30</w:t>
      </w:r>
      <w:r w:rsidRPr="00D33BC8">
        <w:rPr>
          <w:rFonts w:asciiTheme="minorHAnsi" w:hAnsiTheme="minorHAnsi" w:cstheme="minorHAnsi"/>
          <w:sz w:val="20"/>
        </w:rPr>
        <w:t xml:space="preserve"> June 2020 includes £</w:t>
      </w:r>
      <w:r>
        <w:rPr>
          <w:rFonts w:asciiTheme="minorHAnsi" w:hAnsiTheme="minorHAnsi" w:cstheme="minorHAnsi"/>
          <w:sz w:val="20"/>
        </w:rPr>
        <w:t>32.8m</w:t>
      </w:r>
      <w:r w:rsidRPr="00D33BC8">
        <w:rPr>
          <w:rFonts w:asciiTheme="minorHAnsi" w:hAnsiTheme="minorHAnsi" w:cstheme="minorHAnsi"/>
          <w:sz w:val="20"/>
        </w:rPr>
        <w:t xml:space="preserve"> included within financial expenses in respect </w:t>
      </w:r>
      <w:r>
        <w:rPr>
          <w:rFonts w:asciiTheme="minorHAnsi" w:hAnsiTheme="minorHAnsi" w:cstheme="minorHAnsi"/>
          <w:sz w:val="20"/>
        </w:rPr>
        <w:t xml:space="preserve">of </w:t>
      </w:r>
      <w:r w:rsidRPr="00D33BC8">
        <w:rPr>
          <w:rFonts w:asciiTheme="minorHAnsi" w:hAnsiTheme="minorHAnsi" w:cstheme="minorHAnsi"/>
          <w:sz w:val="20"/>
        </w:rPr>
        <w:t xml:space="preserve">prepayments of the </w:t>
      </w:r>
      <w:r>
        <w:rPr>
          <w:rFonts w:asciiTheme="minorHAnsi" w:hAnsiTheme="minorHAnsi" w:cstheme="minorHAnsi"/>
          <w:sz w:val="20"/>
        </w:rPr>
        <w:t>Group</w:t>
      </w:r>
      <w:r w:rsidRPr="00D33BC8">
        <w:rPr>
          <w:rFonts w:asciiTheme="minorHAnsi" w:hAnsiTheme="minorHAnsi" w:cstheme="minorHAnsi"/>
          <w:sz w:val="20"/>
        </w:rPr>
        <w:t xml:space="preserve">’s First Lien Term Loans B and its </w:t>
      </w:r>
      <w:r w:rsidRPr="00D33BC8">
        <w:rPr>
          <w:rFonts w:asciiTheme="minorHAnsi" w:hAnsiTheme="minorHAnsi" w:cstheme="minorHAnsi"/>
          <w:color w:val="000000"/>
          <w:sz w:val="20"/>
        </w:rPr>
        <w:t>Previous GBP Term Loan</w:t>
      </w:r>
      <w:r>
        <w:rPr>
          <w:rFonts w:asciiTheme="minorHAnsi" w:hAnsiTheme="minorHAnsi" w:cstheme="minorHAnsi"/>
          <w:color w:val="000000"/>
          <w:sz w:val="20"/>
        </w:rPr>
        <w:t xml:space="preserve"> and previous GBP RCF</w:t>
      </w:r>
      <w:r w:rsidRPr="00D33BC8">
        <w:rPr>
          <w:rFonts w:asciiTheme="minorHAnsi" w:hAnsiTheme="minorHAnsi" w:cstheme="minorHAnsi"/>
          <w:sz w:val="20"/>
        </w:rPr>
        <w:t>.</w:t>
      </w:r>
    </w:p>
    <w:p w14:paraId="014967B3" w14:textId="77777777" w:rsidR="00323BB2" w:rsidRDefault="00323BB2" w:rsidP="00323BB2">
      <w:pPr>
        <w:rPr>
          <w:rFonts w:asciiTheme="minorHAnsi" w:hAnsiTheme="minorHAnsi" w:cstheme="minorHAnsi"/>
          <w:sz w:val="20"/>
          <w:lang w:val="en-IE"/>
        </w:rPr>
      </w:pPr>
    </w:p>
    <w:p w14:paraId="781BE9DB" w14:textId="77777777" w:rsidR="00323BB2" w:rsidRDefault="00323BB2" w:rsidP="00323BB2">
      <w:pPr>
        <w:rPr>
          <w:rFonts w:asciiTheme="minorHAnsi" w:hAnsiTheme="minorHAnsi"/>
          <w:b/>
          <w:sz w:val="20"/>
          <w:lang w:val="en-IE"/>
        </w:rPr>
      </w:pPr>
      <w:r>
        <w:rPr>
          <w:rFonts w:asciiTheme="minorHAnsi" w:hAnsiTheme="minorHAnsi"/>
          <w:b/>
          <w:sz w:val="20"/>
          <w:lang w:val="en-IE"/>
        </w:rPr>
        <w:br w:type="page"/>
      </w:r>
    </w:p>
    <w:p w14:paraId="61E780BA" w14:textId="77777777" w:rsidR="00323BB2" w:rsidRDefault="00323BB2" w:rsidP="00323BB2">
      <w:pPr>
        <w:rPr>
          <w:rFonts w:asciiTheme="minorHAnsi" w:hAnsiTheme="minorHAnsi"/>
          <w:b/>
          <w:sz w:val="20"/>
          <w:lang w:val="en-IE"/>
        </w:rPr>
      </w:pPr>
      <w:r w:rsidRPr="009D30BC">
        <w:rPr>
          <w:rFonts w:asciiTheme="minorHAnsi" w:hAnsiTheme="minorHAnsi"/>
          <w:b/>
          <w:sz w:val="20"/>
          <w:lang w:val="en-IE"/>
        </w:rPr>
        <w:lastRenderedPageBreak/>
        <w:t>1</w:t>
      </w:r>
      <w:r>
        <w:rPr>
          <w:rFonts w:asciiTheme="minorHAnsi" w:hAnsiTheme="minorHAnsi"/>
          <w:b/>
          <w:sz w:val="20"/>
          <w:lang w:val="en-IE"/>
        </w:rPr>
        <w:t>5</w:t>
      </w:r>
      <w:r w:rsidRPr="009D30BC">
        <w:rPr>
          <w:rFonts w:asciiTheme="minorHAnsi" w:hAnsiTheme="minorHAnsi"/>
          <w:b/>
          <w:sz w:val="20"/>
          <w:lang w:val="en-IE"/>
        </w:rPr>
        <w:t xml:space="preserve">. Borrowings </w:t>
      </w:r>
      <w:r>
        <w:rPr>
          <w:rFonts w:asciiTheme="minorHAnsi" w:hAnsiTheme="minorHAnsi"/>
          <w:b/>
          <w:sz w:val="20"/>
          <w:lang w:val="en-IE"/>
        </w:rPr>
        <w:t>(continued)</w:t>
      </w:r>
    </w:p>
    <w:p w14:paraId="094242DB" w14:textId="77777777" w:rsidR="00323BB2" w:rsidRDefault="00323BB2" w:rsidP="00323BB2">
      <w:pPr>
        <w:keepNext/>
        <w:spacing w:after="140"/>
        <w:jc w:val="both"/>
        <w:rPr>
          <w:rFonts w:asciiTheme="minorHAnsi" w:hAnsiTheme="minorHAnsi" w:cstheme="minorHAnsi"/>
          <w:sz w:val="20"/>
        </w:rPr>
      </w:pPr>
    </w:p>
    <w:p w14:paraId="4E0B7285" w14:textId="77777777" w:rsidR="00323BB2" w:rsidRPr="007761C2" w:rsidRDefault="00323BB2" w:rsidP="00323BB2">
      <w:pPr>
        <w:keepNext/>
        <w:spacing w:after="140"/>
        <w:jc w:val="both"/>
        <w:rPr>
          <w:rFonts w:asciiTheme="minorHAnsi" w:hAnsiTheme="minorHAnsi" w:cstheme="minorHAnsi"/>
          <w:sz w:val="20"/>
        </w:rPr>
      </w:pPr>
      <w:r w:rsidRPr="00D33BC8">
        <w:rPr>
          <w:rFonts w:asciiTheme="minorHAnsi" w:hAnsiTheme="minorHAnsi" w:cstheme="minorHAnsi"/>
          <w:sz w:val="20"/>
        </w:rPr>
        <w:t xml:space="preserve">As </w:t>
      </w:r>
      <w:r w:rsidRPr="007761C2">
        <w:rPr>
          <w:rFonts w:asciiTheme="minorHAnsi" w:hAnsiTheme="minorHAnsi" w:cstheme="minorHAnsi"/>
          <w:sz w:val="20"/>
        </w:rPr>
        <w:t>at 30 June 2020, the contractual principal repayments of the Group’s outstanding borrowings, excluding accrued interest, amount to the following:</w:t>
      </w:r>
    </w:p>
    <w:p w14:paraId="2835438A" w14:textId="77777777" w:rsidR="00323BB2" w:rsidRPr="007761C2" w:rsidRDefault="00323BB2" w:rsidP="00323BB2">
      <w:pPr>
        <w:rPr>
          <w:rFonts w:asciiTheme="minorHAnsi" w:hAnsiTheme="minorHAnsi" w:cstheme="minorHAnsi"/>
          <w:sz w:val="20"/>
          <w:lang w:val="en-IE"/>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271"/>
        <w:gridCol w:w="1224"/>
        <w:gridCol w:w="1350"/>
        <w:gridCol w:w="1352"/>
        <w:gridCol w:w="1589"/>
        <w:gridCol w:w="1724"/>
      </w:tblGrid>
      <w:tr w:rsidR="00323BB2" w:rsidRPr="007761C2" w14:paraId="52763B76" w14:textId="77777777" w:rsidTr="00453AFA">
        <w:tc>
          <w:tcPr>
            <w:tcW w:w="1555" w:type="dxa"/>
          </w:tcPr>
          <w:p w14:paraId="1E6CDC34" w14:textId="77777777" w:rsidR="00323BB2" w:rsidRPr="007761C2" w:rsidRDefault="00323BB2" w:rsidP="00453AFA">
            <w:pPr>
              <w:rPr>
                <w:rFonts w:asciiTheme="minorHAnsi" w:hAnsiTheme="minorHAnsi" w:cstheme="minorHAnsi"/>
                <w:sz w:val="20"/>
                <w:lang w:val="en-IE"/>
              </w:rPr>
            </w:pPr>
          </w:p>
        </w:tc>
        <w:tc>
          <w:tcPr>
            <w:tcW w:w="1271" w:type="dxa"/>
          </w:tcPr>
          <w:p w14:paraId="51486CEA"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&lt; 1 year</w:t>
            </w:r>
          </w:p>
        </w:tc>
        <w:tc>
          <w:tcPr>
            <w:tcW w:w="1224" w:type="dxa"/>
          </w:tcPr>
          <w:p w14:paraId="6287256C"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 xml:space="preserve"> 1-2 years</w:t>
            </w:r>
          </w:p>
        </w:tc>
        <w:tc>
          <w:tcPr>
            <w:tcW w:w="1350" w:type="dxa"/>
          </w:tcPr>
          <w:p w14:paraId="75B386F5"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2-3 years</w:t>
            </w:r>
          </w:p>
        </w:tc>
        <w:tc>
          <w:tcPr>
            <w:tcW w:w="1352" w:type="dxa"/>
          </w:tcPr>
          <w:p w14:paraId="034D6656" w14:textId="77777777" w:rsidR="00323BB2" w:rsidRPr="007761C2" w:rsidRDefault="00323BB2" w:rsidP="009B6BB8">
            <w:pPr>
              <w:pStyle w:val="ListParagraph"/>
              <w:numPr>
                <w:ilvl w:val="1"/>
                <w:numId w:val="32"/>
              </w:numPr>
              <w:jc w:val="right"/>
              <w:rPr>
                <w:rFonts w:asciiTheme="minorHAnsi" w:hAnsiTheme="minorHAnsi" w:cstheme="minorHAnsi"/>
                <w:b/>
                <w:sz w:val="20"/>
                <w:lang w:val="en-IE"/>
              </w:rPr>
            </w:pPr>
            <w:r w:rsidRPr="007761C2">
              <w:rPr>
                <w:rFonts w:asciiTheme="minorHAnsi" w:hAnsiTheme="minorHAnsi" w:cstheme="minorHAnsi"/>
                <w:b/>
                <w:sz w:val="20"/>
                <w:lang w:val="en-IE"/>
              </w:rPr>
              <w:t>years</w:t>
            </w:r>
          </w:p>
        </w:tc>
        <w:tc>
          <w:tcPr>
            <w:tcW w:w="1589" w:type="dxa"/>
          </w:tcPr>
          <w:p w14:paraId="4B5B9223"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4 -5 years</w:t>
            </w:r>
          </w:p>
        </w:tc>
        <w:tc>
          <w:tcPr>
            <w:tcW w:w="1724" w:type="dxa"/>
          </w:tcPr>
          <w:p w14:paraId="13021898" w14:textId="77777777" w:rsidR="00323BB2" w:rsidRPr="007761C2" w:rsidRDefault="00323BB2" w:rsidP="00453AFA">
            <w:pPr>
              <w:pStyle w:val="ListParagraph"/>
              <w:jc w:val="right"/>
              <w:rPr>
                <w:rFonts w:asciiTheme="minorHAnsi" w:hAnsiTheme="minorHAnsi" w:cstheme="minorHAnsi"/>
                <w:b/>
                <w:sz w:val="20"/>
                <w:lang w:val="en-IE"/>
              </w:rPr>
            </w:pPr>
            <w:r w:rsidRPr="007761C2">
              <w:rPr>
                <w:rFonts w:asciiTheme="minorHAnsi" w:hAnsiTheme="minorHAnsi" w:cstheme="minorHAnsi"/>
                <w:b/>
                <w:sz w:val="20"/>
                <w:lang w:val="en-IE"/>
              </w:rPr>
              <w:t>&gt;5 years</w:t>
            </w:r>
          </w:p>
        </w:tc>
      </w:tr>
      <w:tr w:rsidR="00323BB2" w:rsidRPr="007761C2" w14:paraId="557DDCB7" w14:textId="77777777" w:rsidTr="00453AFA">
        <w:tc>
          <w:tcPr>
            <w:tcW w:w="1555" w:type="dxa"/>
            <w:tcBorders>
              <w:bottom w:val="single" w:sz="4" w:space="0" w:color="auto"/>
            </w:tcBorders>
          </w:tcPr>
          <w:p w14:paraId="1CD3F935" w14:textId="77777777" w:rsidR="00323BB2" w:rsidRPr="007761C2" w:rsidRDefault="00323BB2" w:rsidP="00453AFA">
            <w:pPr>
              <w:rPr>
                <w:rFonts w:asciiTheme="minorHAnsi" w:hAnsiTheme="minorHAnsi" w:cstheme="minorHAnsi"/>
                <w:sz w:val="20"/>
                <w:lang w:val="en-IE"/>
              </w:rPr>
            </w:pPr>
          </w:p>
        </w:tc>
        <w:tc>
          <w:tcPr>
            <w:tcW w:w="1271" w:type="dxa"/>
            <w:tcBorders>
              <w:bottom w:val="single" w:sz="4" w:space="0" w:color="auto"/>
            </w:tcBorders>
          </w:tcPr>
          <w:p w14:paraId="0B0C29D8"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£m</w:t>
            </w:r>
          </w:p>
        </w:tc>
        <w:tc>
          <w:tcPr>
            <w:tcW w:w="1224" w:type="dxa"/>
            <w:tcBorders>
              <w:bottom w:val="single" w:sz="4" w:space="0" w:color="auto"/>
            </w:tcBorders>
          </w:tcPr>
          <w:p w14:paraId="6CADF0CC"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£m</w:t>
            </w:r>
          </w:p>
        </w:tc>
        <w:tc>
          <w:tcPr>
            <w:tcW w:w="1350" w:type="dxa"/>
            <w:tcBorders>
              <w:bottom w:val="single" w:sz="4" w:space="0" w:color="auto"/>
            </w:tcBorders>
          </w:tcPr>
          <w:p w14:paraId="67FBBE30"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£m</w:t>
            </w:r>
          </w:p>
        </w:tc>
        <w:tc>
          <w:tcPr>
            <w:tcW w:w="1352" w:type="dxa"/>
            <w:tcBorders>
              <w:bottom w:val="single" w:sz="4" w:space="0" w:color="auto"/>
            </w:tcBorders>
          </w:tcPr>
          <w:p w14:paraId="3FBC2FD9"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£m</w:t>
            </w:r>
          </w:p>
        </w:tc>
        <w:tc>
          <w:tcPr>
            <w:tcW w:w="1589" w:type="dxa"/>
            <w:tcBorders>
              <w:bottom w:val="single" w:sz="4" w:space="0" w:color="auto"/>
            </w:tcBorders>
          </w:tcPr>
          <w:p w14:paraId="31846DB3"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£m</w:t>
            </w:r>
          </w:p>
        </w:tc>
        <w:tc>
          <w:tcPr>
            <w:tcW w:w="1724" w:type="dxa"/>
            <w:tcBorders>
              <w:bottom w:val="single" w:sz="4" w:space="0" w:color="auto"/>
            </w:tcBorders>
          </w:tcPr>
          <w:p w14:paraId="40714C03"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£m</w:t>
            </w:r>
          </w:p>
        </w:tc>
      </w:tr>
      <w:tr w:rsidR="00323BB2" w:rsidRPr="007761C2" w14:paraId="385AC10F" w14:textId="77777777" w:rsidTr="00453AFA">
        <w:tc>
          <w:tcPr>
            <w:tcW w:w="1555" w:type="dxa"/>
            <w:tcBorders>
              <w:top w:val="single" w:sz="4" w:space="0" w:color="auto"/>
            </w:tcBorders>
            <w:vAlign w:val="bottom"/>
          </w:tcPr>
          <w:p w14:paraId="58893936" w14:textId="77777777" w:rsidR="00323BB2" w:rsidRPr="007761C2" w:rsidRDefault="00323BB2" w:rsidP="00453AFA">
            <w:pPr>
              <w:rPr>
                <w:rFonts w:asciiTheme="minorHAnsi" w:hAnsiTheme="minorHAnsi" w:cstheme="minorHAnsi"/>
                <w:sz w:val="20"/>
                <w:lang w:val="en-IE"/>
              </w:rPr>
            </w:pPr>
            <w:r w:rsidRPr="007761C2">
              <w:rPr>
                <w:rFonts w:asciiTheme="minorHAnsi" w:hAnsiTheme="minorHAnsi" w:cstheme="minorHAnsi"/>
                <w:sz w:val="20"/>
              </w:rPr>
              <w:t>GBP First Lien Term Loan A</w:t>
            </w:r>
          </w:p>
        </w:tc>
        <w:tc>
          <w:tcPr>
            <w:tcW w:w="1271" w:type="dxa"/>
            <w:tcBorders>
              <w:top w:val="single" w:sz="4" w:space="0" w:color="auto"/>
            </w:tcBorders>
            <w:vAlign w:val="bottom"/>
          </w:tcPr>
          <w:p w14:paraId="2364B991"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224" w:type="dxa"/>
            <w:tcBorders>
              <w:top w:val="single" w:sz="4" w:space="0" w:color="auto"/>
            </w:tcBorders>
            <w:vAlign w:val="bottom"/>
          </w:tcPr>
          <w:p w14:paraId="6A2FA732"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350" w:type="dxa"/>
            <w:tcBorders>
              <w:top w:val="single" w:sz="4" w:space="0" w:color="auto"/>
            </w:tcBorders>
            <w:vAlign w:val="bottom"/>
          </w:tcPr>
          <w:p w14:paraId="412E19DB"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352" w:type="dxa"/>
            <w:tcBorders>
              <w:top w:val="single" w:sz="4" w:space="0" w:color="auto"/>
            </w:tcBorders>
            <w:vAlign w:val="bottom"/>
          </w:tcPr>
          <w:p w14:paraId="20A2C798"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589" w:type="dxa"/>
            <w:tcBorders>
              <w:top w:val="single" w:sz="4" w:space="0" w:color="auto"/>
            </w:tcBorders>
            <w:vAlign w:val="bottom"/>
          </w:tcPr>
          <w:p w14:paraId="1FCFCE50"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950.0</w:t>
            </w:r>
          </w:p>
        </w:tc>
        <w:tc>
          <w:tcPr>
            <w:tcW w:w="1724" w:type="dxa"/>
            <w:tcBorders>
              <w:top w:val="single" w:sz="4" w:space="0" w:color="auto"/>
            </w:tcBorders>
            <w:vAlign w:val="bottom"/>
          </w:tcPr>
          <w:p w14:paraId="022AA078"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r>
      <w:tr w:rsidR="00323BB2" w:rsidRPr="007761C2" w14:paraId="2BF62CFA" w14:textId="77777777" w:rsidTr="00453AFA">
        <w:tc>
          <w:tcPr>
            <w:tcW w:w="1555" w:type="dxa"/>
            <w:vAlign w:val="bottom"/>
          </w:tcPr>
          <w:p w14:paraId="0CAD2F67" w14:textId="77777777" w:rsidR="00323BB2" w:rsidRPr="007761C2" w:rsidRDefault="00323BB2" w:rsidP="00453AFA">
            <w:pPr>
              <w:rPr>
                <w:rFonts w:asciiTheme="minorHAnsi" w:hAnsiTheme="minorHAnsi" w:cstheme="minorHAnsi"/>
                <w:sz w:val="20"/>
                <w:lang w:val="en-IE"/>
              </w:rPr>
            </w:pPr>
            <w:r w:rsidRPr="007761C2">
              <w:rPr>
                <w:rFonts w:asciiTheme="minorHAnsi" w:hAnsiTheme="minorHAnsi" w:cstheme="minorHAnsi"/>
                <w:color w:val="000000"/>
                <w:sz w:val="20"/>
              </w:rPr>
              <w:t>USD First Lien Term Loan B</w:t>
            </w:r>
          </w:p>
        </w:tc>
        <w:tc>
          <w:tcPr>
            <w:tcW w:w="1271" w:type="dxa"/>
            <w:vAlign w:val="bottom"/>
          </w:tcPr>
          <w:p w14:paraId="6B002974"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29.0</w:t>
            </w:r>
          </w:p>
        </w:tc>
        <w:tc>
          <w:tcPr>
            <w:tcW w:w="1224" w:type="dxa"/>
            <w:vAlign w:val="bottom"/>
          </w:tcPr>
          <w:p w14:paraId="00433956"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29.0</w:t>
            </w:r>
          </w:p>
        </w:tc>
        <w:tc>
          <w:tcPr>
            <w:tcW w:w="1350" w:type="dxa"/>
            <w:vAlign w:val="bottom"/>
          </w:tcPr>
          <w:p w14:paraId="2DFB44D3"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29.0</w:t>
            </w:r>
          </w:p>
        </w:tc>
        <w:tc>
          <w:tcPr>
            <w:tcW w:w="1352" w:type="dxa"/>
            <w:vAlign w:val="bottom"/>
          </w:tcPr>
          <w:p w14:paraId="1B8C2F6B"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29.0</w:t>
            </w:r>
          </w:p>
        </w:tc>
        <w:tc>
          <w:tcPr>
            <w:tcW w:w="1589" w:type="dxa"/>
            <w:vAlign w:val="bottom"/>
          </w:tcPr>
          <w:p w14:paraId="6C03D8C9"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29.0</w:t>
            </w:r>
          </w:p>
        </w:tc>
        <w:tc>
          <w:tcPr>
            <w:tcW w:w="1724" w:type="dxa"/>
            <w:vAlign w:val="bottom"/>
          </w:tcPr>
          <w:p w14:paraId="6AA08AB5"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1,282.</w:t>
            </w:r>
            <w:r>
              <w:rPr>
                <w:rFonts w:asciiTheme="minorHAnsi" w:hAnsiTheme="minorHAnsi" w:cstheme="minorHAnsi"/>
                <w:sz w:val="20"/>
                <w:lang w:val="en-IE"/>
              </w:rPr>
              <w:t>8</w:t>
            </w:r>
          </w:p>
        </w:tc>
      </w:tr>
      <w:tr w:rsidR="00323BB2" w:rsidRPr="007761C2" w14:paraId="4F22A01D" w14:textId="77777777" w:rsidTr="00453AFA">
        <w:tc>
          <w:tcPr>
            <w:tcW w:w="1555" w:type="dxa"/>
            <w:vAlign w:val="bottom"/>
          </w:tcPr>
          <w:p w14:paraId="1E2849E4" w14:textId="77777777" w:rsidR="00323BB2" w:rsidRPr="007761C2" w:rsidRDefault="00323BB2" w:rsidP="00453AFA">
            <w:pPr>
              <w:rPr>
                <w:rFonts w:asciiTheme="minorHAnsi" w:hAnsiTheme="minorHAnsi" w:cstheme="minorHAnsi"/>
                <w:sz w:val="20"/>
                <w:lang w:val="en-IE"/>
              </w:rPr>
            </w:pPr>
            <w:r w:rsidRPr="007761C2">
              <w:rPr>
                <w:rFonts w:asciiTheme="minorHAnsi" w:hAnsiTheme="minorHAnsi" w:cstheme="minorHAnsi"/>
                <w:color w:val="000000"/>
                <w:sz w:val="20"/>
              </w:rPr>
              <w:t>EUR First Lien Term Loan B</w:t>
            </w:r>
          </w:p>
        </w:tc>
        <w:tc>
          <w:tcPr>
            <w:tcW w:w="1271" w:type="dxa"/>
            <w:vAlign w:val="bottom"/>
          </w:tcPr>
          <w:p w14:paraId="0AA765DB"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224" w:type="dxa"/>
            <w:vAlign w:val="bottom"/>
          </w:tcPr>
          <w:p w14:paraId="52FB349C"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350" w:type="dxa"/>
            <w:vAlign w:val="bottom"/>
          </w:tcPr>
          <w:p w14:paraId="0A1E2B67"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352" w:type="dxa"/>
            <w:vAlign w:val="bottom"/>
          </w:tcPr>
          <w:p w14:paraId="4273C305"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589" w:type="dxa"/>
            <w:vAlign w:val="bottom"/>
          </w:tcPr>
          <w:p w14:paraId="6E0D5DEC"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724" w:type="dxa"/>
            <w:vAlign w:val="bottom"/>
          </w:tcPr>
          <w:p w14:paraId="11D90F0A" w14:textId="77777777" w:rsidR="00323BB2" w:rsidRPr="007761C2" w:rsidRDefault="00323BB2" w:rsidP="00453AFA">
            <w:pPr>
              <w:jc w:val="right"/>
              <w:rPr>
                <w:rFonts w:asciiTheme="minorHAnsi" w:hAnsiTheme="minorHAnsi" w:cstheme="minorHAnsi"/>
                <w:sz w:val="20"/>
                <w:lang w:val="en-IE"/>
              </w:rPr>
            </w:pPr>
            <w:r>
              <w:rPr>
                <w:rFonts w:asciiTheme="minorHAnsi" w:hAnsiTheme="minorHAnsi" w:cstheme="minorHAnsi"/>
                <w:sz w:val="20"/>
                <w:lang w:val="en-IE"/>
              </w:rPr>
              <w:t>461</w:t>
            </w:r>
            <w:r w:rsidRPr="007761C2">
              <w:rPr>
                <w:rFonts w:asciiTheme="minorHAnsi" w:hAnsiTheme="minorHAnsi" w:cstheme="minorHAnsi"/>
                <w:sz w:val="20"/>
                <w:lang w:val="en-IE"/>
              </w:rPr>
              <w:t>.</w:t>
            </w:r>
            <w:r>
              <w:rPr>
                <w:rFonts w:asciiTheme="minorHAnsi" w:hAnsiTheme="minorHAnsi" w:cstheme="minorHAnsi"/>
                <w:sz w:val="20"/>
                <w:lang w:val="en-IE"/>
              </w:rPr>
              <w:t>5</w:t>
            </w:r>
          </w:p>
        </w:tc>
      </w:tr>
      <w:tr w:rsidR="00323BB2" w:rsidRPr="007761C2" w14:paraId="3E174F1D" w14:textId="77777777" w:rsidTr="00453AFA">
        <w:tc>
          <w:tcPr>
            <w:tcW w:w="1555" w:type="dxa"/>
            <w:tcBorders>
              <w:bottom w:val="single" w:sz="4" w:space="0" w:color="auto"/>
            </w:tcBorders>
            <w:vAlign w:val="bottom"/>
          </w:tcPr>
          <w:p w14:paraId="7E655C30" w14:textId="77777777" w:rsidR="00323BB2" w:rsidRPr="007761C2" w:rsidRDefault="00323BB2" w:rsidP="00453AFA">
            <w:pPr>
              <w:rPr>
                <w:rFonts w:asciiTheme="minorHAnsi" w:hAnsiTheme="minorHAnsi" w:cstheme="minorHAnsi"/>
                <w:color w:val="000000"/>
                <w:sz w:val="20"/>
              </w:rPr>
            </w:pPr>
            <w:r w:rsidRPr="007761C2">
              <w:rPr>
                <w:rFonts w:asciiTheme="minorHAnsi" w:hAnsiTheme="minorHAnsi" w:cstheme="minorHAnsi"/>
                <w:color w:val="000000"/>
                <w:sz w:val="20"/>
              </w:rPr>
              <w:t>Senior Notes</w:t>
            </w:r>
          </w:p>
        </w:tc>
        <w:tc>
          <w:tcPr>
            <w:tcW w:w="1271" w:type="dxa"/>
            <w:tcBorders>
              <w:bottom w:val="single" w:sz="4" w:space="0" w:color="auto"/>
            </w:tcBorders>
            <w:vAlign w:val="bottom"/>
          </w:tcPr>
          <w:p w14:paraId="118E8D9C"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224" w:type="dxa"/>
            <w:tcBorders>
              <w:bottom w:val="single" w:sz="4" w:space="0" w:color="auto"/>
            </w:tcBorders>
            <w:vAlign w:val="bottom"/>
          </w:tcPr>
          <w:p w14:paraId="24DB4A01"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350" w:type="dxa"/>
            <w:tcBorders>
              <w:bottom w:val="single" w:sz="4" w:space="0" w:color="auto"/>
            </w:tcBorders>
            <w:vAlign w:val="bottom"/>
          </w:tcPr>
          <w:p w14:paraId="0BB2C1E9"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352" w:type="dxa"/>
            <w:tcBorders>
              <w:bottom w:val="single" w:sz="4" w:space="0" w:color="auto"/>
            </w:tcBorders>
            <w:vAlign w:val="bottom"/>
          </w:tcPr>
          <w:p w14:paraId="63C5CE4D"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589" w:type="dxa"/>
            <w:tcBorders>
              <w:bottom w:val="single" w:sz="4" w:space="0" w:color="auto"/>
            </w:tcBorders>
            <w:vAlign w:val="bottom"/>
          </w:tcPr>
          <w:p w14:paraId="368844D4"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w:t>
            </w:r>
          </w:p>
        </w:tc>
        <w:tc>
          <w:tcPr>
            <w:tcW w:w="1724" w:type="dxa"/>
            <w:tcBorders>
              <w:bottom w:val="single" w:sz="4" w:space="0" w:color="auto"/>
            </w:tcBorders>
            <w:vAlign w:val="bottom"/>
          </w:tcPr>
          <w:p w14:paraId="24C53F3A" w14:textId="77777777" w:rsidR="00323BB2" w:rsidRPr="007761C2" w:rsidRDefault="00323BB2" w:rsidP="00453AFA">
            <w:pPr>
              <w:jc w:val="right"/>
              <w:rPr>
                <w:rFonts w:asciiTheme="minorHAnsi" w:hAnsiTheme="minorHAnsi" w:cstheme="minorHAnsi"/>
                <w:sz w:val="20"/>
                <w:lang w:val="en-IE"/>
              </w:rPr>
            </w:pPr>
            <w:r w:rsidRPr="007761C2">
              <w:rPr>
                <w:rFonts w:asciiTheme="minorHAnsi" w:hAnsiTheme="minorHAnsi" w:cstheme="minorHAnsi"/>
                <w:sz w:val="20"/>
                <w:lang w:val="en-IE"/>
              </w:rPr>
              <w:t>810.4</w:t>
            </w:r>
          </w:p>
        </w:tc>
      </w:tr>
      <w:tr w:rsidR="00323BB2" w:rsidRPr="007761C2" w14:paraId="0F5F8D21" w14:textId="77777777" w:rsidTr="00453AFA">
        <w:tc>
          <w:tcPr>
            <w:tcW w:w="1555" w:type="dxa"/>
            <w:tcBorders>
              <w:top w:val="single" w:sz="4" w:space="0" w:color="auto"/>
              <w:bottom w:val="single" w:sz="4" w:space="0" w:color="auto"/>
            </w:tcBorders>
            <w:vAlign w:val="bottom"/>
          </w:tcPr>
          <w:p w14:paraId="1F42EA79" w14:textId="77777777" w:rsidR="00323BB2" w:rsidRPr="007761C2" w:rsidRDefault="00323BB2" w:rsidP="00453AFA">
            <w:pPr>
              <w:rPr>
                <w:rFonts w:asciiTheme="minorHAnsi" w:hAnsiTheme="minorHAnsi" w:cstheme="minorHAnsi"/>
                <w:color w:val="000000"/>
                <w:sz w:val="20"/>
              </w:rPr>
            </w:pPr>
          </w:p>
        </w:tc>
        <w:tc>
          <w:tcPr>
            <w:tcW w:w="1271" w:type="dxa"/>
            <w:tcBorders>
              <w:top w:val="single" w:sz="4" w:space="0" w:color="auto"/>
              <w:bottom w:val="single" w:sz="4" w:space="0" w:color="auto"/>
            </w:tcBorders>
          </w:tcPr>
          <w:p w14:paraId="6529DCC0"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29.0</w:t>
            </w:r>
          </w:p>
        </w:tc>
        <w:tc>
          <w:tcPr>
            <w:tcW w:w="1224" w:type="dxa"/>
            <w:tcBorders>
              <w:top w:val="single" w:sz="4" w:space="0" w:color="auto"/>
              <w:bottom w:val="single" w:sz="4" w:space="0" w:color="auto"/>
            </w:tcBorders>
          </w:tcPr>
          <w:p w14:paraId="1206A5D1"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29.0</w:t>
            </w:r>
          </w:p>
        </w:tc>
        <w:tc>
          <w:tcPr>
            <w:tcW w:w="1350" w:type="dxa"/>
            <w:tcBorders>
              <w:top w:val="single" w:sz="4" w:space="0" w:color="auto"/>
              <w:bottom w:val="single" w:sz="4" w:space="0" w:color="auto"/>
            </w:tcBorders>
          </w:tcPr>
          <w:p w14:paraId="24140444"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29.0</w:t>
            </w:r>
          </w:p>
        </w:tc>
        <w:tc>
          <w:tcPr>
            <w:tcW w:w="1352" w:type="dxa"/>
            <w:tcBorders>
              <w:top w:val="single" w:sz="4" w:space="0" w:color="auto"/>
              <w:bottom w:val="single" w:sz="4" w:space="0" w:color="auto"/>
            </w:tcBorders>
          </w:tcPr>
          <w:p w14:paraId="2EF4672A"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29.0</w:t>
            </w:r>
          </w:p>
        </w:tc>
        <w:tc>
          <w:tcPr>
            <w:tcW w:w="1589" w:type="dxa"/>
            <w:tcBorders>
              <w:top w:val="single" w:sz="4" w:space="0" w:color="auto"/>
              <w:bottom w:val="single" w:sz="4" w:space="0" w:color="auto"/>
            </w:tcBorders>
          </w:tcPr>
          <w:p w14:paraId="71269484"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979.0</w:t>
            </w:r>
          </w:p>
        </w:tc>
        <w:tc>
          <w:tcPr>
            <w:tcW w:w="1724" w:type="dxa"/>
            <w:tcBorders>
              <w:top w:val="single" w:sz="4" w:space="0" w:color="auto"/>
              <w:bottom w:val="single" w:sz="4" w:space="0" w:color="auto"/>
            </w:tcBorders>
          </w:tcPr>
          <w:p w14:paraId="701C791F" w14:textId="77777777" w:rsidR="00323BB2" w:rsidRPr="007761C2" w:rsidRDefault="00323BB2" w:rsidP="00453AFA">
            <w:pPr>
              <w:jc w:val="right"/>
              <w:rPr>
                <w:rFonts w:asciiTheme="minorHAnsi" w:hAnsiTheme="minorHAnsi" w:cstheme="minorHAnsi"/>
                <w:b/>
                <w:sz w:val="20"/>
                <w:lang w:val="en-IE"/>
              </w:rPr>
            </w:pPr>
            <w:r w:rsidRPr="007761C2">
              <w:rPr>
                <w:rFonts w:asciiTheme="minorHAnsi" w:hAnsiTheme="minorHAnsi" w:cstheme="minorHAnsi"/>
                <w:b/>
                <w:sz w:val="20"/>
                <w:lang w:val="en-IE"/>
              </w:rPr>
              <w:t>2,</w:t>
            </w:r>
            <w:r>
              <w:rPr>
                <w:rFonts w:asciiTheme="minorHAnsi" w:hAnsiTheme="minorHAnsi" w:cstheme="minorHAnsi"/>
                <w:b/>
                <w:sz w:val="20"/>
                <w:lang w:val="en-IE"/>
              </w:rPr>
              <w:t>554</w:t>
            </w:r>
            <w:r w:rsidRPr="007761C2">
              <w:rPr>
                <w:rFonts w:asciiTheme="minorHAnsi" w:hAnsiTheme="minorHAnsi" w:cstheme="minorHAnsi"/>
                <w:b/>
                <w:sz w:val="20"/>
                <w:lang w:val="en-IE"/>
              </w:rPr>
              <w:t>.7</w:t>
            </w:r>
          </w:p>
        </w:tc>
      </w:tr>
    </w:tbl>
    <w:p w14:paraId="5FB5EFFF" w14:textId="77777777" w:rsidR="00323BB2" w:rsidRPr="007761C2" w:rsidRDefault="00323BB2" w:rsidP="00323BB2">
      <w:pPr>
        <w:rPr>
          <w:rFonts w:asciiTheme="minorHAnsi" w:hAnsiTheme="minorHAnsi" w:cstheme="minorHAnsi"/>
          <w:sz w:val="20"/>
          <w:lang w:val="en-IE"/>
        </w:rPr>
      </w:pPr>
    </w:p>
    <w:p w14:paraId="61C4EEA3" w14:textId="77777777" w:rsidR="00323BB2" w:rsidRPr="007761C2" w:rsidRDefault="00323BB2" w:rsidP="00323BB2">
      <w:pPr>
        <w:keepNext/>
        <w:keepLines/>
        <w:spacing w:line="288" w:lineRule="auto"/>
        <w:ind w:left="720" w:hanging="720"/>
        <w:jc w:val="both"/>
        <w:rPr>
          <w:rFonts w:asciiTheme="minorHAnsi" w:hAnsiTheme="minorHAnsi" w:cstheme="minorHAnsi"/>
          <w:b/>
          <w:sz w:val="20"/>
        </w:rPr>
      </w:pPr>
      <w:r w:rsidRPr="007761C2">
        <w:rPr>
          <w:rFonts w:asciiTheme="minorHAnsi" w:hAnsiTheme="minorHAnsi" w:cstheme="minorHAnsi"/>
          <w:b/>
          <w:sz w:val="20"/>
        </w:rPr>
        <w:t>Revolving credit facility, first lien term loans and senior notes</w:t>
      </w:r>
    </w:p>
    <w:p w14:paraId="5B03DDB9" w14:textId="77777777" w:rsidR="00323BB2" w:rsidRPr="007761C2" w:rsidRDefault="00323BB2" w:rsidP="00323BB2">
      <w:pPr>
        <w:keepNext/>
        <w:keepLines/>
        <w:spacing w:line="288" w:lineRule="auto"/>
        <w:jc w:val="both"/>
        <w:rPr>
          <w:rFonts w:asciiTheme="minorHAnsi" w:hAnsiTheme="minorHAnsi" w:cstheme="minorHAnsi"/>
          <w:sz w:val="20"/>
        </w:rPr>
      </w:pPr>
    </w:p>
    <w:p w14:paraId="3E5DDB5F"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On 11 March 2020, the Group, along with its subsidiaries PPB Financing Unlimited </w:t>
      </w:r>
      <w:r>
        <w:rPr>
          <w:rFonts w:asciiTheme="minorHAnsi" w:hAnsiTheme="minorHAnsi" w:cstheme="minorHAnsi"/>
          <w:sz w:val="20"/>
        </w:rPr>
        <w:t>Company</w:t>
      </w:r>
      <w:r w:rsidRPr="007761C2">
        <w:rPr>
          <w:rFonts w:asciiTheme="minorHAnsi" w:hAnsiTheme="minorHAnsi" w:cstheme="minorHAnsi"/>
          <w:sz w:val="20"/>
        </w:rPr>
        <w:t xml:space="preserve"> and PPB Treasury Unlimited </w:t>
      </w:r>
      <w:r>
        <w:rPr>
          <w:rFonts w:asciiTheme="minorHAnsi" w:hAnsiTheme="minorHAnsi" w:cstheme="minorHAnsi"/>
          <w:sz w:val="20"/>
        </w:rPr>
        <w:t>Company</w:t>
      </w:r>
      <w:r w:rsidRPr="007761C2">
        <w:rPr>
          <w:rFonts w:asciiTheme="minorHAnsi" w:hAnsiTheme="minorHAnsi" w:cstheme="minorHAnsi"/>
          <w:sz w:val="20"/>
        </w:rPr>
        <w:t xml:space="preserve"> as borrowers, entered into a Term Loan A and Revolving Credit Facility Agreement (the “TLA Agreement”), contingent on the completion of The Stars Group Combination. The TLA Agreement comprised a term loan and revolving credit facility totalling £1.3 billion. On 5 May 2020, the Group completed </w:t>
      </w:r>
      <w:r>
        <w:rPr>
          <w:rFonts w:asciiTheme="minorHAnsi" w:hAnsiTheme="minorHAnsi" w:cstheme="minorHAnsi"/>
          <w:sz w:val="20"/>
        </w:rPr>
        <w:t xml:space="preserve">the </w:t>
      </w:r>
      <w:r w:rsidRPr="007761C2">
        <w:rPr>
          <w:rFonts w:asciiTheme="minorHAnsi" w:hAnsiTheme="minorHAnsi" w:cstheme="minorHAnsi"/>
          <w:sz w:val="20"/>
        </w:rPr>
        <w:t>TSG Combination, assumed TSG’s existing indebtedness with an acquisition date fair value of approximately £3,934m and terminated its then-existing revolving credit facility under which there were no drawings. In addition, on 5 May 2020, an Incremental Facility Agreement was signed to increase borrowing capacity under the TLA agreement by £100 million to £1.4 billion, with all terms and conditions consistent with the TLA Agreement. Each of the Group’s facilities are discussed below. During the six months ended 30 June 2020, the Group complied with all covenants related to its borrowings under all facilities.</w:t>
      </w:r>
    </w:p>
    <w:p w14:paraId="31B5AB32" w14:textId="77777777" w:rsidR="00323BB2" w:rsidRPr="007761C2" w:rsidRDefault="00323BB2" w:rsidP="00323BB2">
      <w:pPr>
        <w:keepLines/>
        <w:tabs>
          <w:tab w:val="left" w:pos="1165"/>
        </w:tabs>
        <w:spacing w:line="288" w:lineRule="auto"/>
        <w:jc w:val="both"/>
        <w:rPr>
          <w:rFonts w:asciiTheme="minorHAnsi" w:hAnsiTheme="minorHAnsi" w:cstheme="minorHAnsi"/>
          <w:sz w:val="20"/>
        </w:rPr>
      </w:pPr>
    </w:p>
    <w:p w14:paraId="21757548" w14:textId="77777777" w:rsidR="00323BB2" w:rsidRPr="007761C2" w:rsidRDefault="00323BB2" w:rsidP="00323BB2">
      <w:pPr>
        <w:keepNext/>
        <w:keepLines/>
        <w:jc w:val="both"/>
        <w:rPr>
          <w:rFonts w:asciiTheme="minorHAnsi" w:hAnsiTheme="minorHAnsi" w:cstheme="minorHAnsi"/>
          <w:sz w:val="20"/>
        </w:rPr>
      </w:pPr>
    </w:p>
    <w:p w14:paraId="32211603" w14:textId="77777777" w:rsidR="00323BB2" w:rsidRPr="007761C2" w:rsidRDefault="00323BB2" w:rsidP="00323BB2">
      <w:pPr>
        <w:keepNext/>
        <w:jc w:val="both"/>
        <w:rPr>
          <w:rFonts w:asciiTheme="minorHAnsi" w:hAnsiTheme="minorHAnsi" w:cstheme="minorHAnsi"/>
          <w:b/>
          <w:i/>
          <w:sz w:val="20"/>
        </w:rPr>
      </w:pPr>
      <w:r w:rsidRPr="007761C2">
        <w:rPr>
          <w:rFonts w:asciiTheme="minorHAnsi" w:hAnsiTheme="minorHAnsi" w:cstheme="minorHAnsi"/>
          <w:b/>
          <w:i/>
          <w:sz w:val="20"/>
        </w:rPr>
        <w:t>TLA Agreement - GBP First Lien Term Loan A</w:t>
      </w:r>
    </w:p>
    <w:p w14:paraId="3A56362D" w14:textId="77777777" w:rsidR="00323BB2" w:rsidRPr="007761C2" w:rsidRDefault="00323BB2" w:rsidP="00323BB2">
      <w:pPr>
        <w:keepNext/>
        <w:keepLines/>
        <w:jc w:val="both"/>
        <w:rPr>
          <w:rFonts w:asciiTheme="minorHAnsi" w:hAnsiTheme="minorHAnsi" w:cstheme="minorHAnsi"/>
          <w:sz w:val="20"/>
        </w:rPr>
      </w:pPr>
    </w:p>
    <w:p w14:paraId="186921F5" w14:textId="77777777" w:rsidR="00323BB2" w:rsidRPr="007761C2" w:rsidRDefault="00323BB2" w:rsidP="00323BB2">
      <w:pPr>
        <w:keepNext/>
        <w:keepLines/>
        <w:rPr>
          <w:rFonts w:asciiTheme="minorHAnsi" w:hAnsiTheme="minorHAnsi" w:cstheme="minorHAnsi"/>
          <w:sz w:val="20"/>
        </w:rPr>
      </w:pPr>
      <w:r w:rsidRPr="007761C2">
        <w:rPr>
          <w:rFonts w:asciiTheme="minorHAnsi" w:hAnsiTheme="minorHAnsi" w:cstheme="minorHAnsi"/>
          <w:sz w:val="20"/>
        </w:rPr>
        <w:t xml:space="preserve">The TLA Agreement and subsequent Incremental Facility Agreement both as described above provide </w:t>
      </w:r>
      <w:r w:rsidRPr="007761C2">
        <w:rPr>
          <w:rFonts w:asciiTheme="minorHAnsi" w:hAnsiTheme="minorHAnsi" w:cstheme="minorHAnsi"/>
          <w:sz w:val="20"/>
          <w:lang w:val="en-CA"/>
        </w:rPr>
        <w:t xml:space="preserve">a term loan facility in an aggregate amount of £950m priced at GBP-LIBOR plus 1.75% </w:t>
      </w:r>
      <w:r w:rsidRPr="007761C2">
        <w:rPr>
          <w:rFonts w:asciiTheme="minorHAnsi" w:hAnsiTheme="minorHAnsi" w:cstheme="minorHAnsi"/>
          <w:sz w:val="20"/>
        </w:rPr>
        <w:t xml:space="preserve">(the “GBP First Lien Term Loan A”), with a maturity date of 5 May 2025 and a GBP-LIBOR floor of 0%. There is no amortisation on the GBP First Lien Term Loan A and the principal is due at maturity. The Group incurred </w:t>
      </w:r>
      <w:r w:rsidRPr="007761C2">
        <w:rPr>
          <w:rFonts w:asciiTheme="minorHAnsi" w:hAnsiTheme="minorHAnsi" w:cstheme="minorHAnsi"/>
          <w:sz w:val="20"/>
          <w:lang w:val="en-CA"/>
        </w:rPr>
        <w:t>£10.5m</w:t>
      </w:r>
      <w:r w:rsidRPr="007761C2">
        <w:rPr>
          <w:rFonts w:asciiTheme="minorHAnsi" w:hAnsiTheme="minorHAnsi" w:cstheme="minorHAnsi"/>
          <w:sz w:val="20"/>
        </w:rPr>
        <w:t xml:space="preserve"> of transaction costs and fees which have been capitalised against the principal of the debt and will be recorded as financial expense over the term of the debt using the effective interest rate method.</w:t>
      </w:r>
    </w:p>
    <w:p w14:paraId="14488408" w14:textId="77777777" w:rsidR="00323BB2" w:rsidRPr="007761C2" w:rsidRDefault="00323BB2" w:rsidP="00323BB2">
      <w:pPr>
        <w:keepNext/>
        <w:keepLines/>
        <w:spacing w:line="288" w:lineRule="auto"/>
        <w:rPr>
          <w:rFonts w:asciiTheme="minorHAnsi" w:hAnsiTheme="minorHAnsi" w:cstheme="minorHAnsi"/>
          <w:sz w:val="20"/>
        </w:rPr>
      </w:pPr>
    </w:p>
    <w:p w14:paraId="3CFDDA15" w14:textId="77777777" w:rsidR="00323BB2" w:rsidRPr="007761C2" w:rsidRDefault="00323BB2" w:rsidP="00323BB2">
      <w:pPr>
        <w:keepNext/>
        <w:keepLines/>
        <w:spacing w:line="288" w:lineRule="auto"/>
        <w:rPr>
          <w:rFonts w:asciiTheme="minorHAnsi" w:hAnsiTheme="minorHAnsi" w:cstheme="minorHAnsi"/>
          <w:b/>
          <w:i/>
          <w:sz w:val="20"/>
        </w:rPr>
      </w:pPr>
      <w:r w:rsidRPr="007761C2">
        <w:rPr>
          <w:rFonts w:asciiTheme="minorHAnsi" w:hAnsiTheme="minorHAnsi" w:cstheme="minorHAnsi"/>
          <w:b/>
          <w:i/>
          <w:sz w:val="20"/>
        </w:rPr>
        <w:t>TLA Agreement – Revolving Credit Facility</w:t>
      </w:r>
    </w:p>
    <w:p w14:paraId="71A433CA" w14:textId="77777777" w:rsidR="00323BB2" w:rsidRPr="007761C2" w:rsidRDefault="00323BB2" w:rsidP="00323BB2">
      <w:pPr>
        <w:keepNext/>
        <w:keepLines/>
        <w:spacing w:line="288" w:lineRule="auto"/>
        <w:rPr>
          <w:rFonts w:asciiTheme="minorHAnsi" w:hAnsiTheme="minorHAnsi" w:cstheme="minorHAnsi"/>
          <w:b/>
          <w:i/>
          <w:sz w:val="20"/>
        </w:rPr>
      </w:pPr>
    </w:p>
    <w:p w14:paraId="4363B642"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 xml:space="preserve">The TLA Agreement and subsequent Incremental Facility Agreement both as described above provide a </w:t>
      </w:r>
      <w:r w:rsidRPr="007761C2">
        <w:rPr>
          <w:rFonts w:asciiTheme="minorHAnsi" w:hAnsiTheme="minorHAnsi" w:cstheme="minorHAnsi"/>
          <w:sz w:val="20"/>
          <w:lang w:val="en-CA"/>
        </w:rPr>
        <w:t xml:space="preserve">a multi-currency revolving loan facility in an aggregate amount of £450 million </w:t>
      </w:r>
      <w:r w:rsidRPr="007761C2">
        <w:rPr>
          <w:rFonts w:asciiTheme="minorHAnsi" w:hAnsiTheme="minorHAnsi" w:cstheme="minorHAnsi"/>
          <w:sz w:val="20"/>
        </w:rPr>
        <w:t xml:space="preserve">(the “Revolving Credit Facility”). Maturing on 5 May 2025, the Revolving Credit Facility includes a margin of 1.75% for borrowings with a 0% interest rate floor as well as a utilisation fee ranging from 0.1% to 0.4% based on the proportion of drawings to the total commitment. The commitment fee on the Revolving Credit Facility is 35% of the margin and is payable in respect of available but undrawn borrowings. The Revolving Credit Facility is available for general corporate purposes including the refinancing of existing borrowings. The Group incurred </w:t>
      </w:r>
      <w:r w:rsidRPr="007761C2">
        <w:rPr>
          <w:rFonts w:asciiTheme="minorHAnsi" w:hAnsiTheme="minorHAnsi" w:cstheme="minorHAnsi"/>
          <w:sz w:val="20"/>
          <w:lang w:val="en-CA"/>
        </w:rPr>
        <w:t>£5.0m</w:t>
      </w:r>
      <w:r w:rsidRPr="007761C2">
        <w:rPr>
          <w:rFonts w:asciiTheme="minorHAnsi" w:hAnsiTheme="minorHAnsi" w:cstheme="minorHAnsi"/>
          <w:sz w:val="20"/>
        </w:rPr>
        <w:t xml:space="preserve"> of transaction costs and fees which have been capitalised and will be recorded as financial expense over the life of the facility using the straight-line method. These capitalised costs have been included within non-current receivables on the consolidated statement of financial position.</w:t>
      </w:r>
    </w:p>
    <w:p w14:paraId="6353CEC7" w14:textId="77777777" w:rsidR="00323BB2" w:rsidRPr="007761C2" w:rsidRDefault="00323BB2" w:rsidP="00323BB2">
      <w:pPr>
        <w:keepNext/>
        <w:keepLines/>
        <w:jc w:val="both"/>
        <w:rPr>
          <w:rFonts w:asciiTheme="minorHAnsi" w:hAnsiTheme="minorHAnsi" w:cstheme="minorHAnsi"/>
          <w:sz w:val="20"/>
        </w:rPr>
      </w:pPr>
    </w:p>
    <w:p w14:paraId="2130891A"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br w:type="page"/>
      </w:r>
    </w:p>
    <w:p w14:paraId="5E0877FF"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lastRenderedPageBreak/>
        <w:t>15. Borrowings (continued)</w:t>
      </w:r>
    </w:p>
    <w:p w14:paraId="05F04B68" w14:textId="77777777" w:rsidR="00323BB2" w:rsidRPr="007761C2" w:rsidRDefault="00323BB2" w:rsidP="00323BB2">
      <w:pPr>
        <w:keepNext/>
        <w:keepLines/>
        <w:spacing w:line="288" w:lineRule="auto"/>
        <w:jc w:val="both"/>
        <w:rPr>
          <w:rFonts w:asciiTheme="minorHAnsi" w:hAnsiTheme="minorHAnsi" w:cstheme="minorHAnsi"/>
          <w:sz w:val="20"/>
        </w:rPr>
      </w:pPr>
    </w:p>
    <w:p w14:paraId="6E89791E"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 xml:space="preserve">As at 30 June 2020 no loan amounts were drawn under the Revolving Credit Facility. The Group had </w:t>
      </w:r>
      <w:r w:rsidRPr="007761C2">
        <w:rPr>
          <w:rFonts w:asciiTheme="minorHAnsi" w:hAnsiTheme="minorHAnsi" w:cstheme="minorHAnsi"/>
          <w:sz w:val="20"/>
          <w:lang w:val="en-CA"/>
        </w:rPr>
        <w:t>£75</w:t>
      </w:r>
      <w:r w:rsidRPr="007761C2">
        <w:rPr>
          <w:rFonts w:asciiTheme="minorHAnsi" w:hAnsiTheme="minorHAnsi" w:cstheme="minorHAnsi"/>
          <w:sz w:val="20"/>
        </w:rPr>
        <w:t xml:space="preserve">m of letters of credit issued but undrawn against the Facility as of 30 June 2020 leaving undrawn capacity of </w:t>
      </w:r>
      <w:r w:rsidRPr="007761C2">
        <w:rPr>
          <w:rFonts w:asciiTheme="minorHAnsi" w:hAnsiTheme="minorHAnsi" w:cstheme="minorHAnsi"/>
          <w:sz w:val="20"/>
          <w:lang w:val="en-CA"/>
        </w:rPr>
        <w:t>£375</w:t>
      </w:r>
      <w:r w:rsidRPr="007761C2">
        <w:rPr>
          <w:rFonts w:asciiTheme="minorHAnsi" w:hAnsiTheme="minorHAnsi" w:cstheme="minorHAnsi"/>
          <w:sz w:val="20"/>
        </w:rPr>
        <w:t>m.</w:t>
      </w:r>
    </w:p>
    <w:p w14:paraId="2AF877C6" w14:textId="77777777" w:rsidR="00323BB2" w:rsidRPr="007761C2" w:rsidRDefault="00323BB2" w:rsidP="00323BB2">
      <w:pPr>
        <w:keepNext/>
        <w:keepLines/>
        <w:rPr>
          <w:rFonts w:asciiTheme="minorHAnsi" w:hAnsiTheme="minorHAnsi" w:cstheme="minorHAnsi"/>
          <w:sz w:val="20"/>
        </w:rPr>
      </w:pPr>
    </w:p>
    <w:p w14:paraId="1917B4C8" w14:textId="77777777" w:rsidR="00323BB2" w:rsidRDefault="00323BB2" w:rsidP="00323BB2">
      <w:pPr>
        <w:keepNext/>
        <w:keepLines/>
        <w:rPr>
          <w:rFonts w:asciiTheme="minorHAnsi" w:hAnsiTheme="minorHAnsi" w:cstheme="minorHAnsi"/>
          <w:sz w:val="20"/>
        </w:rPr>
      </w:pPr>
      <w:r w:rsidRPr="007761C2">
        <w:rPr>
          <w:rFonts w:asciiTheme="minorHAnsi" w:hAnsiTheme="minorHAnsi" w:cstheme="minorHAnsi"/>
          <w:sz w:val="20"/>
        </w:rPr>
        <w:t>The TLA Agreement limits the Group’s ability to, among other things, (</w:t>
      </w:r>
      <w:proofErr w:type="spellStart"/>
      <w:r w:rsidRPr="007761C2">
        <w:rPr>
          <w:rFonts w:asciiTheme="minorHAnsi" w:hAnsiTheme="minorHAnsi" w:cstheme="minorHAnsi"/>
          <w:sz w:val="20"/>
        </w:rPr>
        <w:t>i</w:t>
      </w:r>
      <w:proofErr w:type="spellEnd"/>
      <w:r w:rsidRPr="007761C2">
        <w:rPr>
          <w:rFonts w:asciiTheme="minorHAnsi" w:hAnsiTheme="minorHAnsi" w:cstheme="minorHAnsi"/>
          <w:sz w:val="20"/>
        </w:rPr>
        <w:t xml:space="preserve">) incur additional debt, (ii) grant additional liens on their assets and equity, (iii) distribute equity interests and/or distribute any assets to third parties, (iv) make certain loans or investments (including acquisitions), (v) consolidate, merge, sell or otherwise dispose of all or </w:t>
      </w:r>
      <w:r w:rsidRPr="001C5B0D">
        <w:rPr>
          <w:rFonts w:asciiTheme="minorHAnsi" w:hAnsiTheme="minorHAnsi" w:cstheme="minorHAnsi"/>
          <w:sz w:val="20"/>
        </w:rPr>
        <w:t>substantially all assets, (vi) pay dividends on or make distributions in respect of capital stock or make restricted payments, and (vii) modify the terms of certain debt or organisational documents, in each case subject to certain permitted exceptions.</w:t>
      </w:r>
    </w:p>
    <w:p w14:paraId="3D7F2BEE" w14:textId="77777777" w:rsidR="00323BB2" w:rsidRPr="00F0737F" w:rsidRDefault="00323BB2" w:rsidP="00323BB2">
      <w:pPr>
        <w:keepNext/>
        <w:keepLines/>
        <w:spacing w:line="288" w:lineRule="auto"/>
        <w:rPr>
          <w:rFonts w:asciiTheme="minorHAnsi" w:hAnsiTheme="minorHAnsi" w:cstheme="minorHAnsi"/>
          <w:b/>
          <w:i/>
          <w:sz w:val="20"/>
        </w:rPr>
      </w:pPr>
    </w:p>
    <w:p w14:paraId="52C52A0B" w14:textId="77777777" w:rsidR="00323BB2" w:rsidRPr="007761C2" w:rsidRDefault="00323BB2" w:rsidP="00323BB2">
      <w:pPr>
        <w:keepNext/>
        <w:keepLines/>
        <w:rPr>
          <w:rFonts w:asciiTheme="minorHAnsi" w:hAnsiTheme="minorHAnsi" w:cstheme="minorHAnsi"/>
          <w:sz w:val="20"/>
        </w:rPr>
      </w:pPr>
      <w:r w:rsidRPr="007761C2">
        <w:rPr>
          <w:rFonts w:asciiTheme="minorHAnsi" w:hAnsiTheme="minorHAnsi" w:cstheme="minorHAnsi"/>
          <w:sz w:val="20"/>
        </w:rPr>
        <w:t>Borrowings under the TLA Agreement are subject to the satisfaction of customary conditions, including the absence of a default and compliance with certain representations and warranties. The TLA Agreement requires, subject to a testing threshold, that the Company comply on a bi-annual basis with a maximum net total leverage ratio of 5.10 to 1.00.</w:t>
      </w:r>
    </w:p>
    <w:p w14:paraId="70EAC701" w14:textId="77777777" w:rsidR="00323BB2" w:rsidRPr="007761C2" w:rsidRDefault="00323BB2" w:rsidP="00323BB2">
      <w:pPr>
        <w:keepNext/>
        <w:keepLines/>
        <w:spacing w:line="288" w:lineRule="auto"/>
        <w:rPr>
          <w:rFonts w:asciiTheme="minorHAnsi" w:hAnsiTheme="minorHAnsi" w:cstheme="minorHAnsi"/>
          <w:sz w:val="20"/>
        </w:rPr>
      </w:pPr>
    </w:p>
    <w:p w14:paraId="79E1577D" w14:textId="77777777" w:rsidR="00323BB2" w:rsidRPr="007761C2" w:rsidRDefault="00323BB2" w:rsidP="00323BB2">
      <w:pPr>
        <w:keepNext/>
        <w:spacing w:line="288" w:lineRule="auto"/>
        <w:jc w:val="both"/>
        <w:rPr>
          <w:rFonts w:asciiTheme="minorHAnsi" w:hAnsiTheme="minorHAnsi" w:cstheme="minorHAnsi"/>
          <w:b/>
          <w:i/>
          <w:sz w:val="20"/>
        </w:rPr>
      </w:pPr>
      <w:r w:rsidRPr="007761C2">
        <w:rPr>
          <w:rFonts w:asciiTheme="minorHAnsi" w:hAnsiTheme="minorHAnsi" w:cstheme="minorHAnsi"/>
          <w:b/>
          <w:i/>
          <w:sz w:val="20"/>
        </w:rPr>
        <w:t>First Lien Term Loans B</w:t>
      </w:r>
    </w:p>
    <w:p w14:paraId="54E6466D" w14:textId="77777777" w:rsidR="00323BB2" w:rsidRPr="007761C2" w:rsidRDefault="00323BB2" w:rsidP="00323BB2">
      <w:pPr>
        <w:spacing w:line="288" w:lineRule="auto"/>
        <w:jc w:val="both"/>
        <w:rPr>
          <w:rFonts w:asciiTheme="minorHAnsi" w:hAnsiTheme="minorHAnsi" w:cstheme="minorHAnsi"/>
          <w:sz w:val="20"/>
        </w:rPr>
      </w:pPr>
    </w:p>
    <w:p w14:paraId="2128B2B8"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On 5 May 2020 the Group completed TSG Combination and assumed its existing indebtedness which included a USD term loan with an outstanding principal balance of USD $2.96 billion priced at LIBOR plus 3.50% (the “USD First Lien Term Loan B”) and a EUR first lien term loan with an outstanding principal balance of €850 million priced at EURIBOR plus 3.75% (the “EUR First Lien Term Loan B” and, together with the USD First Lien Term Loan, the “First Lien Term Loans B”), each with a maturity date of 10 July 2025 and a LIBOR and EURIBOR floor, as applicable, of 0%. The USD First Lien Term Loan requires scheduled quarterly principal payments in amounts equal to 0.25% of the initial aggregate principal amount of the USD First Lien Term Loan B of USD $3,575 million, with the balance due at maturity. There is no amortisation on the EUR First Lien Term Loan B and the principal is due at maturity. </w:t>
      </w:r>
    </w:p>
    <w:p w14:paraId="315CFEA2" w14:textId="77777777" w:rsidR="00323BB2" w:rsidRPr="007761C2" w:rsidRDefault="00323BB2" w:rsidP="00323BB2">
      <w:pPr>
        <w:rPr>
          <w:rFonts w:asciiTheme="minorHAnsi" w:hAnsiTheme="minorHAnsi" w:cstheme="minorHAnsi"/>
          <w:sz w:val="20"/>
        </w:rPr>
      </w:pPr>
    </w:p>
    <w:p w14:paraId="57A152C2"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On 15 June 2020, pursuant to the terms of an amendment agreement in respect of the syndicated facility agreement that governs the First Lien Term Loans B (the “Syndicated Facility Agreement”, certain amendments were incorporated to the Syndicated Facility Agreement so that (a) the covenants and restrictions therein bind the combined Flutter and </w:t>
      </w:r>
      <w:r>
        <w:rPr>
          <w:rFonts w:asciiTheme="minorHAnsi" w:hAnsiTheme="minorHAnsi" w:cstheme="minorHAnsi"/>
          <w:sz w:val="20"/>
        </w:rPr>
        <w:t>TSG</w:t>
      </w:r>
      <w:r w:rsidRPr="007761C2">
        <w:rPr>
          <w:rFonts w:asciiTheme="minorHAnsi" w:hAnsiTheme="minorHAnsi" w:cstheme="minorHAnsi"/>
          <w:sz w:val="20"/>
        </w:rPr>
        <w:t xml:space="preserve"> allowing it to operate and integrate as such; and (b) the reporting obligations under the Syndicated Facility Agreement are synchronised with reporting of the consolidated financial results of the Group to other of the Group’s stakeholders. The Group has also entered into a guarantee agreement in respect of the obligations under the Syndicated Facility Agreement. As part of this amendment, the Group made prepayments of USD $1.2 billion on its USD First Lien Term Loan B and €343 million on its EUR First Lien Term Loan A, each including accrued</w:t>
      </w:r>
      <w:r>
        <w:rPr>
          <w:rFonts w:asciiTheme="minorHAnsi" w:hAnsiTheme="minorHAnsi" w:cstheme="minorHAnsi"/>
          <w:sz w:val="20"/>
        </w:rPr>
        <w:t xml:space="preserve"> interest</w:t>
      </w:r>
      <w:r w:rsidRPr="007761C2">
        <w:rPr>
          <w:rFonts w:asciiTheme="minorHAnsi" w:hAnsiTheme="minorHAnsi" w:cstheme="minorHAnsi"/>
          <w:sz w:val="20"/>
        </w:rPr>
        <w:t xml:space="preserve"> to the date of repayment, using proceeds from the GBP First Lien Term Loan A, the Equity Placing and available cash on hand. The Group made a cash payment of £2.8 million to the lenders as a result of this amendment. The amendment was treated as a non-substantial modification under IFRS 9, </w:t>
      </w:r>
      <w:r w:rsidRPr="007761C2">
        <w:rPr>
          <w:rFonts w:asciiTheme="minorHAnsi" w:hAnsiTheme="minorHAnsi" w:cstheme="minorHAnsi"/>
          <w:i/>
          <w:iCs/>
          <w:sz w:val="20"/>
        </w:rPr>
        <w:t>Financial instruments</w:t>
      </w:r>
      <w:r w:rsidRPr="007761C2">
        <w:rPr>
          <w:rFonts w:asciiTheme="minorHAnsi" w:hAnsiTheme="minorHAnsi" w:cstheme="minorHAnsi"/>
          <w:sz w:val="20"/>
        </w:rPr>
        <w:t xml:space="preserve"> and as a result £6.7m of transaction costs and fees were capitalised and will be recorded as financial expense over the term of the debt using the effective interest rate method. In addition, interest accretion </w:t>
      </w:r>
      <w:r w:rsidRPr="00F51C3E">
        <w:rPr>
          <w:rFonts w:asciiTheme="minorHAnsi" w:hAnsiTheme="minorHAnsi" w:cstheme="minorHAnsi"/>
          <w:sz w:val="20"/>
        </w:rPr>
        <w:t>of £30.9m was</w:t>
      </w:r>
      <w:r w:rsidRPr="007761C2">
        <w:rPr>
          <w:rFonts w:asciiTheme="minorHAnsi" w:hAnsiTheme="minorHAnsi" w:cstheme="minorHAnsi"/>
          <w:sz w:val="20"/>
        </w:rPr>
        <w:t xml:space="preserve"> recorded in respect of the prepayments noted above.</w:t>
      </w:r>
    </w:p>
    <w:p w14:paraId="62F0C85F" w14:textId="77777777" w:rsidR="00323BB2" w:rsidRPr="007761C2" w:rsidRDefault="00323BB2" w:rsidP="00323BB2">
      <w:pPr>
        <w:rPr>
          <w:rFonts w:asciiTheme="minorHAnsi" w:hAnsiTheme="minorHAnsi" w:cstheme="minorHAnsi"/>
          <w:sz w:val="20"/>
        </w:rPr>
      </w:pPr>
    </w:p>
    <w:p w14:paraId="4A43D3EE"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EURIBOR is currently negative and the interest rate floor on the EUR First Lien Term Loan B represents an embedded derivative that is required to be bifurcated from its carrying value upon its recognition on 5 May 2020. The fair value of the interest rate floor liability as at 5 May 2020 and 30 June 2020 was </w:t>
      </w:r>
      <w:r w:rsidRPr="007761C2">
        <w:rPr>
          <w:rFonts w:asciiTheme="minorHAnsi" w:hAnsiTheme="minorHAnsi" w:cstheme="minorHAnsi"/>
          <w:sz w:val="20"/>
          <w:lang w:val="en-CA"/>
        </w:rPr>
        <w:t>£18.6m</w:t>
      </w:r>
      <w:r w:rsidRPr="007761C2">
        <w:rPr>
          <w:rFonts w:asciiTheme="minorHAnsi" w:hAnsiTheme="minorHAnsi" w:cstheme="minorHAnsi"/>
          <w:sz w:val="20"/>
        </w:rPr>
        <w:t xml:space="preserve"> and </w:t>
      </w:r>
      <w:r w:rsidRPr="007761C2">
        <w:rPr>
          <w:rFonts w:asciiTheme="minorHAnsi" w:hAnsiTheme="minorHAnsi" w:cstheme="minorHAnsi"/>
          <w:sz w:val="20"/>
          <w:lang w:val="en-CA"/>
        </w:rPr>
        <w:t>£11.6m</w:t>
      </w:r>
      <w:r w:rsidRPr="007761C2">
        <w:rPr>
          <w:rFonts w:asciiTheme="minorHAnsi" w:hAnsiTheme="minorHAnsi" w:cstheme="minorHAnsi"/>
          <w:sz w:val="20"/>
        </w:rPr>
        <w:t>, respectively. See Notes 14 and 16</w:t>
      </w:r>
      <w:r w:rsidRPr="007761C2">
        <w:rPr>
          <w:rFonts w:asciiTheme="minorHAnsi" w:hAnsiTheme="minorHAnsi" w:cstheme="minorHAnsi"/>
          <w:b/>
          <w:sz w:val="20"/>
        </w:rPr>
        <w:t>.</w:t>
      </w:r>
    </w:p>
    <w:p w14:paraId="27262F20" w14:textId="77777777" w:rsidR="00323BB2" w:rsidRPr="007761C2" w:rsidRDefault="00323BB2" w:rsidP="00323BB2">
      <w:pPr>
        <w:rPr>
          <w:rFonts w:asciiTheme="minorHAnsi" w:hAnsiTheme="minorHAnsi" w:cstheme="minorHAnsi"/>
          <w:sz w:val="20"/>
        </w:rPr>
      </w:pPr>
    </w:p>
    <w:p w14:paraId="7EEA940C"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The Syndicated Facility Agreement limits Stars Group Holdings B.V., as borrower, and its subsidiaries’ ability to, among other things, (</w:t>
      </w:r>
      <w:proofErr w:type="spellStart"/>
      <w:r w:rsidRPr="007761C2">
        <w:rPr>
          <w:rFonts w:asciiTheme="minorHAnsi" w:hAnsiTheme="minorHAnsi" w:cstheme="minorHAnsi"/>
          <w:sz w:val="20"/>
        </w:rPr>
        <w:t>i</w:t>
      </w:r>
      <w:proofErr w:type="spellEnd"/>
      <w:r w:rsidRPr="007761C2">
        <w:rPr>
          <w:rFonts w:asciiTheme="minorHAnsi" w:hAnsiTheme="minorHAnsi" w:cstheme="minorHAnsi"/>
          <w:sz w:val="20"/>
        </w:rPr>
        <w:t xml:space="preserve">) incur additional debt, (ii) grant additional liens on their assets and equity, (iii) distribute equity interests and/or distribute any assets to third parties, (iv) make certain loans or investments (including acquisitions), </w:t>
      </w:r>
    </w:p>
    <w:p w14:paraId="083E7DC2" w14:textId="77777777" w:rsidR="00323BB2" w:rsidRPr="007761C2" w:rsidRDefault="00323BB2" w:rsidP="00323BB2">
      <w:pPr>
        <w:rPr>
          <w:rFonts w:asciiTheme="minorHAnsi" w:hAnsiTheme="minorHAnsi" w:cstheme="minorHAnsi"/>
          <w:sz w:val="20"/>
        </w:rPr>
      </w:pPr>
    </w:p>
    <w:p w14:paraId="606B3672" w14:textId="77777777" w:rsidR="00323BB2" w:rsidRPr="007761C2" w:rsidRDefault="00323BB2" w:rsidP="00323BB2">
      <w:pPr>
        <w:jc w:val="both"/>
        <w:rPr>
          <w:rFonts w:asciiTheme="minorHAnsi" w:hAnsiTheme="minorHAnsi" w:cstheme="minorHAnsi"/>
          <w:sz w:val="20"/>
        </w:rPr>
      </w:pPr>
    </w:p>
    <w:p w14:paraId="0C148B62" w14:textId="77777777" w:rsidR="00323BB2" w:rsidRPr="007761C2" w:rsidRDefault="00323BB2" w:rsidP="00323BB2">
      <w:pPr>
        <w:rPr>
          <w:rFonts w:asciiTheme="minorHAnsi" w:hAnsiTheme="minorHAnsi"/>
          <w:b/>
          <w:sz w:val="20"/>
          <w:lang w:val="en-IE"/>
        </w:rPr>
      </w:pPr>
    </w:p>
    <w:p w14:paraId="0B33EB86" w14:textId="77777777" w:rsidR="00323BB2" w:rsidRPr="007761C2" w:rsidRDefault="00323BB2" w:rsidP="00323BB2">
      <w:pPr>
        <w:rPr>
          <w:rFonts w:asciiTheme="minorHAnsi" w:hAnsiTheme="minorHAnsi"/>
          <w:b/>
          <w:sz w:val="20"/>
          <w:lang w:val="en-IE"/>
        </w:rPr>
      </w:pPr>
    </w:p>
    <w:p w14:paraId="61DF1AA4" w14:textId="77777777" w:rsidR="00323BB2" w:rsidRPr="007761C2" w:rsidRDefault="00323BB2" w:rsidP="00323BB2">
      <w:pPr>
        <w:rPr>
          <w:rFonts w:asciiTheme="minorHAnsi" w:hAnsiTheme="minorHAnsi"/>
          <w:b/>
          <w:sz w:val="20"/>
          <w:lang w:val="en-IE"/>
        </w:rPr>
      </w:pPr>
    </w:p>
    <w:p w14:paraId="470DF0CD" w14:textId="77777777" w:rsidR="00323BB2" w:rsidRPr="007761C2" w:rsidRDefault="00323BB2" w:rsidP="00323BB2">
      <w:pPr>
        <w:rPr>
          <w:rFonts w:asciiTheme="minorHAnsi" w:hAnsiTheme="minorHAnsi"/>
          <w:b/>
          <w:sz w:val="20"/>
          <w:lang w:val="en-IE"/>
        </w:rPr>
      </w:pPr>
    </w:p>
    <w:p w14:paraId="7CDBBF89" w14:textId="77777777" w:rsidR="00323BB2" w:rsidRPr="007761C2" w:rsidRDefault="00323BB2" w:rsidP="00323BB2">
      <w:pPr>
        <w:rPr>
          <w:rFonts w:asciiTheme="minorHAnsi" w:hAnsiTheme="minorHAnsi"/>
          <w:b/>
          <w:sz w:val="20"/>
          <w:lang w:val="en-IE"/>
        </w:rPr>
      </w:pPr>
    </w:p>
    <w:p w14:paraId="154FED86" w14:textId="77777777" w:rsidR="00323BB2" w:rsidRPr="007761C2" w:rsidRDefault="00323BB2" w:rsidP="00323BB2">
      <w:pPr>
        <w:rPr>
          <w:rFonts w:asciiTheme="minorHAnsi" w:hAnsiTheme="minorHAnsi"/>
          <w:b/>
          <w:sz w:val="20"/>
          <w:lang w:val="en-IE"/>
        </w:rPr>
      </w:pPr>
    </w:p>
    <w:p w14:paraId="3657DFCF" w14:textId="77777777" w:rsidR="00323BB2" w:rsidRPr="007761C2" w:rsidRDefault="00323BB2" w:rsidP="00323BB2">
      <w:pPr>
        <w:rPr>
          <w:rFonts w:asciiTheme="minorHAnsi" w:hAnsiTheme="minorHAnsi"/>
          <w:b/>
          <w:sz w:val="20"/>
          <w:lang w:val="en-IE"/>
        </w:rPr>
      </w:pPr>
    </w:p>
    <w:p w14:paraId="6431CF87"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lastRenderedPageBreak/>
        <w:t>15. Borrowings (continued)</w:t>
      </w:r>
    </w:p>
    <w:p w14:paraId="65F36B3F" w14:textId="77777777" w:rsidR="00323BB2" w:rsidRPr="007761C2" w:rsidRDefault="00323BB2" w:rsidP="00323BB2">
      <w:pPr>
        <w:jc w:val="both"/>
        <w:rPr>
          <w:rFonts w:asciiTheme="minorHAnsi" w:hAnsiTheme="minorHAnsi" w:cstheme="minorHAnsi"/>
          <w:sz w:val="20"/>
        </w:rPr>
      </w:pPr>
    </w:p>
    <w:p w14:paraId="46663DBB"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(v) consolidate, merge, sell or otherwise dispose of all or substantially all assets, (vi) pay dividends on or make distributions in respect of capital stock or make restricted payments, (vii) enter into certain transactions with affiliates, (viii) change lines of business, and (ix) modify the terms of certain debt or organisational documents, in each case subject to certain permitted exceptions. The agreement also provides for customary mandatory prepayments, including a customary excess cash flow sweep if certain conditions are met.</w:t>
      </w:r>
    </w:p>
    <w:p w14:paraId="5B5B13B6" w14:textId="77777777" w:rsidR="00323BB2" w:rsidRPr="007761C2" w:rsidRDefault="00323BB2" w:rsidP="00323BB2">
      <w:pPr>
        <w:keepNext/>
        <w:keepLines/>
        <w:spacing w:line="288" w:lineRule="auto"/>
        <w:rPr>
          <w:rFonts w:asciiTheme="minorHAnsi" w:hAnsiTheme="minorHAnsi" w:cstheme="minorHAnsi"/>
          <w:b/>
          <w:i/>
          <w:sz w:val="20"/>
        </w:rPr>
      </w:pPr>
    </w:p>
    <w:p w14:paraId="501012B8" w14:textId="77777777" w:rsidR="00323BB2" w:rsidRPr="007761C2" w:rsidRDefault="00323BB2" w:rsidP="00323BB2">
      <w:pPr>
        <w:keepNext/>
        <w:keepLines/>
        <w:spacing w:line="288" w:lineRule="auto"/>
        <w:rPr>
          <w:rFonts w:asciiTheme="minorHAnsi" w:hAnsiTheme="minorHAnsi" w:cstheme="minorHAnsi"/>
          <w:b/>
          <w:i/>
          <w:sz w:val="20"/>
        </w:rPr>
      </w:pPr>
      <w:r w:rsidRPr="007761C2">
        <w:rPr>
          <w:rFonts w:asciiTheme="minorHAnsi" w:hAnsiTheme="minorHAnsi" w:cstheme="minorHAnsi"/>
          <w:b/>
          <w:i/>
          <w:sz w:val="20"/>
        </w:rPr>
        <w:t>Senior Notes</w:t>
      </w:r>
    </w:p>
    <w:p w14:paraId="13AB0260" w14:textId="77777777" w:rsidR="00323BB2" w:rsidRPr="007761C2" w:rsidRDefault="00323BB2" w:rsidP="00323BB2">
      <w:pPr>
        <w:keepNext/>
        <w:keepLines/>
        <w:spacing w:line="288" w:lineRule="auto"/>
        <w:rPr>
          <w:rFonts w:asciiTheme="minorHAnsi" w:hAnsiTheme="minorHAnsi" w:cstheme="minorHAnsi"/>
          <w:sz w:val="20"/>
        </w:rPr>
      </w:pPr>
    </w:p>
    <w:p w14:paraId="2286D513"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Also assumed in connection with TSG Combination, are the 7.00% Senior Notes due 2026 (the “Senior Notes”) which were issued by Stars Group Holdings B.V. and Stars Group (US) Co-Borrower, LLC (the “Issuers”), on 10 July 2018 at par in an aggregate principal amount of USD $1 billion. The Senior Notes mature on 15 July 2026. Interest on the Senior Notes is payable semi-annually on 15 January and 15 July of each year. In connection with but prior to TSG Combination, on 1 May 2020, the Issuers obtained the consent of the requisite number of holders of the Senior Notes to amend certain provisions of the indenture governing the Senior Notes (the “Senior Notes Amendment”) such that once effective (a) the covenants and restrictions therein bind the entire combined group consisting of The Stars Group and Flutter allowing it to operate as such; and (b) the Stars Group Holdings B.V.’s reporting obligations under the indenture are synchronised with reporting of the Combined Group's consolidated financial results to other Combined Group stakeholders. The Group made a payment of £1.8m to the holders of the Senior Notes that consented to the Senior Notes Amendment and incurred other transaction costs and fees of £3.</w:t>
      </w:r>
      <w:r>
        <w:rPr>
          <w:rFonts w:asciiTheme="minorHAnsi" w:hAnsiTheme="minorHAnsi" w:cstheme="minorHAnsi"/>
          <w:sz w:val="20"/>
        </w:rPr>
        <w:t>2</w:t>
      </w:r>
      <w:r w:rsidRPr="007761C2">
        <w:rPr>
          <w:rFonts w:asciiTheme="minorHAnsi" w:hAnsiTheme="minorHAnsi" w:cstheme="minorHAnsi"/>
          <w:sz w:val="20"/>
        </w:rPr>
        <w:t>m. These amounts were recorded as a financial expense in the consolidated income statement.</w:t>
      </w:r>
    </w:p>
    <w:p w14:paraId="29A8F639" w14:textId="77777777" w:rsidR="00323BB2" w:rsidRPr="007761C2" w:rsidRDefault="00323BB2" w:rsidP="00323BB2">
      <w:pPr>
        <w:keepNext/>
        <w:keepLines/>
        <w:rPr>
          <w:rFonts w:asciiTheme="minorHAnsi" w:hAnsiTheme="minorHAnsi" w:cstheme="minorHAnsi"/>
          <w:sz w:val="20"/>
        </w:rPr>
      </w:pPr>
    </w:p>
    <w:p w14:paraId="51FAA4A6"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Prior to 15 July 2021, the Issuers may redeem some or all of the Senior Notes at a redemption price equal to 100% of the principal amount of the Senior Notes, plus accrued and unpaid interest, if any, to (but not including) the applicable redemption date, plus an applicable ‘‘make-whole’’ premium. On or after 15 July 2021, the Issuers may redeem some or all of the Senior Notes at declining redemption prices as set forth in the Indenture that governs the Senior Notes. This redemption option represents an embedded derivative that required bifurcation from the carrying value of the Senior Notes upon their recognition on 5 May 2020. </w:t>
      </w:r>
      <w:bookmarkStart w:id="22" w:name="_Hlk47444198"/>
      <w:r w:rsidRPr="007761C2">
        <w:rPr>
          <w:rFonts w:asciiTheme="minorHAnsi" w:hAnsiTheme="minorHAnsi" w:cstheme="minorHAnsi"/>
          <w:sz w:val="20"/>
        </w:rPr>
        <w:t xml:space="preserve">The fair value of the redemption option as at 5 May 2020 and 30 June 2020 was </w:t>
      </w:r>
      <w:r w:rsidRPr="007761C2">
        <w:rPr>
          <w:rFonts w:asciiTheme="minorHAnsi" w:hAnsiTheme="minorHAnsi" w:cstheme="minorHAnsi"/>
          <w:sz w:val="20"/>
          <w:lang w:val="en-CA"/>
        </w:rPr>
        <w:t>£25.8m</w:t>
      </w:r>
      <w:r w:rsidRPr="007761C2">
        <w:rPr>
          <w:rFonts w:asciiTheme="minorHAnsi" w:hAnsiTheme="minorHAnsi" w:cstheme="minorHAnsi"/>
          <w:sz w:val="20"/>
        </w:rPr>
        <w:t xml:space="preserve"> and </w:t>
      </w:r>
      <w:r w:rsidRPr="007761C2">
        <w:rPr>
          <w:rFonts w:asciiTheme="minorHAnsi" w:hAnsiTheme="minorHAnsi" w:cstheme="minorHAnsi"/>
          <w:sz w:val="20"/>
          <w:lang w:val="en-CA"/>
        </w:rPr>
        <w:t>£55.7m</w:t>
      </w:r>
      <w:r w:rsidRPr="007761C2">
        <w:rPr>
          <w:rFonts w:asciiTheme="minorHAnsi" w:hAnsiTheme="minorHAnsi" w:cstheme="minorHAnsi"/>
          <w:sz w:val="20"/>
        </w:rPr>
        <w:t>, respectively. See Notes 14 and 16</w:t>
      </w:r>
      <w:r w:rsidRPr="007761C2">
        <w:rPr>
          <w:rFonts w:asciiTheme="minorHAnsi" w:hAnsiTheme="minorHAnsi" w:cstheme="minorHAnsi"/>
          <w:b/>
          <w:sz w:val="20"/>
        </w:rPr>
        <w:t>.</w:t>
      </w:r>
    </w:p>
    <w:bookmarkEnd w:id="22"/>
    <w:p w14:paraId="178B5A23" w14:textId="77777777" w:rsidR="00323BB2" w:rsidRPr="007761C2" w:rsidRDefault="00323BB2" w:rsidP="00323BB2">
      <w:pPr>
        <w:rPr>
          <w:rFonts w:asciiTheme="minorHAnsi" w:hAnsiTheme="minorHAnsi" w:cstheme="minorHAnsi"/>
          <w:sz w:val="20"/>
        </w:rPr>
      </w:pPr>
    </w:p>
    <w:p w14:paraId="580D9E6C"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The Senior Notes are guaranteed by each of the Group’s subsidiaries that guarantee the GBP First Lien Term Loan A, the Revolving Credit Facility and the First Lien Term Loans B. The Senior Notes are the Issuers’ senior unsecured obligations and rank </w:t>
      </w:r>
      <w:proofErr w:type="spellStart"/>
      <w:r w:rsidRPr="007761C2">
        <w:rPr>
          <w:rFonts w:asciiTheme="minorHAnsi" w:hAnsiTheme="minorHAnsi" w:cstheme="minorHAnsi"/>
          <w:sz w:val="20"/>
        </w:rPr>
        <w:t>pari-passu</w:t>
      </w:r>
      <w:proofErr w:type="spellEnd"/>
      <w:r w:rsidRPr="007761C2">
        <w:rPr>
          <w:rFonts w:asciiTheme="minorHAnsi" w:hAnsiTheme="minorHAnsi" w:cstheme="minorHAnsi"/>
          <w:sz w:val="20"/>
        </w:rPr>
        <w:t xml:space="preserve"> to all of the Issuers’ existing and future senior unsecured indebtedness. The Senior Notes include, among other terms and conditions, limitations on the Group’s ability to create, incur or allow certain liens; create, assume, incur or guarantee additional indebtedness of certain of the Group’s subsidiaries; and consolidate or merge with, or convey, transfer or lease all or substantially all of the Group’s and their subsidiaries’ assets, to another person.</w:t>
      </w:r>
    </w:p>
    <w:p w14:paraId="1D83676F" w14:textId="77777777" w:rsidR="00323BB2" w:rsidRPr="007761C2" w:rsidRDefault="00323BB2" w:rsidP="00323BB2">
      <w:pPr>
        <w:spacing w:line="288" w:lineRule="auto"/>
        <w:rPr>
          <w:rFonts w:asciiTheme="minorHAnsi" w:hAnsiTheme="minorHAnsi" w:cstheme="minorHAnsi"/>
          <w:sz w:val="12"/>
          <w:szCs w:val="12"/>
        </w:rPr>
      </w:pPr>
    </w:p>
    <w:p w14:paraId="5523CAC4" w14:textId="77777777" w:rsidR="00323BB2" w:rsidRPr="007761C2" w:rsidRDefault="00323BB2" w:rsidP="00323BB2">
      <w:pPr>
        <w:keepNext/>
        <w:keepLines/>
        <w:spacing w:line="288" w:lineRule="auto"/>
        <w:ind w:left="720" w:hanging="720"/>
        <w:rPr>
          <w:rFonts w:asciiTheme="minorHAnsi" w:hAnsiTheme="minorHAnsi" w:cstheme="minorHAnsi"/>
          <w:b/>
          <w:sz w:val="20"/>
        </w:rPr>
      </w:pPr>
      <w:r w:rsidRPr="007761C2">
        <w:rPr>
          <w:rFonts w:asciiTheme="minorHAnsi" w:hAnsiTheme="minorHAnsi" w:cstheme="minorHAnsi"/>
          <w:b/>
          <w:sz w:val="20"/>
        </w:rPr>
        <w:t>(c)</w:t>
      </w:r>
      <w:r w:rsidRPr="007761C2">
        <w:rPr>
          <w:rFonts w:asciiTheme="minorHAnsi" w:hAnsiTheme="minorHAnsi" w:cstheme="minorHAnsi"/>
          <w:sz w:val="20"/>
        </w:rPr>
        <w:tab/>
      </w:r>
      <w:r w:rsidRPr="007761C2">
        <w:rPr>
          <w:rFonts w:asciiTheme="minorHAnsi" w:hAnsiTheme="minorHAnsi" w:cstheme="minorHAnsi"/>
          <w:b/>
          <w:sz w:val="20"/>
        </w:rPr>
        <w:t>Previous GBP term loan and previous GBP revolving credit facility</w:t>
      </w:r>
    </w:p>
    <w:p w14:paraId="592698F1" w14:textId="77777777" w:rsidR="00323BB2" w:rsidRPr="007761C2" w:rsidRDefault="00323BB2" w:rsidP="00323BB2">
      <w:pPr>
        <w:spacing w:line="288" w:lineRule="auto"/>
        <w:rPr>
          <w:rFonts w:asciiTheme="minorHAnsi" w:hAnsiTheme="minorHAnsi" w:cstheme="minorHAnsi"/>
          <w:sz w:val="12"/>
          <w:szCs w:val="12"/>
        </w:rPr>
      </w:pPr>
    </w:p>
    <w:p w14:paraId="38C64A4A" w14:textId="77777777" w:rsidR="00323BB2" w:rsidRPr="00F0737F" w:rsidRDefault="00323BB2" w:rsidP="00323BB2">
      <w:pPr>
        <w:rPr>
          <w:rFonts w:asciiTheme="minorHAnsi" w:hAnsiTheme="minorHAnsi" w:cstheme="minorHAnsi"/>
          <w:sz w:val="20"/>
        </w:rPr>
      </w:pPr>
      <w:r w:rsidRPr="007761C2">
        <w:rPr>
          <w:rFonts w:asciiTheme="minorHAnsi" w:hAnsiTheme="minorHAnsi" w:cstheme="minorHAnsi"/>
          <w:sz w:val="20"/>
        </w:rPr>
        <w:t>In 2015, the Group secured a committed revolving credit bank loan facility (the “Previous GBP RCF”) of €300 million provided by a syndicate of banks which was scheduled to expire in May 2020. In 2018, the Previous GBP RCF was amended to an amount of £450 million and was extended to expire in April 2023. In May 2019, the Group also secured a term loan facility of £250 million provided by a syndicate of banks (the “Previous GBP Term Loan”). The term loan facility was for an initial period of 18 months with an option to extend further by up to 12 months. At 31 December 2019, £79 million and €45 million of the Previous GBP RCF was drawn down and £250 million of the Previous GBP Term Loan was drawn down totalling to £367.3 million. On 5 May 2020, the Group repaid and extinguished the Previous GBP RCF and the Previous GBP Term Loan using the proceeds</w:t>
      </w:r>
      <w:r w:rsidRPr="00726246">
        <w:rPr>
          <w:rFonts w:asciiTheme="minorHAnsi" w:hAnsiTheme="minorHAnsi" w:cstheme="minorHAnsi"/>
          <w:sz w:val="20"/>
        </w:rPr>
        <w:t xml:space="preserve"> of the GBP First Lien Term Loan.</w:t>
      </w:r>
      <w:r w:rsidRPr="00F0737F">
        <w:rPr>
          <w:rFonts w:asciiTheme="minorHAnsi" w:hAnsiTheme="minorHAnsi" w:cstheme="minorHAnsi"/>
          <w:sz w:val="20"/>
        </w:rPr>
        <w:t xml:space="preserve"> As a result of the extinguishment, unamorti</w:t>
      </w:r>
      <w:r>
        <w:rPr>
          <w:rFonts w:asciiTheme="minorHAnsi" w:hAnsiTheme="minorHAnsi" w:cstheme="minorHAnsi"/>
          <w:sz w:val="20"/>
        </w:rPr>
        <w:t>s</w:t>
      </w:r>
      <w:r w:rsidRPr="00F0737F">
        <w:rPr>
          <w:rFonts w:asciiTheme="minorHAnsi" w:hAnsiTheme="minorHAnsi" w:cstheme="minorHAnsi"/>
          <w:sz w:val="20"/>
        </w:rPr>
        <w:t xml:space="preserve">ed transaction costs </w:t>
      </w:r>
      <w:r w:rsidRPr="00F51C3E">
        <w:rPr>
          <w:rFonts w:asciiTheme="minorHAnsi" w:hAnsiTheme="minorHAnsi" w:cstheme="minorHAnsi"/>
          <w:sz w:val="20"/>
        </w:rPr>
        <w:t>of £1.9m</w:t>
      </w:r>
      <w:r>
        <w:rPr>
          <w:rFonts w:asciiTheme="minorHAnsi" w:hAnsiTheme="minorHAnsi" w:cstheme="minorHAnsi"/>
          <w:sz w:val="20"/>
        </w:rPr>
        <w:t xml:space="preserve"> </w:t>
      </w:r>
      <w:r w:rsidRPr="00F0737F">
        <w:rPr>
          <w:rFonts w:asciiTheme="minorHAnsi" w:hAnsiTheme="minorHAnsi" w:cstheme="minorHAnsi"/>
          <w:sz w:val="20"/>
        </w:rPr>
        <w:t>were recogni</w:t>
      </w:r>
      <w:r>
        <w:rPr>
          <w:rFonts w:asciiTheme="minorHAnsi" w:hAnsiTheme="minorHAnsi" w:cstheme="minorHAnsi"/>
          <w:sz w:val="20"/>
        </w:rPr>
        <w:t>s</w:t>
      </w:r>
      <w:r w:rsidRPr="00F0737F">
        <w:rPr>
          <w:rFonts w:asciiTheme="minorHAnsi" w:hAnsiTheme="minorHAnsi" w:cstheme="minorHAnsi"/>
          <w:sz w:val="20"/>
        </w:rPr>
        <w:t>ed as</w:t>
      </w:r>
      <w:r>
        <w:rPr>
          <w:rFonts w:asciiTheme="minorHAnsi" w:hAnsiTheme="minorHAnsi" w:cstheme="minorHAnsi"/>
          <w:sz w:val="20"/>
        </w:rPr>
        <w:t xml:space="preserve"> an</w:t>
      </w:r>
      <w:r w:rsidRPr="00F0737F">
        <w:rPr>
          <w:rFonts w:asciiTheme="minorHAnsi" w:hAnsiTheme="minorHAnsi" w:cstheme="minorHAnsi"/>
          <w:sz w:val="20"/>
        </w:rPr>
        <w:t xml:space="preserve"> interest accretion expense included within financial expense </w:t>
      </w:r>
      <w:r>
        <w:rPr>
          <w:rFonts w:asciiTheme="minorHAnsi" w:hAnsiTheme="minorHAnsi" w:cstheme="minorHAnsi"/>
          <w:sz w:val="20"/>
        </w:rPr>
        <w:t>i</w:t>
      </w:r>
      <w:r w:rsidRPr="00F0737F">
        <w:rPr>
          <w:rFonts w:asciiTheme="minorHAnsi" w:hAnsiTheme="minorHAnsi" w:cstheme="minorHAnsi"/>
          <w:sz w:val="20"/>
        </w:rPr>
        <w:t>n the consolidated income statement.</w:t>
      </w:r>
    </w:p>
    <w:p w14:paraId="2A1CD293" w14:textId="77777777" w:rsidR="00323BB2" w:rsidRPr="00F0737F" w:rsidRDefault="00323BB2" w:rsidP="00323BB2">
      <w:pPr>
        <w:rPr>
          <w:rFonts w:asciiTheme="minorHAnsi" w:hAnsiTheme="minorHAnsi" w:cstheme="minorHAnsi"/>
          <w:sz w:val="20"/>
        </w:rPr>
      </w:pPr>
    </w:p>
    <w:p w14:paraId="2EC71524"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Borrowings under the Previous GBP RCF and the Previous GBP Term Loan were unsecured but were guaranteed by the Group and certain of its operating subsidiaries. Borrowings under the Previous GBP RCF incurred interest at GBP-LIBOR plus a margin of between 1.10% and 2.50%. A commitment fee, equivalent to 35% of the margin, was payable in respect of available but undrawn borrowings. Borrowings under the Previous GBP Term Loan incurred interest at LIBOR plus a margin of between 0.60% and 2.40%.</w:t>
      </w:r>
    </w:p>
    <w:p w14:paraId="2682C159" w14:textId="77777777" w:rsidR="00323BB2" w:rsidRPr="007761C2" w:rsidRDefault="00323BB2" w:rsidP="00323BB2">
      <w:pPr>
        <w:jc w:val="both"/>
        <w:rPr>
          <w:rFonts w:asciiTheme="minorHAnsi" w:hAnsiTheme="minorHAnsi" w:cstheme="minorHAnsi"/>
          <w:sz w:val="20"/>
        </w:rPr>
      </w:pPr>
    </w:p>
    <w:p w14:paraId="014040D0" w14:textId="77777777" w:rsidR="00323BB2" w:rsidRDefault="00323BB2">
      <w:pPr>
        <w:rPr>
          <w:rFonts w:asciiTheme="minorHAnsi" w:hAnsiTheme="minorHAnsi" w:cstheme="minorHAnsi"/>
          <w:b/>
          <w:sz w:val="20"/>
        </w:rPr>
      </w:pPr>
      <w:bookmarkStart w:id="23" w:name="Derivatives___hedge_accounting"/>
      <w:bookmarkEnd w:id="23"/>
      <w:r>
        <w:rPr>
          <w:rFonts w:asciiTheme="minorHAnsi" w:hAnsiTheme="minorHAnsi" w:cstheme="minorHAnsi"/>
          <w:b/>
          <w:sz w:val="20"/>
        </w:rPr>
        <w:br w:type="page"/>
      </w:r>
    </w:p>
    <w:p w14:paraId="190317FF" w14:textId="77777777" w:rsidR="00323BB2" w:rsidRPr="007761C2" w:rsidRDefault="00323BB2" w:rsidP="00323BB2">
      <w:pPr>
        <w:keepNext/>
        <w:keepLines/>
        <w:jc w:val="both"/>
        <w:rPr>
          <w:rFonts w:asciiTheme="minorHAnsi" w:hAnsiTheme="minorHAnsi" w:cstheme="minorHAnsi"/>
          <w:b/>
          <w:sz w:val="20"/>
        </w:rPr>
      </w:pPr>
      <w:r w:rsidRPr="007761C2">
        <w:rPr>
          <w:rFonts w:asciiTheme="minorHAnsi" w:hAnsiTheme="minorHAnsi" w:cstheme="minorHAnsi"/>
          <w:b/>
          <w:sz w:val="20"/>
        </w:rPr>
        <w:lastRenderedPageBreak/>
        <w:t>16. Derivatives</w:t>
      </w:r>
    </w:p>
    <w:p w14:paraId="26BC6077" w14:textId="77777777" w:rsidR="00323BB2" w:rsidRPr="007761C2" w:rsidRDefault="00323BB2" w:rsidP="00323BB2">
      <w:pPr>
        <w:keepNext/>
        <w:keepLines/>
        <w:jc w:val="both"/>
        <w:rPr>
          <w:rFonts w:asciiTheme="minorHAnsi" w:hAnsiTheme="minorHAnsi" w:cstheme="minorHAnsi"/>
          <w:i/>
          <w:sz w:val="20"/>
        </w:rPr>
      </w:pPr>
    </w:p>
    <w:p w14:paraId="23CD7782" w14:textId="77777777" w:rsidR="00323BB2" w:rsidRPr="007761C2" w:rsidRDefault="00323BB2" w:rsidP="00323BB2">
      <w:pPr>
        <w:spacing w:line="288" w:lineRule="auto"/>
        <w:jc w:val="both"/>
        <w:rPr>
          <w:rFonts w:asciiTheme="minorHAnsi" w:hAnsiTheme="minorHAnsi" w:cstheme="minorHAnsi"/>
          <w:b/>
          <w:sz w:val="20"/>
        </w:rPr>
      </w:pPr>
      <w:r w:rsidRPr="007761C2">
        <w:rPr>
          <w:rFonts w:asciiTheme="minorHAnsi" w:hAnsiTheme="minorHAnsi" w:cstheme="minorHAnsi"/>
          <w:b/>
          <w:sz w:val="20"/>
        </w:rPr>
        <w:t>Derivatives and Hedge Accounting</w:t>
      </w:r>
    </w:p>
    <w:p w14:paraId="1C6E6FE3" w14:textId="77777777" w:rsidR="00323BB2" w:rsidRPr="007761C2" w:rsidRDefault="00323BB2" w:rsidP="00323BB2">
      <w:pPr>
        <w:jc w:val="both"/>
        <w:rPr>
          <w:rFonts w:asciiTheme="minorHAnsi" w:hAnsiTheme="minorHAnsi" w:cstheme="minorHAnsi"/>
        </w:rPr>
      </w:pPr>
    </w:p>
    <w:p w14:paraId="53C71564"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The Group uses derivative financial instruments for risk management and mitigation purposes. As such, any change in cash flows associated with derivative instruments is expected to be offset by changes in cash flows related to the hedged position. On 5 May 2020 the Group completed TSG Combination and assumed the existing hedging instruments held by TSG. Further, as part of managing the Group’s exposure to foreign exchange risk, the Group entered into cross currency swap agreements in respect of the Senior Notes. The Group’s derivatives are discussed below.</w:t>
      </w:r>
    </w:p>
    <w:p w14:paraId="178C8F2F" w14:textId="77777777" w:rsidR="00323BB2" w:rsidRPr="007761C2" w:rsidRDefault="00323BB2" w:rsidP="00323BB2">
      <w:pPr>
        <w:keepNext/>
        <w:keepLines/>
        <w:rPr>
          <w:rFonts w:asciiTheme="minorHAnsi" w:hAnsiTheme="minorHAnsi" w:cstheme="minorHAnsi"/>
          <w:i/>
          <w:sz w:val="20"/>
        </w:rPr>
      </w:pPr>
    </w:p>
    <w:p w14:paraId="065DC4CF" w14:textId="77777777" w:rsidR="00323BB2" w:rsidRPr="007761C2" w:rsidRDefault="00323BB2" w:rsidP="00323BB2">
      <w:pPr>
        <w:keepNext/>
        <w:keepLines/>
        <w:rPr>
          <w:rFonts w:asciiTheme="minorHAnsi" w:hAnsiTheme="minorHAnsi" w:cstheme="minorHAnsi"/>
          <w:i/>
          <w:sz w:val="20"/>
        </w:rPr>
      </w:pPr>
      <w:r w:rsidRPr="007761C2">
        <w:rPr>
          <w:rFonts w:asciiTheme="minorHAnsi" w:hAnsiTheme="minorHAnsi" w:cstheme="minorHAnsi"/>
          <w:i/>
          <w:sz w:val="20"/>
        </w:rPr>
        <w:t>Swap agreements</w:t>
      </w:r>
    </w:p>
    <w:p w14:paraId="5653FEA8" w14:textId="77777777" w:rsidR="00323BB2" w:rsidRPr="007761C2" w:rsidRDefault="00323BB2" w:rsidP="00323BB2">
      <w:pPr>
        <w:keepNext/>
        <w:keepLines/>
        <w:rPr>
          <w:rFonts w:asciiTheme="minorHAnsi" w:hAnsiTheme="minorHAnsi" w:cstheme="minorHAnsi"/>
          <w:sz w:val="20"/>
        </w:rPr>
      </w:pPr>
    </w:p>
    <w:p w14:paraId="6F5D5B7B" w14:textId="77777777" w:rsidR="00323BB2" w:rsidRPr="007761C2" w:rsidRDefault="00323BB2" w:rsidP="00323BB2">
      <w:pPr>
        <w:keepLines/>
        <w:rPr>
          <w:rFonts w:asciiTheme="minorHAnsi" w:hAnsiTheme="minorHAnsi" w:cstheme="minorHAnsi"/>
          <w:sz w:val="20"/>
        </w:rPr>
      </w:pPr>
      <w:bookmarkStart w:id="24" w:name="_Hlk47445194"/>
      <w:r w:rsidRPr="007761C2">
        <w:rPr>
          <w:rFonts w:asciiTheme="minorHAnsi" w:hAnsiTheme="minorHAnsi" w:cstheme="minorHAnsi"/>
          <w:sz w:val="20"/>
        </w:rPr>
        <w:t>On 5 May 2020 the Group completed TSG Combination and assumed the existing hedging instruments held by TSG consisting of a) USD-EUR amortising cross-currency interest rate swap agreements (the “EUR Cross-Currency Interest Rate Swaps”) with a remaining notional amount of €1.96 billion, which fix the USD to EUR exchange rate at 1.167 and fix the Euro interest payments at an average interest rate of 3.6%, b) EUR-GBP amortising cross-currency interest rate swap agreements (the “GBP Cross-Currency Interest Rate Swaps”) with a remaining notional amount of £983 million, which fix the EUR to GBP exchange rate at 0.889 and fix the GBP interest payments at an average interest rate of 5.4%, and c) an amortising USD interest rate swap agreement (the “Interest Rate Swap”) with a remaining notional amount of USD $600 million and swaps the USD three-month LIBOR to a fixed interest rate of 2.82%. The EUR Cross-Currency Interest Rate Swaps and GBP Cross-Currency Interest Rate Swaps have a profile that amortises in line with the USD First Lien Term Loan B and are set to mature in July 2023.</w:t>
      </w:r>
    </w:p>
    <w:p w14:paraId="6B8B5F76" w14:textId="77777777" w:rsidR="00323BB2" w:rsidRPr="007761C2" w:rsidRDefault="00323BB2" w:rsidP="00323BB2">
      <w:pPr>
        <w:keepLines/>
        <w:rPr>
          <w:rFonts w:asciiTheme="minorHAnsi" w:hAnsiTheme="minorHAnsi" w:cstheme="minorHAnsi"/>
          <w:sz w:val="20"/>
        </w:rPr>
      </w:pPr>
    </w:p>
    <w:p w14:paraId="5CDA33B7"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On 7 May 2020, a subsidiary of the Group entered into USD-EUR cross-currency swap agreements (the “Cross-Currency Swaps” and, collectively with the EUR Cross-Currency Interest Rate Swaps, the GBP Cross-Currency Interest Rate Swaps, and the Interest Rate Swap, the “Swap Agreements”) with a total notional amount of €927.1 million, which fix the USD to EUR exchange rate at 1.079 and fix the Euro interest payments at an average interest rate of 6.16%. The cross-currency interest rate swaps have an interest payment profile aligned with the Senior Notes and are set to mature on 15 July 2021.</w:t>
      </w:r>
    </w:p>
    <w:p w14:paraId="39FEEB71" w14:textId="77777777" w:rsidR="00323BB2" w:rsidRPr="007761C2" w:rsidRDefault="00323BB2" w:rsidP="00323BB2">
      <w:pPr>
        <w:keepLines/>
        <w:rPr>
          <w:rFonts w:asciiTheme="minorHAnsi" w:hAnsiTheme="minorHAnsi" w:cstheme="minorHAnsi"/>
          <w:sz w:val="20"/>
        </w:rPr>
      </w:pPr>
    </w:p>
    <w:p w14:paraId="039B207A"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Subsequent to TSG Combination to align the Swap Agreements with the changes to the structure of the Group’s borrowings (see Note 15), the Group a) settled the Interest Rate Swap resulting in a cash payment of £27.8m, b) settled a notional amount of €447 million of the EUR Cross-Currency Interest Rate Swaps resulting in a cash receipt of £0.2m.</w:t>
      </w:r>
    </w:p>
    <w:bookmarkEnd w:id="24"/>
    <w:p w14:paraId="7139944D" w14:textId="77777777" w:rsidR="00323BB2" w:rsidRPr="007761C2" w:rsidRDefault="00323BB2" w:rsidP="00323BB2">
      <w:pPr>
        <w:keepNext/>
        <w:keepLines/>
        <w:rPr>
          <w:rFonts w:asciiTheme="minorHAnsi" w:hAnsiTheme="minorHAnsi" w:cstheme="minorHAnsi"/>
          <w:i/>
          <w:sz w:val="20"/>
        </w:rPr>
      </w:pPr>
    </w:p>
    <w:p w14:paraId="48FB3FB7" w14:textId="77777777" w:rsidR="00323BB2" w:rsidRPr="007761C2" w:rsidRDefault="00323BB2" w:rsidP="00323BB2">
      <w:pPr>
        <w:keepNext/>
        <w:keepLines/>
        <w:rPr>
          <w:rFonts w:asciiTheme="minorHAnsi" w:hAnsiTheme="minorHAnsi" w:cstheme="minorHAnsi"/>
          <w:i/>
          <w:sz w:val="20"/>
        </w:rPr>
      </w:pPr>
      <w:r w:rsidRPr="007761C2">
        <w:rPr>
          <w:rFonts w:asciiTheme="minorHAnsi" w:hAnsiTheme="minorHAnsi" w:cstheme="minorHAnsi"/>
          <w:i/>
          <w:sz w:val="20"/>
        </w:rPr>
        <w:t>Embedded derivatives</w:t>
      </w:r>
    </w:p>
    <w:p w14:paraId="69C81F21" w14:textId="77777777" w:rsidR="00323BB2" w:rsidRPr="007761C2" w:rsidRDefault="00323BB2" w:rsidP="00323BB2">
      <w:pPr>
        <w:keepNext/>
        <w:keepLines/>
        <w:rPr>
          <w:rFonts w:asciiTheme="minorHAnsi" w:hAnsiTheme="minorHAnsi" w:cstheme="minorHAnsi"/>
          <w:sz w:val="20"/>
        </w:rPr>
      </w:pPr>
    </w:p>
    <w:p w14:paraId="3D5F120D" w14:textId="77777777" w:rsidR="00323BB2" w:rsidRPr="007761C2" w:rsidRDefault="00323BB2" w:rsidP="00323BB2">
      <w:pPr>
        <w:keepLines/>
        <w:rPr>
          <w:rFonts w:asciiTheme="minorHAnsi" w:hAnsiTheme="minorHAnsi" w:cstheme="minorHAnsi"/>
          <w:sz w:val="20"/>
        </w:rPr>
      </w:pPr>
      <w:bookmarkStart w:id="25" w:name="_Hlk47444961"/>
      <w:r w:rsidRPr="007761C2">
        <w:rPr>
          <w:rFonts w:asciiTheme="minorHAnsi" w:hAnsiTheme="minorHAnsi" w:cstheme="minorHAnsi"/>
          <w:sz w:val="20"/>
        </w:rPr>
        <w:t>See Note 15 for a discussion of the features embedded in the EUR First Lien Term Loan B and the Senior Notes that the Group bifurcated as it determined that the features were derivatives to be classified and recorded at fair value through profit or loss.</w:t>
      </w:r>
    </w:p>
    <w:p w14:paraId="03444721" w14:textId="77777777" w:rsidR="00323BB2" w:rsidRPr="007761C2" w:rsidRDefault="00323BB2" w:rsidP="00323BB2">
      <w:pPr>
        <w:rPr>
          <w:rFonts w:asciiTheme="minorHAnsi" w:hAnsiTheme="minorHAnsi" w:cstheme="minorHAnsi"/>
          <w:sz w:val="20"/>
        </w:rPr>
      </w:pPr>
    </w:p>
    <w:p w14:paraId="6D697E9F"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The fair value of the 0% interest rate floor included within the EUR First Lien Term Loan B as at 5 May 2020 and 30 June 2020 was a liability of </w:t>
      </w:r>
      <w:r w:rsidRPr="007761C2">
        <w:rPr>
          <w:rFonts w:asciiTheme="minorHAnsi" w:hAnsiTheme="minorHAnsi" w:cstheme="minorHAnsi"/>
          <w:sz w:val="20"/>
          <w:lang w:val="en-CA"/>
        </w:rPr>
        <w:t>£18.6m</w:t>
      </w:r>
      <w:r w:rsidRPr="007761C2">
        <w:rPr>
          <w:rFonts w:asciiTheme="minorHAnsi" w:hAnsiTheme="minorHAnsi" w:cstheme="minorHAnsi"/>
          <w:sz w:val="20"/>
        </w:rPr>
        <w:t xml:space="preserve"> and </w:t>
      </w:r>
      <w:r w:rsidRPr="007761C2">
        <w:rPr>
          <w:rFonts w:asciiTheme="minorHAnsi" w:hAnsiTheme="minorHAnsi" w:cstheme="minorHAnsi"/>
          <w:sz w:val="20"/>
          <w:lang w:val="en-CA"/>
        </w:rPr>
        <w:t>£11.6m</w:t>
      </w:r>
      <w:r w:rsidRPr="007761C2">
        <w:rPr>
          <w:rFonts w:asciiTheme="minorHAnsi" w:hAnsiTheme="minorHAnsi" w:cstheme="minorHAnsi"/>
          <w:sz w:val="20"/>
        </w:rPr>
        <w:t>, respectively. The fair value of this embedded derivative was determined using a discounted value of the estimated cash flows using the forward EURIBOR rates compared to the estimated cash flows using the floor and considering Euro interest rate volatility. This embedded derivative is categorised as Level 2 within the fair value hierarchy.</w:t>
      </w:r>
    </w:p>
    <w:p w14:paraId="032B9E77" w14:textId="77777777" w:rsidR="00323BB2" w:rsidRPr="007761C2" w:rsidRDefault="00323BB2" w:rsidP="00323BB2">
      <w:pPr>
        <w:rPr>
          <w:rFonts w:asciiTheme="minorHAnsi" w:hAnsiTheme="minorHAnsi" w:cstheme="minorHAnsi"/>
          <w:sz w:val="20"/>
        </w:rPr>
      </w:pPr>
    </w:p>
    <w:p w14:paraId="3B6AF9A5"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 xml:space="preserve">The fair value of the redemption option included within the Senior Notes as at 5 May 2020 and 30 June 2020 was an asset of </w:t>
      </w:r>
      <w:r w:rsidRPr="007761C2">
        <w:rPr>
          <w:rFonts w:asciiTheme="minorHAnsi" w:hAnsiTheme="minorHAnsi" w:cstheme="minorHAnsi"/>
          <w:sz w:val="20"/>
          <w:lang w:val="en-CA"/>
        </w:rPr>
        <w:t xml:space="preserve">£25.8m </w:t>
      </w:r>
      <w:r w:rsidRPr="007761C2">
        <w:rPr>
          <w:rFonts w:asciiTheme="minorHAnsi" w:hAnsiTheme="minorHAnsi" w:cstheme="minorHAnsi"/>
          <w:sz w:val="20"/>
        </w:rPr>
        <w:t xml:space="preserve">and </w:t>
      </w:r>
      <w:r w:rsidRPr="007761C2">
        <w:rPr>
          <w:rFonts w:asciiTheme="minorHAnsi" w:hAnsiTheme="minorHAnsi" w:cstheme="minorHAnsi"/>
          <w:sz w:val="20"/>
          <w:lang w:val="en-CA"/>
        </w:rPr>
        <w:t>£55.7m</w:t>
      </w:r>
      <w:r w:rsidRPr="007761C2">
        <w:rPr>
          <w:rFonts w:asciiTheme="minorHAnsi" w:hAnsiTheme="minorHAnsi" w:cstheme="minorHAnsi"/>
          <w:sz w:val="20"/>
        </w:rPr>
        <w:t xml:space="preserve">, respectively. The fair value of this embedded derivative was determined using an interest rate option pricing valuation model. The key assumptions include the implied credit spread of 5.1% at </w:t>
      </w:r>
      <w:r>
        <w:rPr>
          <w:rFonts w:asciiTheme="minorHAnsi" w:hAnsiTheme="minorHAnsi" w:cstheme="minorHAnsi"/>
          <w:sz w:val="20"/>
        </w:rPr>
        <w:t>5</w:t>
      </w:r>
      <w:r w:rsidRPr="007761C2">
        <w:rPr>
          <w:rFonts w:asciiTheme="minorHAnsi" w:hAnsiTheme="minorHAnsi" w:cstheme="minorHAnsi"/>
          <w:sz w:val="20"/>
        </w:rPr>
        <w:t xml:space="preserve"> May 2020 and 4.2% at 30 June 2020. This embedded derivative is categorised as Level 3 within the fair value hierarchy. </w:t>
      </w:r>
    </w:p>
    <w:p w14:paraId="11F8148D" w14:textId="77777777" w:rsidR="00323BB2" w:rsidRPr="007761C2" w:rsidRDefault="00323BB2" w:rsidP="00323BB2">
      <w:pPr>
        <w:rPr>
          <w:rFonts w:asciiTheme="minorHAnsi" w:hAnsiTheme="minorHAnsi" w:cstheme="minorHAnsi"/>
          <w:sz w:val="20"/>
        </w:rPr>
      </w:pPr>
    </w:p>
    <w:p w14:paraId="75391506"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The Group did not account for the embedded derivatives as qualifying hedges under IAS 39.</w:t>
      </w:r>
    </w:p>
    <w:bookmarkEnd w:id="25"/>
    <w:p w14:paraId="29E8830A" w14:textId="77777777" w:rsidR="00323BB2" w:rsidRPr="007761C2" w:rsidRDefault="00323BB2" w:rsidP="00323BB2">
      <w:pPr>
        <w:keepNext/>
        <w:keepLines/>
        <w:rPr>
          <w:rFonts w:asciiTheme="minorHAnsi" w:hAnsiTheme="minorHAnsi" w:cstheme="minorHAnsi"/>
          <w:i/>
          <w:sz w:val="20"/>
        </w:rPr>
      </w:pPr>
    </w:p>
    <w:p w14:paraId="57F7D3D9" w14:textId="77777777" w:rsidR="00323BB2" w:rsidRPr="007761C2" w:rsidRDefault="00323BB2" w:rsidP="00323BB2">
      <w:pPr>
        <w:keepNext/>
        <w:keepLines/>
        <w:rPr>
          <w:rFonts w:asciiTheme="minorHAnsi" w:hAnsiTheme="minorHAnsi" w:cstheme="minorHAnsi"/>
          <w:i/>
          <w:sz w:val="20"/>
        </w:rPr>
      </w:pPr>
      <w:r w:rsidRPr="007761C2">
        <w:rPr>
          <w:rFonts w:asciiTheme="minorHAnsi" w:hAnsiTheme="minorHAnsi" w:cstheme="minorHAnsi"/>
          <w:i/>
          <w:sz w:val="20"/>
        </w:rPr>
        <w:t>Sports betting open positions</w:t>
      </w:r>
    </w:p>
    <w:p w14:paraId="59871508" w14:textId="77777777" w:rsidR="00323BB2" w:rsidRPr="007761C2" w:rsidRDefault="00323BB2" w:rsidP="00323BB2">
      <w:pPr>
        <w:keepNext/>
        <w:keepLines/>
        <w:rPr>
          <w:rFonts w:asciiTheme="minorHAnsi" w:hAnsiTheme="minorHAnsi" w:cstheme="minorHAnsi"/>
          <w:sz w:val="20"/>
        </w:rPr>
      </w:pPr>
    </w:p>
    <w:p w14:paraId="2E3EAEA5"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The fair value of open sports bets at the period end has been calculated using the latest available prices on relevant sporting events.</w:t>
      </w:r>
    </w:p>
    <w:p w14:paraId="35BEC882" w14:textId="77777777" w:rsidR="00323BB2" w:rsidRPr="007761C2" w:rsidRDefault="00323BB2" w:rsidP="00323BB2">
      <w:pPr>
        <w:rPr>
          <w:rFonts w:asciiTheme="minorHAnsi" w:hAnsiTheme="minorHAnsi"/>
          <w:sz w:val="20"/>
          <w:lang w:val="en-IE"/>
        </w:rPr>
      </w:pPr>
    </w:p>
    <w:p w14:paraId="731EF186" w14:textId="77777777" w:rsidR="00323BB2" w:rsidRPr="007761C2" w:rsidRDefault="00323BB2" w:rsidP="00323BB2">
      <w:pPr>
        <w:keepNext/>
        <w:keepLines/>
        <w:jc w:val="both"/>
        <w:rPr>
          <w:rFonts w:asciiTheme="minorHAnsi" w:hAnsiTheme="minorHAnsi" w:cstheme="minorHAnsi"/>
          <w:b/>
          <w:sz w:val="20"/>
        </w:rPr>
      </w:pPr>
      <w:r w:rsidRPr="007761C2">
        <w:rPr>
          <w:rFonts w:asciiTheme="minorHAnsi" w:hAnsiTheme="minorHAnsi" w:cstheme="minorHAnsi"/>
          <w:b/>
          <w:sz w:val="20"/>
        </w:rPr>
        <w:lastRenderedPageBreak/>
        <w:t>16. Derivatives (continued)</w:t>
      </w:r>
    </w:p>
    <w:p w14:paraId="05249AC5" w14:textId="77777777" w:rsidR="00323BB2" w:rsidRPr="007761C2" w:rsidRDefault="00323BB2" w:rsidP="00323BB2">
      <w:pPr>
        <w:rPr>
          <w:rFonts w:asciiTheme="minorHAnsi" w:hAnsiTheme="minorHAnsi"/>
          <w:bCs/>
          <w:sz w:val="20"/>
          <w:lang w:val="en-IE"/>
        </w:rPr>
      </w:pPr>
    </w:p>
    <w:p w14:paraId="6852190F" w14:textId="77777777" w:rsidR="00323BB2" w:rsidRPr="007761C2" w:rsidRDefault="00323BB2" w:rsidP="00323BB2">
      <w:pPr>
        <w:rPr>
          <w:rFonts w:asciiTheme="minorHAnsi" w:hAnsiTheme="minorHAnsi" w:cstheme="minorHAnsi"/>
          <w:b/>
          <w:sz w:val="20"/>
        </w:rPr>
      </w:pPr>
      <w:r w:rsidRPr="007761C2">
        <w:rPr>
          <w:rFonts w:asciiTheme="minorHAnsi" w:hAnsiTheme="minorHAnsi"/>
          <w:bCs/>
          <w:sz w:val="20"/>
          <w:lang w:val="en-IE"/>
        </w:rPr>
        <w:t>It is primarily based on expectations as to the results of sporting and other events on which bets are placed. Changes in those expectations and ultimately the actual results when the events occur will result in changes in fair value. There are no reasonably probable changes to assumptions and inputs that would lead to material changes in the fair value methodology although final value will be determined by future sporting results.</w:t>
      </w:r>
    </w:p>
    <w:p w14:paraId="309835B5" w14:textId="77777777" w:rsidR="00323BB2" w:rsidRPr="007761C2" w:rsidRDefault="00323BB2" w:rsidP="00323BB2">
      <w:pPr>
        <w:keepNext/>
        <w:spacing w:after="140" w:line="288" w:lineRule="auto"/>
        <w:rPr>
          <w:rFonts w:asciiTheme="minorHAnsi" w:hAnsiTheme="minorHAnsi" w:cstheme="minorHAnsi"/>
          <w:sz w:val="20"/>
        </w:rPr>
      </w:pPr>
    </w:p>
    <w:p w14:paraId="5A5131C0" w14:textId="77777777" w:rsidR="00323BB2" w:rsidRPr="007761C2" w:rsidRDefault="00323BB2" w:rsidP="00323BB2">
      <w:pPr>
        <w:keepNext/>
        <w:spacing w:after="140" w:line="288" w:lineRule="auto"/>
        <w:rPr>
          <w:rFonts w:asciiTheme="minorHAnsi" w:hAnsiTheme="minorHAnsi" w:cstheme="minorHAnsi"/>
          <w:sz w:val="20"/>
        </w:rPr>
      </w:pPr>
      <w:r w:rsidRPr="007761C2">
        <w:rPr>
          <w:rFonts w:asciiTheme="minorHAnsi" w:hAnsiTheme="minorHAnsi" w:cstheme="minorHAnsi"/>
          <w:sz w:val="20"/>
        </w:rPr>
        <w:t>The following table summarises the fair value of derivatives as at 30 June 2020 and 31 December 2019:</w:t>
      </w:r>
    </w:p>
    <w:p w14:paraId="77EE7A26" w14:textId="77777777" w:rsidR="00323BB2" w:rsidRPr="007761C2" w:rsidRDefault="00323BB2" w:rsidP="00323BB2">
      <w:pPr>
        <w:rPr>
          <w:rFonts w:asciiTheme="minorHAnsi" w:hAnsiTheme="minorHAnsi"/>
          <w:bCs/>
          <w:sz w:val="20"/>
          <w:lang w:val="en-IE"/>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275"/>
        <w:gridCol w:w="1276"/>
        <w:gridCol w:w="1276"/>
        <w:gridCol w:w="1276"/>
      </w:tblGrid>
      <w:tr w:rsidR="00323BB2" w:rsidRPr="007761C2" w14:paraId="1C0A66CE" w14:textId="77777777" w:rsidTr="00453AFA">
        <w:tc>
          <w:tcPr>
            <w:tcW w:w="4820" w:type="dxa"/>
          </w:tcPr>
          <w:p w14:paraId="12D0F71F" w14:textId="77777777" w:rsidR="00323BB2" w:rsidRPr="007761C2" w:rsidRDefault="00323BB2" w:rsidP="00453AFA">
            <w:pPr>
              <w:rPr>
                <w:rFonts w:asciiTheme="minorHAnsi" w:hAnsiTheme="minorHAnsi"/>
                <w:bCs/>
                <w:sz w:val="20"/>
                <w:lang w:val="en-IE"/>
              </w:rPr>
            </w:pPr>
          </w:p>
        </w:tc>
        <w:tc>
          <w:tcPr>
            <w:tcW w:w="2551" w:type="dxa"/>
            <w:gridSpan w:val="2"/>
          </w:tcPr>
          <w:p w14:paraId="75A528B7" w14:textId="77777777" w:rsidR="00323BB2" w:rsidRPr="007761C2" w:rsidRDefault="00323BB2" w:rsidP="00453AFA">
            <w:pPr>
              <w:jc w:val="center"/>
              <w:rPr>
                <w:rFonts w:asciiTheme="minorHAnsi" w:hAnsiTheme="minorHAnsi"/>
                <w:b/>
                <w:bCs/>
                <w:sz w:val="20"/>
                <w:lang w:val="en-IE"/>
              </w:rPr>
            </w:pPr>
            <w:r w:rsidRPr="007761C2">
              <w:rPr>
                <w:rFonts w:asciiTheme="minorHAnsi" w:hAnsiTheme="minorHAnsi"/>
                <w:b/>
                <w:bCs/>
                <w:sz w:val="20"/>
                <w:lang w:val="en-IE"/>
              </w:rPr>
              <w:t>30 June 2020</w:t>
            </w:r>
          </w:p>
        </w:tc>
        <w:tc>
          <w:tcPr>
            <w:tcW w:w="2552" w:type="dxa"/>
            <w:gridSpan w:val="2"/>
          </w:tcPr>
          <w:p w14:paraId="5C17E71F" w14:textId="77777777" w:rsidR="00323BB2" w:rsidRPr="007761C2" w:rsidRDefault="00323BB2" w:rsidP="00453AFA">
            <w:pPr>
              <w:jc w:val="center"/>
              <w:rPr>
                <w:rFonts w:asciiTheme="minorHAnsi" w:hAnsiTheme="minorHAnsi"/>
                <w:b/>
                <w:bCs/>
                <w:sz w:val="20"/>
                <w:lang w:val="en-IE"/>
              </w:rPr>
            </w:pPr>
            <w:r w:rsidRPr="007761C2">
              <w:rPr>
                <w:rFonts w:asciiTheme="minorHAnsi" w:hAnsiTheme="minorHAnsi"/>
                <w:b/>
                <w:bCs/>
                <w:sz w:val="20"/>
                <w:lang w:val="en-IE"/>
              </w:rPr>
              <w:t>31 December 2019</w:t>
            </w:r>
          </w:p>
        </w:tc>
      </w:tr>
      <w:tr w:rsidR="00323BB2" w:rsidRPr="007761C2" w14:paraId="0EFD7DFE" w14:textId="77777777" w:rsidTr="00453AFA">
        <w:tc>
          <w:tcPr>
            <w:tcW w:w="4820" w:type="dxa"/>
          </w:tcPr>
          <w:p w14:paraId="5616BECE" w14:textId="77777777" w:rsidR="00323BB2" w:rsidRPr="007761C2" w:rsidRDefault="00323BB2" w:rsidP="00453AFA">
            <w:pPr>
              <w:jc w:val="both"/>
              <w:rPr>
                <w:rFonts w:asciiTheme="minorHAnsi" w:hAnsiTheme="minorHAnsi"/>
                <w:bCs/>
                <w:sz w:val="20"/>
                <w:lang w:val="en-IE"/>
              </w:rPr>
            </w:pPr>
          </w:p>
        </w:tc>
        <w:tc>
          <w:tcPr>
            <w:tcW w:w="1275" w:type="dxa"/>
          </w:tcPr>
          <w:p w14:paraId="41A2DA19"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Assets</w:t>
            </w:r>
          </w:p>
        </w:tc>
        <w:tc>
          <w:tcPr>
            <w:tcW w:w="1276" w:type="dxa"/>
          </w:tcPr>
          <w:p w14:paraId="1F95D530"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Liabilities</w:t>
            </w:r>
          </w:p>
        </w:tc>
        <w:tc>
          <w:tcPr>
            <w:tcW w:w="1276" w:type="dxa"/>
          </w:tcPr>
          <w:p w14:paraId="52205FB0"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Assets</w:t>
            </w:r>
          </w:p>
        </w:tc>
        <w:tc>
          <w:tcPr>
            <w:tcW w:w="1276" w:type="dxa"/>
          </w:tcPr>
          <w:p w14:paraId="3F03C731"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Liabilities</w:t>
            </w:r>
          </w:p>
        </w:tc>
      </w:tr>
      <w:tr w:rsidR="00323BB2" w:rsidRPr="007761C2" w14:paraId="3082F70B" w14:textId="77777777" w:rsidTr="00453AFA">
        <w:tc>
          <w:tcPr>
            <w:tcW w:w="4820" w:type="dxa"/>
            <w:tcBorders>
              <w:bottom w:val="single" w:sz="4" w:space="0" w:color="auto"/>
            </w:tcBorders>
            <w:vAlign w:val="bottom"/>
          </w:tcPr>
          <w:p w14:paraId="2DD72EEC" w14:textId="77777777" w:rsidR="00323BB2" w:rsidRPr="007761C2" w:rsidRDefault="00323BB2" w:rsidP="00453AFA">
            <w:pPr>
              <w:jc w:val="both"/>
              <w:rPr>
                <w:rFonts w:asciiTheme="minorHAnsi" w:hAnsiTheme="minorHAnsi" w:cstheme="minorHAnsi"/>
                <w:b/>
                <w:color w:val="000000"/>
                <w:sz w:val="20"/>
              </w:rPr>
            </w:pPr>
          </w:p>
        </w:tc>
        <w:tc>
          <w:tcPr>
            <w:tcW w:w="1275" w:type="dxa"/>
            <w:tcBorders>
              <w:bottom w:val="single" w:sz="4" w:space="0" w:color="auto"/>
            </w:tcBorders>
          </w:tcPr>
          <w:p w14:paraId="332FEFAC"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276" w:type="dxa"/>
            <w:tcBorders>
              <w:bottom w:val="single" w:sz="4" w:space="0" w:color="auto"/>
            </w:tcBorders>
          </w:tcPr>
          <w:p w14:paraId="510A6E74"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276" w:type="dxa"/>
            <w:tcBorders>
              <w:bottom w:val="single" w:sz="4" w:space="0" w:color="auto"/>
            </w:tcBorders>
          </w:tcPr>
          <w:p w14:paraId="183C313C"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c>
          <w:tcPr>
            <w:tcW w:w="1276" w:type="dxa"/>
            <w:tcBorders>
              <w:bottom w:val="single" w:sz="4" w:space="0" w:color="auto"/>
            </w:tcBorders>
          </w:tcPr>
          <w:p w14:paraId="58397D26" w14:textId="77777777" w:rsidR="00323BB2" w:rsidRPr="007761C2" w:rsidRDefault="00323BB2" w:rsidP="00453AFA">
            <w:pPr>
              <w:jc w:val="right"/>
              <w:rPr>
                <w:rFonts w:asciiTheme="minorHAnsi" w:hAnsiTheme="minorHAnsi"/>
                <w:b/>
                <w:bCs/>
                <w:sz w:val="20"/>
                <w:lang w:val="en-IE"/>
              </w:rPr>
            </w:pPr>
            <w:r w:rsidRPr="007761C2">
              <w:rPr>
                <w:rFonts w:asciiTheme="minorHAnsi" w:hAnsiTheme="minorHAnsi"/>
                <w:b/>
                <w:bCs/>
                <w:sz w:val="20"/>
                <w:lang w:val="en-IE"/>
              </w:rPr>
              <w:t>£m</w:t>
            </w:r>
          </w:p>
        </w:tc>
      </w:tr>
      <w:tr w:rsidR="00323BB2" w:rsidRPr="007761C2" w14:paraId="47B4014D" w14:textId="77777777" w:rsidTr="00453AFA">
        <w:tc>
          <w:tcPr>
            <w:tcW w:w="4820" w:type="dxa"/>
            <w:tcBorders>
              <w:top w:val="single" w:sz="4" w:space="0" w:color="auto"/>
            </w:tcBorders>
            <w:vAlign w:val="bottom"/>
          </w:tcPr>
          <w:p w14:paraId="2B4C2B7A" w14:textId="77777777" w:rsidR="00323BB2" w:rsidRPr="007761C2" w:rsidRDefault="00323BB2" w:rsidP="00453AFA">
            <w:pPr>
              <w:jc w:val="both"/>
              <w:rPr>
                <w:rFonts w:asciiTheme="minorHAnsi" w:hAnsiTheme="minorHAnsi"/>
                <w:bCs/>
                <w:sz w:val="20"/>
                <w:lang w:val="en-IE"/>
              </w:rPr>
            </w:pPr>
            <w:r w:rsidRPr="007761C2">
              <w:rPr>
                <w:rFonts w:asciiTheme="minorHAnsi" w:hAnsiTheme="minorHAnsi" w:cstheme="minorHAnsi"/>
                <w:b/>
                <w:color w:val="000000"/>
                <w:sz w:val="20"/>
              </w:rPr>
              <w:t>Derivatives held for hedging</w:t>
            </w:r>
          </w:p>
        </w:tc>
        <w:tc>
          <w:tcPr>
            <w:tcW w:w="1275" w:type="dxa"/>
            <w:tcBorders>
              <w:top w:val="single" w:sz="4" w:space="0" w:color="auto"/>
            </w:tcBorders>
          </w:tcPr>
          <w:p w14:paraId="242CAFEE" w14:textId="77777777" w:rsidR="00323BB2" w:rsidRPr="007761C2" w:rsidRDefault="00323BB2" w:rsidP="00453AFA">
            <w:pPr>
              <w:rPr>
                <w:rFonts w:asciiTheme="minorHAnsi" w:hAnsiTheme="minorHAnsi"/>
                <w:bCs/>
                <w:sz w:val="20"/>
                <w:lang w:val="en-IE"/>
              </w:rPr>
            </w:pPr>
          </w:p>
        </w:tc>
        <w:tc>
          <w:tcPr>
            <w:tcW w:w="1276" w:type="dxa"/>
            <w:tcBorders>
              <w:top w:val="single" w:sz="4" w:space="0" w:color="auto"/>
            </w:tcBorders>
          </w:tcPr>
          <w:p w14:paraId="6165F14F" w14:textId="77777777" w:rsidR="00323BB2" w:rsidRPr="007761C2" w:rsidRDefault="00323BB2" w:rsidP="00453AFA">
            <w:pPr>
              <w:rPr>
                <w:rFonts w:asciiTheme="minorHAnsi" w:hAnsiTheme="minorHAnsi"/>
                <w:bCs/>
                <w:sz w:val="20"/>
                <w:lang w:val="en-IE"/>
              </w:rPr>
            </w:pPr>
          </w:p>
        </w:tc>
        <w:tc>
          <w:tcPr>
            <w:tcW w:w="1276" w:type="dxa"/>
            <w:tcBorders>
              <w:top w:val="single" w:sz="4" w:space="0" w:color="auto"/>
            </w:tcBorders>
          </w:tcPr>
          <w:p w14:paraId="1EE75837" w14:textId="77777777" w:rsidR="00323BB2" w:rsidRPr="007761C2" w:rsidRDefault="00323BB2" w:rsidP="00453AFA">
            <w:pPr>
              <w:rPr>
                <w:rFonts w:asciiTheme="minorHAnsi" w:hAnsiTheme="minorHAnsi"/>
                <w:bCs/>
                <w:sz w:val="20"/>
                <w:lang w:val="en-IE"/>
              </w:rPr>
            </w:pPr>
          </w:p>
        </w:tc>
        <w:tc>
          <w:tcPr>
            <w:tcW w:w="1276" w:type="dxa"/>
            <w:tcBorders>
              <w:top w:val="single" w:sz="4" w:space="0" w:color="auto"/>
            </w:tcBorders>
          </w:tcPr>
          <w:p w14:paraId="2C2FFAC4" w14:textId="77777777" w:rsidR="00323BB2" w:rsidRPr="007761C2" w:rsidRDefault="00323BB2" w:rsidP="00453AFA">
            <w:pPr>
              <w:rPr>
                <w:rFonts w:asciiTheme="minorHAnsi" w:hAnsiTheme="minorHAnsi"/>
                <w:bCs/>
                <w:sz w:val="20"/>
                <w:lang w:val="en-IE"/>
              </w:rPr>
            </w:pPr>
          </w:p>
        </w:tc>
      </w:tr>
      <w:tr w:rsidR="00323BB2" w:rsidRPr="007761C2" w14:paraId="7900F089" w14:textId="77777777" w:rsidTr="00453AFA">
        <w:tc>
          <w:tcPr>
            <w:tcW w:w="4820" w:type="dxa"/>
            <w:vAlign w:val="bottom"/>
          </w:tcPr>
          <w:p w14:paraId="5FA2C77B" w14:textId="77777777" w:rsidR="00323BB2" w:rsidRPr="007761C2" w:rsidRDefault="00323BB2" w:rsidP="00453AFA">
            <w:pPr>
              <w:jc w:val="both"/>
              <w:rPr>
                <w:rFonts w:asciiTheme="minorHAnsi" w:hAnsiTheme="minorHAnsi"/>
                <w:bCs/>
                <w:sz w:val="20"/>
                <w:lang w:val="en-IE"/>
              </w:rPr>
            </w:pPr>
          </w:p>
        </w:tc>
        <w:tc>
          <w:tcPr>
            <w:tcW w:w="1275" w:type="dxa"/>
          </w:tcPr>
          <w:p w14:paraId="02CB91BA" w14:textId="77777777" w:rsidR="00323BB2" w:rsidRPr="007761C2" w:rsidRDefault="00323BB2" w:rsidP="00453AFA">
            <w:pPr>
              <w:jc w:val="right"/>
              <w:rPr>
                <w:rFonts w:asciiTheme="minorHAnsi" w:hAnsiTheme="minorHAnsi"/>
                <w:bCs/>
                <w:sz w:val="20"/>
                <w:lang w:val="en-IE"/>
              </w:rPr>
            </w:pPr>
          </w:p>
        </w:tc>
        <w:tc>
          <w:tcPr>
            <w:tcW w:w="1276" w:type="dxa"/>
          </w:tcPr>
          <w:p w14:paraId="56A25074" w14:textId="77777777" w:rsidR="00323BB2" w:rsidRPr="007761C2" w:rsidRDefault="00323BB2" w:rsidP="00453AFA">
            <w:pPr>
              <w:jc w:val="right"/>
              <w:rPr>
                <w:rFonts w:asciiTheme="minorHAnsi" w:hAnsiTheme="minorHAnsi"/>
                <w:bCs/>
                <w:sz w:val="20"/>
                <w:lang w:val="en-IE"/>
              </w:rPr>
            </w:pPr>
          </w:p>
        </w:tc>
        <w:tc>
          <w:tcPr>
            <w:tcW w:w="1276" w:type="dxa"/>
          </w:tcPr>
          <w:p w14:paraId="2BF561B6" w14:textId="77777777" w:rsidR="00323BB2" w:rsidRPr="007761C2" w:rsidRDefault="00323BB2" w:rsidP="00453AFA">
            <w:pPr>
              <w:jc w:val="right"/>
              <w:rPr>
                <w:rFonts w:asciiTheme="minorHAnsi" w:hAnsiTheme="minorHAnsi"/>
                <w:bCs/>
                <w:sz w:val="20"/>
                <w:lang w:val="en-IE"/>
              </w:rPr>
            </w:pPr>
          </w:p>
        </w:tc>
        <w:tc>
          <w:tcPr>
            <w:tcW w:w="1276" w:type="dxa"/>
          </w:tcPr>
          <w:p w14:paraId="7FB25F5A" w14:textId="77777777" w:rsidR="00323BB2" w:rsidRPr="007761C2" w:rsidRDefault="00323BB2" w:rsidP="00453AFA">
            <w:pPr>
              <w:jc w:val="right"/>
              <w:rPr>
                <w:rFonts w:asciiTheme="minorHAnsi" w:hAnsiTheme="minorHAnsi"/>
                <w:bCs/>
                <w:sz w:val="20"/>
                <w:lang w:val="en-IE"/>
              </w:rPr>
            </w:pPr>
          </w:p>
        </w:tc>
      </w:tr>
      <w:tr w:rsidR="00323BB2" w:rsidRPr="007761C2" w14:paraId="0F24633A" w14:textId="77777777" w:rsidTr="00453AFA">
        <w:tc>
          <w:tcPr>
            <w:tcW w:w="4820" w:type="dxa"/>
            <w:vAlign w:val="bottom"/>
          </w:tcPr>
          <w:p w14:paraId="3418A6E4" w14:textId="77777777" w:rsidR="00323BB2" w:rsidRPr="007761C2" w:rsidRDefault="00323BB2" w:rsidP="00453AFA">
            <w:pPr>
              <w:jc w:val="both"/>
              <w:rPr>
                <w:rFonts w:asciiTheme="minorHAnsi" w:hAnsiTheme="minorHAnsi"/>
                <w:bCs/>
                <w:sz w:val="20"/>
                <w:lang w:val="en-IE"/>
              </w:rPr>
            </w:pPr>
            <w:r w:rsidRPr="007761C2">
              <w:rPr>
                <w:rFonts w:asciiTheme="minorHAnsi" w:hAnsiTheme="minorHAnsi" w:cstheme="minorHAnsi"/>
                <w:b/>
                <w:color w:val="000000"/>
                <w:sz w:val="20"/>
              </w:rPr>
              <w:t>Derivatives designated as cash flow hedges</w:t>
            </w:r>
          </w:p>
        </w:tc>
        <w:tc>
          <w:tcPr>
            <w:tcW w:w="1275" w:type="dxa"/>
          </w:tcPr>
          <w:p w14:paraId="30C73AB1" w14:textId="77777777" w:rsidR="00323BB2" w:rsidRPr="007761C2" w:rsidRDefault="00323BB2" w:rsidP="00453AFA">
            <w:pPr>
              <w:jc w:val="right"/>
              <w:rPr>
                <w:rFonts w:asciiTheme="minorHAnsi" w:hAnsiTheme="minorHAnsi"/>
                <w:bCs/>
                <w:sz w:val="20"/>
                <w:lang w:val="en-IE"/>
              </w:rPr>
            </w:pPr>
          </w:p>
        </w:tc>
        <w:tc>
          <w:tcPr>
            <w:tcW w:w="1276" w:type="dxa"/>
          </w:tcPr>
          <w:p w14:paraId="6623652D" w14:textId="77777777" w:rsidR="00323BB2" w:rsidRPr="007761C2" w:rsidRDefault="00323BB2" w:rsidP="00453AFA">
            <w:pPr>
              <w:jc w:val="right"/>
              <w:rPr>
                <w:rFonts w:asciiTheme="minorHAnsi" w:hAnsiTheme="minorHAnsi"/>
                <w:bCs/>
                <w:sz w:val="20"/>
                <w:lang w:val="en-IE"/>
              </w:rPr>
            </w:pPr>
          </w:p>
        </w:tc>
        <w:tc>
          <w:tcPr>
            <w:tcW w:w="1276" w:type="dxa"/>
          </w:tcPr>
          <w:p w14:paraId="76ED571F" w14:textId="77777777" w:rsidR="00323BB2" w:rsidRPr="007761C2" w:rsidRDefault="00323BB2" w:rsidP="00453AFA">
            <w:pPr>
              <w:jc w:val="right"/>
              <w:rPr>
                <w:rFonts w:asciiTheme="minorHAnsi" w:hAnsiTheme="minorHAnsi"/>
                <w:bCs/>
                <w:sz w:val="20"/>
                <w:lang w:val="en-IE"/>
              </w:rPr>
            </w:pPr>
          </w:p>
        </w:tc>
        <w:tc>
          <w:tcPr>
            <w:tcW w:w="1276" w:type="dxa"/>
          </w:tcPr>
          <w:p w14:paraId="0A34300F" w14:textId="77777777" w:rsidR="00323BB2" w:rsidRPr="007761C2" w:rsidRDefault="00323BB2" w:rsidP="00453AFA">
            <w:pPr>
              <w:jc w:val="right"/>
              <w:rPr>
                <w:rFonts w:asciiTheme="minorHAnsi" w:hAnsiTheme="minorHAnsi"/>
                <w:bCs/>
                <w:sz w:val="20"/>
                <w:lang w:val="en-IE"/>
              </w:rPr>
            </w:pPr>
          </w:p>
        </w:tc>
      </w:tr>
      <w:tr w:rsidR="00323BB2" w:rsidRPr="007761C2" w14:paraId="22A63E72" w14:textId="77777777" w:rsidTr="00453AFA">
        <w:tc>
          <w:tcPr>
            <w:tcW w:w="4820" w:type="dxa"/>
            <w:vAlign w:val="bottom"/>
          </w:tcPr>
          <w:p w14:paraId="01FF6F42" w14:textId="77777777" w:rsidR="00323BB2" w:rsidRPr="007761C2" w:rsidRDefault="00323BB2" w:rsidP="00453AFA">
            <w:pPr>
              <w:jc w:val="both"/>
              <w:rPr>
                <w:rFonts w:asciiTheme="minorHAnsi" w:hAnsiTheme="minorHAnsi"/>
                <w:bCs/>
                <w:sz w:val="20"/>
                <w:lang w:val="en-IE"/>
              </w:rPr>
            </w:pPr>
            <w:r w:rsidRPr="007761C2">
              <w:rPr>
                <w:rFonts w:asciiTheme="minorHAnsi" w:hAnsiTheme="minorHAnsi" w:cstheme="minorHAnsi"/>
                <w:color w:val="000000"/>
                <w:sz w:val="20"/>
              </w:rPr>
              <w:t>Cross currency interest rate swaps</w:t>
            </w:r>
          </w:p>
        </w:tc>
        <w:tc>
          <w:tcPr>
            <w:tcW w:w="1275" w:type="dxa"/>
          </w:tcPr>
          <w:p w14:paraId="3F5BD985"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31.6</w:t>
            </w:r>
          </w:p>
        </w:tc>
        <w:tc>
          <w:tcPr>
            <w:tcW w:w="1276" w:type="dxa"/>
          </w:tcPr>
          <w:p w14:paraId="41B4930B"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Pr>
          <w:p w14:paraId="4779E1AA"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Pr>
          <w:p w14:paraId="29D31A57"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55D59109" w14:textId="77777777" w:rsidTr="00453AFA">
        <w:tc>
          <w:tcPr>
            <w:tcW w:w="4820" w:type="dxa"/>
            <w:tcBorders>
              <w:bottom w:val="single" w:sz="4" w:space="0" w:color="auto"/>
            </w:tcBorders>
            <w:vAlign w:val="bottom"/>
          </w:tcPr>
          <w:p w14:paraId="5EB64FCA" w14:textId="77777777" w:rsidR="00323BB2" w:rsidRPr="007761C2" w:rsidRDefault="00323BB2" w:rsidP="00453AFA">
            <w:pPr>
              <w:jc w:val="both"/>
              <w:rPr>
                <w:rFonts w:asciiTheme="minorHAnsi" w:hAnsiTheme="minorHAnsi"/>
                <w:bCs/>
                <w:sz w:val="20"/>
                <w:lang w:val="en-IE"/>
              </w:rPr>
            </w:pPr>
            <w:r w:rsidRPr="007761C2">
              <w:rPr>
                <w:rFonts w:asciiTheme="minorHAnsi" w:hAnsiTheme="minorHAnsi" w:cstheme="minorHAnsi"/>
                <w:color w:val="000000"/>
                <w:sz w:val="20"/>
              </w:rPr>
              <w:t>Cross currency swaps</w:t>
            </w:r>
          </w:p>
        </w:tc>
        <w:tc>
          <w:tcPr>
            <w:tcW w:w="1275" w:type="dxa"/>
            <w:tcBorders>
              <w:bottom w:val="single" w:sz="4" w:space="0" w:color="auto"/>
            </w:tcBorders>
          </w:tcPr>
          <w:p w14:paraId="131FD0F3"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bottom w:val="single" w:sz="4" w:space="0" w:color="auto"/>
            </w:tcBorders>
          </w:tcPr>
          <w:p w14:paraId="469FC894"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36.6</w:t>
            </w:r>
          </w:p>
        </w:tc>
        <w:tc>
          <w:tcPr>
            <w:tcW w:w="1276" w:type="dxa"/>
            <w:tcBorders>
              <w:bottom w:val="single" w:sz="4" w:space="0" w:color="auto"/>
            </w:tcBorders>
          </w:tcPr>
          <w:p w14:paraId="7ADEA87C"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bottom w:val="single" w:sz="4" w:space="0" w:color="auto"/>
            </w:tcBorders>
          </w:tcPr>
          <w:p w14:paraId="4AF28B44"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5E0CDD78" w14:textId="77777777" w:rsidTr="00453AFA">
        <w:tc>
          <w:tcPr>
            <w:tcW w:w="4820" w:type="dxa"/>
            <w:tcBorders>
              <w:top w:val="single" w:sz="4" w:space="0" w:color="auto"/>
            </w:tcBorders>
            <w:vAlign w:val="bottom"/>
          </w:tcPr>
          <w:p w14:paraId="7D29DE3B" w14:textId="77777777" w:rsidR="00323BB2" w:rsidRPr="007761C2" w:rsidRDefault="00323BB2" w:rsidP="00453AFA">
            <w:pPr>
              <w:jc w:val="both"/>
              <w:rPr>
                <w:rFonts w:asciiTheme="minorHAnsi" w:hAnsiTheme="minorHAnsi"/>
                <w:bCs/>
                <w:sz w:val="20"/>
                <w:lang w:val="en-IE"/>
              </w:rPr>
            </w:pPr>
            <w:r w:rsidRPr="007761C2">
              <w:rPr>
                <w:rFonts w:asciiTheme="minorHAnsi" w:hAnsiTheme="minorHAnsi" w:cstheme="minorHAnsi"/>
                <w:b/>
                <w:color w:val="000000"/>
                <w:sz w:val="20"/>
              </w:rPr>
              <w:t>Total derivatives designated as cash flow hedges</w:t>
            </w:r>
          </w:p>
        </w:tc>
        <w:tc>
          <w:tcPr>
            <w:tcW w:w="1275" w:type="dxa"/>
            <w:tcBorders>
              <w:top w:val="single" w:sz="4" w:space="0" w:color="auto"/>
            </w:tcBorders>
          </w:tcPr>
          <w:p w14:paraId="4A3F8714"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31.6</w:t>
            </w:r>
          </w:p>
        </w:tc>
        <w:tc>
          <w:tcPr>
            <w:tcW w:w="1276" w:type="dxa"/>
            <w:tcBorders>
              <w:top w:val="single" w:sz="4" w:space="0" w:color="auto"/>
            </w:tcBorders>
          </w:tcPr>
          <w:p w14:paraId="022DD7AC"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36.6</w:t>
            </w:r>
          </w:p>
        </w:tc>
        <w:tc>
          <w:tcPr>
            <w:tcW w:w="1276" w:type="dxa"/>
            <w:tcBorders>
              <w:top w:val="single" w:sz="4" w:space="0" w:color="auto"/>
            </w:tcBorders>
          </w:tcPr>
          <w:p w14:paraId="33B786F3"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top w:val="single" w:sz="4" w:space="0" w:color="auto"/>
            </w:tcBorders>
          </w:tcPr>
          <w:p w14:paraId="22C0EB3A"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3BBB965C" w14:textId="77777777" w:rsidTr="00453AFA">
        <w:tc>
          <w:tcPr>
            <w:tcW w:w="4820" w:type="dxa"/>
            <w:vAlign w:val="bottom"/>
          </w:tcPr>
          <w:p w14:paraId="2E9936C9" w14:textId="77777777" w:rsidR="00323BB2" w:rsidRPr="007761C2" w:rsidRDefault="00323BB2" w:rsidP="00453AFA">
            <w:pPr>
              <w:jc w:val="both"/>
              <w:rPr>
                <w:rFonts w:asciiTheme="minorHAnsi" w:hAnsiTheme="minorHAnsi" w:cstheme="minorHAnsi"/>
                <w:b/>
                <w:color w:val="000000"/>
                <w:sz w:val="20"/>
              </w:rPr>
            </w:pPr>
          </w:p>
        </w:tc>
        <w:tc>
          <w:tcPr>
            <w:tcW w:w="1275" w:type="dxa"/>
          </w:tcPr>
          <w:p w14:paraId="46D78FF7" w14:textId="77777777" w:rsidR="00323BB2" w:rsidRPr="007761C2" w:rsidRDefault="00323BB2" w:rsidP="00453AFA">
            <w:pPr>
              <w:jc w:val="right"/>
              <w:rPr>
                <w:rFonts w:asciiTheme="minorHAnsi" w:hAnsiTheme="minorHAnsi"/>
                <w:bCs/>
                <w:sz w:val="20"/>
                <w:lang w:val="en-IE"/>
              </w:rPr>
            </w:pPr>
          </w:p>
        </w:tc>
        <w:tc>
          <w:tcPr>
            <w:tcW w:w="1276" w:type="dxa"/>
          </w:tcPr>
          <w:p w14:paraId="56BAD37E" w14:textId="77777777" w:rsidR="00323BB2" w:rsidRPr="007761C2" w:rsidRDefault="00323BB2" w:rsidP="00453AFA">
            <w:pPr>
              <w:jc w:val="right"/>
              <w:rPr>
                <w:rFonts w:asciiTheme="minorHAnsi" w:hAnsiTheme="minorHAnsi"/>
                <w:bCs/>
                <w:sz w:val="20"/>
                <w:lang w:val="en-IE"/>
              </w:rPr>
            </w:pPr>
          </w:p>
        </w:tc>
        <w:tc>
          <w:tcPr>
            <w:tcW w:w="1276" w:type="dxa"/>
          </w:tcPr>
          <w:p w14:paraId="58505DAB" w14:textId="77777777" w:rsidR="00323BB2" w:rsidRPr="007761C2" w:rsidRDefault="00323BB2" w:rsidP="00453AFA">
            <w:pPr>
              <w:jc w:val="right"/>
              <w:rPr>
                <w:rFonts w:asciiTheme="minorHAnsi" w:hAnsiTheme="minorHAnsi"/>
                <w:bCs/>
                <w:sz w:val="20"/>
                <w:lang w:val="en-IE"/>
              </w:rPr>
            </w:pPr>
          </w:p>
        </w:tc>
        <w:tc>
          <w:tcPr>
            <w:tcW w:w="1276" w:type="dxa"/>
          </w:tcPr>
          <w:p w14:paraId="1E263B3F" w14:textId="77777777" w:rsidR="00323BB2" w:rsidRPr="007761C2" w:rsidRDefault="00323BB2" w:rsidP="00453AFA">
            <w:pPr>
              <w:jc w:val="right"/>
              <w:rPr>
                <w:rFonts w:asciiTheme="minorHAnsi" w:hAnsiTheme="minorHAnsi"/>
                <w:bCs/>
                <w:sz w:val="20"/>
                <w:lang w:val="en-IE"/>
              </w:rPr>
            </w:pPr>
          </w:p>
        </w:tc>
      </w:tr>
      <w:tr w:rsidR="00323BB2" w:rsidRPr="007761C2" w14:paraId="4F6F0281" w14:textId="77777777" w:rsidTr="00453AFA">
        <w:tc>
          <w:tcPr>
            <w:tcW w:w="4820" w:type="dxa"/>
            <w:vAlign w:val="bottom"/>
          </w:tcPr>
          <w:p w14:paraId="26842349" w14:textId="77777777" w:rsidR="00323BB2" w:rsidRPr="007761C2" w:rsidRDefault="00323BB2" w:rsidP="00453AFA">
            <w:pPr>
              <w:jc w:val="both"/>
              <w:rPr>
                <w:rFonts w:asciiTheme="minorHAnsi" w:hAnsiTheme="minorHAnsi" w:cstheme="minorHAnsi"/>
                <w:b/>
                <w:color w:val="000000"/>
                <w:sz w:val="20"/>
              </w:rPr>
            </w:pPr>
            <w:r w:rsidRPr="007761C2">
              <w:rPr>
                <w:rFonts w:asciiTheme="minorHAnsi" w:hAnsiTheme="minorHAnsi" w:cstheme="minorHAnsi"/>
                <w:b/>
                <w:color w:val="000000"/>
                <w:sz w:val="20"/>
              </w:rPr>
              <w:t>Derivatives designated as net investment hedges</w:t>
            </w:r>
          </w:p>
        </w:tc>
        <w:tc>
          <w:tcPr>
            <w:tcW w:w="1275" w:type="dxa"/>
          </w:tcPr>
          <w:p w14:paraId="364A7585" w14:textId="77777777" w:rsidR="00323BB2" w:rsidRPr="007761C2" w:rsidRDefault="00323BB2" w:rsidP="00453AFA">
            <w:pPr>
              <w:jc w:val="right"/>
              <w:rPr>
                <w:rFonts w:asciiTheme="minorHAnsi" w:hAnsiTheme="minorHAnsi"/>
                <w:bCs/>
                <w:sz w:val="20"/>
                <w:lang w:val="en-IE"/>
              </w:rPr>
            </w:pPr>
          </w:p>
        </w:tc>
        <w:tc>
          <w:tcPr>
            <w:tcW w:w="1276" w:type="dxa"/>
          </w:tcPr>
          <w:p w14:paraId="618B4C87" w14:textId="77777777" w:rsidR="00323BB2" w:rsidRPr="007761C2" w:rsidRDefault="00323BB2" w:rsidP="00453AFA">
            <w:pPr>
              <w:jc w:val="right"/>
              <w:rPr>
                <w:rFonts w:asciiTheme="minorHAnsi" w:hAnsiTheme="minorHAnsi"/>
                <w:bCs/>
                <w:sz w:val="20"/>
                <w:lang w:val="en-IE"/>
              </w:rPr>
            </w:pPr>
          </w:p>
        </w:tc>
        <w:tc>
          <w:tcPr>
            <w:tcW w:w="1276" w:type="dxa"/>
          </w:tcPr>
          <w:p w14:paraId="3803AF62" w14:textId="77777777" w:rsidR="00323BB2" w:rsidRPr="007761C2" w:rsidRDefault="00323BB2" w:rsidP="00453AFA">
            <w:pPr>
              <w:jc w:val="right"/>
              <w:rPr>
                <w:rFonts w:asciiTheme="minorHAnsi" w:hAnsiTheme="minorHAnsi"/>
                <w:bCs/>
                <w:sz w:val="20"/>
                <w:lang w:val="en-IE"/>
              </w:rPr>
            </w:pPr>
          </w:p>
        </w:tc>
        <w:tc>
          <w:tcPr>
            <w:tcW w:w="1276" w:type="dxa"/>
          </w:tcPr>
          <w:p w14:paraId="006C225D" w14:textId="77777777" w:rsidR="00323BB2" w:rsidRPr="007761C2" w:rsidRDefault="00323BB2" w:rsidP="00453AFA">
            <w:pPr>
              <w:jc w:val="right"/>
              <w:rPr>
                <w:rFonts w:asciiTheme="minorHAnsi" w:hAnsiTheme="minorHAnsi"/>
                <w:bCs/>
                <w:sz w:val="20"/>
                <w:lang w:val="en-IE"/>
              </w:rPr>
            </w:pPr>
          </w:p>
        </w:tc>
      </w:tr>
      <w:tr w:rsidR="00323BB2" w:rsidRPr="007761C2" w14:paraId="310C7622" w14:textId="77777777" w:rsidTr="00453AFA">
        <w:tc>
          <w:tcPr>
            <w:tcW w:w="4820" w:type="dxa"/>
            <w:tcBorders>
              <w:bottom w:val="single" w:sz="4" w:space="0" w:color="auto"/>
            </w:tcBorders>
            <w:vAlign w:val="bottom"/>
          </w:tcPr>
          <w:p w14:paraId="70BFFBF5" w14:textId="77777777" w:rsidR="00323BB2" w:rsidRPr="007761C2" w:rsidRDefault="00323BB2" w:rsidP="00453AFA">
            <w:pPr>
              <w:jc w:val="both"/>
              <w:rPr>
                <w:rFonts w:asciiTheme="minorHAnsi" w:hAnsiTheme="minorHAnsi" w:cstheme="minorHAnsi"/>
                <w:b/>
                <w:color w:val="000000"/>
                <w:sz w:val="20"/>
              </w:rPr>
            </w:pPr>
            <w:r w:rsidRPr="007761C2">
              <w:rPr>
                <w:rFonts w:asciiTheme="minorHAnsi" w:hAnsiTheme="minorHAnsi" w:cstheme="minorHAnsi"/>
                <w:color w:val="000000"/>
                <w:sz w:val="20"/>
              </w:rPr>
              <w:t>Cross currency interest rate swaps</w:t>
            </w:r>
          </w:p>
        </w:tc>
        <w:tc>
          <w:tcPr>
            <w:tcW w:w="1275" w:type="dxa"/>
            <w:tcBorders>
              <w:bottom w:val="single" w:sz="4" w:space="0" w:color="auto"/>
            </w:tcBorders>
          </w:tcPr>
          <w:p w14:paraId="1031DD4B"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64034050"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3.4</w:t>
            </w:r>
          </w:p>
        </w:tc>
        <w:tc>
          <w:tcPr>
            <w:tcW w:w="1276" w:type="dxa"/>
            <w:tcBorders>
              <w:bottom w:val="single" w:sz="4" w:space="0" w:color="auto"/>
            </w:tcBorders>
          </w:tcPr>
          <w:p w14:paraId="6BC7347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bottom w:val="single" w:sz="4" w:space="0" w:color="auto"/>
            </w:tcBorders>
          </w:tcPr>
          <w:p w14:paraId="5435DA81"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334D6600" w14:textId="77777777" w:rsidTr="00453AFA">
        <w:tc>
          <w:tcPr>
            <w:tcW w:w="4820" w:type="dxa"/>
            <w:tcBorders>
              <w:top w:val="single" w:sz="4" w:space="0" w:color="auto"/>
            </w:tcBorders>
            <w:vAlign w:val="bottom"/>
          </w:tcPr>
          <w:p w14:paraId="461CC613" w14:textId="77777777" w:rsidR="00323BB2" w:rsidRPr="007761C2" w:rsidRDefault="00323BB2" w:rsidP="00453AFA">
            <w:pPr>
              <w:jc w:val="both"/>
              <w:rPr>
                <w:rFonts w:asciiTheme="minorHAnsi" w:hAnsiTheme="minorHAnsi" w:cstheme="minorHAnsi"/>
                <w:color w:val="000000"/>
                <w:sz w:val="20"/>
              </w:rPr>
            </w:pPr>
            <w:r w:rsidRPr="007761C2">
              <w:rPr>
                <w:rFonts w:asciiTheme="minorHAnsi" w:hAnsiTheme="minorHAnsi" w:cstheme="minorHAnsi"/>
                <w:b/>
                <w:color w:val="000000"/>
                <w:sz w:val="20"/>
              </w:rPr>
              <w:t>Total derivatives designated as net investment hedges</w:t>
            </w:r>
          </w:p>
        </w:tc>
        <w:tc>
          <w:tcPr>
            <w:tcW w:w="1275" w:type="dxa"/>
            <w:tcBorders>
              <w:top w:val="single" w:sz="4" w:space="0" w:color="auto"/>
            </w:tcBorders>
          </w:tcPr>
          <w:p w14:paraId="58E7AAEE"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top w:val="single" w:sz="4" w:space="0" w:color="auto"/>
            </w:tcBorders>
          </w:tcPr>
          <w:p w14:paraId="4A95591B"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3.4</w:t>
            </w:r>
          </w:p>
        </w:tc>
        <w:tc>
          <w:tcPr>
            <w:tcW w:w="1276" w:type="dxa"/>
            <w:tcBorders>
              <w:top w:val="single" w:sz="4" w:space="0" w:color="auto"/>
            </w:tcBorders>
          </w:tcPr>
          <w:p w14:paraId="5E88492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top w:val="single" w:sz="4" w:space="0" w:color="auto"/>
            </w:tcBorders>
          </w:tcPr>
          <w:p w14:paraId="2D6C6AE4"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474FDB9A" w14:textId="77777777" w:rsidTr="00453AFA">
        <w:tc>
          <w:tcPr>
            <w:tcW w:w="4820" w:type="dxa"/>
            <w:tcBorders>
              <w:bottom w:val="single" w:sz="4" w:space="0" w:color="auto"/>
            </w:tcBorders>
            <w:vAlign w:val="bottom"/>
          </w:tcPr>
          <w:p w14:paraId="3B4ED82E" w14:textId="77777777" w:rsidR="00323BB2" w:rsidRPr="007761C2" w:rsidRDefault="00323BB2" w:rsidP="00453AFA">
            <w:pPr>
              <w:jc w:val="both"/>
              <w:rPr>
                <w:rFonts w:asciiTheme="minorHAnsi" w:hAnsiTheme="minorHAnsi" w:cstheme="minorHAnsi"/>
                <w:b/>
                <w:color w:val="000000"/>
                <w:sz w:val="20"/>
              </w:rPr>
            </w:pPr>
          </w:p>
        </w:tc>
        <w:tc>
          <w:tcPr>
            <w:tcW w:w="1275" w:type="dxa"/>
            <w:tcBorders>
              <w:bottom w:val="single" w:sz="4" w:space="0" w:color="auto"/>
            </w:tcBorders>
          </w:tcPr>
          <w:p w14:paraId="5AC82FCE"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4CDEDC89"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1CBF406C"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7017421A" w14:textId="77777777" w:rsidR="00323BB2" w:rsidRPr="007761C2" w:rsidRDefault="00323BB2" w:rsidP="00453AFA">
            <w:pPr>
              <w:jc w:val="right"/>
              <w:rPr>
                <w:rFonts w:asciiTheme="minorHAnsi" w:hAnsiTheme="minorHAnsi"/>
                <w:bCs/>
                <w:sz w:val="20"/>
                <w:lang w:val="en-IE"/>
              </w:rPr>
            </w:pPr>
          </w:p>
        </w:tc>
      </w:tr>
      <w:tr w:rsidR="00323BB2" w:rsidRPr="007761C2" w14:paraId="53A039D6" w14:textId="77777777" w:rsidTr="00453AFA">
        <w:tc>
          <w:tcPr>
            <w:tcW w:w="4820" w:type="dxa"/>
            <w:tcBorders>
              <w:top w:val="single" w:sz="4" w:space="0" w:color="auto"/>
              <w:bottom w:val="single" w:sz="4" w:space="0" w:color="auto"/>
            </w:tcBorders>
            <w:vAlign w:val="bottom"/>
          </w:tcPr>
          <w:p w14:paraId="5DA87C09" w14:textId="77777777" w:rsidR="00323BB2" w:rsidRPr="007761C2" w:rsidRDefault="00323BB2" w:rsidP="00453AFA">
            <w:pPr>
              <w:jc w:val="both"/>
              <w:rPr>
                <w:rFonts w:asciiTheme="minorHAnsi" w:hAnsiTheme="minorHAnsi" w:cstheme="minorHAnsi"/>
                <w:b/>
                <w:color w:val="000000"/>
                <w:sz w:val="20"/>
              </w:rPr>
            </w:pPr>
            <w:r w:rsidRPr="007761C2">
              <w:rPr>
                <w:rFonts w:asciiTheme="minorHAnsi" w:hAnsiTheme="minorHAnsi" w:cstheme="minorHAnsi"/>
                <w:b/>
                <w:color w:val="000000"/>
                <w:sz w:val="20"/>
              </w:rPr>
              <w:t>Total derivatives held for hedging</w:t>
            </w:r>
          </w:p>
        </w:tc>
        <w:tc>
          <w:tcPr>
            <w:tcW w:w="1275" w:type="dxa"/>
            <w:tcBorders>
              <w:top w:val="single" w:sz="4" w:space="0" w:color="auto"/>
              <w:bottom w:val="single" w:sz="4" w:space="0" w:color="auto"/>
            </w:tcBorders>
          </w:tcPr>
          <w:p w14:paraId="23AB3DFD"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31.6</w:t>
            </w:r>
          </w:p>
        </w:tc>
        <w:tc>
          <w:tcPr>
            <w:tcW w:w="1276" w:type="dxa"/>
            <w:tcBorders>
              <w:top w:val="single" w:sz="4" w:space="0" w:color="auto"/>
              <w:bottom w:val="single" w:sz="4" w:space="0" w:color="auto"/>
            </w:tcBorders>
          </w:tcPr>
          <w:p w14:paraId="7B75C8C8"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40.0</w:t>
            </w:r>
          </w:p>
        </w:tc>
        <w:tc>
          <w:tcPr>
            <w:tcW w:w="1276" w:type="dxa"/>
            <w:tcBorders>
              <w:top w:val="single" w:sz="4" w:space="0" w:color="auto"/>
              <w:bottom w:val="single" w:sz="4" w:space="0" w:color="auto"/>
            </w:tcBorders>
          </w:tcPr>
          <w:p w14:paraId="70A4917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top w:val="single" w:sz="4" w:space="0" w:color="auto"/>
              <w:bottom w:val="single" w:sz="4" w:space="0" w:color="auto"/>
            </w:tcBorders>
          </w:tcPr>
          <w:p w14:paraId="746EA441"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r>
      <w:tr w:rsidR="00323BB2" w:rsidRPr="007761C2" w14:paraId="14FFE724" w14:textId="77777777" w:rsidTr="00453AFA">
        <w:tc>
          <w:tcPr>
            <w:tcW w:w="4820" w:type="dxa"/>
            <w:tcBorders>
              <w:top w:val="single" w:sz="4" w:space="0" w:color="auto"/>
            </w:tcBorders>
            <w:vAlign w:val="bottom"/>
          </w:tcPr>
          <w:p w14:paraId="44D7BA0F" w14:textId="77777777" w:rsidR="00323BB2" w:rsidRPr="007761C2" w:rsidRDefault="00323BB2" w:rsidP="00453AFA">
            <w:pPr>
              <w:jc w:val="both"/>
              <w:rPr>
                <w:rFonts w:asciiTheme="minorHAnsi" w:hAnsiTheme="minorHAnsi" w:cstheme="minorHAnsi"/>
                <w:b/>
                <w:color w:val="000000"/>
                <w:sz w:val="20"/>
              </w:rPr>
            </w:pPr>
          </w:p>
        </w:tc>
        <w:tc>
          <w:tcPr>
            <w:tcW w:w="1275" w:type="dxa"/>
            <w:tcBorders>
              <w:top w:val="single" w:sz="4" w:space="0" w:color="auto"/>
            </w:tcBorders>
          </w:tcPr>
          <w:p w14:paraId="230999D5" w14:textId="77777777" w:rsidR="00323BB2" w:rsidRPr="007761C2" w:rsidRDefault="00323BB2" w:rsidP="00453AFA">
            <w:pPr>
              <w:jc w:val="right"/>
              <w:rPr>
                <w:rFonts w:asciiTheme="minorHAnsi" w:hAnsiTheme="minorHAnsi"/>
                <w:bCs/>
                <w:sz w:val="20"/>
                <w:lang w:val="en-IE"/>
              </w:rPr>
            </w:pPr>
          </w:p>
        </w:tc>
        <w:tc>
          <w:tcPr>
            <w:tcW w:w="1276" w:type="dxa"/>
            <w:tcBorders>
              <w:top w:val="single" w:sz="4" w:space="0" w:color="auto"/>
            </w:tcBorders>
          </w:tcPr>
          <w:p w14:paraId="425F45B0" w14:textId="77777777" w:rsidR="00323BB2" w:rsidRPr="007761C2" w:rsidRDefault="00323BB2" w:rsidP="00453AFA">
            <w:pPr>
              <w:jc w:val="right"/>
              <w:rPr>
                <w:rFonts w:asciiTheme="minorHAnsi" w:hAnsiTheme="minorHAnsi"/>
                <w:bCs/>
                <w:sz w:val="20"/>
                <w:lang w:val="en-IE"/>
              </w:rPr>
            </w:pPr>
          </w:p>
        </w:tc>
        <w:tc>
          <w:tcPr>
            <w:tcW w:w="1276" w:type="dxa"/>
            <w:tcBorders>
              <w:top w:val="single" w:sz="4" w:space="0" w:color="auto"/>
            </w:tcBorders>
          </w:tcPr>
          <w:p w14:paraId="5C014B73" w14:textId="77777777" w:rsidR="00323BB2" w:rsidRPr="007761C2" w:rsidRDefault="00323BB2" w:rsidP="00453AFA">
            <w:pPr>
              <w:jc w:val="right"/>
              <w:rPr>
                <w:rFonts w:asciiTheme="minorHAnsi" w:hAnsiTheme="minorHAnsi"/>
                <w:bCs/>
                <w:sz w:val="20"/>
                <w:lang w:val="en-IE"/>
              </w:rPr>
            </w:pPr>
          </w:p>
        </w:tc>
        <w:tc>
          <w:tcPr>
            <w:tcW w:w="1276" w:type="dxa"/>
            <w:tcBorders>
              <w:top w:val="single" w:sz="4" w:space="0" w:color="auto"/>
            </w:tcBorders>
          </w:tcPr>
          <w:p w14:paraId="38B864CD" w14:textId="77777777" w:rsidR="00323BB2" w:rsidRPr="007761C2" w:rsidRDefault="00323BB2" w:rsidP="00453AFA">
            <w:pPr>
              <w:jc w:val="right"/>
              <w:rPr>
                <w:rFonts w:asciiTheme="minorHAnsi" w:hAnsiTheme="minorHAnsi"/>
                <w:bCs/>
                <w:sz w:val="20"/>
                <w:lang w:val="en-IE"/>
              </w:rPr>
            </w:pPr>
          </w:p>
        </w:tc>
      </w:tr>
      <w:tr w:rsidR="00323BB2" w:rsidRPr="007761C2" w14:paraId="5565C7D5" w14:textId="77777777" w:rsidTr="00453AFA">
        <w:tc>
          <w:tcPr>
            <w:tcW w:w="4820" w:type="dxa"/>
            <w:vAlign w:val="bottom"/>
          </w:tcPr>
          <w:p w14:paraId="3852FB50" w14:textId="77777777" w:rsidR="00323BB2" w:rsidRPr="007761C2" w:rsidRDefault="00323BB2" w:rsidP="00453AFA">
            <w:pPr>
              <w:jc w:val="both"/>
              <w:rPr>
                <w:rFonts w:asciiTheme="minorHAnsi" w:hAnsiTheme="minorHAnsi" w:cstheme="minorHAnsi"/>
                <w:b/>
                <w:color w:val="000000"/>
                <w:sz w:val="20"/>
              </w:rPr>
            </w:pPr>
            <w:r w:rsidRPr="007761C2">
              <w:rPr>
                <w:rFonts w:asciiTheme="minorHAnsi" w:hAnsiTheme="minorHAnsi" w:cstheme="minorHAnsi"/>
                <w:b/>
                <w:color w:val="000000"/>
                <w:sz w:val="20"/>
              </w:rPr>
              <w:t>Derivatives held for risk management and other purposes not designated as hedges</w:t>
            </w:r>
          </w:p>
        </w:tc>
        <w:tc>
          <w:tcPr>
            <w:tcW w:w="1275" w:type="dxa"/>
          </w:tcPr>
          <w:p w14:paraId="627FFE7B" w14:textId="77777777" w:rsidR="00323BB2" w:rsidRPr="007761C2" w:rsidRDefault="00323BB2" w:rsidP="00453AFA">
            <w:pPr>
              <w:jc w:val="right"/>
              <w:rPr>
                <w:rFonts w:asciiTheme="minorHAnsi" w:hAnsiTheme="minorHAnsi"/>
                <w:bCs/>
                <w:sz w:val="20"/>
                <w:lang w:val="en-IE"/>
              </w:rPr>
            </w:pPr>
          </w:p>
        </w:tc>
        <w:tc>
          <w:tcPr>
            <w:tcW w:w="1276" w:type="dxa"/>
          </w:tcPr>
          <w:p w14:paraId="6352AD64" w14:textId="77777777" w:rsidR="00323BB2" w:rsidRPr="007761C2" w:rsidRDefault="00323BB2" w:rsidP="00453AFA">
            <w:pPr>
              <w:jc w:val="right"/>
              <w:rPr>
                <w:rFonts w:asciiTheme="minorHAnsi" w:hAnsiTheme="minorHAnsi"/>
                <w:bCs/>
                <w:sz w:val="20"/>
                <w:lang w:val="en-IE"/>
              </w:rPr>
            </w:pPr>
          </w:p>
        </w:tc>
        <w:tc>
          <w:tcPr>
            <w:tcW w:w="1276" w:type="dxa"/>
          </w:tcPr>
          <w:p w14:paraId="75D2C711" w14:textId="77777777" w:rsidR="00323BB2" w:rsidRPr="007761C2" w:rsidRDefault="00323BB2" w:rsidP="00453AFA">
            <w:pPr>
              <w:jc w:val="right"/>
              <w:rPr>
                <w:rFonts w:asciiTheme="minorHAnsi" w:hAnsiTheme="minorHAnsi"/>
                <w:bCs/>
                <w:sz w:val="20"/>
                <w:lang w:val="en-IE"/>
              </w:rPr>
            </w:pPr>
          </w:p>
        </w:tc>
        <w:tc>
          <w:tcPr>
            <w:tcW w:w="1276" w:type="dxa"/>
          </w:tcPr>
          <w:p w14:paraId="322BCD0A" w14:textId="77777777" w:rsidR="00323BB2" w:rsidRPr="007761C2" w:rsidRDefault="00323BB2" w:rsidP="00453AFA">
            <w:pPr>
              <w:jc w:val="right"/>
              <w:rPr>
                <w:rFonts w:asciiTheme="minorHAnsi" w:hAnsiTheme="minorHAnsi"/>
                <w:bCs/>
                <w:sz w:val="20"/>
                <w:lang w:val="en-IE"/>
              </w:rPr>
            </w:pPr>
          </w:p>
        </w:tc>
      </w:tr>
      <w:tr w:rsidR="00323BB2" w:rsidRPr="007761C2" w14:paraId="3D215021" w14:textId="77777777" w:rsidTr="00453AFA">
        <w:tc>
          <w:tcPr>
            <w:tcW w:w="4820" w:type="dxa"/>
            <w:tcBorders>
              <w:bottom w:val="single" w:sz="4" w:space="0" w:color="auto"/>
            </w:tcBorders>
            <w:vAlign w:val="bottom"/>
          </w:tcPr>
          <w:p w14:paraId="3CB00FFE" w14:textId="77777777" w:rsidR="00323BB2" w:rsidRPr="007761C2" w:rsidRDefault="00323BB2" w:rsidP="00453AFA">
            <w:pPr>
              <w:jc w:val="both"/>
              <w:rPr>
                <w:rFonts w:asciiTheme="minorHAnsi" w:hAnsiTheme="minorHAnsi" w:cstheme="minorHAnsi"/>
                <w:color w:val="000000"/>
                <w:sz w:val="20"/>
              </w:rPr>
            </w:pPr>
            <w:r>
              <w:rPr>
                <w:rFonts w:asciiTheme="minorHAnsi" w:hAnsiTheme="minorHAnsi" w:cstheme="minorHAnsi"/>
                <w:color w:val="000000"/>
                <w:sz w:val="20"/>
              </w:rPr>
              <w:t>Sports betting open positions</w:t>
            </w:r>
          </w:p>
        </w:tc>
        <w:tc>
          <w:tcPr>
            <w:tcW w:w="1275" w:type="dxa"/>
            <w:tcBorders>
              <w:bottom w:val="single" w:sz="4" w:space="0" w:color="auto"/>
            </w:tcBorders>
          </w:tcPr>
          <w:p w14:paraId="49626667"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bottom w:val="single" w:sz="4" w:space="0" w:color="auto"/>
            </w:tcBorders>
          </w:tcPr>
          <w:p w14:paraId="5EFF632B"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32.3</w:t>
            </w:r>
          </w:p>
        </w:tc>
        <w:tc>
          <w:tcPr>
            <w:tcW w:w="1276" w:type="dxa"/>
            <w:tcBorders>
              <w:bottom w:val="single" w:sz="4" w:space="0" w:color="auto"/>
            </w:tcBorders>
          </w:tcPr>
          <w:p w14:paraId="068C5C17"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bottom w:val="single" w:sz="4" w:space="0" w:color="auto"/>
            </w:tcBorders>
          </w:tcPr>
          <w:p w14:paraId="51B58E4F"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21.1</w:t>
            </w:r>
          </w:p>
        </w:tc>
      </w:tr>
      <w:tr w:rsidR="00323BB2" w:rsidRPr="007761C2" w14:paraId="26DAB83A" w14:textId="77777777" w:rsidTr="00453AFA">
        <w:tc>
          <w:tcPr>
            <w:tcW w:w="4820" w:type="dxa"/>
            <w:tcBorders>
              <w:top w:val="single" w:sz="4" w:space="0" w:color="auto"/>
              <w:bottom w:val="single" w:sz="4" w:space="0" w:color="auto"/>
            </w:tcBorders>
            <w:vAlign w:val="bottom"/>
          </w:tcPr>
          <w:p w14:paraId="420BDD40" w14:textId="77777777" w:rsidR="00323BB2" w:rsidRPr="007761C2" w:rsidRDefault="00323BB2" w:rsidP="00453AFA">
            <w:pPr>
              <w:jc w:val="both"/>
              <w:rPr>
                <w:rFonts w:asciiTheme="minorHAnsi" w:hAnsiTheme="minorHAnsi" w:cstheme="minorHAnsi"/>
                <w:color w:val="000000"/>
                <w:sz w:val="20"/>
              </w:rPr>
            </w:pPr>
            <w:r w:rsidRPr="007761C2">
              <w:rPr>
                <w:rFonts w:asciiTheme="minorHAnsi" w:hAnsiTheme="minorHAnsi" w:cstheme="minorHAnsi"/>
                <w:b/>
                <w:color w:val="000000"/>
                <w:sz w:val="20"/>
              </w:rPr>
              <w:t>Total derivatives held for risk management and other purposes not designated as hedges</w:t>
            </w:r>
          </w:p>
        </w:tc>
        <w:tc>
          <w:tcPr>
            <w:tcW w:w="1275" w:type="dxa"/>
            <w:tcBorders>
              <w:top w:val="single" w:sz="4" w:space="0" w:color="auto"/>
              <w:bottom w:val="single" w:sz="4" w:space="0" w:color="auto"/>
            </w:tcBorders>
          </w:tcPr>
          <w:p w14:paraId="5C33C33B" w14:textId="77777777" w:rsidR="00323BB2" w:rsidRPr="007761C2" w:rsidRDefault="00323BB2" w:rsidP="00453AFA">
            <w:pPr>
              <w:jc w:val="right"/>
              <w:rPr>
                <w:rFonts w:asciiTheme="minorHAnsi" w:hAnsiTheme="minorHAnsi"/>
                <w:bCs/>
                <w:sz w:val="20"/>
                <w:lang w:val="en-IE"/>
              </w:rPr>
            </w:pPr>
          </w:p>
          <w:p w14:paraId="48D58640" w14:textId="77777777" w:rsidR="00323BB2" w:rsidRPr="007761C2" w:rsidRDefault="00323BB2" w:rsidP="00453AFA">
            <w:pPr>
              <w:jc w:val="right"/>
              <w:rPr>
                <w:rFonts w:asciiTheme="minorHAnsi" w:hAnsiTheme="minorHAnsi"/>
                <w:bCs/>
                <w:sz w:val="20"/>
                <w:lang w:val="en-IE"/>
              </w:rPr>
            </w:pPr>
            <w:r>
              <w:rPr>
                <w:rFonts w:asciiTheme="minorHAnsi" w:hAnsiTheme="minorHAnsi"/>
                <w:bCs/>
                <w:sz w:val="20"/>
                <w:lang w:val="en-IE"/>
              </w:rPr>
              <w:t>-</w:t>
            </w:r>
          </w:p>
        </w:tc>
        <w:tc>
          <w:tcPr>
            <w:tcW w:w="1276" w:type="dxa"/>
            <w:tcBorders>
              <w:top w:val="single" w:sz="4" w:space="0" w:color="auto"/>
              <w:bottom w:val="single" w:sz="4" w:space="0" w:color="auto"/>
            </w:tcBorders>
          </w:tcPr>
          <w:p w14:paraId="428C1A98" w14:textId="77777777" w:rsidR="00323BB2" w:rsidRPr="007761C2" w:rsidRDefault="00323BB2" w:rsidP="00453AFA">
            <w:pPr>
              <w:jc w:val="right"/>
              <w:rPr>
                <w:rFonts w:asciiTheme="minorHAnsi" w:hAnsiTheme="minorHAnsi"/>
                <w:bCs/>
                <w:sz w:val="20"/>
                <w:lang w:val="en-IE"/>
              </w:rPr>
            </w:pPr>
          </w:p>
          <w:p w14:paraId="13E50ECA" w14:textId="77777777" w:rsidR="00323BB2" w:rsidRPr="007761C2" w:rsidRDefault="00323BB2" w:rsidP="00453AFA">
            <w:pPr>
              <w:jc w:val="right"/>
              <w:rPr>
                <w:rFonts w:asciiTheme="minorHAnsi" w:hAnsiTheme="minorHAnsi"/>
                <w:bCs/>
                <w:sz w:val="20"/>
                <w:lang w:val="en-IE"/>
              </w:rPr>
            </w:pPr>
            <w:r>
              <w:rPr>
                <w:rFonts w:asciiTheme="minorHAnsi" w:hAnsiTheme="minorHAnsi"/>
                <w:bCs/>
                <w:sz w:val="20"/>
                <w:lang w:val="en-IE"/>
              </w:rPr>
              <w:t>32.3</w:t>
            </w:r>
          </w:p>
        </w:tc>
        <w:tc>
          <w:tcPr>
            <w:tcW w:w="1276" w:type="dxa"/>
            <w:tcBorders>
              <w:top w:val="single" w:sz="4" w:space="0" w:color="auto"/>
              <w:bottom w:val="single" w:sz="4" w:space="0" w:color="auto"/>
            </w:tcBorders>
          </w:tcPr>
          <w:p w14:paraId="55751F7E" w14:textId="77777777" w:rsidR="00323BB2" w:rsidRPr="007761C2" w:rsidRDefault="00323BB2" w:rsidP="00453AFA">
            <w:pPr>
              <w:jc w:val="right"/>
              <w:rPr>
                <w:rFonts w:asciiTheme="minorHAnsi" w:hAnsiTheme="minorHAnsi"/>
                <w:bCs/>
                <w:sz w:val="20"/>
                <w:lang w:val="en-IE"/>
              </w:rPr>
            </w:pPr>
          </w:p>
          <w:p w14:paraId="094602E3"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w:t>
            </w:r>
          </w:p>
        </w:tc>
        <w:tc>
          <w:tcPr>
            <w:tcW w:w="1276" w:type="dxa"/>
            <w:tcBorders>
              <w:top w:val="single" w:sz="4" w:space="0" w:color="auto"/>
              <w:bottom w:val="single" w:sz="4" w:space="0" w:color="auto"/>
            </w:tcBorders>
          </w:tcPr>
          <w:p w14:paraId="5DE97755" w14:textId="77777777" w:rsidR="00323BB2" w:rsidRPr="007761C2" w:rsidRDefault="00323BB2" w:rsidP="00453AFA">
            <w:pPr>
              <w:jc w:val="right"/>
              <w:rPr>
                <w:rFonts w:asciiTheme="minorHAnsi" w:hAnsiTheme="minorHAnsi"/>
                <w:bCs/>
                <w:sz w:val="20"/>
                <w:lang w:val="en-IE"/>
              </w:rPr>
            </w:pPr>
          </w:p>
          <w:p w14:paraId="6093F2E9" w14:textId="77777777" w:rsidR="00323BB2" w:rsidRPr="007761C2" w:rsidRDefault="00323BB2" w:rsidP="00453AFA">
            <w:pPr>
              <w:jc w:val="right"/>
              <w:rPr>
                <w:rFonts w:asciiTheme="minorHAnsi" w:hAnsiTheme="minorHAnsi"/>
                <w:bCs/>
                <w:sz w:val="20"/>
                <w:lang w:val="en-IE"/>
              </w:rPr>
            </w:pPr>
            <w:r w:rsidRPr="007761C2">
              <w:rPr>
                <w:rFonts w:asciiTheme="minorHAnsi" w:hAnsiTheme="minorHAnsi"/>
                <w:bCs/>
                <w:sz w:val="20"/>
                <w:lang w:val="en-IE"/>
              </w:rPr>
              <w:t>21.1</w:t>
            </w:r>
          </w:p>
        </w:tc>
      </w:tr>
      <w:tr w:rsidR="00323BB2" w:rsidRPr="007761C2" w14:paraId="1BE86670" w14:textId="77777777" w:rsidTr="00453AFA">
        <w:tc>
          <w:tcPr>
            <w:tcW w:w="4820" w:type="dxa"/>
            <w:tcBorders>
              <w:top w:val="single" w:sz="4" w:space="0" w:color="auto"/>
            </w:tcBorders>
            <w:vAlign w:val="bottom"/>
          </w:tcPr>
          <w:p w14:paraId="2FDA4BE8" w14:textId="77777777" w:rsidR="00323BB2" w:rsidRDefault="00323BB2" w:rsidP="00453AFA">
            <w:pPr>
              <w:jc w:val="both"/>
              <w:rPr>
                <w:rFonts w:asciiTheme="minorHAnsi" w:hAnsiTheme="minorHAnsi" w:cstheme="minorHAnsi"/>
                <w:b/>
                <w:color w:val="000000"/>
                <w:sz w:val="20"/>
              </w:rPr>
            </w:pPr>
          </w:p>
        </w:tc>
        <w:tc>
          <w:tcPr>
            <w:tcW w:w="1275" w:type="dxa"/>
            <w:tcBorders>
              <w:top w:val="single" w:sz="4" w:space="0" w:color="auto"/>
            </w:tcBorders>
          </w:tcPr>
          <w:p w14:paraId="649EDE04" w14:textId="77777777" w:rsidR="00323BB2" w:rsidRPr="007761C2" w:rsidRDefault="00323BB2" w:rsidP="00453AFA">
            <w:pPr>
              <w:jc w:val="right"/>
              <w:rPr>
                <w:rFonts w:asciiTheme="minorHAnsi" w:hAnsiTheme="minorHAnsi"/>
                <w:bCs/>
                <w:sz w:val="20"/>
                <w:lang w:val="en-IE"/>
              </w:rPr>
            </w:pPr>
          </w:p>
        </w:tc>
        <w:tc>
          <w:tcPr>
            <w:tcW w:w="1276" w:type="dxa"/>
            <w:tcBorders>
              <w:top w:val="single" w:sz="4" w:space="0" w:color="auto"/>
            </w:tcBorders>
          </w:tcPr>
          <w:p w14:paraId="3DB83E62" w14:textId="77777777" w:rsidR="00323BB2" w:rsidRPr="007761C2" w:rsidRDefault="00323BB2" w:rsidP="00453AFA">
            <w:pPr>
              <w:jc w:val="right"/>
              <w:rPr>
                <w:rFonts w:asciiTheme="minorHAnsi" w:hAnsiTheme="minorHAnsi"/>
                <w:bCs/>
                <w:sz w:val="20"/>
                <w:lang w:val="en-IE"/>
              </w:rPr>
            </w:pPr>
          </w:p>
        </w:tc>
        <w:tc>
          <w:tcPr>
            <w:tcW w:w="1276" w:type="dxa"/>
            <w:tcBorders>
              <w:top w:val="single" w:sz="4" w:space="0" w:color="auto"/>
            </w:tcBorders>
          </w:tcPr>
          <w:p w14:paraId="603E03E6" w14:textId="77777777" w:rsidR="00323BB2" w:rsidRPr="007761C2" w:rsidRDefault="00323BB2" w:rsidP="00453AFA">
            <w:pPr>
              <w:jc w:val="right"/>
              <w:rPr>
                <w:rFonts w:asciiTheme="minorHAnsi" w:hAnsiTheme="minorHAnsi"/>
                <w:bCs/>
                <w:sz w:val="20"/>
                <w:lang w:val="en-IE"/>
              </w:rPr>
            </w:pPr>
          </w:p>
        </w:tc>
        <w:tc>
          <w:tcPr>
            <w:tcW w:w="1276" w:type="dxa"/>
            <w:tcBorders>
              <w:top w:val="single" w:sz="4" w:space="0" w:color="auto"/>
            </w:tcBorders>
          </w:tcPr>
          <w:p w14:paraId="462887A4" w14:textId="77777777" w:rsidR="00323BB2" w:rsidRPr="007761C2" w:rsidRDefault="00323BB2" w:rsidP="00453AFA">
            <w:pPr>
              <w:jc w:val="right"/>
              <w:rPr>
                <w:rFonts w:asciiTheme="minorHAnsi" w:hAnsiTheme="minorHAnsi"/>
                <w:bCs/>
                <w:sz w:val="20"/>
                <w:lang w:val="en-IE"/>
              </w:rPr>
            </w:pPr>
          </w:p>
        </w:tc>
      </w:tr>
      <w:tr w:rsidR="00323BB2" w:rsidRPr="007761C2" w14:paraId="378095A0" w14:textId="77777777" w:rsidTr="00453AFA">
        <w:tc>
          <w:tcPr>
            <w:tcW w:w="4820" w:type="dxa"/>
            <w:tcBorders>
              <w:bottom w:val="single" w:sz="4" w:space="0" w:color="auto"/>
            </w:tcBorders>
            <w:vAlign w:val="bottom"/>
          </w:tcPr>
          <w:p w14:paraId="3DAE9195" w14:textId="77777777" w:rsidR="00323BB2" w:rsidRPr="007761C2" w:rsidRDefault="00323BB2" w:rsidP="00453AFA">
            <w:pPr>
              <w:jc w:val="both"/>
              <w:rPr>
                <w:rFonts w:asciiTheme="minorHAnsi" w:hAnsiTheme="minorHAnsi" w:cstheme="minorHAnsi"/>
                <w:b/>
                <w:color w:val="000000"/>
                <w:sz w:val="20"/>
              </w:rPr>
            </w:pPr>
            <w:r>
              <w:rPr>
                <w:rFonts w:asciiTheme="minorHAnsi" w:hAnsiTheme="minorHAnsi" w:cstheme="minorHAnsi"/>
                <w:b/>
                <w:color w:val="000000"/>
                <w:sz w:val="20"/>
              </w:rPr>
              <w:t>Derivatives included within Borrowings</w:t>
            </w:r>
          </w:p>
        </w:tc>
        <w:tc>
          <w:tcPr>
            <w:tcW w:w="1275" w:type="dxa"/>
            <w:tcBorders>
              <w:bottom w:val="single" w:sz="4" w:space="0" w:color="auto"/>
            </w:tcBorders>
          </w:tcPr>
          <w:p w14:paraId="6D13D220"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2C70FD07"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05A7C280" w14:textId="77777777" w:rsidR="00323BB2" w:rsidRPr="007761C2" w:rsidRDefault="00323BB2" w:rsidP="00453AFA">
            <w:pPr>
              <w:jc w:val="right"/>
              <w:rPr>
                <w:rFonts w:asciiTheme="minorHAnsi" w:hAnsiTheme="minorHAnsi"/>
                <w:bCs/>
                <w:sz w:val="20"/>
                <w:lang w:val="en-IE"/>
              </w:rPr>
            </w:pPr>
          </w:p>
        </w:tc>
        <w:tc>
          <w:tcPr>
            <w:tcW w:w="1276" w:type="dxa"/>
            <w:tcBorders>
              <w:bottom w:val="single" w:sz="4" w:space="0" w:color="auto"/>
            </w:tcBorders>
          </w:tcPr>
          <w:p w14:paraId="0FDD4A85" w14:textId="77777777" w:rsidR="00323BB2" w:rsidRPr="007761C2" w:rsidRDefault="00323BB2" w:rsidP="00453AFA">
            <w:pPr>
              <w:jc w:val="right"/>
              <w:rPr>
                <w:rFonts w:asciiTheme="minorHAnsi" w:hAnsiTheme="minorHAnsi"/>
                <w:bCs/>
                <w:sz w:val="20"/>
                <w:lang w:val="en-IE"/>
              </w:rPr>
            </w:pPr>
          </w:p>
        </w:tc>
      </w:tr>
      <w:tr w:rsidR="00323BB2" w:rsidRPr="007761C2" w14:paraId="2C367BD5" w14:textId="77777777" w:rsidTr="00453AFA">
        <w:tc>
          <w:tcPr>
            <w:tcW w:w="4820" w:type="dxa"/>
            <w:tcBorders>
              <w:top w:val="single" w:sz="4" w:space="0" w:color="auto"/>
              <w:bottom w:val="single" w:sz="4" w:space="0" w:color="auto"/>
            </w:tcBorders>
            <w:vAlign w:val="bottom"/>
          </w:tcPr>
          <w:p w14:paraId="5AF8F5A3" w14:textId="77777777" w:rsidR="00323BB2" w:rsidRPr="000F4C46" w:rsidRDefault="00323BB2" w:rsidP="00453AFA">
            <w:pPr>
              <w:jc w:val="both"/>
              <w:rPr>
                <w:rFonts w:asciiTheme="minorHAnsi" w:hAnsiTheme="minorHAnsi" w:cstheme="minorHAnsi"/>
                <w:color w:val="000000"/>
                <w:sz w:val="20"/>
              </w:rPr>
            </w:pPr>
            <w:r w:rsidRPr="000F4C46">
              <w:rPr>
                <w:rFonts w:asciiTheme="minorHAnsi" w:hAnsiTheme="minorHAnsi" w:cstheme="minorHAnsi"/>
                <w:color w:val="000000"/>
                <w:sz w:val="20"/>
              </w:rPr>
              <w:t>Embedded derivatives</w:t>
            </w:r>
          </w:p>
        </w:tc>
        <w:tc>
          <w:tcPr>
            <w:tcW w:w="1275" w:type="dxa"/>
            <w:tcBorders>
              <w:top w:val="single" w:sz="4" w:space="0" w:color="auto"/>
              <w:bottom w:val="single" w:sz="4" w:space="0" w:color="auto"/>
            </w:tcBorders>
          </w:tcPr>
          <w:p w14:paraId="1BF4583E" w14:textId="77777777" w:rsidR="00323BB2" w:rsidRPr="007761C2" w:rsidRDefault="00323BB2" w:rsidP="00453AFA">
            <w:pPr>
              <w:jc w:val="right"/>
              <w:rPr>
                <w:rFonts w:asciiTheme="minorHAnsi" w:hAnsiTheme="minorHAnsi"/>
                <w:bCs/>
                <w:sz w:val="20"/>
                <w:lang w:val="en-IE"/>
              </w:rPr>
            </w:pPr>
            <w:r>
              <w:rPr>
                <w:rFonts w:asciiTheme="minorHAnsi" w:hAnsiTheme="minorHAnsi"/>
                <w:bCs/>
                <w:sz w:val="20"/>
                <w:lang w:val="en-IE"/>
              </w:rPr>
              <w:t>55.7</w:t>
            </w:r>
          </w:p>
        </w:tc>
        <w:tc>
          <w:tcPr>
            <w:tcW w:w="1276" w:type="dxa"/>
            <w:tcBorders>
              <w:top w:val="single" w:sz="4" w:space="0" w:color="auto"/>
              <w:bottom w:val="single" w:sz="4" w:space="0" w:color="auto"/>
            </w:tcBorders>
          </w:tcPr>
          <w:p w14:paraId="07E9F6D4" w14:textId="77777777" w:rsidR="00323BB2" w:rsidRPr="007761C2" w:rsidRDefault="00323BB2" w:rsidP="00453AFA">
            <w:pPr>
              <w:jc w:val="right"/>
              <w:rPr>
                <w:rFonts w:asciiTheme="minorHAnsi" w:hAnsiTheme="minorHAnsi"/>
                <w:bCs/>
                <w:sz w:val="20"/>
                <w:lang w:val="en-IE"/>
              </w:rPr>
            </w:pPr>
            <w:r>
              <w:rPr>
                <w:rFonts w:asciiTheme="minorHAnsi" w:hAnsiTheme="minorHAnsi"/>
                <w:bCs/>
                <w:sz w:val="20"/>
                <w:lang w:val="en-IE"/>
              </w:rPr>
              <w:t>11.6</w:t>
            </w:r>
          </w:p>
        </w:tc>
        <w:tc>
          <w:tcPr>
            <w:tcW w:w="1276" w:type="dxa"/>
            <w:tcBorders>
              <w:top w:val="single" w:sz="4" w:space="0" w:color="auto"/>
              <w:bottom w:val="single" w:sz="4" w:space="0" w:color="auto"/>
            </w:tcBorders>
          </w:tcPr>
          <w:p w14:paraId="35AECE40" w14:textId="77777777" w:rsidR="00323BB2" w:rsidRPr="007761C2" w:rsidRDefault="00323BB2" w:rsidP="00453AFA">
            <w:pPr>
              <w:jc w:val="right"/>
              <w:rPr>
                <w:rFonts w:asciiTheme="minorHAnsi" w:hAnsiTheme="minorHAnsi"/>
                <w:bCs/>
                <w:sz w:val="20"/>
                <w:lang w:val="en-IE"/>
              </w:rPr>
            </w:pPr>
            <w:r>
              <w:rPr>
                <w:rFonts w:asciiTheme="minorHAnsi" w:hAnsiTheme="minorHAnsi"/>
                <w:bCs/>
                <w:sz w:val="20"/>
                <w:lang w:val="en-IE"/>
              </w:rPr>
              <w:t>-</w:t>
            </w:r>
          </w:p>
        </w:tc>
        <w:tc>
          <w:tcPr>
            <w:tcW w:w="1276" w:type="dxa"/>
            <w:tcBorders>
              <w:top w:val="single" w:sz="4" w:space="0" w:color="auto"/>
              <w:bottom w:val="single" w:sz="4" w:space="0" w:color="auto"/>
            </w:tcBorders>
          </w:tcPr>
          <w:p w14:paraId="0E2B3FAD" w14:textId="77777777" w:rsidR="00323BB2" w:rsidRPr="007761C2" w:rsidRDefault="00323BB2" w:rsidP="00453AFA">
            <w:pPr>
              <w:jc w:val="right"/>
              <w:rPr>
                <w:rFonts w:asciiTheme="minorHAnsi" w:hAnsiTheme="minorHAnsi"/>
                <w:bCs/>
                <w:sz w:val="20"/>
                <w:lang w:val="en-IE"/>
              </w:rPr>
            </w:pPr>
            <w:r>
              <w:rPr>
                <w:rFonts w:asciiTheme="minorHAnsi" w:hAnsiTheme="minorHAnsi"/>
                <w:bCs/>
                <w:sz w:val="20"/>
                <w:lang w:val="en-IE"/>
              </w:rPr>
              <w:t>-</w:t>
            </w:r>
          </w:p>
        </w:tc>
      </w:tr>
    </w:tbl>
    <w:p w14:paraId="413965C2" w14:textId="77777777" w:rsidR="00323BB2" w:rsidRPr="007761C2" w:rsidRDefault="00323BB2" w:rsidP="00323BB2">
      <w:pPr>
        <w:rPr>
          <w:rFonts w:asciiTheme="minorHAnsi" w:hAnsiTheme="minorHAnsi"/>
          <w:bCs/>
          <w:sz w:val="20"/>
          <w:lang w:val="en-IE"/>
        </w:rPr>
      </w:pPr>
    </w:p>
    <w:p w14:paraId="520192FA" w14:textId="77777777" w:rsidR="00323BB2" w:rsidRPr="007761C2" w:rsidRDefault="00323BB2" w:rsidP="00323BB2">
      <w:pPr>
        <w:jc w:val="both"/>
        <w:rPr>
          <w:rFonts w:asciiTheme="minorHAnsi" w:hAnsiTheme="minorHAnsi" w:cstheme="minorHAnsi"/>
          <w:sz w:val="20"/>
        </w:rPr>
      </w:pPr>
    </w:p>
    <w:p w14:paraId="21704FF2" w14:textId="77777777" w:rsidR="00323BB2" w:rsidRPr="007761C2" w:rsidRDefault="00323BB2" w:rsidP="00323BB2">
      <w:pPr>
        <w:keepNext/>
        <w:keepLines/>
        <w:jc w:val="both"/>
        <w:rPr>
          <w:rFonts w:asciiTheme="minorHAnsi" w:hAnsiTheme="minorHAnsi" w:cstheme="minorHAnsi"/>
          <w:b/>
          <w:sz w:val="20"/>
        </w:rPr>
      </w:pPr>
      <w:r w:rsidRPr="007761C2">
        <w:rPr>
          <w:rFonts w:asciiTheme="minorHAnsi" w:hAnsiTheme="minorHAnsi" w:cstheme="minorHAnsi"/>
          <w:b/>
          <w:sz w:val="20"/>
        </w:rPr>
        <w:t>Hedge Accounting</w:t>
      </w:r>
    </w:p>
    <w:p w14:paraId="6CB7C98F" w14:textId="77777777" w:rsidR="00323BB2" w:rsidRPr="007761C2" w:rsidRDefault="00323BB2" w:rsidP="00323BB2">
      <w:pPr>
        <w:keepNext/>
        <w:keepLines/>
        <w:jc w:val="both"/>
        <w:rPr>
          <w:rFonts w:asciiTheme="minorHAnsi" w:hAnsiTheme="minorHAnsi" w:cstheme="minorHAnsi"/>
          <w:i/>
          <w:sz w:val="20"/>
        </w:rPr>
      </w:pPr>
    </w:p>
    <w:p w14:paraId="61BC5A33" w14:textId="77777777" w:rsidR="00323BB2" w:rsidRPr="007761C2" w:rsidRDefault="00323BB2" w:rsidP="00323BB2">
      <w:pPr>
        <w:keepNext/>
        <w:keepLines/>
        <w:rPr>
          <w:rFonts w:asciiTheme="minorHAnsi" w:hAnsiTheme="minorHAnsi" w:cstheme="minorHAnsi"/>
          <w:i/>
          <w:sz w:val="20"/>
        </w:rPr>
      </w:pPr>
      <w:r w:rsidRPr="007761C2">
        <w:rPr>
          <w:rFonts w:asciiTheme="minorHAnsi" w:hAnsiTheme="minorHAnsi" w:cstheme="minorHAnsi"/>
          <w:i/>
          <w:sz w:val="20"/>
        </w:rPr>
        <w:t>Cash flow hedge accounting</w:t>
      </w:r>
    </w:p>
    <w:p w14:paraId="11DD3C0F" w14:textId="77777777" w:rsidR="00323BB2" w:rsidRPr="007761C2" w:rsidRDefault="00323BB2" w:rsidP="00323BB2">
      <w:pPr>
        <w:keepNext/>
        <w:keepLines/>
        <w:rPr>
          <w:rFonts w:asciiTheme="minorHAnsi" w:hAnsiTheme="minorHAnsi" w:cstheme="minorHAnsi"/>
          <w:sz w:val="20"/>
        </w:rPr>
      </w:pPr>
    </w:p>
    <w:p w14:paraId="6F55C3A5"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In accordance with the Group’s risk management strategy, the Group acquired and entered into, as applicable, the Swap Agreements to mitigate the risk of fluctuation of coupon and principal cash flows due to changes in foreign currency rates and interest rates related to the USD First Term Lien Loan B and the Senior Notes.</w:t>
      </w:r>
    </w:p>
    <w:p w14:paraId="483F739F" w14:textId="77777777" w:rsidR="00323BB2" w:rsidRPr="007761C2" w:rsidRDefault="00323BB2" w:rsidP="00323BB2">
      <w:pPr>
        <w:keepNext/>
        <w:keepLines/>
        <w:rPr>
          <w:rFonts w:asciiTheme="minorHAnsi" w:hAnsiTheme="minorHAnsi" w:cstheme="minorHAnsi"/>
          <w:sz w:val="20"/>
        </w:rPr>
      </w:pPr>
    </w:p>
    <w:p w14:paraId="45437D24" w14:textId="77777777" w:rsidR="00323BB2" w:rsidRPr="007761C2" w:rsidRDefault="00323BB2" w:rsidP="00323BB2">
      <w:pPr>
        <w:keepNext/>
        <w:keepLines/>
        <w:rPr>
          <w:rFonts w:asciiTheme="minorHAnsi" w:hAnsiTheme="minorHAnsi" w:cstheme="minorHAnsi"/>
          <w:sz w:val="20"/>
        </w:rPr>
      </w:pPr>
      <w:r w:rsidRPr="007761C2">
        <w:rPr>
          <w:rFonts w:asciiTheme="minorHAnsi" w:hAnsiTheme="minorHAnsi" w:cstheme="minorHAnsi"/>
          <w:sz w:val="20"/>
        </w:rPr>
        <w:t>The Group assesses hedge effectiveness by comparing the changes in fair value of a hypothetical derivative reflecting the terms of the debt instrument issued due to movements in the applicable foreign currency exchange rate and benchmark interest rate with the changes in fair value of the cross-currency interest rate swaps and cross-currency swaps used to hedge the exposure, as applicable. The Group uses the hypothetical derivative method to determine the changes in fair value of the hedged item. The Group has identified the following possible sources of ineffectiveness in its cash flow hedge relationships:</w:t>
      </w:r>
    </w:p>
    <w:p w14:paraId="4924BAE0" w14:textId="77777777" w:rsidR="00323BB2" w:rsidRPr="007761C2" w:rsidRDefault="00323BB2" w:rsidP="00323BB2">
      <w:pPr>
        <w:keepNext/>
        <w:keepLines/>
        <w:rPr>
          <w:rFonts w:asciiTheme="minorHAnsi" w:hAnsiTheme="minorHAnsi" w:cstheme="minorHAnsi"/>
          <w:sz w:val="20"/>
        </w:rPr>
      </w:pPr>
    </w:p>
    <w:p w14:paraId="2121F353" w14:textId="77777777" w:rsidR="00323BB2" w:rsidRPr="007761C2" w:rsidRDefault="00323BB2" w:rsidP="009B6BB8">
      <w:pPr>
        <w:numPr>
          <w:ilvl w:val="0"/>
          <w:numId w:val="31"/>
        </w:numPr>
        <w:ind w:left="720"/>
        <w:rPr>
          <w:rFonts w:asciiTheme="minorHAnsi" w:hAnsiTheme="minorHAnsi" w:cstheme="minorHAnsi"/>
          <w:sz w:val="20"/>
        </w:rPr>
      </w:pPr>
      <w:r w:rsidRPr="007761C2">
        <w:rPr>
          <w:rFonts w:asciiTheme="minorHAnsi" w:hAnsiTheme="minorHAnsi" w:cstheme="minorHAnsi"/>
          <w:sz w:val="20"/>
        </w:rPr>
        <w:t xml:space="preserve">The use of derivatives as a protection against currency and interest rate risk creates an exposure to the derivative counterparty’s credit risk which is not offset by the hedged item. This risk is minimised by entering into derivatives with high credit quality counterparties. </w:t>
      </w:r>
    </w:p>
    <w:p w14:paraId="2E8089BA" w14:textId="77777777" w:rsidR="00323BB2" w:rsidRPr="007761C2" w:rsidRDefault="00323BB2" w:rsidP="009B6BB8">
      <w:pPr>
        <w:numPr>
          <w:ilvl w:val="0"/>
          <w:numId w:val="31"/>
        </w:numPr>
        <w:ind w:left="700"/>
        <w:rPr>
          <w:rFonts w:asciiTheme="minorHAnsi" w:hAnsiTheme="minorHAnsi" w:cstheme="minorHAnsi"/>
          <w:sz w:val="20"/>
        </w:rPr>
      </w:pPr>
      <w:r w:rsidRPr="007761C2">
        <w:rPr>
          <w:rFonts w:asciiTheme="minorHAnsi" w:hAnsiTheme="minorHAnsi" w:cstheme="minorHAnsi"/>
          <w:sz w:val="20"/>
        </w:rPr>
        <w:t>Difference in tenor of hedged items and hedging instruments.</w:t>
      </w:r>
    </w:p>
    <w:p w14:paraId="14305E7E" w14:textId="77777777" w:rsidR="00323BB2" w:rsidRPr="007761C2" w:rsidRDefault="00323BB2" w:rsidP="009B6BB8">
      <w:pPr>
        <w:keepNext/>
        <w:keepLines/>
        <w:numPr>
          <w:ilvl w:val="0"/>
          <w:numId w:val="31"/>
        </w:numPr>
        <w:ind w:left="700"/>
        <w:rPr>
          <w:rFonts w:asciiTheme="minorHAnsi" w:hAnsiTheme="minorHAnsi" w:cstheme="minorHAnsi"/>
          <w:sz w:val="20"/>
        </w:rPr>
      </w:pPr>
      <w:r w:rsidRPr="007761C2">
        <w:rPr>
          <w:rFonts w:asciiTheme="minorHAnsi" w:hAnsiTheme="minorHAnsi" w:cstheme="minorHAnsi"/>
          <w:sz w:val="20"/>
        </w:rPr>
        <w:t>Use of different discounting curves for hedged item and hedging instrument, because for cross-currency interest rate swaps the discounting curve used depends on collateralisation and the type of collateral used.</w:t>
      </w:r>
    </w:p>
    <w:p w14:paraId="1EA5CAE9" w14:textId="77777777" w:rsidR="00323BB2" w:rsidRPr="007761C2" w:rsidRDefault="00323BB2" w:rsidP="009B6BB8">
      <w:pPr>
        <w:numPr>
          <w:ilvl w:val="0"/>
          <w:numId w:val="31"/>
        </w:numPr>
        <w:ind w:left="700"/>
        <w:rPr>
          <w:rFonts w:asciiTheme="minorHAnsi" w:hAnsiTheme="minorHAnsi" w:cstheme="minorHAnsi"/>
          <w:sz w:val="20"/>
        </w:rPr>
      </w:pPr>
      <w:r w:rsidRPr="007761C2">
        <w:rPr>
          <w:rFonts w:asciiTheme="minorHAnsi" w:hAnsiTheme="minorHAnsi" w:cstheme="minorHAnsi"/>
          <w:sz w:val="20"/>
        </w:rPr>
        <w:t>Difference in timing of settlement of the hedging instrument and hedged item.</w:t>
      </w:r>
    </w:p>
    <w:p w14:paraId="59661CE4" w14:textId="77777777" w:rsidR="00323BB2" w:rsidRPr="007761C2" w:rsidRDefault="00323BB2" w:rsidP="009B6BB8">
      <w:pPr>
        <w:numPr>
          <w:ilvl w:val="0"/>
          <w:numId w:val="31"/>
        </w:numPr>
        <w:ind w:left="700"/>
        <w:rPr>
          <w:rFonts w:asciiTheme="minorHAnsi" w:hAnsiTheme="minorHAnsi" w:cstheme="minorHAnsi"/>
          <w:sz w:val="20"/>
        </w:rPr>
      </w:pPr>
      <w:r w:rsidRPr="007761C2">
        <w:rPr>
          <w:rFonts w:asciiTheme="minorHAnsi" w:hAnsiTheme="minorHAnsi" w:cstheme="minorHAnsi"/>
          <w:sz w:val="20"/>
        </w:rPr>
        <w:t>Designation of off-market hedging instruments.</w:t>
      </w:r>
    </w:p>
    <w:p w14:paraId="3D6F4546" w14:textId="77777777" w:rsidR="00323BB2" w:rsidRPr="007761C2" w:rsidRDefault="00323BB2" w:rsidP="00323BB2">
      <w:pPr>
        <w:jc w:val="both"/>
        <w:rPr>
          <w:rFonts w:asciiTheme="minorHAnsi" w:hAnsiTheme="minorHAnsi" w:cstheme="minorHAnsi"/>
          <w:sz w:val="20"/>
        </w:rPr>
      </w:pPr>
    </w:p>
    <w:p w14:paraId="70C15E3A" w14:textId="77777777" w:rsidR="00323BB2" w:rsidRPr="007761C2" w:rsidRDefault="00323BB2" w:rsidP="00323BB2">
      <w:pPr>
        <w:keepNext/>
        <w:keepLines/>
        <w:jc w:val="both"/>
        <w:rPr>
          <w:rFonts w:asciiTheme="minorHAnsi" w:hAnsiTheme="minorHAnsi" w:cstheme="minorHAnsi"/>
          <w:b/>
          <w:sz w:val="20"/>
        </w:rPr>
      </w:pPr>
      <w:r w:rsidRPr="007761C2">
        <w:rPr>
          <w:rFonts w:asciiTheme="minorHAnsi" w:hAnsiTheme="minorHAnsi" w:cstheme="minorHAnsi"/>
          <w:b/>
          <w:sz w:val="20"/>
        </w:rPr>
        <w:lastRenderedPageBreak/>
        <w:t>16. Derivatives (continued)</w:t>
      </w:r>
    </w:p>
    <w:p w14:paraId="4548C211" w14:textId="77777777" w:rsidR="00323BB2" w:rsidRPr="007761C2" w:rsidRDefault="00323BB2" w:rsidP="00323BB2">
      <w:pPr>
        <w:jc w:val="both"/>
        <w:rPr>
          <w:rFonts w:asciiTheme="minorHAnsi" w:hAnsiTheme="minorHAnsi" w:cstheme="minorHAnsi"/>
          <w:sz w:val="20"/>
        </w:rPr>
      </w:pPr>
    </w:p>
    <w:p w14:paraId="1349EEB4"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The EUR Cross-Currency Interest Rate Swaps were designated in cash flow hedge relationships to hedge the foreign exchange risk and interest rate risk on the USD First Term Lien Loan B bearing a minimum floating interest rate of 3.5% (USD three-month LIBOR plus a 3.5% margin, with a LIBOR floor of 0%). The Cross-Currency Swaps were designated in cash flow hedge relationships to hedge the foreign exchange risk on the Senior Notes.</w:t>
      </w:r>
    </w:p>
    <w:p w14:paraId="165731C8" w14:textId="77777777" w:rsidR="00323BB2" w:rsidRPr="007761C2" w:rsidRDefault="00323BB2" w:rsidP="00323BB2">
      <w:pPr>
        <w:keepNext/>
        <w:keepLines/>
        <w:rPr>
          <w:rFonts w:asciiTheme="minorHAnsi" w:hAnsiTheme="minorHAnsi" w:cstheme="minorHAnsi"/>
          <w:i/>
          <w:sz w:val="20"/>
        </w:rPr>
      </w:pPr>
    </w:p>
    <w:p w14:paraId="2A1D7696" w14:textId="77777777" w:rsidR="00323BB2" w:rsidRPr="007761C2" w:rsidRDefault="00323BB2" w:rsidP="00323BB2">
      <w:pPr>
        <w:keepNext/>
        <w:keepLines/>
        <w:rPr>
          <w:rFonts w:asciiTheme="minorHAnsi" w:hAnsiTheme="minorHAnsi" w:cstheme="minorHAnsi"/>
          <w:i/>
          <w:sz w:val="20"/>
        </w:rPr>
      </w:pPr>
      <w:r w:rsidRPr="007761C2">
        <w:rPr>
          <w:rFonts w:asciiTheme="minorHAnsi" w:hAnsiTheme="minorHAnsi" w:cstheme="minorHAnsi"/>
          <w:i/>
          <w:sz w:val="20"/>
        </w:rPr>
        <w:t>Net investment hedge accounting</w:t>
      </w:r>
    </w:p>
    <w:p w14:paraId="475B236C" w14:textId="77777777" w:rsidR="00323BB2" w:rsidRPr="007761C2" w:rsidRDefault="00323BB2" w:rsidP="00323BB2">
      <w:pPr>
        <w:keepNext/>
        <w:keepLines/>
        <w:rPr>
          <w:rFonts w:asciiTheme="minorHAnsi" w:hAnsiTheme="minorHAnsi" w:cstheme="minorHAnsi"/>
          <w:sz w:val="20"/>
        </w:rPr>
      </w:pPr>
    </w:p>
    <w:p w14:paraId="0E6AB24A" w14:textId="77777777" w:rsidR="00323BB2" w:rsidRPr="007761C2" w:rsidRDefault="00323BB2" w:rsidP="00323BB2">
      <w:pPr>
        <w:keepLines/>
        <w:rPr>
          <w:rFonts w:asciiTheme="minorHAnsi" w:hAnsiTheme="minorHAnsi" w:cstheme="minorHAnsi"/>
          <w:sz w:val="20"/>
        </w:rPr>
      </w:pPr>
      <w:r w:rsidRPr="007761C2">
        <w:rPr>
          <w:rFonts w:asciiTheme="minorHAnsi" w:hAnsiTheme="minorHAnsi" w:cstheme="minorHAnsi"/>
          <w:sz w:val="20"/>
        </w:rPr>
        <w:t>In accordance with the Group’s risk management strategy, the Group designates certain cross-currency interest rate swap contracts in net investment hedging relationships to mitigate the risk of changes in foreign currency rates with respect to the translation of assets and liabilities of subsidiaries with foreign functional currencies.</w:t>
      </w:r>
    </w:p>
    <w:p w14:paraId="2E46825F" w14:textId="77777777" w:rsidR="00323BB2" w:rsidRPr="007761C2" w:rsidRDefault="00323BB2" w:rsidP="00323BB2">
      <w:pPr>
        <w:rPr>
          <w:rFonts w:asciiTheme="minorHAnsi" w:hAnsiTheme="minorHAnsi" w:cstheme="minorHAnsi"/>
          <w:sz w:val="20"/>
        </w:rPr>
      </w:pPr>
    </w:p>
    <w:p w14:paraId="620446E8" w14:textId="77777777" w:rsidR="00323BB2" w:rsidRPr="007761C2" w:rsidRDefault="00323BB2" w:rsidP="00323BB2">
      <w:pPr>
        <w:rPr>
          <w:rFonts w:asciiTheme="minorHAnsi" w:hAnsiTheme="minorHAnsi" w:cstheme="minorHAnsi"/>
          <w:sz w:val="20"/>
        </w:rPr>
      </w:pPr>
      <w:r w:rsidRPr="007761C2">
        <w:rPr>
          <w:rFonts w:asciiTheme="minorHAnsi" w:hAnsiTheme="minorHAnsi" w:cstheme="minorHAnsi"/>
          <w:sz w:val="20"/>
        </w:rPr>
        <w:t>Upon acquiring the GBP Cross-Currency Interest Rate Swaps, the Group designated these instruments as a hedge of the forward foreign exchange risk of its net investment in its GBP functional subsidiaries. The Group assesses hedge effectiveness by comparing the changes in fair value of the net assets designated, due to movements in the foreign currency rate with the changes in fair value of the hedging instruments used to hedge the exposure. The Group uses the hypothetical derivative method to determine the changes in fair value of the hedged item. The only source of ineffectiveness is the effect of the counterparty and the Group’s own credit risk on the fair value of the derivative, which is not reflected in the fair value of the hypothetical derivative.</w:t>
      </w:r>
    </w:p>
    <w:p w14:paraId="59212EA9" w14:textId="77777777" w:rsidR="00323BB2" w:rsidRPr="007761C2" w:rsidRDefault="00323BB2" w:rsidP="00323BB2">
      <w:pPr>
        <w:rPr>
          <w:rFonts w:asciiTheme="minorHAnsi" w:hAnsiTheme="minorHAnsi" w:cstheme="minorHAnsi"/>
          <w:sz w:val="20"/>
        </w:rPr>
      </w:pPr>
    </w:p>
    <w:p w14:paraId="6907F750" w14:textId="77777777" w:rsidR="00323BB2" w:rsidRPr="007761C2" w:rsidRDefault="00323BB2" w:rsidP="00323BB2">
      <w:pPr>
        <w:jc w:val="both"/>
        <w:rPr>
          <w:rFonts w:asciiTheme="minorHAnsi" w:hAnsiTheme="minorHAnsi" w:cstheme="minorHAnsi"/>
          <w:sz w:val="20"/>
        </w:rPr>
      </w:pPr>
    </w:p>
    <w:p w14:paraId="71A7A3CF" w14:textId="77777777" w:rsidR="00323BB2" w:rsidRPr="007761C2" w:rsidRDefault="00323BB2" w:rsidP="00323BB2">
      <w:pPr>
        <w:jc w:val="both"/>
        <w:rPr>
          <w:rFonts w:asciiTheme="minorHAnsi" w:hAnsiTheme="minorHAnsi" w:cstheme="minorHAnsi"/>
          <w:sz w:val="20"/>
        </w:rPr>
      </w:pPr>
    </w:p>
    <w:p w14:paraId="47441DAE"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t>17. Dividends paid on ordinary shares</w:t>
      </w:r>
    </w:p>
    <w:p w14:paraId="1B338231" w14:textId="77777777" w:rsidR="00323BB2" w:rsidRPr="007761C2" w:rsidRDefault="00323BB2" w:rsidP="00323BB2">
      <w:pPr>
        <w:pStyle w:val="BodyText"/>
        <w:spacing w:after="0"/>
        <w:rPr>
          <w:rFonts w:asciiTheme="minorHAnsi" w:hAnsiTheme="minorHAnsi"/>
          <w:b/>
          <w:sz w:val="20"/>
          <w:szCs w:val="20"/>
          <w:lang w:val="en-IE"/>
        </w:rPr>
      </w:pPr>
    </w:p>
    <w:p w14:paraId="22164D72" w14:textId="77777777" w:rsidR="00323BB2" w:rsidRPr="00953CB4" w:rsidRDefault="00323BB2" w:rsidP="00323BB2">
      <w:pPr>
        <w:pStyle w:val="body"/>
        <w:spacing w:line="240" w:lineRule="auto"/>
        <w:rPr>
          <w:rFonts w:asciiTheme="minorHAnsi" w:hAnsiTheme="minorHAnsi"/>
          <w:sz w:val="20"/>
          <w:lang w:val="en-IE"/>
        </w:rPr>
      </w:pPr>
      <w:r w:rsidRPr="00953CB4">
        <w:rPr>
          <w:rFonts w:asciiTheme="minorHAnsi" w:hAnsiTheme="minorHAnsi"/>
          <w:sz w:val="20"/>
          <w:lang w:val="en-IE"/>
        </w:rPr>
        <w:t xml:space="preserve">Due to the impact of COVID-19, the Board paid the 2019 final dividend in May 2020 in ordinary shares rather than cash. This resulted in the Group issuing 1,312,260 Flutter ordinary shares of €0.09 each. </w:t>
      </w:r>
    </w:p>
    <w:p w14:paraId="4CA5D85E" w14:textId="77777777" w:rsidR="00323BB2" w:rsidRPr="00953CB4" w:rsidRDefault="00323BB2" w:rsidP="00323BB2">
      <w:pPr>
        <w:pStyle w:val="body"/>
        <w:spacing w:line="240" w:lineRule="auto"/>
        <w:rPr>
          <w:rFonts w:asciiTheme="minorHAnsi" w:hAnsiTheme="minorHAnsi"/>
          <w:sz w:val="20"/>
          <w:lang w:val="en-IE"/>
        </w:rPr>
      </w:pPr>
    </w:p>
    <w:p w14:paraId="116A72B5" w14:textId="77777777" w:rsidR="00323BB2" w:rsidRPr="00953CB4" w:rsidRDefault="00323BB2" w:rsidP="00323BB2">
      <w:pPr>
        <w:pStyle w:val="body"/>
        <w:spacing w:line="240" w:lineRule="auto"/>
        <w:rPr>
          <w:rFonts w:asciiTheme="minorHAnsi" w:hAnsiTheme="minorHAnsi"/>
          <w:sz w:val="20"/>
          <w:lang w:val="en-IE"/>
        </w:rPr>
      </w:pPr>
      <w:r w:rsidRPr="00953CB4">
        <w:rPr>
          <w:rFonts w:asciiTheme="minorHAnsi" w:hAnsiTheme="minorHAnsi"/>
          <w:sz w:val="20"/>
          <w:lang w:val="en-IE"/>
        </w:rPr>
        <w:t>The 2018 final dividend of £104.0m was settled via cash.</w:t>
      </w:r>
    </w:p>
    <w:p w14:paraId="3BBF3417" w14:textId="77777777" w:rsidR="00323BB2" w:rsidRPr="00953CB4" w:rsidRDefault="00323BB2" w:rsidP="00323BB2">
      <w:pPr>
        <w:pStyle w:val="body"/>
        <w:spacing w:line="240" w:lineRule="auto"/>
        <w:rPr>
          <w:rFonts w:asciiTheme="minorHAnsi" w:hAnsiTheme="minorHAnsi"/>
          <w:b/>
          <w:sz w:val="20"/>
          <w:lang w:val="en-IE"/>
        </w:rPr>
      </w:pPr>
    </w:p>
    <w:p w14:paraId="313E21E2" w14:textId="77777777" w:rsidR="00323BB2" w:rsidRPr="00953CB4" w:rsidRDefault="00323BB2" w:rsidP="00323BB2">
      <w:pPr>
        <w:spacing w:after="120"/>
        <w:jc w:val="both"/>
        <w:rPr>
          <w:rFonts w:asciiTheme="minorHAnsi" w:eastAsiaTheme="minorHAnsi" w:hAnsiTheme="minorHAnsi" w:cstheme="minorBidi"/>
          <w:sz w:val="20"/>
        </w:rPr>
      </w:pPr>
      <w:r w:rsidRPr="00953CB4">
        <w:rPr>
          <w:rFonts w:asciiTheme="minorHAnsi" w:eastAsiaTheme="minorHAnsi" w:hAnsiTheme="minorHAnsi" w:cstheme="minorHAnsi"/>
          <w:sz w:val="20"/>
        </w:rPr>
        <w:t xml:space="preserve">Given the impact of </w:t>
      </w:r>
      <w:r w:rsidRPr="00953CB4">
        <w:rPr>
          <w:rStyle w:val="cr"/>
          <w:rFonts w:asciiTheme="minorHAnsi" w:eastAsiaTheme="minorHAnsi" w:hAnsiTheme="minorHAnsi" w:cstheme="minorHAnsi"/>
          <w:sz w:val="20"/>
        </w:rPr>
        <w:t>the current disruption caused by</w:t>
      </w:r>
      <w:r w:rsidRPr="00953CB4">
        <w:rPr>
          <w:rFonts w:asciiTheme="minorHAnsi" w:eastAsiaTheme="minorHAnsi" w:hAnsiTheme="minorHAnsi" w:cstheme="minorHAnsi"/>
          <w:sz w:val="20"/>
        </w:rPr>
        <w:t xml:space="preserve"> COVID-19 </w:t>
      </w:r>
      <w:r w:rsidRPr="00953CB4">
        <w:rPr>
          <w:rStyle w:val="cq"/>
          <w:rFonts w:asciiTheme="minorHAnsi" w:eastAsiaTheme="minorHAnsi" w:hAnsiTheme="minorHAnsi" w:cstheme="minorHAnsi"/>
          <w:sz w:val="20"/>
        </w:rPr>
        <w:t>and the ambition for the Combined Group to de-lever</w:t>
      </w:r>
      <w:r w:rsidRPr="00953CB4">
        <w:rPr>
          <w:rFonts w:asciiTheme="minorHAnsi" w:eastAsiaTheme="minorHAnsi" w:hAnsiTheme="minorHAnsi" w:cstheme="minorHAnsi"/>
          <w:sz w:val="20"/>
        </w:rPr>
        <w:t xml:space="preserve">, the Board considers it prudent to suspend the dividend for the current financial year ending 31 December 2020. </w:t>
      </w:r>
      <w:r w:rsidRPr="00953CB4">
        <w:rPr>
          <w:rFonts w:asciiTheme="minorHAnsi" w:eastAsiaTheme="minorHAnsi" w:hAnsiTheme="minorHAnsi" w:cstheme="minorBidi"/>
          <w:sz w:val="20"/>
        </w:rPr>
        <w:t xml:space="preserve">The Board is committed to reviewing dividend policy once the Group returns to its medium-term </w:t>
      </w:r>
      <w:r w:rsidRPr="00953CB4">
        <w:rPr>
          <w:rFonts w:asciiTheme="minorHAnsi" w:hAnsiTheme="minorHAnsi" w:cstheme="minorHAnsi"/>
          <w:sz w:val="20"/>
        </w:rPr>
        <w:t xml:space="preserve">leverage target of 1-2x. </w:t>
      </w:r>
    </w:p>
    <w:p w14:paraId="37A6B88A" w14:textId="77777777" w:rsidR="00323BB2" w:rsidRPr="00953CB4" w:rsidRDefault="00323BB2" w:rsidP="00323BB2">
      <w:pPr>
        <w:pStyle w:val="a"/>
        <w:rPr>
          <w:rFonts w:asciiTheme="minorHAnsi" w:eastAsiaTheme="minorHAnsi" w:hAnsiTheme="minorHAnsi" w:cstheme="minorHAnsi"/>
          <w:sz w:val="20"/>
          <w:szCs w:val="20"/>
        </w:rPr>
      </w:pPr>
      <w:r w:rsidRPr="00953CB4">
        <w:rPr>
          <w:rFonts w:asciiTheme="minorHAnsi" w:eastAsiaTheme="minorHAnsi" w:hAnsiTheme="minorHAnsi" w:cstheme="minorHAnsi"/>
          <w:sz w:val="20"/>
          <w:szCs w:val="20"/>
        </w:rPr>
        <w:t> </w:t>
      </w:r>
    </w:p>
    <w:p w14:paraId="12024D05" w14:textId="77777777" w:rsidR="00323BB2" w:rsidRPr="007761C2" w:rsidRDefault="00323BB2" w:rsidP="00323BB2">
      <w:pPr>
        <w:pStyle w:val="body"/>
        <w:spacing w:line="240" w:lineRule="auto"/>
        <w:rPr>
          <w:rFonts w:asciiTheme="minorHAnsi" w:hAnsiTheme="minorHAnsi"/>
          <w:sz w:val="20"/>
          <w:lang w:val="en-IE"/>
        </w:rPr>
      </w:pPr>
      <w:r w:rsidRPr="007761C2">
        <w:rPr>
          <w:rFonts w:asciiTheme="minorHAnsi" w:hAnsiTheme="minorHAnsi"/>
          <w:b/>
          <w:sz w:val="20"/>
          <w:lang w:val="en-IE"/>
        </w:rPr>
        <w:br w:type="page"/>
      </w:r>
    </w:p>
    <w:p w14:paraId="7D5165D8" w14:textId="77777777" w:rsidR="00323BB2" w:rsidRPr="007761C2" w:rsidRDefault="00323BB2" w:rsidP="00323BB2">
      <w:pPr>
        <w:rPr>
          <w:rFonts w:asciiTheme="minorHAnsi" w:hAnsiTheme="minorHAnsi"/>
          <w:sz w:val="20"/>
          <w:lang w:val="en-IE"/>
        </w:rPr>
      </w:pPr>
      <w:r w:rsidRPr="007761C2">
        <w:rPr>
          <w:rFonts w:asciiTheme="minorHAnsi" w:hAnsiTheme="minorHAnsi"/>
          <w:b/>
          <w:sz w:val="20"/>
          <w:lang w:val="en-IE"/>
        </w:rPr>
        <w:lastRenderedPageBreak/>
        <w:t xml:space="preserve">18. Changes in equity </w:t>
      </w:r>
    </w:p>
    <w:p w14:paraId="36BD160A" w14:textId="77777777" w:rsidR="00323BB2" w:rsidRPr="007761C2" w:rsidRDefault="00323BB2" w:rsidP="00323BB2">
      <w:pPr>
        <w:rPr>
          <w:rFonts w:asciiTheme="minorHAnsi" w:hAnsiTheme="minorHAnsi"/>
          <w:sz w:val="20"/>
          <w:lang w:val="en-IE"/>
        </w:rPr>
      </w:pPr>
    </w:p>
    <w:p w14:paraId="0F03602B" w14:textId="77777777" w:rsidR="00323BB2" w:rsidRPr="007761C2" w:rsidRDefault="00323BB2" w:rsidP="00323BB2">
      <w:pPr>
        <w:rPr>
          <w:rFonts w:asciiTheme="minorHAnsi" w:hAnsiTheme="minorHAnsi"/>
          <w:sz w:val="20"/>
        </w:rPr>
      </w:pPr>
      <w:r w:rsidRPr="007761C2">
        <w:rPr>
          <w:rFonts w:asciiTheme="minorHAnsi" w:hAnsiTheme="minorHAnsi"/>
          <w:sz w:val="20"/>
          <w:lang w:val="en-IE"/>
        </w:rPr>
        <w:t>During the six month period ended 30 June 2020,</w:t>
      </w:r>
      <w:r w:rsidRPr="007761C2">
        <w:rPr>
          <w:rFonts w:asciiTheme="minorHAnsi" w:hAnsiTheme="minorHAnsi"/>
          <w:sz w:val="20"/>
        </w:rPr>
        <w:t xml:space="preserve"> 76,295,368 ordinary shares (six months ended 30 June 2019: 132,966) were issued as follows:</w:t>
      </w:r>
    </w:p>
    <w:p w14:paraId="0F8CFFA1" w14:textId="77777777" w:rsidR="00323BB2" w:rsidRPr="007761C2" w:rsidRDefault="00323BB2" w:rsidP="00323BB2">
      <w:pPr>
        <w:rPr>
          <w:rFonts w:asciiTheme="minorHAnsi" w:hAnsiTheme="minorHAnsi"/>
          <w:sz w:val="20"/>
        </w:rPr>
      </w:pPr>
    </w:p>
    <w:p w14:paraId="2F378B32" w14:textId="77777777" w:rsidR="00323BB2" w:rsidRPr="007761C2" w:rsidRDefault="00323BB2" w:rsidP="009B6BB8">
      <w:pPr>
        <w:pStyle w:val="ListParagraph"/>
        <w:widowControl w:val="0"/>
        <w:numPr>
          <w:ilvl w:val="0"/>
          <w:numId w:val="24"/>
        </w:numPr>
        <w:autoSpaceDE w:val="0"/>
        <w:autoSpaceDN w:val="0"/>
        <w:adjustRightInd w:val="0"/>
        <w:rPr>
          <w:rFonts w:asciiTheme="minorHAnsi" w:hAnsiTheme="minorHAnsi"/>
          <w:sz w:val="20"/>
          <w:lang w:val="en-IE"/>
        </w:rPr>
      </w:pPr>
      <w:r w:rsidRPr="007761C2">
        <w:rPr>
          <w:rFonts w:asciiTheme="minorHAnsi" w:hAnsiTheme="minorHAnsi"/>
          <w:sz w:val="20"/>
          <w:lang w:val="en-IE"/>
        </w:rPr>
        <w:t xml:space="preserve">On 5 May 2020, the Company issued a total of 65,316,588 ordinary shares in exchange for 289,909,400 shares in TSG in respect of the all share Combination with The Stars Group Inc. (the “Combination”) resulting in Flutter Entertainment plc shareholders owning 54.64% and the Stars Group Inc. shareholders owning 45.36% of Flutter Entertainment plc (the “Company”, together with its subsidiaries, the “Group”), on a fully diluted basis (excluding any out of the money options). Under the terms of the Combination, holders of TSG shares received 0.2253 ordinary shares with nominal value of EUR 0.09 each in the Company (“ordinary shares”) in exchange for each outstanding TSG share (the ‘Exchange Ratio’).  Post-Combination, the Company is the Ultimate Parent of The Stars Group </w:t>
      </w:r>
      <w:proofErr w:type="gramStart"/>
      <w:r w:rsidRPr="007761C2">
        <w:rPr>
          <w:rFonts w:asciiTheme="minorHAnsi" w:hAnsiTheme="minorHAnsi"/>
          <w:sz w:val="20"/>
          <w:lang w:val="en-IE"/>
        </w:rPr>
        <w:t>Inc..</w:t>
      </w:r>
      <w:proofErr w:type="gramEnd"/>
      <w:r w:rsidRPr="007761C2">
        <w:rPr>
          <w:rFonts w:asciiTheme="minorHAnsi" w:hAnsiTheme="minorHAnsi"/>
          <w:sz w:val="20"/>
          <w:lang w:val="en-IE"/>
        </w:rPr>
        <w:t xml:space="preserve"> This gave rise to a Merger Reserve of £6,189.5m.</w:t>
      </w:r>
    </w:p>
    <w:p w14:paraId="00E3D07D" w14:textId="77777777" w:rsidR="00323BB2" w:rsidRPr="007761C2" w:rsidRDefault="00323BB2" w:rsidP="00323BB2">
      <w:pPr>
        <w:pStyle w:val="ListParagraph"/>
        <w:widowControl w:val="0"/>
        <w:autoSpaceDE w:val="0"/>
        <w:autoSpaceDN w:val="0"/>
        <w:adjustRightInd w:val="0"/>
        <w:ind w:left="252"/>
        <w:rPr>
          <w:rFonts w:asciiTheme="minorHAnsi" w:hAnsiTheme="minorHAnsi"/>
          <w:sz w:val="20"/>
          <w:lang w:val="en-IE"/>
        </w:rPr>
      </w:pPr>
    </w:p>
    <w:p w14:paraId="3EC1FE49" w14:textId="77777777" w:rsidR="00323BB2" w:rsidRPr="007761C2" w:rsidRDefault="00323BB2" w:rsidP="009B6BB8">
      <w:pPr>
        <w:pStyle w:val="ListParagraph"/>
        <w:numPr>
          <w:ilvl w:val="0"/>
          <w:numId w:val="24"/>
        </w:numPr>
        <w:rPr>
          <w:rFonts w:asciiTheme="minorHAnsi" w:hAnsiTheme="minorHAnsi"/>
          <w:sz w:val="20"/>
        </w:rPr>
      </w:pPr>
      <w:bookmarkStart w:id="26" w:name="_Hlk48840543"/>
      <w:r w:rsidRPr="007761C2">
        <w:rPr>
          <w:rFonts w:asciiTheme="minorHAnsi" w:hAnsiTheme="minorHAnsi"/>
          <w:sz w:val="20"/>
        </w:rPr>
        <w:t xml:space="preserve">8,045,995 new ordinary shares at a price of 10,100 pence in respect of an equity </w:t>
      </w:r>
      <w:r>
        <w:rPr>
          <w:rFonts w:asciiTheme="minorHAnsi" w:hAnsiTheme="minorHAnsi"/>
          <w:sz w:val="20"/>
        </w:rPr>
        <w:t>placement</w:t>
      </w:r>
      <w:r w:rsidRPr="007761C2">
        <w:rPr>
          <w:rFonts w:asciiTheme="minorHAnsi" w:hAnsiTheme="minorHAnsi"/>
          <w:sz w:val="20"/>
        </w:rPr>
        <w:t xml:space="preserve"> announced on 28 May 2020 raising gross proceeds of £812.6m</w:t>
      </w:r>
      <w:r>
        <w:rPr>
          <w:rFonts w:asciiTheme="minorHAnsi" w:hAnsiTheme="minorHAnsi"/>
          <w:sz w:val="20"/>
        </w:rPr>
        <w:t xml:space="preserve"> </w:t>
      </w:r>
      <w:r w:rsidRPr="007761C2">
        <w:rPr>
          <w:rFonts w:asciiTheme="minorHAnsi" w:hAnsiTheme="minorHAnsi"/>
          <w:sz w:val="20"/>
        </w:rPr>
        <w:t xml:space="preserve">giving rise to share </w:t>
      </w:r>
      <w:r>
        <w:rPr>
          <w:rFonts w:asciiTheme="minorHAnsi" w:hAnsiTheme="minorHAnsi"/>
          <w:sz w:val="20"/>
        </w:rPr>
        <w:t xml:space="preserve">capital of £0.7m and a share </w:t>
      </w:r>
      <w:r w:rsidRPr="007761C2">
        <w:rPr>
          <w:rFonts w:asciiTheme="minorHAnsi" w:hAnsiTheme="minorHAnsi"/>
          <w:sz w:val="20"/>
        </w:rPr>
        <w:t>premium of £8</w:t>
      </w:r>
      <w:r>
        <w:rPr>
          <w:rFonts w:asciiTheme="minorHAnsi" w:hAnsiTheme="minorHAnsi"/>
          <w:sz w:val="20"/>
        </w:rPr>
        <w:t>11.9</w:t>
      </w:r>
      <w:r w:rsidRPr="007761C2">
        <w:rPr>
          <w:rFonts w:asciiTheme="minorHAnsi" w:hAnsiTheme="minorHAnsi"/>
          <w:sz w:val="20"/>
        </w:rPr>
        <w:t xml:space="preserve">m. The proceeds raised net of issuance costs amounted to £806.3m </w:t>
      </w:r>
      <w:r>
        <w:rPr>
          <w:rFonts w:asciiTheme="minorHAnsi" w:hAnsiTheme="minorHAnsi"/>
          <w:sz w:val="20"/>
        </w:rPr>
        <w:t>with the issuance costs of £6.3m recognised in retained earnings</w:t>
      </w:r>
      <w:r w:rsidRPr="007761C2">
        <w:rPr>
          <w:rFonts w:asciiTheme="minorHAnsi" w:hAnsiTheme="minorHAnsi"/>
          <w:sz w:val="20"/>
        </w:rPr>
        <w:t xml:space="preserve">. </w:t>
      </w:r>
      <w:bookmarkEnd w:id="26"/>
      <w:r w:rsidRPr="007761C2">
        <w:rPr>
          <w:rFonts w:asciiTheme="minorHAnsi" w:hAnsiTheme="minorHAnsi"/>
          <w:sz w:val="20"/>
        </w:rPr>
        <w:t xml:space="preserve">The Placing Shares represent approximately 5.5% of the Company’s issued share capital immediately prior to the Placing (excluding treasury shares).  The Placing Price represents a discount of approximately 4.7% to the closing price on 28 May 2020.  </w:t>
      </w:r>
    </w:p>
    <w:p w14:paraId="33451D2C" w14:textId="77777777" w:rsidR="00323BB2" w:rsidRPr="007761C2" w:rsidRDefault="00323BB2" w:rsidP="00323BB2">
      <w:pPr>
        <w:pStyle w:val="ListParagraph"/>
        <w:ind w:left="252"/>
        <w:rPr>
          <w:rFonts w:asciiTheme="minorHAnsi" w:hAnsiTheme="minorHAnsi"/>
          <w:sz w:val="20"/>
        </w:rPr>
      </w:pPr>
    </w:p>
    <w:p w14:paraId="7D7D0071" w14:textId="77777777" w:rsidR="00323BB2" w:rsidRPr="007761C2" w:rsidRDefault="00323BB2" w:rsidP="009B6BB8">
      <w:pPr>
        <w:pStyle w:val="ListParagraph"/>
        <w:numPr>
          <w:ilvl w:val="0"/>
          <w:numId w:val="24"/>
        </w:numPr>
        <w:rPr>
          <w:rFonts w:asciiTheme="minorHAnsi" w:hAnsiTheme="minorHAnsi"/>
          <w:sz w:val="20"/>
        </w:rPr>
      </w:pPr>
      <w:r w:rsidRPr="007761C2">
        <w:rPr>
          <w:rFonts w:asciiTheme="minorHAnsi" w:hAnsiTheme="minorHAnsi"/>
          <w:sz w:val="20"/>
          <w:lang w:val="en-IE"/>
        </w:rPr>
        <w:t>1,312,260 new ordinary shares as consideration for the 2019 final dividend in May 2020 as outlined in Note 17.</w:t>
      </w:r>
    </w:p>
    <w:p w14:paraId="3F86D8A0" w14:textId="77777777" w:rsidR="00323BB2" w:rsidRPr="007761C2" w:rsidRDefault="00323BB2" w:rsidP="00323BB2">
      <w:pPr>
        <w:ind w:left="-108"/>
        <w:rPr>
          <w:rFonts w:asciiTheme="minorHAnsi" w:hAnsiTheme="minorHAnsi"/>
          <w:sz w:val="20"/>
        </w:rPr>
      </w:pPr>
    </w:p>
    <w:p w14:paraId="3331496B" w14:textId="77777777" w:rsidR="00323BB2" w:rsidRPr="007761C2" w:rsidRDefault="00323BB2" w:rsidP="009B6BB8">
      <w:pPr>
        <w:pStyle w:val="ListParagraph"/>
        <w:numPr>
          <w:ilvl w:val="0"/>
          <w:numId w:val="24"/>
        </w:numPr>
        <w:rPr>
          <w:rStyle w:val="ao"/>
          <w:rFonts w:asciiTheme="minorHAnsi" w:hAnsiTheme="minorHAnsi"/>
          <w:sz w:val="20"/>
        </w:rPr>
      </w:pPr>
      <w:r w:rsidRPr="007761C2">
        <w:rPr>
          <w:rFonts w:asciiTheme="minorHAnsi" w:hAnsiTheme="minorHAnsi" w:cstheme="minorHAnsi"/>
          <w:bCs/>
          <w:sz w:val="20"/>
          <w:lang w:val="en-IE"/>
        </w:rPr>
        <w:t xml:space="preserve">819,230 new Flutter ordinary shares as consideration for </w:t>
      </w:r>
      <w:r w:rsidRPr="007761C2">
        <w:rPr>
          <w:rStyle w:val="ao"/>
          <w:rFonts w:asciiTheme="minorHAnsi" w:eastAsiaTheme="minorHAnsi" w:hAnsiTheme="minorHAnsi" w:cstheme="minorHAnsi"/>
          <w:sz w:val="20"/>
        </w:rPr>
        <w:t>the acquisition by Flutter of the remaining 20% interest of TSG Australia Pty Ltd. The value of shares issue amounted to AUD$151.4m (£79.7m).</w:t>
      </w:r>
    </w:p>
    <w:p w14:paraId="04DA58CE" w14:textId="77777777" w:rsidR="00323BB2" w:rsidRPr="007761C2" w:rsidRDefault="00323BB2" w:rsidP="00323BB2">
      <w:pPr>
        <w:rPr>
          <w:rFonts w:asciiTheme="minorHAnsi" w:hAnsiTheme="minorHAnsi"/>
          <w:sz w:val="20"/>
        </w:rPr>
      </w:pPr>
    </w:p>
    <w:p w14:paraId="478D7C86" w14:textId="77777777" w:rsidR="00323BB2" w:rsidRPr="007761C2" w:rsidRDefault="00323BB2" w:rsidP="009B6BB8">
      <w:pPr>
        <w:pStyle w:val="body"/>
        <w:numPr>
          <w:ilvl w:val="0"/>
          <w:numId w:val="24"/>
        </w:numPr>
        <w:spacing w:line="240" w:lineRule="auto"/>
        <w:rPr>
          <w:rFonts w:asciiTheme="minorHAnsi" w:hAnsiTheme="minorHAnsi"/>
          <w:sz w:val="20"/>
          <w:lang w:val="en-IE"/>
        </w:rPr>
      </w:pPr>
      <w:r w:rsidRPr="007761C2">
        <w:rPr>
          <w:rFonts w:asciiTheme="minorHAnsi" w:hAnsiTheme="minorHAnsi"/>
          <w:sz w:val="20"/>
          <w:lang w:val="en-IE"/>
        </w:rPr>
        <w:t xml:space="preserve">801,295 ordinary shares as a result of the exercise of employee share options giving rise to </w:t>
      </w:r>
      <w:r>
        <w:rPr>
          <w:rFonts w:asciiTheme="minorHAnsi" w:hAnsiTheme="minorHAnsi"/>
          <w:sz w:val="20"/>
          <w:lang w:val="en-IE"/>
        </w:rPr>
        <w:t xml:space="preserve">share capital and </w:t>
      </w:r>
      <w:r w:rsidRPr="007761C2">
        <w:rPr>
          <w:rFonts w:asciiTheme="minorHAnsi" w:hAnsiTheme="minorHAnsi"/>
          <w:sz w:val="20"/>
          <w:lang w:val="en-IE"/>
        </w:rPr>
        <w:t>share premium of £8.9m.</w:t>
      </w:r>
    </w:p>
    <w:p w14:paraId="19EF0888" w14:textId="77777777" w:rsidR="00323BB2" w:rsidRPr="007761C2" w:rsidRDefault="00323BB2" w:rsidP="00323BB2">
      <w:pPr>
        <w:rPr>
          <w:rFonts w:asciiTheme="minorHAnsi" w:hAnsiTheme="minorHAnsi"/>
          <w:sz w:val="20"/>
        </w:rPr>
      </w:pPr>
    </w:p>
    <w:p w14:paraId="022719CF" w14:textId="77777777" w:rsidR="00323BB2" w:rsidRPr="007761C2" w:rsidRDefault="00323BB2" w:rsidP="00323BB2">
      <w:pPr>
        <w:rPr>
          <w:rFonts w:asciiTheme="minorHAnsi" w:hAnsiTheme="minorHAnsi"/>
          <w:b/>
          <w:sz w:val="20"/>
          <w:lang w:val="en-IE"/>
        </w:rPr>
      </w:pPr>
    </w:p>
    <w:p w14:paraId="3115C9DB"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As at 30 June 2020, 1,965,600 ordinary shares were held in treasury (30 June 2019: 1,965,600). All rights (including voting rights and the right to receive dividends) in the shares held in treasury are suspended until such time as the shares are reissued. The Group’s distributable reserves are restricted by the value of the treasury shares, which amounted to £40.7m as of 30 June 2020 (30 June 2019: £40.7m).</w:t>
      </w:r>
    </w:p>
    <w:p w14:paraId="2BED9E1E" w14:textId="77777777" w:rsidR="00323BB2" w:rsidRPr="007761C2" w:rsidRDefault="00323BB2" w:rsidP="00323BB2">
      <w:pPr>
        <w:rPr>
          <w:rFonts w:asciiTheme="minorHAnsi" w:hAnsiTheme="minorHAnsi"/>
          <w:sz w:val="20"/>
          <w:lang w:val="en-IE"/>
        </w:rPr>
      </w:pPr>
    </w:p>
    <w:p w14:paraId="55D7C149"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At 30 June 2020, the Flutter Entertainment plc Employee Benefit Trust (the “EBT”) held a further 67,320 (30 June 2019: 97,948 shares) of Flutter Entertainment plc shares in respect of potential future awards relating to the Group’s employee share plans, which were acquired at a total cost of £5.8m (30 June 2019: £8.4m). The Group’s distributable reserves at 30 June 2020 are further restricted by this cost amount.</w:t>
      </w:r>
    </w:p>
    <w:p w14:paraId="511EE5EF" w14:textId="77777777" w:rsidR="00323BB2" w:rsidRPr="007761C2" w:rsidRDefault="00323BB2" w:rsidP="00323BB2">
      <w:pPr>
        <w:rPr>
          <w:rFonts w:asciiTheme="minorHAnsi" w:hAnsiTheme="minorHAnsi"/>
          <w:sz w:val="20"/>
          <w:lang w:val="en-IE"/>
        </w:rPr>
      </w:pPr>
    </w:p>
    <w:p w14:paraId="2967E88D"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As detailed in the Condensed Consolidated Interim Statement of Changes in Equity during the six month period ended 30 June 2020, the movement in the share-based payment reserve and in the shares held by the EBT is due to the equity-settled share-based payments charge and the vesting and exercising of share-based payments awards. A total of 3,077 shares in respect of share-based payments awards and related dividends were vested from the EBT to certain staff during the six months ended 30 June 2020 (six months ended 30 June 2019: 2,124 shares).</w:t>
      </w:r>
    </w:p>
    <w:p w14:paraId="12514430" w14:textId="77777777" w:rsidR="00323BB2" w:rsidRPr="007761C2" w:rsidRDefault="00323BB2" w:rsidP="00323BB2">
      <w:pPr>
        <w:pStyle w:val="BodyText"/>
        <w:spacing w:after="0"/>
        <w:rPr>
          <w:rFonts w:asciiTheme="minorHAnsi" w:hAnsiTheme="minorHAnsi"/>
          <w:sz w:val="20"/>
          <w:szCs w:val="20"/>
          <w:lang w:val="en-IE"/>
        </w:rPr>
      </w:pPr>
    </w:p>
    <w:p w14:paraId="52B1AC8B" w14:textId="77777777" w:rsidR="00323BB2" w:rsidRPr="007761C2" w:rsidRDefault="00323BB2" w:rsidP="00323BB2">
      <w:pPr>
        <w:pStyle w:val="BodyText"/>
        <w:spacing w:after="0"/>
        <w:rPr>
          <w:rFonts w:asciiTheme="minorHAnsi" w:hAnsiTheme="minorHAnsi"/>
          <w:sz w:val="20"/>
          <w:szCs w:val="20"/>
          <w:lang w:val="en-IE"/>
        </w:rPr>
      </w:pPr>
      <w:r w:rsidRPr="007761C2">
        <w:rPr>
          <w:rFonts w:asciiTheme="minorHAnsi" w:hAnsiTheme="minorHAnsi"/>
          <w:sz w:val="20"/>
          <w:szCs w:val="20"/>
          <w:lang w:val="en-IE"/>
        </w:rPr>
        <w:t>The movement in the foreign exchange translation reserve in the six months to 30 June 2020 reflects the strengthening of EUR, USD and AUD against GBP in the period.</w:t>
      </w:r>
    </w:p>
    <w:p w14:paraId="053538CD" w14:textId="77777777" w:rsidR="00323BB2" w:rsidRPr="007761C2" w:rsidRDefault="00323BB2" w:rsidP="00323BB2">
      <w:pPr>
        <w:pStyle w:val="BodyText"/>
        <w:spacing w:after="0"/>
        <w:rPr>
          <w:rFonts w:asciiTheme="minorHAnsi" w:hAnsiTheme="minorHAnsi"/>
          <w:sz w:val="20"/>
          <w:szCs w:val="20"/>
          <w:lang w:val="en-IE"/>
        </w:rPr>
      </w:pPr>
    </w:p>
    <w:p w14:paraId="65D0BDF4" w14:textId="77777777" w:rsidR="00323BB2" w:rsidRPr="007761C2" w:rsidRDefault="00323BB2" w:rsidP="00323BB2">
      <w:pPr>
        <w:pStyle w:val="BodyText"/>
        <w:spacing w:after="0"/>
        <w:rPr>
          <w:rFonts w:asciiTheme="minorHAnsi" w:hAnsiTheme="minorHAnsi"/>
          <w:sz w:val="20"/>
          <w:szCs w:val="20"/>
          <w:lang w:val="en-IE"/>
        </w:rPr>
      </w:pPr>
      <w:r w:rsidRPr="007761C2">
        <w:rPr>
          <w:rFonts w:asciiTheme="minorHAnsi" w:hAnsiTheme="minorHAnsi" w:cstheme="minorHAnsi"/>
          <w:sz w:val="20"/>
          <w:szCs w:val="20"/>
        </w:rPr>
        <w:t xml:space="preserve">The cash flow hedge reserve represents the effective portion of the cumulative net change in the fair value of cash flow hedging instruments related to hedged transactions that had not yet occurred at </w:t>
      </w:r>
      <w:r>
        <w:rPr>
          <w:rFonts w:asciiTheme="minorHAnsi" w:hAnsiTheme="minorHAnsi" w:cstheme="minorHAnsi"/>
          <w:sz w:val="20"/>
          <w:szCs w:val="20"/>
        </w:rPr>
        <w:t>30 June 2020</w:t>
      </w:r>
      <w:r w:rsidRPr="007761C2">
        <w:rPr>
          <w:rFonts w:asciiTheme="minorHAnsi" w:hAnsiTheme="minorHAnsi" w:cstheme="minorHAnsi"/>
          <w:sz w:val="20"/>
          <w:szCs w:val="20"/>
        </w:rPr>
        <w:t>.</w:t>
      </w:r>
    </w:p>
    <w:p w14:paraId="14141D4C" w14:textId="77777777" w:rsidR="00323BB2" w:rsidRPr="007761C2" w:rsidRDefault="00323BB2" w:rsidP="00323BB2">
      <w:pPr>
        <w:rPr>
          <w:rFonts w:asciiTheme="minorHAnsi" w:hAnsiTheme="minorHAnsi"/>
          <w:sz w:val="20"/>
          <w:lang w:val="en-IE"/>
        </w:rPr>
      </w:pPr>
    </w:p>
    <w:p w14:paraId="62B4B669"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During the period, the Group paid a dividend of £7.0m to the Non-Controlling interest in Adjarabet.</w:t>
      </w:r>
    </w:p>
    <w:p w14:paraId="49C6D720" w14:textId="77777777" w:rsidR="00323BB2" w:rsidRPr="007761C2" w:rsidRDefault="00323BB2" w:rsidP="00323BB2">
      <w:pPr>
        <w:rPr>
          <w:rFonts w:asciiTheme="minorHAnsi" w:hAnsiTheme="minorHAnsi"/>
          <w:sz w:val="20"/>
          <w:lang w:val="en-IE"/>
        </w:rPr>
      </w:pPr>
    </w:p>
    <w:p w14:paraId="6C37BF90"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 xml:space="preserve">At 30 June 2020, other reserves comprise </w:t>
      </w:r>
      <w:proofErr w:type="spellStart"/>
      <w:r w:rsidRPr="007761C2">
        <w:rPr>
          <w:rFonts w:asciiTheme="minorHAnsi" w:hAnsiTheme="minorHAnsi"/>
          <w:sz w:val="20"/>
          <w:lang w:val="en-IE"/>
        </w:rPr>
        <w:t>undenominated</w:t>
      </w:r>
      <w:proofErr w:type="spellEnd"/>
      <w:r w:rsidRPr="007761C2">
        <w:rPr>
          <w:rFonts w:asciiTheme="minorHAnsi" w:hAnsiTheme="minorHAnsi"/>
          <w:sz w:val="20"/>
          <w:lang w:val="en-IE"/>
        </w:rPr>
        <w:t xml:space="preserve"> capital and a net wealth tax reserve.</w:t>
      </w:r>
    </w:p>
    <w:p w14:paraId="31BCE875" w14:textId="77777777" w:rsidR="00323BB2" w:rsidRPr="007761C2" w:rsidRDefault="00323BB2" w:rsidP="00323BB2">
      <w:pPr>
        <w:rPr>
          <w:rFonts w:asciiTheme="minorHAnsi" w:hAnsiTheme="minorHAnsi"/>
          <w:sz w:val="20"/>
          <w:lang w:val="en-IE"/>
        </w:rPr>
      </w:pPr>
    </w:p>
    <w:p w14:paraId="372E8EC5" w14:textId="77777777" w:rsidR="00323BB2" w:rsidRPr="007761C2" w:rsidRDefault="00323BB2" w:rsidP="00323BB2">
      <w:pPr>
        <w:rPr>
          <w:rFonts w:asciiTheme="minorHAnsi" w:hAnsiTheme="minorHAnsi"/>
          <w:b/>
          <w:bCs/>
          <w:sz w:val="20"/>
          <w:lang w:val="en-IE"/>
        </w:rPr>
      </w:pPr>
      <w:r w:rsidRPr="007761C2">
        <w:rPr>
          <w:rFonts w:asciiTheme="minorHAnsi" w:hAnsiTheme="minorHAnsi"/>
          <w:b/>
          <w:bCs/>
          <w:sz w:val="20"/>
          <w:lang w:val="en-IE"/>
        </w:rPr>
        <w:br w:type="page"/>
      </w:r>
    </w:p>
    <w:p w14:paraId="1027F33C" w14:textId="77777777" w:rsidR="00323BB2" w:rsidRPr="007761C2" w:rsidRDefault="00323BB2" w:rsidP="00323BB2">
      <w:pPr>
        <w:rPr>
          <w:rFonts w:asciiTheme="minorHAnsi" w:hAnsiTheme="minorHAnsi"/>
          <w:sz w:val="20"/>
          <w:lang w:val="en-IE"/>
        </w:rPr>
      </w:pPr>
      <w:r w:rsidRPr="007761C2">
        <w:rPr>
          <w:rFonts w:asciiTheme="minorHAnsi" w:hAnsiTheme="minorHAnsi"/>
          <w:b/>
          <w:bCs/>
          <w:sz w:val="20"/>
          <w:lang w:val="en-IE"/>
        </w:rPr>
        <w:lastRenderedPageBreak/>
        <w:t>19. Contingent liabilities</w:t>
      </w:r>
    </w:p>
    <w:p w14:paraId="67AB0C34" w14:textId="77777777" w:rsidR="00323BB2" w:rsidRPr="007761C2" w:rsidRDefault="00323BB2" w:rsidP="00323BB2">
      <w:pPr>
        <w:pStyle w:val="BodyText"/>
        <w:spacing w:after="0"/>
        <w:rPr>
          <w:rFonts w:asciiTheme="minorHAnsi" w:hAnsiTheme="minorHAnsi"/>
          <w:b/>
          <w:bCs/>
          <w:sz w:val="20"/>
          <w:szCs w:val="20"/>
          <w:lang w:val="en-IE"/>
        </w:rPr>
      </w:pPr>
    </w:p>
    <w:p w14:paraId="280004B4"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The Group operates in an uncertain marketplace where many governments are either introducing or contemplating new regulatory or fiscal arrangements.</w:t>
      </w:r>
    </w:p>
    <w:p w14:paraId="23C130C1" w14:textId="77777777" w:rsidR="00323BB2" w:rsidRPr="007761C2" w:rsidRDefault="00323BB2" w:rsidP="00323BB2">
      <w:pPr>
        <w:rPr>
          <w:rFonts w:asciiTheme="minorHAnsi" w:hAnsiTheme="minorHAnsi"/>
          <w:sz w:val="20"/>
          <w:lang w:val="en-IE"/>
        </w:rPr>
      </w:pPr>
    </w:p>
    <w:p w14:paraId="45781AE7" w14:textId="77777777" w:rsidR="00323BB2" w:rsidRDefault="00323BB2" w:rsidP="00323BB2">
      <w:pPr>
        <w:rPr>
          <w:rFonts w:asciiTheme="minorHAnsi" w:hAnsiTheme="minorHAnsi"/>
          <w:sz w:val="20"/>
          <w:lang w:val="en-IE"/>
        </w:rPr>
      </w:pPr>
      <w:r w:rsidRPr="007761C2">
        <w:rPr>
          <w:rFonts w:asciiTheme="minorHAnsi" w:hAnsiTheme="minorHAnsi"/>
          <w:sz w:val="20"/>
          <w:lang w:val="en-IE"/>
        </w:rPr>
        <w:t>The Board monitors legal and regulatory developments and their potential impact on the business, however given the lack of a harmonised regulatory environment, the value and timing of any obligations in this regard are subject to a high degree of uncertainty and cannot always be reliably predicted. See Note 11 for details of legacy German and Greek tax assessments.</w:t>
      </w:r>
    </w:p>
    <w:p w14:paraId="2BACF200" w14:textId="77777777" w:rsidR="00323BB2" w:rsidRDefault="00323BB2" w:rsidP="00323BB2">
      <w:pPr>
        <w:rPr>
          <w:rFonts w:asciiTheme="minorHAnsi" w:hAnsiTheme="minorHAnsi"/>
          <w:sz w:val="20"/>
          <w:lang w:val="en-IE"/>
        </w:rPr>
      </w:pPr>
    </w:p>
    <w:p w14:paraId="24CCBAED" w14:textId="77777777" w:rsidR="00323BB2" w:rsidRPr="00A62F9B" w:rsidRDefault="00323BB2" w:rsidP="00323BB2">
      <w:pPr>
        <w:rPr>
          <w:rFonts w:asciiTheme="minorHAnsi" w:hAnsiTheme="minorHAnsi" w:cstheme="minorHAnsi"/>
          <w:iCs/>
          <w:sz w:val="20"/>
          <w:lang w:val="en-IE"/>
        </w:rPr>
      </w:pPr>
      <w:r w:rsidRPr="00A62F9B">
        <w:rPr>
          <w:rFonts w:asciiTheme="minorHAnsi" w:hAnsiTheme="minorHAnsi" w:cstheme="minorHAnsi"/>
          <w:iCs/>
          <w:sz w:val="20"/>
        </w:rPr>
        <w:t>Prior to the Combination, the Board of TSG became aware of the possibility of improper foreign payments by TSG or its subsidiaries in certain jurisdictions outside of Canada and the United States relating to its historical B2B business (which was never profitable and effectively ceased operations in 2014)</w:t>
      </w:r>
      <w:r>
        <w:rPr>
          <w:rFonts w:asciiTheme="minorHAnsi" w:hAnsiTheme="minorHAnsi" w:cstheme="minorHAnsi"/>
          <w:iCs/>
          <w:sz w:val="20"/>
        </w:rPr>
        <w:t>.</w:t>
      </w:r>
      <w:r w:rsidRPr="00A62F9B">
        <w:rPr>
          <w:rFonts w:asciiTheme="minorHAnsi" w:hAnsiTheme="minorHAnsi" w:cstheme="minorHAnsi"/>
          <w:iCs/>
          <w:sz w:val="20"/>
        </w:rPr>
        <w:t xml:space="preserve"> When this matter arose, TSG contacted the relevant authorities in the United States and Canada with respect to these matters and, following the Combination, Flutter continues to cooperate with all governmental authorities. Based on its review of these matters to date, the Board of Flutter has not identified issues that it believes would have a significant adverse effect on the Group’s financial position or business operations.</w:t>
      </w:r>
    </w:p>
    <w:p w14:paraId="5D2BD02A" w14:textId="77777777" w:rsidR="00323BB2" w:rsidRPr="007761C2" w:rsidRDefault="00323BB2" w:rsidP="00323BB2">
      <w:pPr>
        <w:rPr>
          <w:rFonts w:asciiTheme="minorHAnsi" w:hAnsiTheme="minorHAnsi"/>
          <w:sz w:val="20"/>
          <w:lang w:val="en-IE"/>
        </w:rPr>
      </w:pPr>
    </w:p>
    <w:p w14:paraId="74DDD2B1"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t>Kentucky Proceedings</w:t>
      </w:r>
    </w:p>
    <w:p w14:paraId="7CE8BEAB"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 xml:space="preserve">Prior to the Combination, the Commonwealth of Kentucky, ex. rel. J. Michael Brown, Secretary of the Justice and Public Safety Cabinet, filed a legal proceeding against Stars Interactive Group a 100% owned subsidiary of The Stars Group Inc., then named </w:t>
      </w:r>
      <w:proofErr w:type="spellStart"/>
      <w:r w:rsidRPr="007761C2">
        <w:rPr>
          <w:rFonts w:asciiTheme="minorHAnsi" w:hAnsiTheme="minorHAnsi"/>
          <w:sz w:val="20"/>
          <w:lang w:val="en-IE"/>
        </w:rPr>
        <w:t>Oldford</w:t>
      </w:r>
      <w:proofErr w:type="spellEnd"/>
      <w:r w:rsidRPr="007761C2">
        <w:rPr>
          <w:rFonts w:asciiTheme="minorHAnsi" w:hAnsiTheme="minorHAnsi"/>
          <w:sz w:val="20"/>
          <w:lang w:val="en-IE"/>
        </w:rPr>
        <w:t xml:space="preserve"> Group, and certain affiliates thereof (together, the “</w:t>
      </w:r>
      <w:proofErr w:type="spellStart"/>
      <w:r w:rsidRPr="007761C2">
        <w:rPr>
          <w:rFonts w:asciiTheme="minorHAnsi" w:hAnsiTheme="minorHAnsi"/>
          <w:sz w:val="20"/>
          <w:lang w:val="en-IE"/>
        </w:rPr>
        <w:t>Oldford</w:t>
      </w:r>
      <w:proofErr w:type="spellEnd"/>
      <w:r w:rsidRPr="007761C2">
        <w:rPr>
          <w:rFonts w:asciiTheme="minorHAnsi" w:hAnsiTheme="minorHAnsi"/>
          <w:sz w:val="20"/>
          <w:lang w:val="en-IE"/>
        </w:rPr>
        <w:t xml:space="preserve"> Parties”) and various other defendants (the “Kentucky Proceeding”), pursuant to which the Commonwealth sought to recover alleged gambling losses on behalf of Kentucky residents who played real-money poker on the PokerStars website during the period between 12 October 2006 and 15 April 2011. On 12 August 2015, the trial court in the Kentucky Proceeding entered a default judgment against the </w:t>
      </w:r>
      <w:proofErr w:type="spellStart"/>
      <w:r w:rsidRPr="007761C2">
        <w:rPr>
          <w:rFonts w:asciiTheme="minorHAnsi" w:hAnsiTheme="minorHAnsi"/>
          <w:sz w:val="20"/>
          <w:lang w:val="en-IE"/>
        </w:rPr>
        <w:t>Oldford</w:t>
      </w:r>
      <w:proofErr w:type="spellEnd"/>
      <w:r w:rsidRPr="007761C2">
        <w:rPr>
          <w:rFonts w:asciiTheme="minorHAnsi" w:hAnsiTheme="minorHAnsi"/>
          <w:sz w:val="20"/>
          <w:lang w:val="en-IE"/>
        </w:rPr>
        <w:t xml:space="preserve"> Parties following certain alleged discovery failures, including by certain former owners of the </w:t>
      </w:r>
      <w:proofErr w:type="spellStart"/>
      <w:r w:rsidRPr="007761C2">
        <w:rPr>
          <w:rFonts w:asciiTheme="minorHAnsi" w:hAnsiTheme="minorHAnsi"/>
          <w:sz w:val="20"/>
          <w:lang w:val="en-IE"/>
        </w:rPr>
        <w:t>Oldford</w:t>
      </w:r>
      <w:proofErr w:type="spellEnd"/>
      <w:r w:rsidRPr="007761C2">
        <w:rPr>
          <w:rFonts w:asciiTheme="minorHAnsi" w:hAnsiTheme="minorHAnsi"/>
          <w:sz w:val="20"/>
          <w:lang w:val="en-IE"/>
        </w:rPr>
        <w:t xml:space="preserve"> Parties, and partial summary judgment on liability in favour of the Commonwealth. On 23 December 2015, the trial court entered an order for damages in the amount of approximately US$290 million, which the trial court trebled to approximately US$870 million. </w:t>
      </w:r>
    </w:p>
    <w:p w14:paraId="07E79565" w14:textId="77777777" w:rsidR="00323BB2" w:rsidRPr="007761C2" w:rsidRDefault="00323BB2" w:rsidP="00323BB2">
      <w:pPr>
        <w:rPr>
          <w:rFonts w:asciiTheme="minorHAnsi" w:hAnsiTheme="minorHAnsi"/>
          <w:b/>
          <w:sz w:val="20"/>
          <w:lang w:val="en-IE"/>
        </w:rPr>
      </w:pPr>
    </w:p>
    <w:p w14:paraId="5A5AED20"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 xml:space="preserve">TSG, through certain subsidiaries, filed a notice of appeal to the Kentucky Court of Appeals and posted a US$100 million supersedeas bond to stay enforcement of the order for damages during the pendency of the appeals process. In connection with the posting of the bond, TSG delivered cash collateral in the amount of $5 million and letters of credit in the aggregate amount of US$65 million. See Notes 12 and 15. On 21 December 2018, the Kentucky Court of Appeals ruled in TSG’s favour and reversed in its entirety the US$870 million judgment. </w:t>
      </w:r>
    </w:p>
    <w:p w14:paraId="6D47CF9F" w14:textId="77777777" w:rsidR="00323BB2" w:rsidRPr="007761C2" w:rsidRDefault="00323BB2" w:rsidP="00323BB2">
      <w:pPr>
        <w:rPr>
          <w:rFonts w:asciiTheme="minorHAnsi" w:hAnsiTheme="minorHAnsi"/>
          <w:sz w:val="20"/>
          <w:lang w:val="en-IE"/>
        </w:rPr>
      </w:pPr>
    </w:p>
    <w:p w14:paraId="76F4EF49" w14:textId="77777777" w:rsidR="00323BB2" w:rsidRPr="007761C2" w:rsidRDefault="00323BB2" w:rsidP="00323BB2">
      <w:pPr>
        <w:rPr>
          <w:sz w:val="20"/>
          <w:lang w:val="en-IE"/>
        </w:rPr>
      </w:pPr>
      <w:r w:rsidRPr="007761C2">
        <w:rPr>
          <w:rFonts w:asciiTheme="minorHAnsi" w:hAnsiTheme="minorHAnsi"/>
          <w:sz w:val="20"/>
          <w:lang w:val="en-IE"/>
        </w:rPr>
        <w:t xml:space="preserve">On 18 January 2019, the Commonwealth filed a motion for discretionary review with the Kentucky Supreme Court asking the Court to determine if it will hear an appeal of the decision issued by the Kentucky Court of Appeals. On 11 April 2019, the Kentucky Supreme Court granted such discretionary review. </w:t>
      </w:r>
      <w:r w:rsidRPr="007761C2">
        <w:rPr>
          <w:rFonts w:asciiTheme="minorHAnsi" w:hAnsiTheme="minorHAnsi" w:cstheme="minorHAnsi"/>
          <w:sz w:val="20"/>
          <w:lang w:val="en-IE"/>
        </w:rPr>
        <w:t>The Kentucky Supreme Court heard oral arguments on 2 July 2020, with judgment being reserved.  The Group believes that judgment will be handed down later in 2020 or early 2021.</w:t>
      </w:r>
    </w:p>
    <w:p w14:paraId="2D8CAC58" w14:textId="77777777" w:rsidR="00323BB2" w:rsidRPr="007761C2" w:rsidRDefault="00323BB2" w:rsidP="00323BB2">
      <w:pPr>
        <w:rPr>
          <w:rFonts w:asciiTheme="minorHAnsi" w:hAnsiTheme="minorHAnsi"/>
          <w:sz w:val="20"/>
          <w:lang w:val="en-IE"/>
        </w:rPr>
      </w:pPr>
    </w:p>
    <w:p w14:paraId="08BC8A4F"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No liability has been recognised relating to this matter as based on all available information, the Group does not consider it probable that there will be a future material outflow.</w:t>
      </w:r>
    </w:p>
    <w:p w14:paraId="4412A01D" w14:textId="77777777" w:rsidR="00323BB2" w:rsidRPr="007761C2" w:rsidRDefault="00323BB2" w:rsidP="00323BB2">
      <w:pPr>
        <w:rPr>
          <w:rFonts w:asciiTheme="minorHAnsi" w:hAnsiTheme="minorHAnsi"/>
          <w:sz w:val="20"/>
          <w:lang w:val="en-IE"/>
        </w:rPr>
      </w:pPr>
    </w:p>
    <w:p w14:paraId="199540D8" w14:textId="77777777" w:rsidR="00323BB2" w:rsidRPr="007761C2" w:rsidRDefault="00323BB2" w:rsidP="00323BB2">
      <w:pPr>
        <w:rPr>
          <w:rFonts w:asciiTheme="minorHAnsi" w:hAnsiTheme="minorHAnsi"/>
          <w:b/>
          <w:bCs/>
          <w:sz w:val="20"/>
          <w:lang w:val="en-IE"/>
        </w:rPr>
      </w:pPr>
      <w:r w:rsidRPr="007761C2">
        <w:rPr>
          <w:rFonts w:asciiTheme="minorHAnsi" w:hAnsiTheme="minorHAnsi"/>
          <w:b/>
          <w:bCs/>
          <w:sz w:val="20"/>
          <w:lang w:val="en-IE"/>
        </w:rPr>
        <w:t>20. Related parties</w:t>
      </w:r>
    </w:p>
    <w:p w14:paraId="0DE55CD0" w14:textId="77777777" w:rsidR="00323BB2" w:rsidRPr="007761C2" w:rsidRDefault="00323BB2" w:rsidP="00323BB2">
      <w:pPr>
        <w:rPr>
          <w:rFonts w:asciiTheme="minorHAnsi" w:hAnsiTheme="minorHAnsi"/>
          <w:b/>
          <w:bCs/>
          <w:sz w:val="20"/>
          <w:lang w:val="en-IE"/>
        </w:rPr>
      </w:pPr>
    </w:p>
    <w:p w14:paraId="33264FD6" w14:textId="77777777" w:rsidR="00323BB2" w:rsidRPr="007761C2" w:rsidRDefault="00323BB2" w:rsidP="00323BB2">
      <w:pPr>
        <w:pStyle w:val="BodyText"/>
        <w:spacing w:after="0"/>
        <w:rPr>
          <w:rFonts w:asciiTheme="minorHAnsi" w:hAnsiTheme="minorHAnsi"/>
          <w:sz w:val="20"/>
          <w:szCs w:val="20"/>
          <w:lang w:val="en-IE"/>
        </w:rPr>
      </w:pPr>
      <w:r w:rsidRPr="007761C2">
        <w:rPr>
          <w:rFonts w:asciiTheme="minorHAnsi" w:hAnsiTheme="minorHAnsi"/>
          <w:sz w:val="20"/>
          <w:szCs w:val="20"/>
          <w:lang w:val="en-IE"/>
        </w:rPr>
        <w:t>There were no material transactions with related parties during the six months ended 30 June 2020 or 30 June 2019 or the year ended 31 December 2019.</w:t>
      </w:r>
    </w:p>
    <w:p w14:paraId="5FD18807" w14:textId="77777777" w:rsidR="00323BB2" w:rsidRPr="007761C2" w:rsidRDefault="00323BB2" w:rsidP="00323BB2">
      <w:pPr>
        <w:pStyle w:val="BodyText"/>
        <w:spacing w:after="0"/>
        <w:rPr>
          <w:rFonts w:asciiTheme="minorHAnsi" w:hAnsiTheme="minorHAnsi"/>
          <w:sz w:val="10"/>
          <w:szCs w:val="14"/>
          <w:lang w:val="en-IE"/>
        </w:rPr>
      </w:pPr>
    </w:p>
    <w:p w14:paraId="045C52BB" w14:textId="77777777" w:rsidR="00323BB2" w:rsidRPr="007761C2" w:rsidRDefault="00323BB2" w:rsidP="00323BB2">
      <w:pPr>
        <w:pStyle w:val="BodyText"/>
        <w:spacing w:after="0"/>
        <w:rPr>
          <w:rFonts w:asciiTheme="minorHAnsi" w:hAnsiTheme="minorHAnsi"/>
          <w:sz w:val="20"/>
          <w:szCs w:val="20"/>
          <w:lang w:val="en-IE"/>
        </w:rPr>
      </w:pPr>
      <w:r w:rsidRPr="007761C2">
        <w:rPr>
          <w:rFonts w:asciiTheme="minorHAnsi" w:hAnsiTheme="minorHAnsi"/>
          <w:sz w:val="20"/>
          <w:szCs w:val="20"/>
          <w:lang w:val="en-IE"/>
        </w:rPr>
        <w:t>Transactions between the Company and its subsidiaries, which are related parties, have been eliminated on consolidation and are not disclosed in this note.</w:t>
      </w:r>
    </w:p>
    <w:p w14:paraId="64DE8FC5" w14:textId="77777777" w:rsidR="00323BB2" w:rsidRPr="007761C2" w:rsidRDefault="00323BB2" w:rsidP="00323BB2">
      <w:pPr>
        <w:pStyle w:val="BodyText"/>
        <w:spacing w:after="0"/>
        <w:rPr>
          <w:rFonts w:asciiTheme="minorHAnsi" w:hAnsiTheme="minorHAnsi"/>
          <w:sz w:val="20"/>
          <w:szCs w:val="20"/>
          <w:lang w:val="en-IE"/>
        </w:rPr>
      </w:pPr>
    </w:p>
    <w:p w14:paraId="493E6F7A" w14:textId="77777777" w:rsidR="00323BB2" w:rsidRPr="007761C2" w:rsidRDefault="00323BB2" w:rsidP="00323BB2">
      <w:pPr>
        <w:rPr>
          <w:rFonts w:asciiTheme="minorHAnsi" w:hAnsiTheme="minorHAnsi"/>
          <w:b/>
          <w:bCs/>
          <w:sz w:val="20"/>
          <w:lang w:val="en-IE"/>
        </w:rPr>
      </w:pPr>
    </w:p>
    <w:p w14:paraId="7B477F45" w14:textId="77777777" w:rsidR="00323BB2" w:rsidRPr="007761C2" w:rsidRDefault="00323BB2" w:rsidP="00323BB2">
      <w:pPr>
        <w:rPr>
          <w:rFonts w:asciiTheme="minorHAnsi" w:hAnsiTheme="minorHAnsi"/>
          <w:b/>
          <w:bCs/>
          <w:sz w:val="20"/>
          <w:lang w:val="en-IE"/>
        </w:rPr>
      </w:pPr>
      <w:r w:rsidRPr="007761C2">
        <w:rPr>
          <w:rFonts w:asciiTheme="minorHAnsi" w:hAnsiTheme="minorHAnsi"/>
          <w:b/>
          <w:bCs/>
          <w:sz w:val="20"/>
          <w:lang w:val="en-IE"/>
        </w:rPr>
        <w:t>21. Events after the reporting date</w:t>
      </w:r>
    </w:p>
    <w:p w14:paraId="00EA861D" w14:textId="77777777" w:rsidR="00323BB2" w:rsidRPr="007761C2" w:rsidRDefault="00323BB2" w:rsidP="00323BB2">
      <w:pPr>
        <w:rPr>
          <w:rFonts w:asciiTheme="minorHAnsi" w:hAnsiTheme="minorHAnsi"/>
          <w:b/>
          <w:bCs/>
          <w:sz w:val="20"/>
          <w:lang w:val="en-IE"/>
        </w:rPr>
      </w:pPr>
    </w:p>
    <w:p w14:paraId="4027A661" w14:textId="77777777" w:rsidR="00323BB2" w:rsidRPr="007761C2" w:rsidRDefault="00323BB2" w:rsidP="00323BB2">
      <w:pPr>
        <w:rPr>
          <w:rFonts w:asciiTheme="minorHAnsi" w:hAnsiTheme="minorHAnsi"/>
          <w:bCs/>
          <w:sz w:val="20"/>
          <w:lang w:val="en-IE"/>
        </w:rPr>
      </w:pPr>
      <w:r w:rsidRPr="007761C2">
        <w:rPr>
          <w:rFonts w:asciiTheme="minorHAnsi" w:hAnsiTheme="minorHAnsi"/>
          <w:bCs/>
          <w:sz w:val="20"/>
          <w:lang w:val="en-IE"/>
        </w:rPr>
        <w:t>There are no events to report.</w:t>
      </w:r>
    </w:p>
    <w:p w14:paraId="4C26B8A5" w14:textId="77777777" w:rsidR="00323BB2" w:rsidRPr="007761C2" w:rsidRDefault="00323BB2" w:rsidP="00323BB2">
      <w:pPr>
        <w:rPr>
          <w:rFonts w:asciiTheme="minorHAnsi" w:hAnsiTheme="minorHAnsi"/>
          <w:b/>
          <w:bCs/>
          <w:sz w:val="20"/>
          <w:lang w:val="en-IE"/>
        </w:rPr>
      </w:pPr>
    </w:p>
    <w:p w14:paraId="04867C58" w14:textId="77777777" w:rsidR="00323BB2" w:rsidRPr="007761C2" w:rsidRDefault="00323BB2" w:rsidP="00323BB2">
      <w:pPr>
        <w:rPr>
          <w:rFonts w:asciiTheme="minorHAnsi" w:hAnsiTheme="minorHAnsi"/>
          <w:sz w:val="10"/>
          <w:szCs w:val="14"/>
          <w:lang w:val="en-IE"/>
        </w:rPr>
      </w:pPr>
    </w:p>
    <w:p w14:paraId="365CECBF" w14:textId="77777777" w:rsidR="00323BB2" w:rsidRPr="007761C2" w:rsidRDefault="00323BB2" w:rsidP="00323BB2">
      <w:pPr>
        <w:rPr>
          <w:rFonts w:asciiTheme="minorHAnsi" w:hAnsiTheme="minorHAnsi"/>
          <w:sz w:val="20"/>
          <w:lang w:val="en-IE"/>
        </w:rPr>
      </w:pPr>
    </w:p>
    <w:p w14:paraId="25F33EBE"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br w:type="page"/>
      </w:r>
    </w:p>
    <w:p w14:paraId="7FBAD350" w14:textId="77777777" w:rsidR="00323BB2" w:rsidRPr="007761C2" w:rsidRDefault="00323BB2" w:rsidP="00323BB2">
      <w:pPr>
        <w:pStyle w:val="BodyText"/>
        <w:spacing w:after="0"/>
        <w:rPr>
          <w:rFonts w:asciiTheme="minorHAnsi" w:hAnsiTheme="minorHAnsi"/>
          <w:b/>
          <w:sz w:val="20"/>
          <w:szCs w:val="20"/>
          <w:lang w:val="en-IE"/>
        </w:rPr>
      </w:pPr>
      <w:r w:rsidRPr="007761C2">
        <w:rPr>
          <w:rFonts w:asciiTheme="minorHAnsi" w:hAnsiTheme="minorHAnsi"/>
          <w:b/>
          <w:sz w:val="20"/>
          <w:szCs w:val="20"/>
          <w:lang w:val="en-IE"/>
        </w:rPr>
        <w:lastRenderedPageBreak/>
        <w:t>INDEPENDENT REVIEW REPORT TO FLUTTER ENTERTAINMENT PLC</w:t>
      </w:r>
    </w:p>
    <w:p w14:paraId="3D49B187" w14:textId="77777777" w:rsidR="00323BB2" w:rsidRPr="007761C2" w:rsidRDefault="00323BB2" w:rsidP="00323BB2">
      <w:pPr>
        <w:jc w:val="both"/>
        <w:rPr>
          <w:rFonts w:asciiTheme="minorHAnsi" w:hAnsiTheme="minorHAnsi"/>
          <w:b/>
          <w:sz w:val="6"/>
          <w:szCs w:val="6"/>
          <w:lang w:val="en-IE"/>
        </w:rPr>
      </w:pPr>
    </w:p>
    <w:p w14:paraId="4F2C5F7C" w14:textId="77777777" w:rsidR="00323BB2" w:rsidRPr="007761C2" w:rsidRDefault="00323BB2" w:rsidP="00323BB2">
      <w:pPr>
        <w:rPr>
          <w:rFonts w:asciiTheme="minorHAnsi" w:hAnsiTheme="minorHAnsi"/>
          <w:b/>
          <w:sz w:val="20"/>
          <w:lang w:val="en-IE"/>
        </w:rPr>
      </w:pPr>
    </w:p>
    <w:p w14:paraId="7457F0E9"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t>Introduction</w:t>
      </w:r>
    </w:p>
    <w:p w14:paraId="6CC204D1"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We have been engaged by Flutter Entertainment plc (‘the Company’) to review the condensed set of financial statements in the half-yearly financial report for the six months ended 30 June 2020 which comprises the Condensed Consolidated Interim Income Statement, the Condensed Consolidated Interim Statement of Other Comprehensive Income, the Condensed Consolidated Interim Statement of Financial Position, the Condensed Consolidated Interim Statement of Cash Flows, the Condensed Consolidated Interim Statement of Changes in Equity and the related explanatory notes. Our review was conducted having regard to the Financial Reporting Council’s (“FRCs”) International Standard on Review Engagements (“ISRE”) (UK and Ireland) 2410, ‘</w:t>
      </w:r>
      <w:r w:rsidRPr="007761C2">
        <w:rPr>
          <w:rFonts w:asciiTheme="minorHAnsi" w:hAnsiTheme="minorHAnsi"/>
          <w:i/>
          <w:sz w:val="20"/>
          <w:lang w:val="en-IE"/>
        </w:rPr>
        <w:t>Review of Interim Financial Information Performed by the Independent Auditor of the Entity</w:t>
      </w:r>
      <w:r w:rsidRPr="007761C2">
        <w:rPr>
          <w:rFonts w:asciiTheme="minorHAnsi" w:hAnsiTheme="minorHAnsi"/>
          <w:sz w:val="20"/>
          <w:lang w:val="en-IE"/>
        </w:rPr>
        <w:t>’.</w:t>
      </w:r>
    </w:p>
    <w:p w14:paraId="6A3FAE99" w14:textId="77777777" w:rsidR="00323BB2" w:rsidRPr="007761C2" w:rsidRDefault="00323BB2" w:rsidP="00323BB2">
      <w:pPr>
        <w:rPr>
          <w:rFonts w:asciiTheme="minorHAnsi" w:hAnsiTheme="minorHAnsi"/>
          <w:sz w:val="6"/>
          <w:szCs w:val="6"/>
          <w:lang w:val="en-IE"/>
        </w:rPr>
      </w:pPr>
    </w:p>
    <w:p w14:paraId="281A1A58" w14:textId="77777777" w:rsidR="00323BB2" w:rsidRPr="007761C2" w:rsidRDefault="00323BB2" w:rsidP="00323BB2">
      <w:pPr>
        <w:rPr>
          <w:rFonts w:asciiTheme="minorHAnsi" w:hAnsiTheme="minorHAnsi"/>
          <w:sz w:val="20"/>
          <w:lang w:val="en-IE"/>
        </w:rPr>
      </w:pPr>
      <w:r w:rsidRPr="007761C2">
        <w:rPr>
          <w:rFonts w:asciiTheme="minorHAnsi" w:hAnsiTheme="minorHAnsi"/>
          <w:b/>
          <w:sz w:val="20"/>
          <w:lang w:val="en-IE"/>
        </w:rPr>
        <w:t>Conclusion</w:t>
      </w:r>
    </w:p>
    <w:p w14:paraId="0C7177FD"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Based on our review, nothing has come to our attention that causes us to believe that the condensed set of financial statements in the half-yearly report for the six months ended 30 June 2020 is not prepared, in all material respects, in accordance with IAS 34 ‘</w:t>
      </w:r>
      <w:r w:rsidRPr="007761C2">
        <w:rPr>
          <w:rFonts w:asciiTheme="minorHAnsi" w:hAnsiTheme="minorHAnsi"/>
          <w:i/>
          <w:sz w:val="20"/>
          <w:lang w:val="en-IE"/>
        </w:rPr>
        <w:t>Interim Financial Reporting’</w:t>
      </w:r>
      <w:r w:rsidRPr="007761C2">
        <w:rPr>
          <w:rFonts w:asciiTheme="minorHAnsi" w:hAnsiTheme="minorHAnsi"/>
          <w:sz w:val="20"/>
          <w:lang w:val="en-IE"/>
        </w:rPr>
        <w:t xml:space="preserve"> as adopted by the EU, the Transparency (Directive 2004/109/EC) Regulations 2007, and the Transparency Rules of the Central Bank of Ireland.</w:t>
      </w:r>
    </w:p>
    <w:p w14:paraId="7814EC77" w14:textId="77777777" w:rsidR="00323BB2" w:rsidRPr="007761C2" w:rsidRDefault="00323BB2" w:rsidP="00323BB2">
      <w:pPr>
        <w:rPr>
          <w:rFonts w:asciiTheme="minorHAnsi" w:hAnsiTheme="minorHAnsi"/>
          <w:sz w:val="6"/>
          <w:szCs w:val="6"/>
          <w:lang w:val="en-IE"/>
        </w:rPr>
      </w:pPr>
    </w:p>
    <w:p w14:paraId="55C07CFA"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t>Directors’ responsibilities</w:t>
      </w:r>
    </w:p>
    <w:p w14:paraId="54876473"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 xml:space="preserve">The half-yearly financial report is the responsibility of, and has been approved by, the Directors.  The Directors are responsible for preparing the half-yearly financial report in accordance with the Transparency Directive and the Transparency Rules of the Central Bank of Ireland.  </w:t>
      </w:r>
    </w:p>
    <w:p w14:paraId="6925839D" w14:textId="77777777" w:rsidR="00323BB2" w:rsidRPr="007761C2" w:rsidRDefault="00323BB2" w:rsidP="00323BB2">
      <w:pPr>
        <w:rPr>
          <w:rFonts w:asciiTheme="minorHAnsi" w:hAnsiTheme="minorHAnsi"/>
          <w:sz w:val="6"/>
          <w:szCs w:val="6"/>
          <w:lang w:val="en-IE"/>
        </w:rPr>
      </w:pPr>
    </w:p>
    <w:p w14:paraId="5F371731" w14:textId="77777777" w:rsidR="00323BB2" w:rsidRPr="007761C2" w:rsidRDefault="00323BB2" w:rsidP="00323BB2">
      <w:pPr>
        <w:rPr>
          <w:rFonts w:asciiTheme="minorHAnsi" w:hAnsiTheme="minorHAnsi"/>
          <w:sz w:val="20"/>
          <w:lang w:val="en-IE"/>
        </w:rPr>
      </w:pPr>
      <w:r w:rsidRPr="007761C2">
        <w:rPr>
          <w:rFonts w:asciiTheme="minorHAnsi" w:hAnsiTheme="minorHAnsi"/>
          <w:sz w:val="20"/>
          <w:lang w:val="en-IE"/>
        </w:rPr>
        <w:t xml:space="preserve">As disclosed in Note 1, the annual financial statements of the Group are prepared in accordance with International Financial Reporting Standards as adopted by the EU. The Directors are responsible for ensuring that the condensed set of financial statements included in the half-yearly financial report in accordance with IAS 34 </w:t>
      </w:r>
      <w:r w:rsidRPr="007761C2">
        <w:rPr>
          <w:rFonts w:asciiTheme="minorHAnsi" w:hAnsiTheme="minorHAnsi"/>
          <w:i/>
          <w:sz w:val="20"/>
          <w:lang w:val="en-IE"/>
        </w:rPr>
        <w:t>Interim Financial</w:t>
      </w:r>
      <w:r w:rsidRPr="007761C2">
        <w:rPr>
          <w:rFonts w:asciiTheme="minorHAnsi" w:hAnsiTheme="minorHAnsi"/>
          <w:sz w:val="20"/>
          <w:lang w:val="en-IE"/>
        </w:rPr>
        <w:t xml:space="preserve"> </w:t>
      </w:r>
      <w:r w:rsidRPr="007761C2">
        <w:rPr>
          <w:rFonts w:asciiTheme="minorHAnsi" w:hAnsiTheme="minorHAnsi"/>
          <w:i/>
          <w:sz w:val="20"/>
          <w:lang w:val="en-IE"/>
        </w:rPr>
        <w:t>Reporting</w:t>
      </w:r>
      <w:r w:rsidRPr="007761C2">
        <w:rPr>
          <w:rFonts w:asciiTheme="minorHAnsi" w:hAnsiTheme="minorHAnsi"/>
          <w:sz w:val="20"/>
          <w:lang w:val="en-IE"/>
        </w:rPr>
        <w:t xml:space="preserve"> as adopted by the EU.  </w:t>
      </w:r>
    </w:p>
    <w:p w14:paraId="5F81A7FD" w14:textId="77777777" w:rsidR="00323BB2" w:rsidRPr="007761C2" w:rsidRDefault="00323BB2" w:rsidP="00323BB2">
      <w:pPr>
        <w:rPr>
          <w:rFonts w:asciiTheme="minorHAnsi" w:hAnsiTheme="minorHAnsi"/>
          <w:sz w:val="6"/>
          <w:szCs w:val="6"/>
          <w:lang w:val="en-IE"/>
        </w:rPr>
      </w:pPr>
    </w:p>
    <w:p w14:paraId="0C16720D" w14:textId="77777777" w:rsidR="00323BB2" w:rsidRPr="007761C2" w:rsidRDefault="00323BB2" w:rsidP="00323BB2">
      <w:pPr>
        <w:rPr>
          <w:rFonts w:asciiTheme="minorHAnsi" w:hAnsiTheme="minorHAnsi"/>
          <w:b/>
          <w:sz w:val="20"/>
          <w:lang w:val="en-IE"/>
        </w:rPr>
      </w:pPr>
      <w:r w:rsidRPr="007761C2">
        <w:rPr>
          <w:rFonts w:asciiTheme="minorHAnsi" w:hAnsiTheme="minorHAnsi"/>
          <w:b/>
          <w:sz w:val="20"/>
          <w:lang w:val="en-IE"/>
        </w:rPr>
        <w:t xml:space="preserve">Our responsibility  </w:t>
      </w:r>
    </w:p>
    <w:p w14:paraId="542207BB" w14:textId="77777777" w:rsidR="00323BB2" w:rsidRPr="009D30BC" w:rsidRDefault="00323BB2" w:rsidP="00323BB2">
      <w:pPr>
        <w:rPr>
          <w:rFonts w:asciiTheme="minorHAnsi" w:hAnsiTheme="minorHAnsi"/>
          <w:sz w:val="20"/>
          <w:lang w:val="en-IE"/>
        </w:rPr>
      </w:pPr>
      <w:r w:rsidRPr="007761C2">
        <w:rPr>
          <w:rFonts w:asciiTheme="minorHAnsi" w:hAnsiTheme="minorHAnsi"/>
          <w:sz w:val="20"/>
          <w:lang w:val="en-IE"/>
        </w:rPr>
        <w:t>Our responsibility is to express to the Company a conclusion on the condensed set of financial statements in the half-yearly financial report based on our review.</w:t>
      </w:r>
      <w:r w:rsidRPr="009D30BC">
        <w:rPr>
          <w:rFonts w:asciiTheme="minorHAnsi" w:hAnsiTheme="minorHAnsi"/>
          <w:sz w:val="20"/>
          <w:lang w:val="en-IE"/>
        </w:rPr>
        <w:t xml:space="preserve">  </w:t>
      </w:r>
    </w:p>
    <w:p w14:paraId="388F74D0" w14:textId="77777777" w:rsidR="00323BB2" w:rsidRPr="00CA4DE7" w:rsidRDefault="00323BB2" w:rsidP="00323BB2">
      <w:pPr>
        <w:rPr>
          <w:rFonts w:asciiTheme="minorHAnsi" w:hAnsiTheme="minorHAnsi"/>
          <w:sz w:val="6"/>
          <w:szCs w:val="6"/>
          <w:lang w:val="en-IE"/>
        </w:rPr>
      </w:pPr>
    </w:p>
    <w:p w14:paraId="72812E45" w14:textId="77777777" w:rsidR="00323BB2" w:rsidRPr="009D30BC" w:rsidRDefault="00323BB2" w:rsidP="00323BB2">
      <w:pPr>
        <w:rPr>
          <w:rFonts w:asciiTheme="minorHAnsi" w:hAnsiTheme="minorHAnsi"/>
          <w:sz w:val="20"/>
          <w:lang w:val="en-IE"/>
        </w:rPr>
      </w:pPr>
      <w:r w:rsidRPr="009D30BC">
        <w:rPr>
          <w:rFonts w:asciiTheme="minorHAnsi" w:hAnsiTheme="minorHAnsi"/>
          <w:b/>
          <w:sz w:val="20"/>
          <w:lang w:val="en-IE"/>
        </w:rPr>
        <w:t xml:space="preserve">Scope of review  </w:t>
      </w:r>
    </w:p>
    <w:p w14:paraId="60D8FDAF" w14:textId="77777777" w:rsidR="00323BB2" w:rsidRPr="009D30BC" w:rsidRDefault="00323BB2" w:rsidP="00323BB2">
      <w:pPr>
        <w:rPr>
          <w:rFonts w:asciiTheme="minorHAnsi" w:hAnsiTheme="minorHAnsi"/>
          <w:sz w:val="20"/>
          <w:lang w:val="en-IE"/>
        </w:rPr>
      </w:pPr>
      <w:r w:rsidRPr="009D30BC">
        <w:rPr>
          <w:rFonts w:asciiTheme="minorHAnsi" w:hAnsiTheme="minorHAnsi"/>
          <w:sz w:val="20"/>
          <w:lang w:val="en-IE"/>
        </w:rPr>
        <w:t xml:space="preserve">We conducted our review having regard to the Financial Reporting Council’s International Standard on Review Engagements (UK and Ireland) 2410 </w:t>
      </w:r>
      <w:r w:rsidRPr="009D30BC">
        <w:rPr>
          <w:rFonts w:asciiTheme="minorHAnsi" w:hAnsiTheme="minorHAnsi"/>
          <w:i/>
          <w:sz w:val="20"/>
          <w:lang w:val="en-IE"/>
        </w:rPr>
        <w:t>Review of Interim Financial Information Performed by the Independent Auditor of the Entity.</w:t>
      </w:r>
      <w:r w:rsidRPr="009D30BC">
        <w:rPr>
          <w:rFonts w:asciiTheme="minorHAnsi" w:hAnsiTheme="minorHAnsi"/>
          <w:sz w:val="20"/>
          <w:lang w:val="en-IE"/>
        </w:rPr>
        <w:t xml:space="preserve"> A review of interim financial information consists of making enquiries, primarily of persons responsible for financial and accounting matters, and applying analytical and other review procedures. A review is substantially less in scope than an audit conducted in accordance with International Standards on Auditing (Ireland) and consequently does not enable us to obtain assurance that we would become aware of all significant matters that might be identified in an audit. Accordingly, we do not express an audit opinion. </w:t>
      </w:r>
    </w:p>
    <w:p w14:paraId="7F88FCB6" w14:textId="77777777" w:rsidR="00323BB2" w:rsidRPr="00CA4DE7" w:rsidRDefault="00323BB2" w:rsidP="00323BB2">
      <w:pPr>
        <w:rPr>
          <w:rFonts w:asciiTheme="minorHAnsi" w:hAnsiTheme="minorHAnsi"/>
          <w:sz w:val="6"/>
          <w:szCs w:val="6"/>
          <w:lang w:val="en-IE"/>
        </w:rPr>
      </w:pPr>
    </w:p>
    <w:p w14:paraId="4553BFAA" w14:textId="77777777" w:rsidR="00323BB2" w:rsidRPr="009D30BC" w:rsidRDefault="00323BB2" w:rsidP="00323BB2">
      <w:pPr>
        <w:rPr>
          <w:rFonts w:asciiTheme="minorHAnsi" w:hAnsiTheme="minorHAnsi"/>
          <w:sz w:val="20"/>
          <w:lang w:val="en-IE"/>
        </w:rPr>
      </w:pPr>
      <w:r w:rsidRPr="009D30BC">
        <w:rPr>
          <w:rFonts w:asciiTheme="minorHAnsi" w:hAnsiTheme="minorHAnsi"/>
          <w:sz w:val="20"/>
          <w:lang w:val="en-IE"/>
        </w:rPr>
        <w:t>We read the other information contained in the half-yearly financial report to identify material inconsistencies with the information in the condensed set of financial statements and to identify any information that is apparently materially incorrect based on, or materially inconsistent, the knowledge acquired by us in the course of performing the review. If we become aware of any apparent material misstatements or inconsistencies, we consider the implications for our report.</w:t>
      </w:r>
    </w:p>
    <w:p w14:paraId="38ECA5D0" w14:textId="77777777" w:rsidR="00323BB2" w:rsidRPr="00CA4DE7" w:rsidRDefault="00323BB2" w:rsidP="00323BB2">
      <w:pPr>
        <w:rPr>
          <w:rFonts w:asciiTheme="minorHAnsi" w:hAnsiTheme="minorHAnsi"/>
          <w:sz w:val="6"/>
          <w:szCs w:val="6"/>
          <w:lang w:val="en-IE"/>
        </w:rPr>
      </w:pPr>
    </w:p>
    <w:p w14:paraId="69A1FA38" w14:textId="77777777" w:rsidR="00323BB2" w:rsidRPr="009D30BC" w:rsidRDefault="00323BB2" w:rsidP="00323BB2">
      <w:pPr>
        <w:rPr>
          <w:rFonts w:asciiTheme="minorHAnsi" w:hAnsiTheme="minorHAnsi"/>
          <w:b/>
          <w:sz w:val="20"/>
          <w:lang w:val="en-IE"/>
        </w:rPr>
      </w:pPr>
      <w:r w:rsidRPr="009D30BC">
        <w:rPr>
          <w:rFonts w:asciiTheme="minorHAnsi" w:hAnsiTheme="minorHAnsi"/>
          <w:b/>
          <w:sz w:val="20"/>
          <w:lang w:val="en-IE"/>
        </w:rPr>
        <w:t>The purpose of our review work and to whom we owe our responsibilities</w:t>
      </w:r>
    </w:p>
    <w:p w14:paraId="06093880" w14:textId="77777777" w:rsidR="00323BB2" w:rsidRPr="009D30BC" w:rsidRDefault="00323BB2" w:rsidP="00323BB2">
      <w:pPr>
        <w:rPr>
          <w:rFonts w:asciiTheme="minorHAnsi" w:hAnsiTheme="minorHAnsi"/>
          <w:sz w:val="20"/>
          <w:lang w:val="en-IE"/>
        </w:rPr>
      </w:pPr>
      <w:r w:rsidRPr="009D30BC">
        <w:rPr>
          <w:rFonts w:asciiTheme="minorHAnsi" w:hAnsiTheme="minorHAnsi"/>
          <w:sz w:val="20"/>
          <w:lang w:val="en-IE"/>
        </w:rPr>
        <w:t xml:space="preserve">This report is made solely to the Company in accordance with the terms of our engagement to assist the Company in meeting the requirements of the Transparency Directive and the Transparency Rules of the Central Bank of Ireland. Our review has been undertaken so that we might state to the Company those matters we are required to state to it in this report and for no other purpose. To the fullest extent permitted by law, we do not accept or assume responsibility to anyone other than the Company for our review work, for this report, or for the conclusions we have reached.  </w:t>
      </w:r>
    </w:p>
    <w:p w14:paraId="2AC9272C" w14:textId="77777777" w:rsidR="00323BB2" w:rsidRPr="009D30BC" w:rsidRDefault="00323BB2" w:rsidP="00323BB2">
      <w:pPr>
        <w:rPr>
          <w:rFonts w:asciiTheme="minorHAnsi" w:hAnsiTheme="minorHAnsi"/>
          <w:sz w:val="20"/>
          <w:lang w:val="en-IE"/>
        </w:rPr>
      </w:pPr>
    </w:p>
    <w:p w14:paraId="01F07DF5" w14:textId="77777777" w:rsidR="00323BB2" w:rsidRPr="009D30BC" w:rsidRDefault="00323BB2" w:rsidP="00323BB2">
      <w:pPr>
        <w:rPr>
          <w:rFonts w:asciiTheme="minorHAnsi" w:hAnsiTheme="minorHAnsi"/>
          <w:sz w:val="20"/>
          <w:lang w:val="en-IE"/>
        </w:rPr>
      </w:pPr>
      <w:r>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9D30BC">
        <w:rPr>
          <w:rFonts w:asciiTheme="minorHAnsi" w:hAnsiTheme="minorHAnsi"/>
          <w:sz w:val="20"/>
          <w:lang w:val="en-IE"/>
        </w:rPr>
        <w:tab/>
      </w:r>
      <w:r w:rsidRPr="00D441D7">
        <w:rPr>
          <w:rFonts w:asciiTheme="minorHAnsi" w:hAnsiTheme="minorHAnsi"/>
          <w:sz w:val="20"/>
          <w:lang w:val="en-IE"/>
        </w:rPr>
        <w:t>26 August 2020</w:t>
      </w:r>
    </w:p>
    <w:p w14:paraId="021CD19C" w14:textId="77777777" w:rsidR="00323BB2" w:rsidRPr="009D30BC" w:rsidRDefault="00323BB2" w:rsidP="00323BB2">
      <w:pPr>
        <w:rPr>
          <w:rFonts w:asciiTheme="minorHAnsi" w:hAnsiTheme="minorHAnsi"/>
          <w:b/>
          <w:sz w:val="20"/>
          <w:lang w:val="en-IE"/>
        </w:rPr>
      </w:pPr>
      <w:r w:rsidRPr="009D30BC">
        <w:rPr>
          <w:rFonts w:asciiTheme="minorHAnsi" w:hAnsiTheme="minorHAnsi"/>
          <w:b/>
          <w:sz w:val="20"/>
          <w:lang w:val="en-IE"/>
        </w:rPr>
        <w:t>KPMG</w:t>
      </w:r>
    </w:p>
    <w:p w14:paraId="26A20A98" w14:textId="77777777" w:rsidR="00323BB2" w:rsidRPr="009D30BC" w:rsidRDefault="00323BB2" w:rsidP="00323BB2">
      <w:pPr>
        <w:rPr>
          <w:rFonts w:asciiTheme="minorHAnsi" w:hAnsiTheme="minorHAnsi"/>
          <w:i/>
          <w:sz w:val="20"/>
          <w:lang w:val="en-IE"/>
        </w:rPr>
      </w:pPr>
      <w:r w:rsidRPr="009D30BC">
        <w:rPr>
          <w:rFonts w:asciiTheme="minorHAnsi" w:hAnsiTheme="minorHAnsi"/>
          <w:i/>
          <w:sz w:val="20"/>
          <w:lang w:val="en-IE"/>
        </w:rPr>
        <w:t>Chartered Accountants</w:t>
      </w:r>
    </w:p>
    <w:p w14:paraId="317D272E" w14:textId="77777777" w:rsidR="00323BB2" w:rsidRPr="009D30BC" w:rsidRDefault="00323BB2" w:rsidP="00323BB2">
      <w:pPr>
        <w:rPr>
          <w:rFonts w:asciiTheme="minorHAnsi" w:hAnsiTheme="minorHAnsi"/>
          <w:sz w:val="20"/>
          <w:lang w:val="en-IE"/>
        </w:rPr>
      </w:pPr>
      <w:r w:rsidRPr="009D30BC">
        <w:rPr>
          <w:rFonts w:asciiTheme="minorHAnsi" w:hAnsiTheme="minorHAnsi"/>
          <w:sz w:val="20"/>
          <w:lang w:val="en-IE"/>
        </w:rPr>
        <w:t>1 Stokes Place</w:t>
      </w:r>
    </w:p>
    <w:p w14:paraId="2954EA3A" w14:textId="77777777" w:rsidR="00323BB2" w:rsidRPr="009D30BC" w:rsidRDefault="00323BB2" w:rsidP="00323BB2">
      <w:pPr>
        <w:rPr>
          <w:rFonts w:asciiTheme="minorHAnsi" w:hAnsiTheme="minorHAnsi"/>
          <w:sz w:val="20"/>
          <w:lang w:val="en-IE"/>
        </w:rPr>
      </w:pPr>
      <w:r w:rsidRPr="009D30BC">
        <w:rPr>
          <w:rFonts w:asciiTheme="minorHAnsi" w:hAnsiTheme="minorHAnsi"/>
          <w:sz w:val="20"/>
          <w:lang w:val="en-IE"/>
        </w:rPr>
        <w:t>St. Stephen’s Green</w:t>
      </w:r>
    </w:p>
    <w:p w14:paraId="39AA76BB" w14:textId="77777777" w:rsidR="00323BB2" w:rsidRPr="009E3CAE" w:rsidRDefault="00323BB2" w:rsidP="00323BB2">
      <w:pPr>
        <w:rPr>
          <w:rFonts w:asciiTheme="minorHAnsi" w:hAnsiTheme="minorHAnsi"/>
          <w:sz w:val="20"/>
          <w:lang w:val="en-IE"/>
        </w:rPr>
      </w:pPr>
      <w:r w:rsidRPr="009D30BC">
        <w:rPr>
          <w:rFonts w:asciiTheme="minorHAnsi" w:hAnsiTheme="minorHAnsi"/>
          <w:sz w:val="20"/>
          <w:lang w:val="en-IE"/>
        </w:rPr>
        <w:t>Dublin 2</w:t>
      </w:r>
    </w:p>
    <w:p w14:paraId="5B99BE98" w14:textId="77777777" w:rsidR="007314E6" w:rsidRPr="007314E6" w:rsidRDefault="007314E6" w:rsidP="00640B6F">
      <w:pPr>
        <w:spacing w:after="120"/>
        <w:rPr>
          <w:rFonts w:asciiTheme="minorHAnsi" w:hAnsiTheme="minorHAnsi"/>
          <w:sz w:val="20"/>
          <w:lang w:eastAsia="en-IE"/>
        </w:rPr>
      </w:pPr>
    </w:p>
    <w:sectPr w:rsidR="007314E6" w:rsidRPr="007314E6" w:rsidSect="00670082">
      <w:footerReference w:type="even" r:id="rId24"/>
      <w:footnotePr>
        <w:numRestart w:val="eachPage"/>
      </w:footnotePr>
      <w:pgSz w:w="11907" w:h="16840"/>
      <w:pgMar w:top="851" w:right="1077" w:bottom="709" w:left="1260" w:header="720"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C7FC3" w14:textId="77777777" w:rsidR="008F4198" w:rsidRDefault="008F4198">
      <w:r>
        <w:separator/>
      </w:r>
    </w:p>
  </w:endnote>
  <w:endnote w:type="continuationSeparator" w:id="0">
    <w:p w14:paraId="616771B5" w14:textId="77777777" w:rsidR="008F4198" w:rsidRDefault="008F4198">
      <w:r>
        <w:continuationSeparator/>
      </w:r>
    </w:p>
  </w:endnote>
  <w:endnote w:type="continuationNotice" w:id="1">
    <w:p w14:paraId="13B333CF" w14:textId="77777777" w:rsidR="008F4198" w:rsidRDefault="008F4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 Display Bullets">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ew York">
    <w:altName w:val="Cambria Math"/>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unSans-Demi">
    <w:altName w:val="Courier New"/>
    <w:charset w:val="00"/>
    <w:family w:val="auto"/>
    <w:pitch w:val="variable"/>
    <w:sig w:usb0="03000003" w:usb1="00000000" w:usb2="00000000" w:usb3="00000000" w:csb0="00000001" w:csb1="00000000"/>
  </w:font>
  <w:font w:name="Formata Medium">
    <w:altName w:val="Courier New"/>
    <w:charset w:val="00"/>
    <w:family w:val="auto"/>
    <w:pitch w:val="variable"/>
    <w:sig w:usb0="03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liss-Extra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3" w:usb2="00000009" w:usb3="00000000" w:csb0="000001FF" w:csb1="00000000"/>
  </w:font>
  <w:font w:name="Univers 45 Light">
    <w:altName w:val="Univers 45 Light"/>
    <w:charset w:val="00"/>
    <w:family w:val="auto"/>
    <w:pitch w:val="variable"/>
    <w:sig w:usb0="80000023" w:usb1="00000000" w:usb2="00000000" w:usb3="00000000" w:csb0="00000001" w:csb1="00000000"/>
  </w:font>
  <w:font w:name="Humanst521 BT">
    <w:altName w:val="Arial"/>
    <w:charset w:val="00"/>
    <w:family w:val="swiss"/>
    <w:pitch w:val="variable"/>
    <w:sig w:usb0="00000001" w:usb1="1000204A" w:usb2="00000000" w:usb3="00000000" w:csb0="00000011" w:csb1="00000000"/>
  </w:font>
  <w:font w:name="Humanst521 Lt BT">
    <w:altName w:val="Arial"/>
    <w:charset w:val="00"/>
    <w:family w:val="swiss"/>
    <w:pitch w:val="variable"/>
    <w:sig w:usb0="00000001" w:usb1="1000204A" w:usb2="00000000" w:usb3="00000000" w:csb0="00000011" w:csb1="00000000"/>
  </w:font>
  <w:font w:name="Informa Pro Light">
    <w:altName w:val="Arial"/>
    <w:panose1 w:val="00000000000000000000"/>
    <w:charset w:val="00"/>
    <w:family w:val="swiss"/>
    <w:notTrueType/>
    <w:pitch w:val="variable"/>
    <w:sig w:usb0="A00002AF" w:usb1="4000204B" w:usb2="00000000" w:usb3="00000000" w:csb0="0000009F" w:csb1="00000000"/>
  </w:font>
  <w:font w:name="Informa Pro Bold">
    <w:altName w:val="Arial"/>
    <w:panose1 w:val="00000000000000000000"/>
    <w:charset w:val="00"/>
    <w:family w:val="swiss"/>
    <w:notTrueType/>
    <w:pitch w:val="variable"/>
    <w:sig w:usb0="A00002AF" w:usb1="4000204B" w:usb2="00000000" w:usb3="00000000" w:csb0="0000009F" w:csb1="00000000"/>
  </w:font>
  <w:font w:name="Bliss-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729018"/>
      <w:docPartObj>
        <w:docPartGallery w:val="Page Numbers (Bottom of Page)"/>
        <w:docPartUnique/>
      </w:docPartObj>
    </w:sdtPr>
    <w:sdtEndPr>
      <w:rPr>
        <w:noProof/>
        <w:sz w:val="16"/>
        <w:szCs w:val="16"/>
      </w:rPr>
    </w:sdtEndPr>
    <w:sdtContent>
      <w:p w14:paraId="13ACEBC5" w14:textId="77777777" w:rsidR="00884356" w:rsidRPr="005804CF" w:rsidRDefault="00884356">
        <w:pPr>
          <w:pStyle w:val="Footer"/>
          <w:jc w:val="right"/>
          <w:rPr>
            <w:sz w:val="16"/>
            <w:szCs w:val="16"/>
          </w:rPr>
        </w:pPr>
        <w:r w:rsidRPr="005804CF">
          <w:rPr>
            <w:sz w:val="16"/>
            <w:szCs w:val="16"/>
          </w:rPr>
          <w:fldChar w:fldCharType="begin"/>
        </w:r>
        <w:r w:rsidRPr="005804CF">
          <w:rPr>
            <w:sz w:val="16"/>
            <w:szCs w:val="16"/>
          </w:rPr>
          <w:instrText xml:space="preserve"> PAGE   \* MERGEFORMAT </w:instrText>
        </w:r>
        <w:r w:rsidRPr="005804CF">
          <w:rPr>
            <w:sz w:val="16"/>
            <w:szCs w:val="16"/>
          </w:rPr>
          <w:fldChar w:fldCharType="separate"/>
        </w:r>
        <w:r w:rsidR="0056653C">
          <w:rPr>
            <w:noProof/>
            <w:sz w:val="16"/>
            <w:szCs w:val="16"/>
          </w:rPr>
          <w:t>1</w:t>
        </w:r>
        <w:r w:rsidRPr="005804CF">
          <w:rPr>
            <w:noProof/>
            <w:sz w:val="16"/>
            <w:szCs w:val="16"/>
          </w:rPr>
          <w:fldChar w:fldCharType="end"/>
        </w:r>
      </w:p>
    </w:sdtContent>
  </w:sdt>
  <w:p w14:paraId="6BDDAA19" w14:textId="77777777" w:rsidR="00884356" w:rsidRDefault="008843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565541"/>
      <w:docPartObj>
        <w:docPartGallery w:val="Page Numbers (Bottom of Page)"/>
        <w:docPartUnique/>
      </w:docPartObj>
    </w:sdtPr>
    <w:sdtEndPr>
      <w:rPr>
        <w:noProof/>
        <w:sz w:val="16"/>
        <w:szCs w:val="16"/>
      </w:rPr>
    </w:sdtEndPr>
    <w:sdtContent>
      <w:p w14:paraId="178FBC3D" w14:textId="77777777" w:rsidR="00884356" w:rsidRPr="005804CF" w:rsidRDefault="00884356" w:rsidP="005D55B7">
        <w:pPr>
          <w:pStyle w:val="Footer"/>
          <w:jc w:val="right"/>
          <w:rPr>
            <w:sz w:val="16"/>
            <w:szCs w:val="16"/>
          </w:rPr>
        </w:pPr>
        <w:r w:rsidRPr="005804CF">
          <w:rPr>
            <w:sz w:val="16"/>
            <w:szCs w:val="16"/>
          </w:rPr>
          <w:fldChar w:fldCharType="begin"/>
        </w:r>
        <w:r w:rsidRPr="005804CF">
          <w:rPr>
            <w:sz w:val="16"/>
            <w:szCs w:val="16"/>
          </w:rPr>
          <w:instrText xml:space="preserve"> PAGE   \* MERGEFORMAT </w:instrText>
        </w:r>
        <w:r w:rsidRPr="005804CF">
          <w:rPr>
            <w:sz w:val="16"/>
            <w:szCs w:val="16"/>
          </w:rPr>
          <w:fldChar w:fldCharType="separate"/>
        </w:r>
        <w:r>
          <w:rPr>
            <w:noProof/>
            <w:sz w:val="16"/>
            <w:szCs w:val="16"/>
          </w:rPr>
          <w:t>25</w:t>
        </w:r>
        <w:r w:rsidRPr="005804CF">
          <w:rPr>
            <w:noProof/>
            <w:sz w:val="16"/>
            <w:szCs w:val="16"/>
          </w:rPr>
          <w:fldChar w:fldCharType="end"/>
        </w:r>
      </w:p>
    </w:sdtContent>
  </w:sdt>
  <w:p w14:paraId="00352C8E" w14:textId="77777777" w:rsidR="00884356" w:rsidRDefault="008843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6F2E5" w14:textId="77777777" w:rsidR="00884356" w:rsidRDefault="00884356" w:rsidP="00434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E12DC1" w14:textId="77777777" w:rsidR="00884356" w:rsidRDefault="00884356" w:rsidP="00BF3E27">
    <w:pPr>
      <w:pStyle w:val="Footer"/>
      <w:ind w:right="360"/>
    </w:pPr>
  </w:p>
  <w:p w14:paraId="15A53AFA" w14:textId="77777777" w:rsidR="00884356" w:rsidRDefault="008843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46413586"/>
      <w:docPartObj>
        <w:docPartGallery w:val="Page Numbers (Bottom of Page)"/>
        <w:docPartUnique/>
      </w:docPartObj>
    </w:sdtPr>
    <w:sdtEndPr>
      <w:rPr>
        <w:noProof/>
      </w:rPr>
    </w:sdtEndPr>
    <w:sdtContent>
      <w:p w14:paraId="3341916F" w14:textId="77777777" w:rsidR="00884356" w:rsidRPr="009B6BB8" w:rsidRDefault="00884356">
        <w:pPr>
          <w:pStyle w:val="Footer"/>
          <w:jc w:val="right"/>
          <w:rPr>
            <w:sz w:val="16"/>
            <w:szCs w:val="16"/>
          </w:rPr>
        </w:pPr>
        <w:r w:rsidRPr="009B6BB8">
          <w:rPr>
            <w:sz w:val="16"/>
            <w:szCs w:val="16"/>
          </w:rPr>
          <w:fldChar w:fldCharType="begin"/>
        </w:r>
        <w:r w:rsidRPr="009B6BB8">
          <w:rPr>
            <w:sz w:val="16"/>
            <w:szCs w:val="16"/>
          </w:rPr>
          <w:instrText xml:space="preserve"> PAGE   \* MERGEFORMAT </w:instrText>
        </w:r>
        <w:r w:rsidRPr="009B6BB8">
          <w:rPr>
            <w:sz w:val="16"/>
            <w:szCs w:val="16"/>
          </w:rPr>
          <w:fldChar w:fldCharType="separate"/>
        </w:r>
        <w:r w:rsidR="0056653C">
          <w:rPr>
            <w:noProof/>
            <w:sz w:val="16"/>
            <w:szCs w:val="16"/>
          </w:rPr>
          <w:t>74</w:t>
        </w:r>
        <w:r w:rsidRPr="009B6BB8">
          <w:rPr>
            <w:noProof/>
            <w:sz w:val="16"/>
            <w:szCs w:val="16"/>
          </w:rPr>
          <w:fldChar w:fldCharType="end"/>
        </w:r>
      </w:p>
    </w:sdtContent>
  </w:sdt>
  <w:p w14:paraId="75750C17" w14:textId="77777777" w:rsidR="00884356" w:rsidRPr="009B6BB8" w:rsidRDefault="00884356">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12162993"/>
      <w:docPartObj>
        <w:docPartGallery w:val="Page Numbers (Bottom of Page)"/>
        <w:docPartUnique/>
      </w:docPartObj>
    </w:sdtPr>
    <w:sdtEndPr>
      <w:rPr>
        <w:noProof/>
      </w:rPr>
    </w:sdtEndPr>
    <w:sdtContent>
      <w:p w14:paraId="239138C0" w14:textId="77777777" w:rsidR="00884356" w:rsidRPr="009B6BB8" w:rsidRDefault="00884356">
        <w:pPr>
          <w:pStyle w:val="Footer"/>
          <w:jc w:val="right"/>
          <w:rPr>
            <w:sz w:val="16"/>
            <w:szCs w:val="16"/>
          </w:rPr>
        </w:pPr>
        <w:r w:rsidRPr="009B6BB8">
          <w:rPr>
            <w:sz w:val="16"/>
            <w:szCs w:val="16"/>
          </w:rPr>
          <w:fldChar w:fldCharType="begin"/>
        </w:r>
        <w:r w:rsidRPr="009B6BB8">
          <w:rPr>
            <w:sz w:val="16"/>
            <w:szCs w:val="16"/>
          </w:rPr>
          <w:instrText xml:space="preserve"> PAGE   \* MERGEFORMAT </w:instrText>
        </w:r>
        <w:r w:rsidRPr="009B6BB8">
          <w:rPr>
            <w:sz w:val="16"/>
            <w:szCs w:val="16"/>
          </w:rPr>
          <w:fldChar w:fldCharType="separate"/>
        </w:r>
        <w:r w:rsidR="0056653C">
          <w:rPr>
            <w:noProof/>
            <w:sz w:val="16"/>
            <w:szCs w:val="16"/>
          </w:rPr>
          <w:t>36</w:t>
        </w:r>
        <w:r w:rsidRPr="009B6BB8">
          <w:rPr>
            <w:noProof/>
            <w:sz w:val="16"/>
            <w:szCs w:val="16"/>
          </w:rPr>
          <w:fldChar w:fldCharType="end"/>
        </w:r>
      </w:p>
    </w:sdtContent>
  </w:sdt>
  <w:p w14:paraId="153AE157" w14:textId="77777777" w:rsidR="00884356" w:rsidRDefault="008843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393E8" w14:textId="77777777" w:rsidR="00884356" w:rsidRDefault="00884356" w:rsidP="00434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ADFD54" w14:textId="77777777" w:rsidR="00884356" w:rsidRDefault="00884356" w:rsidP="00BF3E27">
    <w:pPr>
      <w:pStyle w:val="Footer"/>
      <w:ind w:right="360"/>
    </w:pPr>
  </w:p>
  <w:p w14:paraId="64DC5562" w14:textId="77777777" w:rsidR="00884356" w:rsidRDefault="008843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01C2C" w14:textId="77777777" w:rsidR="008F4198" w:rsidRDefault="008F4198">
      <w:r>
        <w:separator/>
      </w:r>
    </w:p>
  </w:footnote>
  <w:footnote w:type="continuationSeparator" w:id="0">
    <w:p w14:paraId="4851C4F7" w14:textId="77777777" w:rsidR="008F4198" w:rsidRDefault="008F4198">
      <w:r>
        <w:continuationSeparator/>
      </w:r>
    </w:p>
  </w:footnote>
  <w:footnote w:type="continuationNotice" w:id="1">
    <w:p w14:paraId="42FAF679" w14:textId="77777777" w:rsidR="008F4198" w:rsidRDefault="008F4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DCA9" w14:textId="77777777" w:rsidR="00884356" w:rsidRDefault="008843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517D8" w14:textId="77777777" w:rsidR="00884356" w:rsidRDefault="008843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847E7" w14:textId="77777777" w:rsidR="00884356" w:rsidRPr="00192A46" w:rsidRDefault="00884356">
    <w:pPr>
      <w:pStyle w:val="Header"/>
      <w:rPr>
        <w:lang w:val="en-I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3636C" w14:textId="77777777" w:rsidR="00884356" w:rsidRDefault="00884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467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DA53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74E0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734A6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38E2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1A44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2FA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2E05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20E2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94AD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700BE8"/>
    <w:multiLevelType w:val="hybridMultilevel"/>
    <w:tmpl w:val="9F90FC8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6730A"/>
    <w:multiLevelType w:val="hybridMultilevel"/>
    <w:tmpl w:val="05D4EDEC"/>
    <w:lvl w:ilvl="0" w:tplc="2988C38A">
      <w:start w:val="1"/>
      <w:numFmt w:val="bullet"/>
      <w:pStyle w:val="bullettext"/>
      <w:lvlText w:val="E"/>
      <w:lvlJc w:val="left"/>
      <w:pPr>
        <w:ind w:left="360" w:hanging="360"/>
      </w:pPr>
      <w:rPr>
        <w:rFonts w:ascii="Officina Display Bullets" w:hAnsi="Officina Display Bulle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F14591"/>
    <w:multiLevelType w:val="hybridMultilevel"/>
    <w:tmpl w:val="10A85E52"/>
    <w:lvl w:ilvl="0" w:tplc="11FEBC6A">
      <w:start w:val="1"/>
      <w:numFmt w:val="lowerRoman"/>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E085557"/>
    <w:multiLevelType w:val="hybridMultilevel"/>
    <w:tmpl w:val="175ECA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F966438"/>
    <w:multiLevelType w:val="hybridMultilevel"/>
    <w:tmpl w:val="5BB4A47C"/>
    <w:lvl w:ilvl="0" w:tplc="18090001">
      <w:start w:val="1"/>
      <w:numFmt w:val="bullet"/>
      <w:lvlText w:val=""/>
      <w:lvlJc w:val="left"/>
      <w:pPr>
        <w:ind w:left="360" w:hanging="360"/>
      </w:pPr>
      <w:rPr>
        <w:rFonts w:ascii="Symbol" w:hAnsi="Symbol" w:hint="default"/>
      </w:rPr>
    </w:lvl>
    <w:lvl w:ilvl="1" w:tplc="B4F23780">
      <w:start w:val="1"/>
      <w:numFmt w:val="bullet"/>
      <w:lvlText w:val="-"/>
      <w:lvlJc w:val="left"/>
      <w:pPr>
        <w:ind w:left="796" w:hanging="360"/>
      </w:pPr>
      <w:rPr>
        <w:rFonts w:ascii="Courier New" w:hAnsi="Courier New" w:hint="default"/>
      </w:rPr>
    </w:lvl>
    <w:lvl w:ilvl="2" w:tplc="18090005" w:tentative="1">
      <w:start w:val="1"/>
      <w:numFmt w:val="bullet"/>
      <w:lvlText w:val=""/>
      <w:lvlJc w:val="left"/>
      <w:pPr>
        <w:ind w:left="1516" w:hanging="360"/>
      </w:pPr>
      <w:rPr>
        <w:rFonts w:ascii="Wingdings" w:hAnsi="Wingdings" w:hint="default"/>
      </w:rPr>
    </w:lvl>
    <w:lvl w:ilvl="3" w:tplc="18090001" w:tentative="1">
      <w:start w:val="1"/>
      <w:numFmt w:val="bullet"/>
      <w:lvlText w:val=""/>
      <w:lvlJc w:val="left"/>
      <w:pPr>
        <w:ind w:left="2236" w:hanging="360"/>
      </w:pPr>
      <w:rPr>
        <w:rFonts w:ascii="Symbol" w:hAnsi="Symbol" w:hint="default"/>
      </w:rPr>
    </w:lvl>
    <w:lvl w:ilvl="4" w:tplc="18090003" w:tentative="1">
      <w:start w:val="1"/>
      <w:numFmt w:val="bullet"/>
      <w:lvlText w:val="o"/>
      <w:lvlJc w:val="left"/>
      <w:pPr>
        <w:ind w:left="2956" w:hanging="360"/>
      </w:pPr>
      <w:rPr>
        <w:rFonts w:ascii="Courier New" w:hAnsi="Courier New" w:cs="Courier New" w:hint="default"/>
      </w:rPr>
    </w:lvl>
    <w:lvl w:ilvl="5" w:tplc="18090005" w:tentative="1">
      <w:start w:val="1"/>
      <w:numFmt w:val="bullet"/>
      <w:lvlText w:val=""/>
      <w:lvlJc w:val="left"/>
      <w:pPr>
        <w:ind w:left="3676" w:hanging="360"/>
      </w:pPr>
      <w:rPr>
        <w:rFonts w:ascii="Wingdings" w:hAnsi="Wingdings" w:hint="default"/>
      </w:rPr>
    </w:lvl>
    <w:lvl w:ilvl="6" w:tplc="18090001" w:tentative="1">
      <w:start w:val="1"/>
      <w:numFmt w:val="bullet"/>
      <w:lvlText w:val=""/>
      <w:lvlJc w:val="left"/>
      <w:pPr>
        <w:ind w:left="4396" w:hanging="360"/>
      </w:pPr>
      <w:rPr>
        <w:rFonts w:ascii="Symbol" w:hAnsi="Symbol" w:hint="default"/>
      </w:rPr>
    </w:lvl>
    <w:lvl w:ilvl="7" w:tplc="18090003" w:tentative="1">
      <w:start w:val="1"/>
      <w:numFmt w:val="bullet"/>
      <w:lvlText w:val="o"/>
      <w:lvlJc w:val="left"/>
      <w:pPr>
        <w:ind w:left="5116" w:hanging="360"/>
      </w:pPr>
      <w:rPr>
        <w:rFonts w:ascii="Courier New" w:hAnsi="Courier New" w:cs="Courier New" w:hint="default"/>
      </w:rPr>
    </w:lvl>
    <w:lvl w:ilvl="8" w:tplc="18090005" w:tentative="1">
      <w:start w:val="1"/>
      <w:numFmt w:val="bullet"/>
      <w:lvlText w:val=""/>
      <w:lvlJc w:val="left"/>
      <w:pPr>
        <w:ind w:left="5836" w:hanging="360"/>
      </w:pPr>
      <w:rPr>
        <w:rFonts w:ascii="Wingdings" w:hAnsi="Wingdings" w:hint="default"/>
      </w:rPr>
    </w:lvl>
  </w:abstractNum>
  <w:abstractNum w:abstractNumId="15" w15:restartNumberingAfterBreak="0">
    <w:nsid w:val="23937357"/>
    <w:multiLevelType w:val="hybridMultilevel"/>
    <w:tmpl w:val="6812D20A"/>
    <w:lvl w:ilvl="0" w:tplc="87763748">
      <w:start w:val="1"/>
      <w:numFmt w:val="bullet"/>
      <w:lvlText w:val="• "/>
      <w:lvlJc w:val="left"/>
      <w:pPr>
        <w:ind w:hanging="360"/>
      </w:pPr>
    </w:lvl>
    <w:lvl w:ilvl="1" w:tplc="419A2BB8">
      <w:numFmt w:val="decimal"/>
      <w:lvlText w:val=""/>
      <w:lvlJc w:val="left"/>
    </w:lvl>
    <w:lvl w:ilvl="2" w:tplc="94888A60">
      <w:numFmt w:val="decimal"/>
      <w:lvlText w:val=""/>
      <w:lvlJc w:val="left"/>
    </w:lvl>
    <w:lvl w:ilvl="3" w:tplc="288AC4A0">
      <w:numFmt w:val="decimal"/>
      <w:lvlText w:val=""/>
      <w:lvlJc w:val="left"/>
    </w:lvl>
    <w:lvl w:ilvl="4" w:tplc="BBC2BC80">
      <w:numFmt w:val="decimal"/>
      <w:lvlText w:val=""/>
      <w:lvlJc w:val="left"/>
    </w:lvl>
    <w:lvl w:ilvl="5" w:tplc="0C5EB8AE">
      <w:numFmt w:val="decimal"/>
      <w:lvlText w:val=""/>
      <w:lvlJc w:val="left"/>
    </w:lvl>
    <w:lvl w:ilvl="6" w:tplc="73F4B2FE">
      <w:numFmt w:val="decimal"/>
      <w:lvlText w:val=""/>
      <w:lvlJc w:val="left"/>
    </w:lvl>
    <w:lvl w:ilvl="7" w:tplc="55BEDFAA">
      <w:numFmt w:val="decimal"/>
      <w:lvlText w:val=""/>
      <w:lvlJc w:val="left"/>
    </w:lvl>
    <w:lvl w:ilvl="8" w:tplc="F89C3012">
      <w:numFmt w:val="decimal"/>
      <w:lvlText w:val=""/>
      <w:lvlJc w:val="left"/>
    </w:lvl>
  </w:abstractNum>
  <w:abstractNum w:abstractNumId="16" w15:restartNumberingAfterBreak="0">
    <w:nsid w:val="26746725"/>
    <w:multiLevelType w:val="hybridMultilevel"/>
    <w:tmpl w:val="10B43F22"/>
    <w:lvl w:ilvl="0" w:tplc="31222BA0">
      <w:start w:val="136"/>
      <w:numFmt w:val="bullet"/>
      <w:lvlText w:val="-"/>
      <w:lvlJc w:val="left"/>
      <w:pPr>
        <w:ind w:left="252" w:hanging="360"/>
      </w:pPr>
      <w:rPr>
        <w:rFonts w:ascii="Times New Roman" w:eastAsia="Times New Roman" w:hAnsi="Times New Roman" w:cs="Times New Roman" w:hint="default"/>
      </w:rPr>
    </w:lvl>
    <w:lvl w:ilvl="1" w:tplc="18090003" w:tentative="1">
      <w:start w:val="1"/>
      <w:numFmt w:val="bullet"/>
      <w:lvlText w:val="o"/>
      <w:lvlJc w:val="left"/>
      <w:pPr>
        <w:ind w:left="972" w:hanging="360"/>
      </w:pPr>
      <w:rPr>
        <w:rFonts w:ascii="Courier New" w:hAnsi="Courier New" w:cs="Courier New" w:hint="default"/>
      </w:rPr>
    </w:lvl>
    <w:lvl w:ilvl="2" w:tplc="18090005" w:tentative="1">
      <w:start w:val="1"/>
      <w:numFmt w:val="bullet"/>
      <w:lvlText w:val=""/>
      <w:lvlJc w:val="left"/>
      <w:pPr>
        <w:ind w:left="1692" w:hanging="360"/>
      </w:pPr>
      <w:rPr>
        <w:rFonts w:ascii="Wingdings" w:hAnsi="Wingdings" w:hint="default"/>
      </w:rPr>
    </w:lvl>
    <w:lvl w:ilvl="3" w:tplc="18090001" w:tentative="1">
      <w:start w:val="1"/>
      <w:numFmt w:val="bullet"/>
      <w:lvlText w:val=""/>
      <w:lvlJc w:val="left"/>
      <w:pPr>
        <w:ind w:left="2412" w:hanging="360"/>
      </w:pPr>
      <w:rPr>
        <w:rFonts w:ascii="Symbol" w:hAnsi="Symbol" w:hint="default"/>
      </w:rPr>
    </w:lvl>
    <w:lvl w:ilvl="4" w:tplc="18090003" w:tentative="1">
      <w:start w:val="1"/>
      <w:numFmt w:val="bullet"/>
      <w:lvlText w:val="o"/>
      <w:lvlJc w:val="left"/>
      <w:pPr>
        <w:ind w:left="3132" w:hanging="360"/>
      </w:pPr>
      <w:rPr>
        <w:rFonts w:ascii="Courier New" w:hAnsi="Courier New" w:cs="Courier New" w:hint="default"/>
      </w:rPr>
    </w:lvl>
    <w:lvl w:ilvl="5" w:tplc="18090005" w:tentative="1">
      <w:start w:val="1"/>
      <w:numFmt w:val="bullet"/>
      <w:lvlText w:val=""/>
      <w:lvlJc w:val="left"/>
      <w:pPr>
        <w:ind w:left="3852" w:hanging="360"/>
      </w:pPr>
      <w:rPr>
        <w:rFonts w:ascii="Wingdings" w:hAnsi="Wingdings" w:hint="default"/>
      </w:rPr>
    </w:lvl>
    <w:lvl w:ilvl="6" w:tplc="18090001" w:tentative="1">
      <w:start w:val="1"/>
      <w:numFmt w:val="bullet"/>
      <w:lvlText w:val=""/>
      <w:lvlJc w:val="left"/>
      <w:pPr>
        <w:ind w:left="4572" w:hanging="360"/>
      </w:pPr>
      <w:rPr>
        <w:rFonts w:ascii="Symbol" w:hAnsi="Symbol" w:hint="default"/>
      </w:rPr>
    </w:lvl>
    <w:lvl w:ilvl="7" w:tplc="18090003" w:tentative="1">
      <w:start w:val="1"/>
      <w:numFmt w:val="bullet"/>
      <w:lvlText w:val="o"/>
      <w:lvlJc w:val="left"/>
      <w:pPr>
        <w:ind w:left="5292" w:hanging="360"/>
      </w:pPr>
      <w:rPr>
        <w:rFonts w:ascii="Courier New" w:hAnsi="Courier New" w:cs="Courier New" w:hint="default"/>
      </w:rPr>
    </w:lvl>
    <w:lvl w:ilvl="8" w:tplc="18090005" w:tentative="1">
      <w:start w:val="1"/>
      <w:numFmt w:val="bullet"/>
      <w:lvlText w:val=""/>
      <w:lvlJc w:val="left"/>
      <w:pPr>
        <w:ind w:left="6012" w:hanging="360"/>
      </w:pPr>
      <w:rPr>
        <w:rFonts w:ascii="Wingdings" w:hAnsi="Wingdings" w:hint="default"/>
      </w:rPr>
    </w:lvl>
  </w:abstractNum>
  <w:abstractNum w:abstractNumId="17" w15:restartNumberingAfterBreak="0">
    <w:nsid w:val="32AD45EF"/>
    <w:multiLevelType w:val="hybridMultilevel"/>
    <w:tmpl w:val="300450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3546D44"/>
    <w:multiLevelType w:val="hybridMultilevel"/>
    <w:tmpl w:val="DEA875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3FF7FD2"/>
    <w:multiLevelType w:val="hybridMultilevel"/>
    <w:tmpl w:val="28A6D8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73A5DB0"/>
    <w:multiLevelType w:val="hybridMultilevel"/>
    <w:tmpl w:val="14C2DB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C001860"/>
    <w:multiLevelType w:val="hybridMultilevel"/>
    <w:tmpl w:val="DB1681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E5F0C8A"/>
    <w:multiLevelType w:val="hybridMultilevel"/>
    <w:tmpl w:val="AEE872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3C34DD"/>
    <w:multiLevelType w:val="hybridMultilevel"/>
    <w:tmpl w:val="888AA7D4"/>
    <w:lvl w:ilvl="0" w:tplc="C61EFCDE">
      <w:start w:val="3"/>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6BD735C"/>
    <w:multiLevelType w:val="hybridMultilevel"/>
    <w:tmpl w:val="B25263F0"/>
    <w:lvl w:ilvl="0" w:tplc="4FB8A194">
      <w:start w:val="1"/>
      <w:numFmt w:val="bullet"/>
      <w:lvlText w:val="• "/>
      <w:lvlJc w:val="left"/>
      <w:pPr>
        <w:ind w:hanging="360"/>
      </w:pPr>
    </w:lvl>
    <w:lvl w:ilvl="1" w:tplc="5A54A5D2">
      <w:numFmt w:val="decimal"/>
      <w:lvlText w:val=""/>
      <w:lvlJc w:val="left"/>
    </w:lvl>
    <w:lvl w:ilvl="2" w:tplc="F07427BC">
      <w:numFmt w:val="decimal"/>
      <w:lvlText w:val=""/>
      <w:lvlJc w:val="left"/>
    </w:lvl>
    <w:lvl w:ilvl="3" w:tplc="C0340476">
      <w:numFmt w:val="decimal"/>
      <w:lvlText w:val=""/>
      <w:lvlJc w:val="left"/>
    </w:lvl>
    <w:lvl w:ilvl="4" w:tplc="8E7A67EE">
      <w:numFmt w:val="decimal"/>
      <w:lvlText w:val=""/>
      <w:lvlJc w:val="left"/>
    </w:lvl>
    <w:lvl w:ilvl="5" w:tplc="900475C4">
      <w:numFmt w:val="decimal"/>
      <w:lvlText w:val=""/>
      <w:lvlJc w:val="left"/>
    </w:lvl>
    <w:lvl w:ilvl="6" w:tplc="7FFA133A">
      <w:numFmt w:val="decimal"/>
      <w:lvlText w:val=""/>
      <w:lvlJc w:val="left"/>
    </w:lvl>
    <w:lvl w:ilvl="7" w:tplc="141246C8">
      <w:numFmt w:val="decimal"/>
      <w:lvlText w:val=""/>
      <w:lvlJc w:val="left"/>
    </w:lvl>
    <w:lvl w:ilvl="8" w:tplc="E34EC4A6">
      <w:numFmt w:val="decimal"/>
      <w:lvlText w:val=""/>
      <w:lvlJc w:val="left"/>
    </w:lvl>
  </w:abstractNum>
  <w:abstractNum w:abstractNumId="26" w15:restartNumberingAfterBreak="0">
    <w:nsid w:val="505D483C"/>
    <w:multiLevelType w:val="hybridMultilevel"/>
    <w:tmpl w:val="B1F487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DB12223"/>
    <w:multiLevelType w:val="hybridMultilevel"/>
    <w:tmpl w:val="5D40F3F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EBE5748"/>
    <w:multiLevelType w:val="multilevel"/>
    <w:tmpl w:val="72629116"/>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decimal"/>
      <w:pStyle w:val="ACLevel4"/>
      <w:lvlText w:val="%1.%2"/>
      <w:lvlJc w:val="left"/>
      <w:pPr>
        <w:tabs>
          <w:tab w:val="num" w:pos="1440"/>
        </w:tabs>
        <w:ind w:left="1440" w:hanging="720"/>
      </w:pPr>
      <w:rPr>
        <w:b w:val="0"/>
        <w:i w:val="0"/>
        <w:caps w:val="0"/>
        <w:smallCaps w:val="0"/>
        <w:strike w:val="0"/>
        <w:dstrike w:val="0"/>
        <w:vanish w:val="0"/>
        <w:color w:val="auto"/>
        <w:u w:val="none"/>
        <w:effect w:val="none"/>
        <w:vertAlign w:val="baseline"/>
      </w:rPr>
    </w:lvl>
    <w:lvl w:ilvl="2">
      <w:start w:val="1"/>
      <w:numFmt w:val="lowerLetter"/>
      <w:pStyle w:val="ACLevel5"/>
      <w:lvlText w:val="(%3)"/>
      <w:lvlJc w:val="left"/>
      <w:pPr>
        <w:tabs>
          <w:tab w:val="num" w:pos="2160"/>
        </w:tabs>
        <w:ind w:left="2160" w:hanging="720"/>
      </w:pPr>
      <w:rPr>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29" w15:restartNumberingAfterBreak="0">
    <w:nsid w:val="62151DC7"/>
    <w:multiLevelType w:val="hybridMultilevel"/>
    <w:tmpl w:val="DF5C53EA"/>
    <w:lvl w:ilvl="0" w:tplc="7E5C2004">
      <w:start w:val="1"/>
      <w:numFmt w:val="bullet"/>
      <w:pStyle w:val="Bullet"/>
      <w:lvlText w:val=""/>
      <w:lvlJc w:val="left"/>
      <w:pPr>
        <w:tabs>
          <w:tab w:val="num" w:pos="360"/>
        </w:tabs>
        <w:ind w:left="360" w:hanging="360"/>
      </w:pPr>
      <w:rPr>
        <w:rFonts w:ascii="Symbol" w:hAnsi="Symbol" w:cs="Symbol" w:hint="default"/>
      </w:rPr>
    </w:lvl>
    <w:lvl w:ilvl="1" w:tplc="DAE07E7A">
      <w:start w:val="1"/>
      <w:numFmt w:val="bullet"/>
      <w:lvlText w:val=""/>
      <w:lvlJc w:val="left"/>
      <w:pPr>
        <w:tabs>
          <w:tab w:val="num" w:pos="340"/>
        </w:tabs>
        <w:ind w:left="340" w:hanging="340"/>
      </w:pPr>
      <w:rPr>
        <w:rFonts w:ascii="Symbol" w:hAnsi="Symbol" w:cs="Symbol" w:hint="default"/>
        <w:color w:val="auto"/>
        <w:sz w:val="22"/>
        <w:szCs w:val="22"/>
      </w:rPr>
    </w:lvl>
    <w:lvl w:ilvl="2" w:tplc="154A2A2A">
      <w:start w:val="1"/>
      <w:numFmt w:val="bullet"/>
      <w:lvlText w:val=""/>
      <w:lvlJc w:val="left"/>
      <w:pPr>
        <w:tabs>
          <w:tab w:val="num" w:pos="340"/>
        </w:tabs>
        <w:ind w:left="340" w:hanging="340"/>
      </w:pPr>
      <w:rPr>
        <w:rFonts w:ascii="Symbol" w:hAnsi="Symbol" w:cs="Symbol" w:hint="default"/>
        <w:color w:val="auto"/>
        <w:sz w:val="22"/>
        <w:szCs w:val="22"/>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27F6D01"/>
    <w:multiLevelType w:val="hybridMultilevel"/>
    <w:tmpl w:val="0748B9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5111332"/>
    <w:multiLevelType w:val="multilevel"/>
    <w:tmpl w:val="4EBAAC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5941A24"/>
    <w:multiLevelType w:val="hybridMultilevel"/>
    <w:tmpl w:val="0B0E74D6"/>
    <w:lvl w:ilvl="0" w:tplc="B4C473F0">
      <w:start w:val="1"/>
      <w:numFmt w:val="bullet"/>
      <w:lvlText w:val="• "/>
      <w:lvlJc w:val="left"/>
      <w:pPr>
        <w:ind w:hanging="360"/>
      </w:pPr>
    </w:lvl>
    <w:lvl w:ilvl="1" w:tplc="2738E3A4">
      <w:numFmt w:val="decimal"/>
      <w:lvlText w:val=""/>
      <w:lvlJc w:val="left"/>
    </w:lvl>
    <w:lvl w:ilvl="2" w:tplc="9A70506E">
      <w:numFmt w:val="decimal"/>
      <w:lvlText w:val=""/>
      <w:lvlJc w:val="left"/>
    </w:lvl>
    <w:lvl w:ilvl="3" w:tplc="221047E4">
      <w:numFmt w:val="decimal"/>
      <w:lvlText w:val=""/>
      <w:lvlJc w:val="left"/>
    </w:lvl>
    <w:lvl w:ilvl="4" w:tplc="5AFA9384">
      <w:numFmt w:val="decimal"/>
      <w:lvlText w:val=""/>
      <w:lvlJc w:val="left"/>
    </w:lvl>
    <w:lvl w:ilvl="5" w:tplc="BA4695B8">
      <w:numFmt w:val="decimal"/>
      <w:lvlText w:val=""/>
      <w:lvlJc w:val="left"/>
    </w:lvl>
    <w:lvl w:ilvl="6" w:tplc="38BCF1F8">
      <w:numFmt w:val="decimal"/>
      <w:lvlText w:val=""/>
      <w:lvlJc w:val="left"/>
    </w:lvl>
    <w:lvl w:ilvl="7" w:tplc="7932DFA2">
      <w:numFmt w:val="decimal"/>
      <w:lvlText w:val=""/>
      <w:lvlJc w:val="left"/>
    </w:lvl>
    <w:lvl w:ilvl="8" w:tplc="ED8EDF3E">
      <w:numFmt w:val="decimal"/>
      <w:lvlText w:val=""/>
      <w:lvlJc w:val="left"/>
    </w:lvl>
  </w:abstractNum>
  <w:abstractNum w:abstractNumId="33" w15:restartNumberingAfterBreak="0">
    <w:nsid w:val="65AF331C"/>
    <w:multiLevelType w:val="hybridMultilevel"/>
    <w:tmpl w:val="078257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BD94387"/>
    <w:multiLevelType w:val="hybridMultilevel"/>
    <w:tmpl w:val="C62AF7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E6B16D3"/>
    <w:multiLevelType w:val="multilevel"/>
    <w:tmpl w:val="B10235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9"/>
  </w:num>
  <w:num w:numId="13">
    <w:abstractNumId w:val="11"/>
  </w:num>
  <w:num w:numId="14">
    <w:abstractNumId w:val="28"/>
  </w:num>
  <w:num w:numId="15">
    <w:abstractNumId w:val="14"/>
  </w:num>
  <w:num w:numId="16">
    <w:abstractNumId w:val="22"/>
  </w:num>
  <w:num w:numId="17">
    <w:abstractNumId w:val="33"/>
  </w:num>
  <w:num w:numId="18">
    <w:abstractNumId w:val="30"/>
  </w:num>
  <w:num w:numId="19">
    <w:abstractNumId w:val="26"/>
  </w:num>
  <w:num w:numId="20">
    <w:abstractNumId w:val="12"/>
  </w:num>
  <w:num w:numId="21">
    <w:abstractNumId w:val="19"/>
  </w:num>
  <w:num w:numId="22">
    <w:abstractNumId w:val="10"/>
  </w:num>
  <w:num w:numId="23">
    <w:abstractNumId w:val="18"/>
  </w:num>
  <w:num w:numId="24">
    <w:abstractNumId w:val="16"/>
  </w:num>
  <w:num w:numId="25">
    <w:abstractNumId w:val="23"/>
  </w:num>
  <w:num w:numId="26">
    <w:abstractNumId w:val="24"/>
  </w:num>
  <w:num w:numId="27">
    <w:abstractNumId w:val="25"/>
  </w:num>
  <w:num w:numId="28">
    <w:abstractNumId w:val="32"/>
  </w:num>
  <w:num w:numId="29">
    <w:abstractNumId w:val="13"/>
  </w:num>
  <w:num w:numId="30">
    <w:abstractNumId w:val="27"/>
  </w:num>
  <w:num w:numId="31">
    <w:abstractNumId w:val="15"/>
  </w:num>
  <w:num w:numId="32">
    <w:abstractNumId w:val="31"/>
  </w:num>
  <w:num w:numId="33">
    <w:abstractNumId w:val="20"/>
  </w:num>
  <w:num w:numId="34">
    <w:abstractNumId w:val="17"/>
  </w:num>
  <w:num w:numId="35">
    <w:abstractNumId w:val="34"/>
  </w:num>
  <w:num w:numId="36">
    <w:abstractNumId w:val="35"/>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AU"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4F3"/>
    <w:rsid w:val="000000BF"/>
    <w:rsid w:val="00000288"/>
    <w:rsid w:val="0000033B"/>
    <w:rsid w:val="000003F0"/>
    <w:rsid w:val="0000044D"/>
    <w:rsid w:val="00000514"/>
    <w:rsid w:val="00000ADF"/>
    <w:rsid w:val="00000B60"/>
    <w:rsid w:val="00000C16"/>
    <w:rsid w:val="00000DD5"/>
    <w:rsid w:val="00001064"/>
    <w:rsid w:val="0000129B"/>
    <w:rsid w:val="00001B5A"/>
    <w:rsid w:val="0000211E"/>
    <w:rsid w:val="000021E1"/>
    <w:rsid w:val="00002457"/>
    <w:rsid w:val="00002501"/>
    <w:rsid w:val="000029E9"/>
    <w:rsid w:val="00002BD1"/>
    <w:rsid w:val="00003039"/>
    <w:rsid w:val="0000311E"/>
    <w:rsid w:val="00003283"/>
    <w:rsid w:val="0000342E"/>
    <w:rsid w:val="0000361C"/>
    <w:rsid w:val="00003A46"/>
    <w:rsid w:val="00003C25"/>
    <w:rsid w:val="00004135"/>
    <w:rsid w:val="000041FC"/>
    <w:rsid w:val="0000440C"/>
    <w:rsid w:val="000049D4"/>
    <w:rsid w:val="00004BCF"/>
    <w:rsid w:val="00004BD1"/>
    <w:rsid w:val="0000513D"/>
    <w:rsid w:val="000052A4"/>
    <w:rsid w:val="00005A16"/>
    <w:rsid w:val="000060CA"/>
    <w:rsid w:val="00006450"/>
    <w:rsid w:val="00006772"/>
    <w:rsid w:val="00006DFC"/>
    <w:rsid w:val="00006E1D"/>
    <w:rsid w:val="00006ECD"/>
    <w:rsid w:val="00007509"/>
    <w:rsid w:val="000075A7"/>
    <w:rsid w:val="000078F6"/>
    <w:rsid w:val="00007F71"/>
    <w:rsid w:val="0001019D"/>
    <w:rsid w:val="00010516"/>
    <w:rsid w:val="0001056B"/>
    <w:rsid w:val="000105D6"/>
    <w:rsid w:val="00010BBA"/>
    <w:rsid w:val="0001129E"/>
    <w:rsid w:val="000112BF"/>
    <w:rsid w:val="000118B1"/>
    <w:rsid w:val="00011CDE"/>
    <w:rsid w:val="00011FED"/>
    <w:rsid w:val="000120ED"/>
    <w:rsid w:val="000126A9"/>
    <w:rsid w:val="00012D31"/>
    <w:rsid w:val="00012DBB"/>
    <w:rsid w:val="0001331A"/>
    <w:rsid w:val="000133A0"/>
    <w:rsid w:val="000134ED"/>
    <w:rsid w:val="000135EF"/>
    <w:rsid w:val="00014299"/>
    <w:rsid w:val="0001489B"/>
    <w:rsid w:val="000148DA"/>
    <w:rsid w:val="00014C1E"/>
    <w:rsid w:val="0001519D"/>
    <w:rsid w:val="000153D8"/>
    <w:rsid w:val="00015412"/>
    <w:rsid w:val="00015440"/>
    <w:rsid w:val="000155ED"/>
    <w:rsid w:val="000156DC"/>
    <w:rsid w:val="0001581D"/>
    <w:rsid w:val="00015CD8"/>
    <w:rsid w:val="00015E17"/>
    <w:rsid w:val="00015F2E"/>
    <w:rsid w:val="0001653A"/>
    <w:rsid w:val="000165FE"/>
    <w:rsid w:val="000166FE"/>
    <w:rsid w:val="00016735"/>
    <w:rsid w:val="00016D27"/>
    <w:rsid w:val="00016D3B"/>
    <w:rsid w:val="00016F05"/>
    <w:rsid w:val="00017053"/>
    <w:rsid w:val="000171E2"/>
    <w:rsid w:val="00017318"/>
    <w:rsid w:val="00017A1F"/>
    <w:rsid w:val="00017C7E"/>
    <w:rsid w:val="00017C9E"/>
    <w:rsid w:val="00017CD8"/>
    <w:rsid w:val="00017D7F"/>
    <w:rsid w:val="00017FAC"/>
    <w:rsid w:val="00020190"/>
    <w:rsid w:val="000201DB"/>
    <w:rsid w:val="00020290"/>
    <w:rsid w:val="0002063B"/>
    <w:rsid w:val="0002063E"/>
    <w:rsid w:val="00020878"/>
    <w:rsid w:val="00020D22"/>
    <w:rsid w:val="00020DD1"/>
    <w:rsid w:val="00020DFF"/>
    <w:rsid w:val="00020F8D"/>
    <w:rsid w:val="0002165B"/>
    <w:rsid w:val="0002187F"/>
    <w:rsid w:val="000218FD"/>
    <w:rsid w:val="0002197E"/>
    <w:rsid w:val="00021CB7"/>
    <w:rsid w:val="00021EF4"/>
    <w:rsid w:val="00022C4D"/>
    <w:rsid w:val="00022F7C"/>
    <w:rsid w:val="0002341C"/>
    <w:rsid w:val="00023C73"/>
    <w:rsid w:val="00023F40"/>
    <w:rsid w:val="00024112"/>
    <w:rsid w:val="00024692"/>
    <w:rsid w:val="0002482A"/>
    <w:rsid w:val="00024976"/>
    <w:rsid w:val="00024B0C"/>
    <w:rsid w:val="00024BEF"/>
    <w:rsid w:val="00024F0B"/>
    <w:rsid w:val="0002544D"/>
    <w:rsid w:val="00025615"/>
    <w:rsid w:val="00025882"/>
    <w:rsid w:val="0002594D"/>
    <w:rsid w:val="00025A78"/>
    <w:rsid w:val="00025C24"/>
    <w:rsid w:val="000263CF"/>
    <w:rsid w:val="0002688C"/>
    <w:rsid w:val="00026BDF"/>
    <w:rsid w:val="00026D28"/>
    <w:rsid w:val="00026FD9"/>
    <w:rsid w:val="00027C32"/>
    <w:rsid w:val="00027C57"/>
    <w:rsid w:val="00027DB0"/>
    <w:rsid w:val="00027E6C"/>
    <w:rsid w:val="00030271"/>
    <w:rsid w:val="000302DA"/>
    <w:rsid w:val="0003062D"/>
    <w:rsid w:val="00030837"/>
    <w:rsid w:val="000311AF"/>
    <w:rsid w:val="00031988"/>
    <w:rsid w:val="000319FA"/>
    <w:rsid w:val="00031AAA"/>
    <w:rsid w:val="00031E2C"/>
    <w:rsid w:val="00032943"/>
    <w:rsid w:val="000329B4"/>
    <w:rsid w:val="00032C78"/>
    <w:rsid w:val="00032E10"/>
    <w:rsid w:val="00033020"/>
    <w:rsid w:val="00033CBA"/>
    <w:rsid w:val="000345EE"/>
    <w:rsid w:val="000345F3"/>
    <w:rsid w:val="000347A3"/>
    <w:rsid w:val="00034D44"/>
    <w:rsid w:val="00034EC2"/>
    <w:rsid w:val="000356CA"/>
    <w:rsid w:val="00035768"/>
    <w:rsid w:val="00036358"/>
    <w:rsid w:val="0003642F"/>
    <w:rsid w:val="00036AE7"/>
    <w:rsid w:val="00036CE5"/>
    <w:rsid w:val="00036E67"/>
    <w:rsid w:val="00036F80"/>
    <w:rsid w:val="0003746A"/>
    <w:rsid w:val="00037B1D"/>
    <w:rsid w:val="000401F9"/>
    <w:rsid w:val="00040221"/>
    <w:rsid w:val="000402AD"/>
    <w:rsid w:val="00040501"/>
    <w:rsid w:val="00040849"/>
    <w:rsid w:val="000408ED"/>
    <w:rsid w:val="000408F6"/>
    <w:rsid w:val="000408F7"/>
    <w:rsid w:val="00040A4C"/>
    <w:rsid w:val="0004122F"/>
    <w:rsid w:val="00041327"/>
    <w:rsid w:val="0004167E"/>
    <w:rsid w:val="00041B48"/>
    <w:rsid w:val="00041C72"/>
    <w:rsid w:val="00041DD1"/>
    <w:rsid w:val="000425D9"/>
    <w:rsid w:val="00042EFF"/>
    <w:rsid w:val="000430D5"/>
    <w:rsid w:val="00043126"/>
    <w:rsid w:val="000431DA"/>
    <w:rsid w:val="00043590"/>
    <w:rsid w:val="00043599"/>
    <w:rsid w:val="0004377D"/>
    <w:rsid w:val="00043A2E"/>
    <w:rsid w:val="00043A9E"/>
    <w:rsid w:val="00043AB0"/>
    <w:rsid w:val="00043C8D"/>
    <w:rsid w:val="00043ED9"/>
    <w:rsid w:val="00043FCF"/>
    <w:rsid w:val="00044132"/>
    <w:rsid w:val="000448AD"/>
    <w:rsid w:val="00044A2A"/>
    <w:rsid w:val="00044C3D"/>
    <w:rsid w:val="00044F86"/>
    <w:rsid w:val="000451C8"/>
    <w:rsid w:val="00045AB0"/>
    <w:rsid w:val="00045B79"/>
    <w:rsid w:val="00045D1F"/>
    <w:rsid w:val="00045E46"/>
    <w:rsid w:val="00045F18"/>
    <w:rsid w:val="00045FE6"/>
    <w:rsid w:val="000466FF"/>
    <w:rsid w:val="0004693B"/>
    <w:rsid w:val="00046AF9"/>
    <w:rsid w:val="0004709A"/>
    <w:rsid w:val="0004741E"/>
    <w:rsid w:val="0004755E"/>
    <w:rsid w:val="0004795F"/>
    <w:rsid w:val="00047C0A"/>
    <w:rsid w:val="00047D03"/>
    <w:rsid w:val="00047D16"/>
    <w:rsid w:val="00050351"/>
    <w:rsid w:val="000503AA"/>
    <w:rsid w:val="00050616"/>
    <w:rsid w:val="00050AD2"/>
    <w:rsid w:val="00050FEE"/>
    <w:rsid w:val="000516F1"/>
    <w:rsid w:val="00051D65"/>
    <w:rsid w:val="0005217F"/>
    <w:rsid w:val="00052339"/>
    <w:rsid w:val="00052433"/>
    <w:rsid w:val="00052514"/>
    <w:rsid w:val="00052A6A"/>
    <w:rsid w:val="00052A83"/>
    <w:rsid w:val="00052C5E"/>
    <w:rsid w:val="00052E4D"/>
    <w:rsid w:val="00053582"/>
    <w:rsid w:val="000535D1"/>
    <w:rsid w:val="0005366A"/>
    <w:rsid w:val="000536FA"/>
    <w:rsid w:val="0005425D"/>
    <w:rsid w:val="000546D7"/>
    <w:rsid w:val="00054837"/>
    <w:rsid w:val="00054A5B"/>
    <w:rsid w:val="00054B0C"/>
    <w:rsid w:val="00054BD6"/>
    <w:rsid w:val="00054FE4"/>
    <w:rsid w:val="0005520F"/>
    <w:rsid w:val="00055A12"/>
    <w:rsid w:val="00055EC1"/>
    <w:rsid w:val="00055F54"/>
    <w:rsid w:val="00055FB0"/>
    <w:rsid w:val="00056109"/>
    <w:rsid w:val="0005615B"/>
    <w:rsid w:val="00056390"/>
    <w:rsid w:val="00056721"/>
    <w:rsid w:val="00056764"/>
    <w:rsid w:val="00056A0B"/>
    <w:rsid w:val="00056C93"/>
    <w:rsid w:val="00056EF3"/>
    <w:rsid w:val="000571A6"/>
    <w:rsid w:val="000573FA"/>
    <w:rsid w:val="00057437"/>
    <w:rsid w:val="0005765D"/>
    <w:rsid w:val="000579BD"/>
    <w:rsid w:val="00057A86"/>
    <w:rsid w:val="00057F08"/>
    <w:rsid w:val="000604EA"/>
    <w:rsid w:val="00060712"/>
    <w:rsid w:val="0006079F"/>
    <w:rsid w:val="000609E1"/>
    <w:rsid w:val="000612DB"/>
    <w:rsid w:val="0006141B"/>
    <w:rsid w:val="00061657"/>
    <w:rsid w:val="000617DF"/>
    <w:rsid w:val="0006187D"/>
    <w:rsid w:val="00061953"/>
    <w:rsid w:val="00061C40"/>
    <w:rsid w:val="00061E17"/>
    <w:rsid w:val="000628B4"/>
    <w:rsid w:val="00062AD6"/>
    <w:rsid w:val="00063048"/>
    <w:rsid w:val="000633C7"/>
    <w:rsid w:val="00063A8F"/>
    <w:rsid w:val="00063FAC"/>
    <w:rsid w:val="000647A0"/>
    <w:rsid w:val="000647E6"/>
    <w:rsid w:val="000647F4"/>
    <w:rsid w:val="000647F7"/>
    <w:rsid w:val="00064A94"/>
    <w:rsid w:val="00064C08"/>
    <w:rsid w:val="00064C1D"/>
    <w:rsid w:val="00064D89"/>
    <w:rsid w:val="00064F9C"/>
    <w:rsid w:val="00064FA7"/>
    <w:rsid w:val="0006565A"/>
    <w:rsid w:val="0006565D"/>
    <w:rsid w:val="000656E9"/>
    <w:rsid w:val="00065D74"/>
    <w:rsid w:val="00065E1C"/>
    <w:rsid w:val="00066261"/>
    <w:rsid w:val="0006638B"/>
    <w:rsid w:val="000666FB"/>
    <w:rsid w:val="00066746"/>
    <w:rsid w:val="000667A3"/>
    <w:rsid w:val="00067237"/>
    <w:rsid w:val="00067538"/>
    <w:rsid w:val="00067605"/>
    <w:rsid w:val="00067E94"/>
    <w:rsid w:val="00070598"/>
    <w:rsid w:val="000707D9"/>
    <w:rsid w:val="00070914"/>
    <w:rsid w:val="00070EBE"/>
    <w:rsid w:val="0007129D"/>
    <w:rsid w:val="000712A9"/>
    <w:rsid w:val="00071368"/>
    <w:rsid w:val="0007196E"/>
    <w:rsid w:val="00071FDC"/>
    <w:rsid w:val="0007232A"/>
    <w:rsid w:val="00072418"/>
    <w:rsid w:val="000727E2"/>
    <w:rsid w:val="00072C0B"/>
    <w:rsid w:val="00073696"/>
    <w:rsid w:val="00073C63"/>
    <w:rsid w:val="00073E12"/>
    <w:rsid w:val="00073E6C"/>
    <w:rsid w:val="00074243"/>
    <w:rsid w:val="00074303"/>
    <w:rsid w:val="00074D67"/>
    <w:rsid w:val="000753E3"/>
    <w:rsid w:val="00075935"/>
    <w:rsid w:val="00076045"/>
    <w:rsid w:val="000761E0"/>
    <w:rsid w:val="000765D5"/>
    <w:rsid w:val="000769D6"/>
    <w:rsid w:val="00076CED"/>
    <w:rsid w:val="00076E91"/>
    <w:rsid w:val="00077250"/>
    <w:rsid w:val="000773D4"/>
    <w:rsid w:val="000775FA"/>
    <w:rsid w:val="0007796A"/>
    <w:rsid w:val="00077A21"/>
    <w:rsid w:val="00077B17"/>
    <w:rsid w:val="00077CF8"/>
    <w:rsid w:val="00077DA3"/>
    <w:rsid w:val="00080066"/>
    <w:rsid w:val="00080272"/>
    <w:rsid w:val="000804FD"/>
    <w:rsid w:val="000807A0"/>
    <w:rsid w:val="0008082C"/>
    <w:rsid w:val="00080D4A"/>
    <w:rsid w:val="00080F5B"/>
    <w:rsid w:val="00081177"/>
    <w:rsid w:val="00081C70"/>
    <w:rsid w:val="00082454"/>
    <w:rsid w:val="0008246C"/>
    <w:rsid w:val="00082AA3"/>
    <w:rsid w:val="00082CFB"/>
    <w:rsid w:val="00082DB4"/>
    <w:rsid w:val="0008339A"/>
    <w:rsid w:val="0008358C"/>
    <w:rsid w:val="00083752"/>
    <w:rsid w:val="0008378A"/>
    <w:rsid w:val="00083C65"/>
    <w:rsid w:val="00083F7C"/>
    <w:rsid w:val="00084280"/>
    <w:rsid w:val="00084511"/>
    <w:rsid w:val="00084A2B"/>
    <w:rsid w:val="00084AC0"/>
    <w:rsid w:val="00084F92"/>
    <w:rsid w:val="00084FC6"/>
    <w:rsid w:val="000855B0"/>
    <w:rsid w:val="000859AA"/>
    <w:rsid w:val="00085C9A"/>
    <w:rsid w:val="0008615B"/>
    <w:rsid w:val="00086F58"/>
    <w:rsid w:val="00086F89"/>
    <w:rsid w:val="00086FD5"/>
    <w:rsid w:val="000872DB"/>
    <w:rsid w:val="00087631"/>
    <w:rsid w:val="00087DFA"/>
    <w:rsid w:val="00087E29"/>
    <w:rsid w:val="000912E2"/>
    <w:rsid w:val="0009184B"/>
    <w:rsid w:val="00091922"/>
    <w:rsid w:val="000919F6"/>
    <w:rsid w:val="00091D5C"/>
    <w:rsid w:val="00091E62"/>
    <w:rsid w:val="000924BB"/>
    <w:rsid w:val="00092A40"/>
    <w:rsid w:val="00093089"/>
    <w:rsid w:val="000933B1"/>
    <w:rsid w:val="0009351A"/>
    <w:rsid w:val="00093972"/>
    <w:rsid w:val="00093B60"/>
    <w:rsid w:val="00094351"/>
    <w:rsid w:val="00094499"/>
    <w:rsid w:val="00094512"/>
    <w:rsid w:val="0009464E"/>
    <w:rsid w:val="00094BC6"/>
    <w:rsid w:val="00094BD2"/>
    <w:rsid w:val="00094D3A"/>
    <w:rsid w:val="000951C3"/>
    <w:rsid w:val="000952B7"/>
    <w:rsid w:val="0009543E"/>
    <w:rsid w:val="00095D71"/>
    <w:rsid w:val="00096096"/>
    <w:rsid w:val="000968E1"/>
    <w:rsid w:val="0009695B"/>
    <w:rsid w:val="00097115"/>
    <w:rsid w:val="00097180"/>
    <w:rsid w:val="00097DEC"/>
    <w:rsid w:val="00097E93"/>
    <w:rsid w:val="00097FC8"/>
    <w:rsid w:val="000A01FE"/>
    <w:rsid w:val="000A020A"/>
    <w:rsid w:val="000A0A80"/>
    <w:rsid w:val="000A0AB1"/>
    <w:rsid w:val="000A0FFF"/>
    <w:rsid w:val="000A1973"/>
    <w:rsid w:val="000A1B86"/>
    <w:rsid w:val="000A1DD1"/>
    <w:rsid w:val="000A25F9"/>
    <w:rsid w:val="000A27EF"/>
    <w:rsid w:val="000A2BBE"/>
    <w:rsid w:val="000A3217"/>
    <w:rsid w:val="000A32A3"/>
    <w:rsid w:val="000A375A"/>
    <w:rsid w:val="000A38EA"/>
    <w:rsid w:val="000A3A87"/>
    <w:rsid w:val="000A3C8F"/>
    <w:rsid w:val="000A3D7B"/>
    <w:rsid w:val="000A3E63"/>
    <w:rsid w:val="000A4031"/>
    <w:rsid w:val="000A4300"/>
    <w:rsid w:val="000A434C"/>
    <w:rsid w:val="000A4425"/>
    <w:rsid w:val="000A4877"/>
    <w:rsid w:val="000A4ED3"/>
    <w:rsid w:val="000A4FAE"/>
    <w:rsid w:val="000A507B"/>
    <w:rsid w:val="000A576A"/>
    <w:rsid w:val="000A5EAD"/>
    <w:rsid w:val="000A60BF"/>
    <w:rsid w:val="000A632B"/>
    <w:rsid w:val="000A635C"/>
    <w:rsid w:val="000A648B"/>
    <w:rsid w:val="000A6FA6"/>
    <w:rsid w:val="000A6FBC"/>
    <w:rsid w:val="000A7035"/>
    <w:rsid w:val="000A7046"/>
    <w:rsid w:val="000A72F7"/>
    <w:rsid w:val="000A743C"/>
    <w:rsid w:val="000A7A7B"/>
    <w:rsid w:val="000A7DC6"/>
    <w:rsid w:val="000A7DD5"/>
    <w:rsid w:val="000A7FB2"/>
    <w:rsid w:val="000B01A1"/>
    <w:rsid w:val="000B01E1"/>
    <w:rsid w:val="000B03CE"/>
    <w:rsid w:val="000B04F9"/>
    <w:rsid w:val="000B0512"/>
    <w:rsid w:val="000B0869"/>
    <w:rsid w:val="000B09D0"/>
    <w:rsid w:val="000B0B24"/>
    <w:rsid w:val="000B0B7F"/>
    <w:rsid w:val="000B0FC5"/>
    <w:rsid w:val="000B10D3"/>
    <w:rsid w:val="000B11F6"/>
    <w:rsid w:val="000B1318"/>
    <w:rsid w:val="000B1520"/>
    <w:rsid w:val="000B16EE"/>
    <w:rsid w:val="000B18C6"/>
    <w:rsid w:val="000B18F6"/>
    <w:rsid w:val="000B201B"/>
    <w:rsid w:val="000B201C"/>
    <w:rsid w:val="000B2064"/>
    <w:rsid w:val="000B29A5"/>
    <w:rsid w:val="000B2E2E"/>
    <w:rsid w:val="000B3206"/>
    <w:rsid w:val="000B32E5"/>
    <w:rsid w:val="000B36C4"/>
    <w:rsid w:val="000B374C"/>
    <w:rsid w:val="000B39E3"/>
    <w:rsid w:val="000B3BB0"/>
    <w:rsid w:val="000B3D13"/>
    <w:rsid w:val="000B4175"/>
    <w:rsid w:val="000B41C1"/>
    <w:rsid w:val="000B436D"/>
    <w:rsid w:val="000B472E"/>
    <w:rsid w:val="000B4CD6"/>
    <w:rsid w:val="000B4FFB"/>
    <w:rsid w:val="000B50B5"/>
    <w:rsid w:val="000B52E8"/>
    <w:rsid w:val="000B5334"/>
    <w:rsid w:val="000B53CB"/>
    <w:rsid w:val="000B55D0"/>
    <w:rsid w:val="000B5693"/>
    <w:rsid w:val="000B5E57"/>
    <w:rsid w:val="000B6080"/>
    <w:rsid w:val="000B7077"/>
    <w:rsid w:val="000B718F"/>
    <w:rsid w:val="000B77E9"/>
    <w:rsid w:val="000B7ADA"/>
    <w:rsid w:val="000B7B51"/>
    <w:rsid w:val="000B7EA5"/>
    <w:rsid w:val="000B7F3D"/>
    <w:rsid w:val="000C0097"/>
    <w:rsid w:val="000C01EB"/>
    <w:rsid w:val="000C0507"/>
    <w:rsid w:val="000C0521"/>
    <w:rsid w:val="000C0810"/>
    <w:rsid w:val="000C0BAE"/>
    <w:rsid w:val="000C0BBF"/>
    <w:rsid w:val="000C0D9B"/>
    <w:rsid w:val="000C1304"/>
    <w:rsid w:val="000C1358"/>
    <w:rsid w:val="000C147A"/>
    <w:rsid w:val="000C169B"/>
    <w:rsid w:val="000C18D6"/>
    <w:rsid w:val="000C1CD9"/>
    <w:rsid w:val="000C200D"/>
    <w:rsid w:val="000C2045"/>
    <w:rsid w:val="000C2840"/>
    <w:rsid w:val="000C2A44"/>
    <w:rsid w:val="000C3417"/>
    <w:rsid w:val="000C34AB"/>
    <w:rsid w:val="000C3547"/>
    <w:rsid w:val="000C363D"/>
    <w:rsid w:val="000C3B49"/>
    <w:rsid w:val="000C3B8A"/>
    <w:rsid w:val="000C40D7"/>
    <w:rsid w:val="000C40F1"/>
    <w:rsid w:val="000C4AA6"/>
    <w:rsid w:val="000C4CD7"/>
    <w:rsid w:val="000C4D92"/>
    <w:rsid w:val="000C4E61"/>
    <w:rsid w:val="000C5222"/>
    <w:rsid w:val="000C52DC"/>
    <w:rsid w:val="000C5388"/>
    <w:rsid w:val="000C55B1"/>
    <w:rsid w:val="000C5C59"/>
    <w:rsid w:val="000C5FF4"/>
    <w:rsid w:val="000C60D8"/>
    <w:rsid w:val="000C66A5"/>
    <w:rsid w:val="000C66A7"/>
    <w:rsid w:val="000C67F2"/>
    <w:rsid w:val="000C6C0F"/>
    <w:rsid w:val="000C6D28"/>
    <w:rsid w:val="000C6EC6"/>
    <w:rsid w:val="000C73B4"/>
    <w:rsid w:val="000C74BB"/>
    <w:rsid w:val="000C7982"/>
    <w:rsid w:val="000C7CF3"/>
    <w:rsid w:val="000C7EFB"/>
    <w:rsid w:val="000D0035"/>
    <w:rsid w:val="000D003C"/>
    <w:rsid w:val="000D02B8"/>
    <w:rsid w:val="000D074E"/>
    <w:rsid w:val="000D082B"/>
    <w:rsid w:val="000D0C81"/>
    <w:rsid w:val="000D108A"/>
    <w:rsid w:val="000D14A4"/>
    <w:rsid w:val="000D172C"/>
    <w:rsid w:val="000D187D"/>
    <w:rsid w:val="000D18B9"/>
    <w:rsid w:val="000D19BA"/>
    <w:rsid w:val="000D1B14"/>
    <w:rsid w:val="000D1E7D"/>
    <w:rsid w:val="000D2304"/>
    <w:rsid w:val="000D2470"/>
    <w:rsid w:val="000D27C2"/>
    <w:rsid w:val="000D2A30"/>
    <w:rsid w:val="000D2B25"/>
    <w:rsid w:val="000D2BAD"/>
    <w:rsid w:val="000D2C58"/>
    <w:rsid w:val="000D36D1"/>
    <w:rsid w:val="000D390F"/>
    <w:rsid w:val="000D39D8"/>
    <w:rsid w:val="000D3B1C"/>
    <w:rsid w:val="000D49FD"/>
    <w:rsid w:val="000D4C18"/>
    <w:rsid w:val="000D4E11"/>
    <w:rsid w:val="000D4F2E"/>
    <w:rsid w:val="000D545B"/>
    <w:rsid w:val="000D552A"/>
    <w:rsid w:val="000D55BD"/>
    <w:rsid w:val="000D574E"/>
    <w:rsid w:val="000D59DB"/>
    <w:rsid w:val="000D5F35"/>
    <w:rsid w:val="000D64D4"/>
    <w:rsid w:val="000D68C4"/>
    <w:rsid w:val="000D6E44"/>
    <w:rsid w:val="000D6EBE"/>
    <w:rsid w:val="000D73E0"/>
    <w:rsid w:val="000E0A70"/>
    <w:rsid w:val="000E0B9C"/>
    <w:rsid w:val="000E1279"/>
    <w:rsid w:val="000E12CD"/>
    <w:rsid w:val="000E13C3"/>
    <w:rsid w:val="000E13F0"/>
    <w:rsid w:val="000E23EC"/>
    <w:rsid w:val="000E24AD"/>
    <w:rsid w:val="000E28EC"/>
    <w:rsid w:val="000E2D55"/>
    <w:rsid w:val="000E2F3C"/>
    <w:rsid w:val="000E3661"/>
    <w:rsid w:val="000E3D1D"/>
    <w:rsid w:val="000E3DE0"/>
    <w:rsid w:val="000E3F4B"/>
    <w:rsid w:val="000E40DE"/>
    <w:rsid w:val="000E4280"/>
    <w:rsid w:val="000E468C"/>
    <w:rsid w:val="000E4B1B"/>
    <w:rsid w:val="000E5452"/>
    <w:rsid w:val="000E5561"/>
    <w:rsid w:val="000E560F"/>
    <w:rsid w:val="000E56AA"/>
    <w:rsid w:val="000E5808"/>
    <w:rsid w:val="000E5E1D"/>
    <w:rsid w:val="000E60FB"/>
    <w:rsid w:val="000E6494"/>
    <w:rsid w:val="000E64BF"/>
    <w:rsid w:val="000E67F9"/>
    <w:rsid w:val="000E69DD"/>
    <w:rsid w:val="000E6B5B"/>
    <w:rsid w:val="000E705C"/>
    <w:rsid w:val="000E75E6"/>
    <w:rsid w:val="000F04BC"/>
    <w:rsid w:val="000F07E8"/>
    <w:rsid w:val="000F0BC2"/>
    <w:rsid w:val="000F114D"/>
    <w:rsid w:val="000F13B4"/>
    <w:rsid w:val="000F175E"/>
    <w:rsid w:val="000F179C"/>
    <w:rsid w:val="000F17BA"/>
    <w:rsid w:val="000F186E"/>
    <w:rsid w:val="000F18DC"/>
    <w:rsid w:val="000F1BA3"/>
    <w:rsid w:val="000F1E25"/>
    <w:rsid w:val="000F1FE1"/>
    <w:rsid w:val="000F2127"/>
    <w:rsid w:val="000F23F2"/>
    <w:rsid w:val="000F3361"/>
    <w:rsid w:val="000F352D"/>
    <w:rsid w:val="000F3E59"/>
    <w:rsid w:val="000F3F90"/>
    <w:rsid w:val="000F4151"/>
    <w:rsid w:val="000F422C"/>
    <w:rsid w:val="000F4356"/>
    <w:rsid w:val="000F449C"/>
    <w:rsid w:val="000F475F"/>
    <w:rsid w:val="000F4845"/>
    <w:rsid w:val="000F4E6C"/>
    <w:rsid w:val="000F4E86"/>
    <w:rsid w:val="000F50F0"/>
    <w:rsid w:val="000F5517"/>
    <w:rsid w:val="000F563F"/>
    <w:rsid w:val="000F617B"/>
    <w:rsid w:val="000F6D90"/>
    <w:rsid w:val="000F700A"/>
    <w:rsid w:val="000F780D"/>
    <w:rsid w:val="000F7947"/>
    <w:rsid w:val="000F79B3"/>
    <w:rsid w:val="00100415"/>
    <w:rsid w:val="00100C2C"/>
    <w:rsid w:val="00100EA4"/>
    <w:rsid w:val="00101059"/>
    <w:rsid w:val="00101147"/>
    <w:rsid w:val="001016D7"/>
    <w:rsid w:val="00101D3C"/>
    <w:rsid w:val="00101FE3"/>
    <w:rsid w:val="0010231D"/>
    <w:rsid w:val="00102539"/>
    <w:rsid w:val="00102562"/>
    <w:rsid w:val="001028D7"/>
    <w:rsid w:val="001029B8"/>
    <w:rsid w:val="00102CCA"/>
    <w:rsid w:val="00102DBC"/>
    <w:rsid w:val="00102EE1"/>
    <w:rsid w:val="00103011"/>
    <w:rsid w:val="001030CF"/>
    <w:rsid w:val="00103183"/>
    <w:rsid w:val="00103276"/>
    <w:rsid w:val="001033F7"/>
    <w:rsid w:val="00103970"/>
    <w:rsid w:val="00103B4A"/>
    <w:rsid w:val="00103BC0"/>
    <w:rsid w:val="00103E2A"/>
    <w:rsid w:val="00103E44"/>
    <w:rsid w:val="00104054"/>
    <w:rsid w:val="00104167"/>
    <w:rsid w:val="00104AB0"/>
    <w:rsid w:val="00104C7A"/>
    <w:rsid w:val="00104CEC"/>
    <w:rsid w:val="00105066"/>
    <w:rsid w:val="0010579D"/>
    <w:rsid w:val="00105A37"/>
    <w:rsid w:val="00105BDE"/>
    <w:rsid w:val="00105CE4"/>
    <w:rsid w:val="00106549"/>
    <w:rsid w:val="001067AC"/>
    <w:rsid w:val="00106D73"/>
    <w:rsid w:val="00106D98"/>
    <w:rsid w:val="00107771"/>
    <w:rsid w:val="001078CE"/>
    <w:rsid w:val="001078D1"/>
    <w:rsid w:val="00107E1F"/>
    <w:rsid w:val="00110203"/>
    <w:rsid w:val="001104C4"/>
    <w:rsid w:val="0011061E"/>
    <w:rsid w:val="00110689"/>
    <w:rsid w:val="00110690"/>
    <w:rsid w:val="00110A57"/>
    <w:rsid w:val="0011179A"/>
    <w:rsid w:val="00112038"/>
    <w:rsid w:val="00112094"/>
    <w:rsid w:val="0011234B"/>
    <w:rsid w:val="00112489"/>
    <w:rsid w:val="00112552"/>
    <w:rsid w:val="0011284F"/>
    <w:rsid w:val="0011292E"/>
    <w:rsid w:val="001129CF"/>
    <w:rsid w:val="00112A99"/>
    <w:rsid w:val="00112D21"/>
    <w:rsid w:val="00113405"/>
    <w:rsid w:val="00113884"/>
    <w:rsid w:val="00113AE1"/>
    <w:rsid w:val="00113C44"/>
    <w:rsid w:val="00113C7E"/>
    <w:rsid w:val="00113CF0"/>
    <w:rsid w:val="00114346"/>
    <w:rsid w:val="001143D7"/>
    <w:rsid w:val="00114678"/>
    <w:rsid w:val="00114759"/>
    <w:rsid w:val="001147D3"/>
    <w:rsid w:val="00116101"/>
    <w:rsid w:val="0011623C"/>
    <w:rsid w:val="00116330"/>
    <w:rsid w:val="001164B1"/>
    <w:rsid w:val="00116517"/>
    <w:rsid w:val="00116637"/>
    <w:rsid w:val="00116A12"/>
    <w:rsid w:val="00116A7A"/>
    <w:rsid w:val="00116B72"/>
    <w:rsid w:val="00116D9C"/>
    <w:rsid w:val="00116DB0"/>
    <w:rsid w:val="00117384"/>
    <w:rsid w:val="00117CC3"/>
    <w:rsid w:val="00117DE8"/>
    <w:rsid w:val="00117EBE"/>
    <w:rsid w:val="00117F02"/>
    <w:rsid w:val="00120047"/>
    <w:rsid w:val="00120AF7"/>
    <w:rsid w:val="00120D43"/>
    <w:rsid w:val="00121444"/>
    <w:rsid w:val="001215DE"/>
    <w:rsid w:val="001217F4"/>
    <w:rsid w:val="001222A7"/>
    <w:rsid w:val="001223CA"/>
    <w:rsid w:val="00122496"/>
    <w:rsid w:val="001226BF"/>
    <w:rsid w:val="00122DF4"/>
    <w:rsid w:val="00122E1B"/>
    <w:rsid w:val="00122FCD"/>
    <w:rsid w:val="00123131"/>
    <w:rsid w:val="001232C1"/>
    <w:rsid w:val="001232FD"/>
    <w:rsid w:val="0012352F"/>
    <w:rsid w:val="00123C3A"/>
    <w:rsid w:val="00123EEA"/>
    <w:rsid w:val="001240F3"/>
    <w:rsid w:val="0012429F"/>
    <w:rsid w:val="001243B9"/>
    <w:rsid w:val="0012444D"/>
    <w:rsid w:val="00124494"/>
    <w:rsid w:val="00124C6C"/>
    <w:rsid w:val="00124EFD"/>
    <w:rsid w:val="00124F9D"/>
    <w:rsid w:val="0012577F"/>
    <w:rsid w:val="00125803"/>
    <w:rsid w:val="0012585F"/>
    <w:rsid w:val="00125962"/>
    <w:rsid w:val="00125A48"/>
    <w:rsid w:val="00125B2B"/>
    <w:rsid w:val="00126631"/>
    <w:rsid w:val="001266B4"/>
    <w:rsid w:val="00126D1A"/>
    <w:rsid w:val="001273B8"/>
    <w:rsid w:val="00127A37"/>
    <w:rsid w:val="00127C8A"/>
    <w:rsid w:val="00127CC1"/>
    <w:rsid w:val="0013004B"/>
    <w:rsid w:val="0013007A"/>
    <w:rsid w:val="00130273"/>
    <w:rsid w:val="0013047E"/>
    <w:rsid w:val="001305EB"/>
    <w:rsid w:val="001306B7"/>
    <w:rsid w:val="00130E6E"/>
    <w:rsid w:val="00131251"/>
    <w:rsid w:val="001314CA"/>
    <w:rsid w:val="00131968"/>
    <w:rsid w:val="00131ED0"/>
    <w:rsid w:val="00131F0E"/>
    <w:rsid w:val="001320A6"/>
    <w:rsid w:val="001321E6"/>
    <w:rsid w:val="0013225C"/>
    <w:rsid w:val="00132540"/>
    <w:rsid w:val="00132601"/>
    <w:rsid w:val="00132A12"/>
    <w:rsid w:val="00132C33"/>
    <w:rsid w:val="00132DE2"/>
    <w:rsid w:val="00133224"/>
    <w:rsid w:val="00133551"/>
    <w:rsid w:val="00133D73"/>
    <w:rsid w:val="00133DE3"/>
    <w:rsid w:val="00133DFA"/>
    <w:rsid w:val="00134120"/>
    <w:rsid w:val="001341A1"/>
    <w:rsid w:val="001345F6"/>
    <w:rsid w:val="00134B1B"/>
    <w:rsid w:val="00134DBB"/>
    <w:rsid w:val="00134E50"/>
    <w:rsid w:val="001351FE"/>
    <w:rsid w:val="001354C4"/>
    <w:rsid w:val="0013573A"/>
    <w:rsid w:val="00135B6F"/>
    <w:rsid w:val="0013661E"/>
    <w:rsid w:val="001366F3"/>
    <w:rsid w:val="00136C1B"/>
    <w:rsid w:val="00137333"/>
    <w:rsid w:val="0013750E"/>
    <w:rsid w:val="0013756E"/>
    <w:rsid w:val="001376D6"/>
    <w:rsid w:val="001377BB"/>
    <w:rsid w:val="00137BDA"/>
    <w:rsid w:val="00137BF1"/>
    <w:rsid w:val="00137C40"/>
    <w:rsid w:val="00137EBB"/>
    <w:rsid w:val="00137F21"/>
    <w:rsid w:val="0014006B"/>
    <w:rsid w:val="00140074"/>
    <w:rsid w:val="00140224"/>
    <w:rsid w:val="00140609"/>
    <w:rsid w:val="001408B8"/>
    <w:rsid w:val="001408BF"/>
    <w:rsid w:val="00140901"/>
    <w:rsid w:val="00140950"/>
    <w:rsid w:val="00140B99"/>
    <w:rsid w:val="00140C6E"/>
    <w:rsid w:val="00140CB5"/>
    <w:rsid w:val="0014102A"/>
    <w:rsid w:val="0014112D"/>
    <w:rsid w:val="00141342"/>
    <w:rsid w:val="0014149A"/>
    <w:rsid w:val="00141511"/>
    <w:rsid w:val="001415D0"/>
    <w:rsid w:val="00141984"/>
    <w:rsid w:val="001419BB"/>
    <w:rsid w:val="00141D86"/>
    <w:rsid w:val="00142319"/>
    <w:rsid w:val="0014233C"/>
    <w:rsid w:val="001427C1"/>
    <w:rsid w:val="001427D2"/>
    <w:rsid w:val="00142904"/>
    <w:rsid w:val="00142C60"/>
    <w:rsid w:val="00143172"/>
    <w:rsid w:val="00143242"/>
    <w:rsid w:val="0014381E"/>
    <w:rsid w:val="00143A57"/>
    <w:rsid w:val="00143E2F"/>
    <w:rsid w:val="00143E3E"/>
    <w:rsid w:val="001440C6"/>
    <w:rsid w:val="00144513"/>
    <w:rsid w:val="00144622"/>
    <w:rsid w:val="001448B8"/>
    <w:rsid w:val="00144CBB"/>
    <w:rsid w:val="00144E46"/>
    <w:rsid w:val="00145040"/>
    <w:rsid w:val="001454B8"/>
    <w:rsid w:val="00145552"/>
    <w:rsid w:val="001456BC"/>
    <w:rsid w:val="0014588D"/>
    <w:rsid w:val="00145A1C"/>
    <w:rsid w:val="00145A1F"/>
    <w:rsid w:val="00145A25"/>
    <w:rsid w:val="00145E38"/>
    <w:rsid w:val="00145F98"/>
    <w:rsid w:val="0014631D"/>
    <w:rsid w:val="00146517"/>
    <w:rsid w:val="00146E37"/>
    <w:rsid w:val="00146F60"/>
    <w:rsid w:val="00147040"/>
    <w:rsid w:val="00147386"/>
    <w:rsid w:val="00147475"/>
    <w:rsid w:val="00147ADF"/>
    <w:rsid w:val="00147F10"/>
    <w:rsid w:val="00150281"/>
    <w:rsid w:val="001507B5"/>
    <w:rsid w:val="001507E5"/>
    <w:rsid w:val="0015092C"/>
    <w:rsid w:val="00150B67"/>
    <w:rsid w:val="00151387"/>
    <w:rsid w:val="0015146F"/>
    <w:rsid w:val="00151541"/>
    <w:rsid w:val="001515D7"/>
    <w:rsid w:val="0015167F"/>
    <w:rsid w:val="00151A2F"/>
    <w:rsid w:val="00151BD5"/>
    <w:rsid w:val="00151E75"/>
    <w:rsid w:val="00151F35"/>
    <w:rsid w:val="001526EB"/>
    <w:rsid w:val="00152739"/>
    <w:rsid w:val="00153104"/>
    <w:rsid w:val="0015377B"/>
    <w:rsid w:val="0015395E"/>
    <w:rsid w:val="00154007"/>
    <w:rsid w:val="001547A7"/>
    <w:rsid w:val="00154A68"/>
    <w:rsid w:val="00154BEE"/>
    <w:rsid w:val="00154CF5"/>
    <w:rsid w:val="00154F8D"/>
    <w:rsid w:val="001556CA"/>
    <w:rsid w:val="00155B47"/>
    <w:rsid w:val="00155C08"/>
    <w:rsid w:val="00155DFC"/>
    <w:rsid w:val="001560A1"/>
    <w:rsid w:val="00156647"/>
    <w:rsid w:val="001569AF"/>
    <w:rsid w:val="00156A04"/>
    <w:rsid w:val="00156A19"/>
    <w:rsid w:val="00156D9B"/>
    <w:rsid w:val="00157530"/>
    <w:rsid w:val="001576DE"/>
    <w:rsid w:val="00157AA2"/>
    <w:rsid w:val="00157B48"/>
    <w:rsid w:val="00157D43"/>
    <w:rsid w:val="00160520"/>
    <w:rsid w:val="00160994"/>
    <w:rsid w:val="001614F3"/>
    <w:rsid w:val="00161670"/>
    <w:rsid w:val="0016188E"/>
    <w:rsid w:val="00162A9D"/>
    <w:rsid w:val="00162AB4"/>
    <w:rsid w:val="001632A3"/>
    <w:rsid w:val="001633E6"/>
    <w:rsid w:val="00163510"/>
    <w:rsid w:val="00163630"/>
    <w:rsid w:val="001637B9"/>
    <w:rsid w:val="0016387D"/>
    <w:rsid w:val="00163B71"/>
    <w:rsid w:val="00163DA1"/>
    <w:rsid w:val="0016405B"/>
    <w:rsid w:val="0016464C"/>
    <w:rsid w:val="00164884"/>
    <w:rsid w:val="00164B40"/>
    <w:rsid w:val="00164FA3"/>
    <w:rsid w:val="0016513B"/>
    <w:rsid w:val="00165201"/>
    <w:rsid w:val="00165750"/>
    <w:rsid w:val="001658CC"/>
    <w:rsid w:val="00165D45"/>
    <w:rsid w:val="00165E0E"/>
    <w:rsid w:val="00166268"/>
    <w:rsid w:val="00166274"/>
    <w:rsid w:val="0016634C"/>
    <w:rsid w:val="00166CE8"/>
    <w:rsid w:val="00166DCD"/>
    <w:rsid w:val="00166DE3"/>
    <w:rsid w:val="001670E8"/>
    <w:rsid w:val="00167791"/>
    <w:rsid w:val="0016796D"/>
    <w:rsid w:val="001679FA"/>
    <w:rsid w:val="00170078"/>
    <w:rsid w:val="001701E0"/>
    <w:rsid w:val="00170306"/>
    <w:rsid w:val="0017080C"/>
    <w:rsid w:val="001713AC"/>
    <w:rsid w:val="00171670"/>
    <w:rsid w:val="001717A6"/>
    <w:rsid w:val="00171871"/>
    <w:rsid w:val="00171CA2"/>
    <w:rsid w:val="00171CB5"/>
    <w:rsid w:val="00171FC2"/>
    <w:rsid w:val="00171FE9"/>
    <w:rsid w:val="0017201E"/>
    <w:rsid w:val="00172222"/>
    <w:rsid w:val="0017229F"/>
    <w:rsid w:val="00172432"/>
    <w:rsid w:val="00172A25"/>
    <w:rsid w:val="0017330B"/>
    <w:rsid w:val="001739FD"/>
    <w:rsid w:val="00173C74"/>
    <w:rsid w:val="00174032"/>
    <w:rsid w:val="001744E8"/>
    <w:rsid w:val="001747C6"/>
    <w:rsid w:val="00174E4B"/>
    <w:rsid w:val="00174FBE"/>
    <w:rsid w:val="0017514F"/>
    <w:rsid w:val="001752A9"/>
    <w:rsid w:val="001753A2"/>
    <w:rsid w:val="001753C1"/>
    <w:rsid w:val="0017563E"/>
    <w:rsid w:val="001761AC"/>
    <w:rsid w:val="00176284"/>
    <w:rsid w:val="0017641D"/>
    <w:rsid w:val="00176610"/>
    <w:rsid w:val="00176865"/>
    <w:rsid w:val="0017686E"/>
    <w:rsid w:val="00176A4B"/>
    <w:rsid w:val="001771A1"/>
    <w:rsid w:val="0017762F"/>
    <w:rsid w:val="00177A35"/>
    <w:rsid w:val="00177FC5"/>
    <w:rsid w:val="00180279"/>
    <w:rsid w:val="00180457"/>
    <w:rsid w:val="001809F2"/>
    <w:rsid w:val="00180B3A"/>
    <w:rsid w:val="00180BA1"/>
    <w:rsid w:val="00180D4B"/>
    <w:rsid w:val="001810E6"/>
    <w:rsid w:val="00181E1D"/>
    <w:rsid w:val="00182097"/>
    <w:rsid w:val="001820A5"/>
    <w:rsid w:val="00182339"/>
    <w:rsid w:val="00182C4A"/>
    <w:rsid w:val="00182EF2"/>
    <w:rsid w:val="001832F5"/>
    <w:rsid w:val="001835F5"/>
    <w:rsid w:val="00183866"/>
    <w:rsid w:val="00183BC9"/>
    <w:rsid w:val="001845EB"/>
    <w:rsid w:val="0018475B"/>
    <w:rsid w:val="0018487A"/>
    <w:rsid w:val="00184E77"/>
    <w:rsid w:val="00184F97"/>
    <w:rsid w:val="001850BA"/>
    <w:rsid w:val="001855BC"/>
    <w:rsid w:val="001856C5"/>
    <w:rsid w:val="00185841"/>
    <w:rsid w:val="00185D05"/>
    <w:rsid w:val="001860F7"/>
    <w:rsid w:val="00186106"/>
    <w:rsid w:val="00186199"/>
    <w:rsid w:val="00186D8C"/>
    <w:rsid w:val="00187272"/>
    <w:rsid w:val="0018737E"/>
    <w:rsid w:val="001873D2"/>
    <w:rsid w:val="0018761F"/>
    <w:rsid w:val="001876BD"/>
    <w:rsid w:val="00187844"/>
    <w:rsid w:val="001878D9"/>
    <w:rsid w:val="0018794E"/>
    <w:rsid w:val="00187D8B"/>
    <w:rsid w:val="00187F59"/>
    <w:rsid w:val="00190186"/>
    <w:rsid w:val="00190499"/>
    <w:rsid w:val="0019051B"/>
    <w:rsid w:val="0019057C"/>
    <w:rsid w:val="00190816"/>
    <w:rsid w:val="00190A84"/>
    <w:rsid w:val="00190B23"/>
    <w:rsid w:val="00191866"/>
    <w:rsid w:val="00191A95"/>
    <w:rsid w:val="00191AF7"/>
    <w:rsid w:val="00191C3C"/>
    <w:rsid w:val="00191CC7"/>
    <w:rsid w:val="00191DAD"/>
    <w:rsid w:val="00191E57"/>
    <w:rsid w:val="001920F3"/>
    <w:rsid w:val="00192294"/>
    <w:rsid w:val="00192317"/>
    <w:rsid w:val="001925B7"/>
    <w:rsid w:val="001927B9"/>
    <w:rsid w:val="001928BE"/>
    <w:rsid w:val="00192E26"/>
    <w:rsid w:val="00192E9C"/>
    <w:rsid w:val="00192F5C"/>
    <w:rsid w:val="001930CA"/>
    <w:rsid w:val="001931C0"/>
    <w:rsid w:val="001934FF"/>
    <w:rsid w:val="00193810"/>
    <w:rsid w:val="00193B31"/>
    <w:rsid w:val="00193D96"/>
    <w:rsid w:val="00193E6B"/>
    <w:rsid w:val="001942C1"/>
    <w:rsid w:val="001944AD"/>
    <w:rsid w:val="0019459C"/>
    <w:rsid w:val="001949C6"/>
    <w:rsid w:val="00195132"/>
    <w:rsid w:val="001951AA"/>
    <w:rsid w:val="00195230"/>
    <w:rsid w:val="001953D6"/>
    <w:rsid w:val="0019555F"/>
    <w:rsid w:val="00195715"/>
    <w:rsid w:val="00195754"/>
    <w:rsid w:val="00195BD7"/>
    <w:rsid w:val="00195EF5"/>
    <w:rsid w:val="00195FDF"/>
    <w:rsid w:val="001961DE"/>
    <w:rsid w:val="00196356"/>
    <w:rsid w:val="00196470"/>
    <w:rsid w:val="00196489"/>
    <w:rsid w:val="001964F3"/>
    <w:rsid w:val="001966C8"/>
    <w:rsid w:val="00196E13"/>
    <w:rsid w:val="00196F65"/>
    <w:rsid w:val="001972D6"/>
    <w:rsid w:val="00197A37"/>
    <w:rsid w:val="00197AFB"/>
    <w:rsid w:val="00197C93"/>
    <w:rsid w:val="001A03E8"/>
    <w:rsid w:val="001A0473"/>
    <w:rsid w:val="001A061B"/>
    <w:rsid w:val="001A0CB1"/>
    <w:rsid w:val="001A0CCA"/>
    <w:rsid w:val="001A0D9C"/>
    <w:rsid w:val="001A0DA2"/>
    <w:rsid w:val="001A0DFE"/>
    <w:rsid w:val="001A0FEA"/>
    <w:rsid w:val="001A10CA"/>
    <w:rsid w:val="001A1855"/>
    <w:rsid w:val="001A2022"/>
    <w:rsid w:val="001A221C"/>
    <w:rsid w:val="001A2272"/>
    <w:rsid w:val="001A2BF9"/>
    <w:rsid w:val="001A3100"/>
    <w:rsid w:val="001A3157"/>
    <w:rsid w:val="001A360B"/>
    <w:rsid w:val="001A377E"/>
    <w:rsid w:val="001A381E"/>
    <w:rsid w:val="001A3B9A"/>
    <w:rsid w:val="001A3C38"/>
    <w:rsid w:val="001A3FBA"/>
    <w:rsid w:val="001A4481"/>
    <w:rsid w:val="001A4975"/>
    <w:rsid w:val="001A4D81"/>
    <w:rsid w:val="001A5307"/>
    <w:rsid w:val="001A56C4"/>
    <w:rsid w:val="001A573D"/>
    <w:rsid w:val="001A63E0"/>
    <w:rsid w:val="001A66BD"/>
    <w:rsid w:val="001A68B0"/>
    <w:rsid w:val="001A6A31"/>
    <w:rsid w:val="001A6F52"/>
    <w:rsid w:val="001A6FDF"/>
    <w:rsid w:val="001A727E"/>
    <w:rsid w:val="001A73D0"/>
    <w:rsid w:val="001A76DC"/>
    <w:rsid w:val="001A791A"/>
    <w:rsid w:val="001A7E13"/>
    <w:rsid w:val="001B055E"/>
    <w:rsid w:val="001B0650"/>
    <w:rsid w:val="001B0D15"/>
    <w:rsid w:val="001B0F5B"/>
    <w:rsid w:val="001B1137"/>
    <w:rsid w:val="001B114E"/>
    <w:rsid w:val="001B14E0"/>
    <w:rsid w:val="001B160F"/>
    <w:rsid w:val="001B173D"/>
    <w:rsid w:val="001B1B10"/>
    <w:rsid w:val="001B1CAA"/>
    <w:rsid w:val="001B2201"/>
    <w:rsid w:val="001B24B1"/>
    <w:rsid w:val="001B25C4"/>
    <w:rsid w:val="001B29F8"/>
    <w:rsid w:val="001B305B"/>
    <w:rsid w:val="001B3482"/>
    <w:rsid w:val="001B3541"/>
    <w:rsid w:val="001B356B"/>
    <w:rsid w:val="001B3A5D"/>
    <w:rsid w:val="001B3B62"/>
    <w:rsid w:val="001B3F49"/>
    <w:rsid w:val="001B4101"/>
    <w:rsid w:val="001B45B1"/>
    <w:rsid w:val="001B491D"/>
    <w:rsid w:val="001B4DD6"/>
    <w:rsid w:val="001B4E3A"/>
    <w:rsid w:val="001B4FE1"/>
    <w:rsid w:val="001B508A"/>
    <w:rsid w:val="001B5144"/>
    <w:rsid w:val="001B5C38"/>
    <w:rsid w:val="001B5EDD"/>
    <w:rsid w:val="001B61FE"/>
    <w:rsid w:val="001B6518"/>
    <w:rsid w:val="001B695A"/>
    <w:rsid w:val="001B6B8B"/>
    <w:rsid w:val="001B6EF8"/>
    <w:rsid w:val="001B6FAF"/>
    <w:rsid w:val="001B7025"/>
    <w:rsid w:val="001B7228"/>
    <w:rsid w:val="001B7248"/>
    <w:rsid w:val="001B7964"/>
    <w:rsid w:val="001B7C56"/>
    <w:rsid w:val="001C038C"/>
    <w:rsid w:val="001C0603"/>
    <w:rsid w:val="001C0974"/>
    <w:rsid w:val="001C0A15"/>
    <w:rsid w:val="001C0B47"/>
    <w:rsid w:val="001C0D49"/>
    <w:rsid w:val="001C10E6"/>
    <w:rsid w:val="001C1155"/>
    <w:rsid w:val="001C18D1"/>
    <w:rsid w:val="001C1E70"/>
    <w:rsid w:val="001C212C"/>
    <w:rsid w:val="001C222B"/>
    <w:rsid w:val="001C26A9"/>
    <w:rsid w:val="001C29CE"/>
    <w:rsid w:val="001C29D8"/>
    <w:rsid w:val="001C2B86"/>
    <w:rsid w:val="001C3413"/>
    <w:rsid w:val="001C348B"/>
    <w:rsid w:val="001C427C"/>
    <w:rsid w:val="001C441B"/>
    <w:rsid w:val="001C445C"/>
    <w:rsid w:val="001C4608"/>
    <w:rsid w:val="001C49B4"/>
    <w:rsid w:val="001C4D48"/>
    <w:rsid w:val="001C4F08"/>
    <w:rsid w:val="001C50C5"/>
    <w:rsid w:val="001C522B"/>
    <w:rsid w:val="001C54A3"/>
    <w:rsid w:val="001C5644"/>
    <w:rsid w:val="001C58C2"/>
    <w:rsid w:val="001C5CCD"/>
    <w:rsid w:val="001C60A2"/>
    <w:rsid w:val="001C6AE9"/>
    <w:rsid w:val="001C6D2A"/>
    <w:rsid w:val="001C71F0"/>
    <w:rsid w:val="001C754B"/>
    <w:rsid w:val="001C77E1"/>
    <w:rsid w:val="001C7E02"/>
    <w:rsid w:val="001D061D"/>
    <w:rsid w:val="001D08C4"/>
    <w:rsid w:val="001D0B49"/>
    <w:rsid w:val="001D0E93"/>
    <w:rsid w:val="001D1125"/>
    <w:rsid w:val="001D12E2"/>
    <w:rsid w:val="001D14E7"/>
    <w:rsid w:val="001D16A6"/>
    <w:rsid w:val="001D1819"/>
    <w:rsid w:val="001D186A"/>
    <w:rsid w:val="001D189B"/>
    <w:rsid w:val="001D195C"/>
    <w:rsid w:val="001D20BB"/>
    <w:rsid w:val="001D2290"/>
    <w:rsid w:val="001D2618"/>
    <w:rsid w:val="001D26E5"/>
    <w:rsid w:val="001D285A"/>
    <w:rsid w:val="001D28D5"/>
    <w:rsid w:val="001D290F"/>
    <w:rsid w:val="001D2A3B"/>
    <w:rsid w:val="001D2B39"/>
    <w:rsid w:val="001D2C99"/>
    <w:rsid w:val="001D336A"/>
    <w:rsid w:val="001D439D"/>
    <w:rsid w:val="001D45B9"/>
    <w:rsid w:val="001D48AB"/>
    <w:rsid w:val="001D4A90"/>
    <w:rsid w:val="001D4DB3"/>
    <w:rsid w:val="001D4F7C"/>
    <w:rsid w:val="001D508D"/>
    <w:rsid w:val="001D5779"/>
    <w:rsid w:val="001D619E"/>
    <w:rsid w:val="001D6374"/>
    <w:rsid w:val="001D6A08"/>
    <w:rsid w:val="001D6C26"/>
    <w:rsid w:val="001D6D0E"/>
    <w:rsid w:val="001D6EBA"/>
    <w:rsid w:val="001D7232"/>
    <w:rsid w:val="001D753C"/>
    <w:rsid w:val="001D77C1"/>
    <w:rsid w:val="001D78C5"/>
    <w:rsid w:val="001D799E"/>
    <w:rsid w:val="001D7A1C"/>
    <w:rsid w:val="001D7C3A"/>
    <w:rsid w:val="001E0272"/>
    <w:rsid w:val="001E04A5"/>
    <w:rsid w:val="001E0571"/>
    <w:rsid w:val="001E0671"/>
    <w:rsid w:val="001E06F6"/>
    <w:rsid w:val="001E0C3D"/>
    <w:rsid w:val="001E0D87"/>
    <w:rsid w:val="001E13ED"/>
    <w:rsid w:val="001E178C"/>
    <w:rsid w:val="001E1DF0"/>
    <w:rsid w:val="001E1EEC"/>
    <w:rsid w:val="001E1F0F"/>
    <w:rsid w:val="001E2293"/>
    <w:rsid w:val="001E2729"/>
    <w:rsid w:val="001E2777"/>
    <w:rsid w:val="001E27D5"/>
    <w:rsid w:val="001E2810"/>
    <w:rsid w:val="001E297C"/>
    <w:rsid w:val="001E2AD1"/>
    <w:rsid w:val="001E2BD7"/>
    <w:rsid w:val="001E2D4F"/>
    <w:rsid w:val="001E331E"/>
    <w:rsid w:val="001E3498"/>
    <w:rsid w:val="001E34C1"/>
    <w:rsid w:val="001E375C"/>
    <w:rsid w:val="001E3839"/>
    <w:rsid w:val="001E3B33"/>
    <w:rsid w:val="001E3C07"/>
    <w:rsid w:val="001E3CA6"/>
    <w:rsid w:val="001E3DC4"/>
    <w:rsid w:val="001E3E34"/>
    <w:rsid w:val="001E4287"/>
    <w:rsid w:val="001E476D"/>
    <w:rsid w:val="001E481B"/>
    <w:rsid w:val="001E498C"/>
    <w:rsid w:val="001E4A16"/>
    <w:rsid w:val="001E4EE2"/>
    <w:rsid w:val="001E5078"/>
    <w:rsid w:val="001E508B"/>
    <w:rsid w:val="001E54ED"/>
    <w:rsid w:val="001E5804"/>
    <w:rsid w:val="001E58AA"/>
    <w:rsid w:val="001E5944"/>
    <w:rsid w:val="001E5AFB"/>
    <w:rsid w:val="001E5E0C"/>
    <w:rsid w:val="001E62F1"/>
    <w:rsid w:val="001E6744"/>
    <w:rsid w:val="001E679D"/>
    <w:rsid w:val="001E6891"/>
    <w:rsid w:val="001E68C2"/>
    <w:rsid w:val="001E6AB6"/>
    <w:rsid w:val="001E6DA0"/>
    <w:rsid w:val="001E754F"/>
    <w:rsid w:val="001E7CC7"/>
    <w:rsid w:val="001F031C"/>
    <w:rsid w:val="001F0413"/>
    <w:rsid w:val="001F07DA"/>
    <w:rsid w:val="001F0C62"/>
    <w:rsid w:val="001F0F98"/>
    <w:rsid w:val="001F0FC5"/>
    <w:rsid w:val="001F1835"/>
    <w:rsid w:val="001F1F6E"/>
    <w:rsid w:val="001F22F8"/>
    <w:rsid w:val="001F2351"/>
    <w:rsid w:val="001F285F"/>
    <w:rsid w:val="001F2D83"/>
    <w:rsid w:val="001F2EAC"/>
    <w:rsid w:val="001F3556"/>
    <w:rsid w:val="001F35A5"/>
    <w:rsid w:val="001F38F1"/>
    <w:rsid w:val="001F3C7A"/>
    <w:rsid w:val="001F4558"/>
    <w:rsid w:val="001F4933"/>
    <w:rsid w:val="001F4FA3"/>
    <w:rsid w:val="001F4FAC"/>
    <w:rsid w:val="001F5295"/>
    <w:rsid w:val="001F52C0"/>
    <w:rsid w:val="001F55E2"/>
    <w:rsid w:val="001F5630"/>
    <w:rsid w:val="001F5662"/>
    <w:rsid w:val="001F5AA6"/>
    <w:rsid w:val="001F5BA5"/>
    <w:rsid w:val="001F61EF"/>
    <w:rsid w:val="001F70D3"/>
    <w:rsid w:val="001F73F3"/>
    <w:rsid w:val="001F7708"/>
    <w:rsid w:val="001F7D42"/>
    <w:rsid w:val="001F7E59"/>
    <w:rsid w:val="00200250"/>
    <w:rsid w:val="0020092E"/>
    <w:rsid w:val="00200955"/>
    <w:rsid w:val="002009F0"/>
    <w:rsid w:val="00200E89"/>
    <w:rsid w:val="002010E8"/>
    <w:rsid w:val="00201161"/>
    <w:rsid w:val="00201356"/>
    <w:rsid w:val="00201C32"/>
    <w:rsid w:val="00201F98"/>
    <w:rsid w:val="0020277D"/>
    <w:rsid w:val="00203051"/>
    <w:rsid w:val="0020360A"/>
    <w:rsid w:val="00203A1E"/>
    <w:rsid w:val="00204289"/>
    <w:rsid w:val="0020441A"/>
    <w:rsid w:val="00204580"/>
    <w:rsid w:val="00204B45"/>
    <w:rsid w:val="00204CE9"/>
    <w:rsid w:val="00204EFE"/>
    <w:rsid w:val="0020557A"/>
    <w:rsid w:val="00205CC5"/>
    <w:rsid w:val="00205D9F"/>
    <w:rsid w:val="00206233"/>
    <w:rsid w:val="002064FA"/>
    <w:rsid w:val="00206691"/>
    <w:rsid w:val="0020684D"/>
    <w:rsid w:val="0020695E"/>
    <w:rsid w:val="00206B57"/>
    <w:rsid w:val="00206CAF"/>
    <w:rsid w:val="00207016"/>
    <w:rsid w:val="00207BB9"/>
    <w:rsid w:val="00210044"/>
    <w:rsid w:val="002103AC"/>
    <w:rsid w:val="00210554"/>
    <w:rsid w:val="002105A0"/>
    <w:rsid w:val="002107A8"/>
    <w:rsid w:val="00210C05"/>
    <w:rsid w:val="00210E5C"/>
    <w:rsid w:val="00210E67"/>
    <w:rsid w:val="002111BB"/>
    <w:rsid w:val="0021137C"/>
    <w:rsid w:val="002114E0"/>
    <w:rsid w:val="00211509"/>
    <w:rsid w:val="00211772"/>
    <w:rsid w:val="00211B95"/>
    <w:rsid w:val="00211CCE"/>
    <w:rsid w:val="002121D6"/>
    <w:rsid w:val="00212214"/>
    <w:rsid w:val="002123EF"/>
    <w:rsid w:val="00212722"/>
    <w:rsid w:val="002128B2"/>
    <w:rsid w:val="00212934"/>
    <w:rsid w:val="002129D6"/>
    <w:rsid w:val="0021336E"/>
    <w:rsid w:val="00213A50"/>
    <w:rsid w:val="00213FAB"/>
    <w:rsid w:val="002143F9"/>
    <w:rsid w:val="0021471C"/>
    <w:rsid w:val="00214B5E"/>
    <w:rsid w:val="00214DCF"/>
    <w:rsid w:val="00214E4A"/>
    <w:rsid w:val="00214EAF"/>
    <w:rsid w:val="00215189"/>
    <w:rsid w:val="0021527E"/>
    <w:rsid w:val="00215562"/>
    <w:rsid w:val="00215D72"/>
    <w:rsid w:val="002161D5"/>
    <w:rsid w:val="00216285"/>
    <w:rsid w:val="002162B3"/>
    <w:rsid w:val="00216579"/>
    <w:rsid w:val="0021672F"/>
    <w:rsid w:val="00216AC0"/>
    <w:rsid w:val="00216B2D"/>
    <w:rsid w:val="00216D1B"/>
    <w:rsid w:val="00216EB0"/>
    <w:rsid w:val="002171C6"/>
    <w:rsid w:val="00217397"/>
    <w:rsid w:val="00217944"/>
    <w:rsid w:val="00217953"/>
    <w:rsid w:val="00217D3A"/>
    <w:rsid w:val="00220072"/>
    <w:rsid w:val="002204D2"/>
    <w:rsid w:val="00220776"/>
    <w:rsid w:val="00220B15"/>
    <w:rsid w:val="0022124F"/>
    <w:rsid w:val="00221442"/>
    <w:rsid w:val="002214D5"/>
    <w:rsid w:val="002215D0"/>
    <w:rsid w:val="00221D60"/>
    <w:rsid w:val="00221E34"/>
    <w:rsid w:val="00221EE2"/>
    <w:rsid w:val="002225E7"/>
    <w:rsid w:val="00222DE7"/>
    <w:rsid w:val="00222ED7"/>
    <w:rsid w:val="00223183"/>
    <w:rsid w:val="00223242"/>
    <w:rsid w:val="00223760"/>
    <w:rsid w:val="0022399F"/>
    <w:rsid w:val="00223A0B"/>
    <w:rsid w:val="00223C7D"/>
    <w:rsid w:val="0022423E"/>
    <w:rsid w:val="00224360"/>
    <w:rsid w:val="00224625"/>
    <w:rsid w:val="0022481D"/>
    <w:rsid w:val="00224C93"/>
    <w:rsid w:val="00224DEA"/>
    <w:rsid w:val="00224F3A"/>
    <w:rsid w:val="0022503D"/>
    <w:rsid w:val="002251DE"/>
    <w:rsid w:val="0022568D"/>
    <w:rsid w:val="00225BAA"/>
    <w:rsid w:val="00225EEB"/>
    <w:rsid w:val="00226118"/>
    <w:rsid w:val="00226139"/>
    <w:rsid w:val="0022633F"/>
    <w:rsid w:val="002264C3"/>
    <w:rsid w:val="00226C35"/>
    <w:rsid w:val="00226CBE"/>
    <w:rsid w:val="00227430"/>
    <w:rsid w:val="00227498"/>
    <w:rsid w:val="00227677"/>
    <w:rsid w:val="00227692"/>
    <w:rsid w:val="002278B2"/>
    <w:rsid w:val="00227D65"/>
    <w:rsid w:val="00227DBB"/>
    <w:rsid w:val="00227F43"/>
    <w:rsid w:val="0023071B"/>
    <w:rsid w:val="0023074D"/>
    <w:rsid w:val="00230B46"/>
    <w:rsid w:val="00230D87"/>
    <w:rsid w:val="00230F97"/>
    <w:rsid w:val="00231422"/>
    <w:rsid w:val="00231877"/>
    <w:rsid w:val="00231C8A"/>
    <w:rsid w:val="00232195"/>
    <w:rsid w:val="0023230F"/>
    <w:rsid w:val="00232555"/>
    <w:rsid w:val="00232AE0"/>
    <w:rsid w:val="00232D5A"/>
    <w:rsid w:val="00233625"/>
    <w:rsid w:val="0023363E"/>
    <w:rsid w:val="00233A0C"/>
    <w:rsid w:val="00233D05"/>
    <w:rsid w:val="002341BB"/>
    <w:rsid w:val="002346F8"/>
    <w:rsid w:val="002346FB"/>
    <w:rsid w:val="002347CD"/>
    <w:rsid w:val="002349FE"/>
    <w:rsid w:val="00234A94"/>
    <w:rsid w:val="00234D97"/>
    <w:rsid w:val="00235002"/>
    <w:rsid w:val="002352D7"/>
    <w:rsid w:val="00235871"/>
    <w:rsid w:val="00235E06"/>
    <w:rsid w:val="00235E85"/>
    <w:rsid w:val="002361B8"/>
    <w:rsid w:val="00236401"/>
    <w:rsid w:val="0023645D"/>
    <w:rsid w:val="002368ED"/>
    <w:rsid w:val="002369BD"/>
    <w:rsid w:val="002369C4"/>
    <w:rsid w:val="00236ACD"/>
    <w:rsid w:val="002373F4"/>
    <w:rsid w:val="002375F5"/>
    <w:rsid w:val="002378A3"/>
    <w:rsid w:val="00237ABD"/>
    <w:rsid w:val="00237ADB"/>
    <w:rsid w:val="00237B1A"/>
    <w:rsid w:val="00237EB0"/>
    <w:rsid w:val="00237F1E"/>
    <w:rsid w:val="002400C9"/>
    <w:rsid w:val="0024038B"/>
    <w:rsid w:val="0024038E"/>
    <w:rsid w:val="0024058A"/>
    <w:rsid w:val="002407E0"/>
    <w:rsid w:val="00240B2D"/>
    <w:rsid w:val="00240BB7"/>
    <w:rsid w:val="00241282"/>
    <w:rsid w:val="002415EB"/>
    <w:rsid w:val="00241662"/>
    <w:rsid w:val="00241931"/>
    <w:rsid w:val="0024196B"/>
    <w:rsid w:val="00241B2B"/>
    <w:rsid w:val="00241C10"/>
    <w:rsid w:val="00241C6D"/>
    <w:rsid w:val="00241F58"/>
    <w:rsid w:val="0024226F"/>
    <w:rsid w:val="00242434"/>
    <w:rsid w:val="00242532"/>
    <w:rsid w:val="002428A9"/>
    <w:rsid w:val="00242C5E"/>
    <w:rsid w:val="00242DF1"/>
    <w:rsid w:val="00242ECF"/>
    <w:rsid w:val="0024304C"/>
    <w:rsid w:val="002430F0"/>
    <w:rsid w:val="002432A7"/>
    <w:rsid w:val="002435B6"/>
    <w:rsid w:val="00243712"/>
    <w:rsid w:val="0024393F"/>
    <w:rsid w:val="00243EE0"/>
    <w:rsid w:val="0024401F"/>
    <w:rsid w:val="002441B3"/>
    <w:rsid w:val="0024445F"/>
    <w:rsid w:val="0024454A"/>
    <w:rsid w:val="00244615"/>
    <w:rsid w:val="0024466D"/>
    <w:rsid w:val="002449D6"/>
    <w:rsid w:val="00244B78"/>
    <w:rsid w:val="00245412"/>
    <w:rsid w:val="002454D0"/>
    <w:rsid w:val="0024564B"/>
    <w:rsid w:val="00245BEC"/>
    <w:rsid w:val="00245CC3"/>
    <w:rsid w:val="00245FE2"/>
    <w:rsid w:val="00246024"/>
    <w:rsid w:val="00246245"/>
    <w:rsid w:val="00246320"/>
    <w:rsid w:val="0024637C"/>
    <w:rsid w:val="002468B1"/>
    <w:rsid w:val="00246C9D"/>
    <w:rsid w:val="00246CF9"/>
    <w:rsid w:val="002474D1"/>
    <w:rsid w:val="00247AC8"/>
    <w:rsid w:val="00247C0A"/>
    <w:rsid w:val="00247C9A"/>
    <w:rsid w:val="00247CFE"/>
    <w:rsid w:val="00247F70"/>
    <w:rsid w:val="00250050"/>
    <w:rsid w:val="00250A6B"/>
    <w:rsid w:val="00250D9F"/>
    <w:rsid w:val="00250FDC"/>
    <w:rsid w:val="00251515"/>
    <w:rsid w:val="00252043"/>
    <w:rsid w:val="00252786"/>
    <w:rsid w:val="00252B5D"/>
    <w:rsid w:val="00252F01"/>
    <w:rsid w:val="002530EC"/>
    <w:rsid w:val="002532D6"/>
    <w:rsid w:val="00253333"/>
    <w:rsid w:val="002533B3"/>
    <w:rsid w:val="00253408"/>
    <w:rsid w:val="00253541"/>
    <w:rsid w:val="002535A4"/>
    <w:rsid w:val="00253EE8"/>
    <w:rsid w:val="0025410E"/>
    <w:rsid w:val="00254383"/>
    <w:rsid w:val="00254705"/>
    <w:rsid w:val="002549A6"/>
    <w:rsid w:val="00254B53"/>
    <w:rsid w:val="00254BF0"/>
    <w:rsid w:val="00254D86"/>
    <w:rsid w:val="00254FBF"/>
    <w:rsid w:val="002550BF"/>
    <w:rsid w:val="002551FE"/>
    <w:rsid w:val="00255302"/>
    <w:rsid w:val="002556F5"/>
    <w:rsid w:val="002559FB"/>
    <w:rsid w:val="00255A4F"/>
    <w:rsid w:val="00255D13"/>
    <w:rsid w:val="00255D29"/>
    <w:rsid w:val="0025603D"/>
    <w:rsid w:val="002562FC"/>
    <w:rsid w:val="002564B7"/>
    <w:rsid w:val="002569D4"/>
    <w:rsid w:val="00256A1A"/>
    <w:rsid w:val="00256FD9"/>
    <w:rsid w:val="00257047"/>
    <w:rsid w:val="002572CD"/>
    <w:rsid w:val="002573E9"/>
    <w:rsid w:val="00257DAE"/>
    <w:rsid w:val="00257DCC"/>
    <w:rsid w:val="002604AA"/>
    <w:rsid w:val="0026058C"/>
    <w:rsid w:val="00260A15"/>
    <w:rsid w:val="00260EC8"/>
    <w:rsid w:val="0026142D"/>
    <w:rsid w:val="002616B9"/>
    <w:rsid w:val="002618FE"/>
    <w:rsid w:val="00261C76"/>
    <w:rsid w:val="002623ED"/>
    <w:rsid w:val="0026262E"/>
    <w:rsid w:val="00262659"/>
    <w:rsid w:val="00262695"/>
    <w:rsid w:val="00262709"/>
    <w:rsid w:val="00262927"/>
    <w:rsid w:val="00262BDC"/>
    <w:rsid w:val="00262CFE"/>
    <w:rsid w:val="00263436"/>
    <w:rsid w:val="002636A5"/>
    <w:rsid w:val="0026394B"/>
    <w:rsid w:val="00263BCE"/>
    <w:rsid w:val="002643D7"/>
    <w:rsid w:val="0026466B"/>
    <w:rsid w:val="002646B6"/>
    <w:rsid w:val="0026478D"/>
    <w:rsid w:val="002648D8"/>
    <w:rsid w:val="00264A63"/>
    <w:rsid w:val="00264ABC"/>
    <w:rsid w:val="00264B41"/>
    <w:rsid w:val="00264FFE"/>
    <w:rsid w:val="0026517A"/>
    <w:rsid w:val="00265632"/>
    <w:rsid w:val="00265920"/>
    <w:rsid w:val="00265CA0"/>
    <w:rsid w:val="00265DBF"/>
    <w:rsid w:val="002661B7"/>
    <w:rsid w:val="00266332"/>
    <w:rsid w:val="00266AD0"/>
    <w:rsid w:val="00266E5E"/>
    <w:rsid w:val="00266EAF"/>
    <w:rsid w:val="00267115"/>
    <w:rsid w:val="002672DE"/>
    <w:rsid w:val="002674E6"/>
    <w:rsid w:val="00267764"/>
    <w:rsid w:val="002678CB"/>
    <w:rsid w:val="00267933"/>
    <w:rsid w:val="00267A80"/>
    <w:rsid w:val="00267AFD"/>
    <w:rsid w:val="00267DCB"/>
    <w:rsid w:val="002703C8"/>
    <w:rsid w:val="00270460"/>
    <w:rsid w:val="002707E8"/>
    <w:rsid w:val="0027099D"/>
    <w:rsid w:val="002709C6"/>
    <w:rsid w:val="00270B23"/>
    <w:rsid w:val="00270B2E"/>
    <w:rsid w:val="00270F41"/>
    <w:rsid w:val="00270F5F"/>
    <w:rsid w:val="00270F9D"/>
    <w:rsid w:val="002713D4"/>
    <w:rsid w:val="00271EE0"/>
    <w:rsid w:val="002722BE"/>
    <w:rsid w:val="0027242F"/>
    <w:rsid w:val="0027261F"/>
    <w:rsid w:val="002726BB"/>
    <w:rsid w:val="00272757"/>
    <w:rsid w:val="00272B69"/>
    <w:rsid w:val="00273522"/>
    <w:rsid w:val="00273820"/>
    <w:rsid w:val="002738F2"/>
    <w:rsid w:val="00273FC0"/>
    <w:rsid w:val="00274C2A"/>
    <w:rsid w:val="00275159"/>
    <w:rsid w:val="00275171"/>
    <w:rsid w:val="00275354"/>
    <w:rsid w:val="002753A0"/>
    <w:rsid w:val="002758A2"/>
    <w:rsid w:val="00275DA0"/>
    <w:rsid w:val="00275F28"/>
    <w:rsid w:val="0027631D"/>
    <w:rsid w:val="0027684D"/>
    <w:rsid w:val="002768CE"/>
    <w:rsid w:val="00276985"/>
    <w:rsid w:val="00276CCD"/>
    <w:rsid w:val="002770DB"/>
    <w:rsid w:val="00277204"/>
    <w:rsid w:val="002773B7"/>
    <w:rsid w:val="002773DE"/>
    <w:rsid w:val="002775B6"/>
    <w:rsid w:val="0027769C"/>
    <w:rsid w:val="00277731"/>
    <w:rsid w:val="0027775B"/>
    <w:rsid w:val="00277848"/>
    <w:rsid w:val="00277CC3"/>
    <w:rsid w:val="00277DBB"/>
    <w:rsid w:val="00280162"/>
    <w:rsid w:val="00281283"/>
    <w:rsid w:val="00281430"/>
    <w:rsid w:val="002814AE"/>
    <w:rsid w:val="00281613"/>
    <w:rsid w:val="00281AB5"/>
    <w:rsid w:val="00281E2A"/>
    <w:rsid w:val="00281E2C"/>
    <w:rsid w:val="00281F7E"/>
    <w:rsid w:val="0028213B"/>
    <w:rsid w:val="00282215"/>
    <w:rsid w:val="002822E4"/>
    <w:rsid w:val="00282862"/>
    <w:rsid w:val="00282ACE"/>
    <w:rsid w:val="00282F23"/>
    <w:rsid w:val="0028337F"/>
    <w:rsid w:val="002833DA"/>
    <w:rsid w:val="00283A13"/>
    <w:rsid w:val="00283E8F"/>
    <w:rsid w:val="00283F5B"/>
    <w:rsid w:val="002840DA"/>
    <w:rsid w:val="00284412"/>
    <w:rsid w:val="002846F5"/>
    <w:rsid w:val="00284AB6"/>
    <w:rsid w:val="00284EC2"/>
    <w:rsid w:val="00284ECF"/>
    <w:rsid w:val="00284EF3"/>
    <w:rsid w:val="00284FC9"/>
    <w:rsid w:val="0028546D"/>
    <w:rsid w:val="0028568A"/>
    <w:rsid w:val="00285711"/>
    <w:rsid w:val="002868F7"/>
    <w:rsid w:val="00286AA2"/>
    <w:rsid w:val="00286F8E"/>
    <w:rsid w:val="00286FA6"/>
    <w:rsid w:val="00287086"/>
    <w:rsid w:val="00287633"/>
    <w:rsid w:val="002879F6"/>
    <w:rsid w:val="00287E62"/>
    <w:rsid w:val="002908F3"/>
    <w:rsid w:val="00290ACD"/>
    <w:rsid w:val="00290EDC"/>
    <w:rsid w:val="00290F6F"/>
    <w:rsid w:val="002912F3"/>
    <w:rsid w:val="00291511"/>
    <w:rsid w:val="0029159D"/>
    <w:rsid w:val="002915AC"/>
    <w:rsid w:val="00291D81"/>
    <w:rsid w:val="00291E4C"/>
    <w:rsid w:val="0029216D"/>
    <w:rsid w:val="002923F6"/>
    <w:rsid w:val="002926F5"/>
    <w:rsid w:val="00292735"/>
    <w:rsid w:val="00292876"/>
    <w:rsid w:val="00292CF1"/>
    <w:rsid w:val="00292E2D"/>
    <w:rsid w:val="0029325C"/>
    <w:rsid w:val="0029389C"/>
    <w:rsid w:val="0029391D"/>
    <w:rsid w:val="00293938"/>
    <w:rsid w:val="00293BEA"/>
    <w:rsid w:val="0029446B"/>
    <w:rsid w:val="002944EA"/>
    <w:rsid w:val="00294A64"/>
    <w:rsid w:val="00294DAB"/>
    <w:rsid w:val="00294DBB"/>
    <w:rsid w:val="00295008"/>
    <w:rsid w:val="00295728"/>
    <w:rsid w:val="00295738"/>
    <w:rsid w:val="0029591F"/>
    <w:rsid w:val="002959F8"/>
    <w:rsid w:val="00295C7B"/>
    <w:rsid w:val="0029629A"/>
    <w:rsid w:val="002967CA"/>
    <w:rsid w:val="002969FB"/>
    <w:rsid w:val="00296A9C"/>
    <w:rsid w:val="00296E43"/>
    <w:rsid w:val="00297050"/>
    <w:rsid w:val="0029720F"/>
    <w:rsid w:val="0029797C"/>
    <w:rsid w:val="00297BEF"/>
    <w:rsid w:val="00297D4E"/>
    <w:rsid w:val="002A077D"/>
    <w:rsid w:val="002A0793"/>
    <w:rsid w:val="002A0947"/>
    <w:rsid w:val="002A09D2"/>
    <w:rsid w:val="002A0C58"/>
    <w:rsid w:val="002A0F71"/>
    <w:rsid w:val="002A163B"/>
    <w:rsid w:val="002A17DF"/>
    <w:rsid w:val="002A17E2"/>
    <w:rsid w:val="002A21A6"/>
    <w:rsid w:val="002A221E"/>
    <w:rsid w:val="002A2514"/>
    <w:rsid w:val="002A26EB"/>
    <w:rsid w:val="002A2A04"/>
    <w:rsid w:val="002A32F8"/>
    <w:rsid w:val="002A37D1"/>
    <w:rsid w:val="002A3A09"/>
    <w:rsid w:val="002A3BD2"/>
    <w:rsid w:val="002A3C9D"/>
    <w:rsid w:val="002A4196"/>
    <w:rsid w:val="002A468E"/>
    <w:rsid w:val="002A4889"/>
    <w:rsid w:val="002A4A36"/>
    <w:rsid w:val="002A4D5C"/>
    <w:rsid w:val="002A52E1"/>
    <w:rsid w:val="002A53E6"/>
    <w:rsid w:val="002A5E53"/>
    <w:rsid w:val="002A5E77"/>
    <w:rsid w:val="002A5EE9"/>
    <w:rsid w:val="002A5F57"/>
    <w:rsid w:val="002A6707"/>
    <w:rsid w:val="002A6828"/>
    <w:rsid w:val="002A71A6"/>
    <w:rsid w:val="002A71B7"/>
    <w:rsid w:val="002A7598"/>
    <w:rsid w:val="002A795A"/>
    <w:rsid w:val="002A7AF1"/>
    <w:rsid w:val="002A7C57"/>
    <w:rsid w:val="002B02B4"/>
    <w:rsid w:val="002B0700"/>
    <w:rsid w:val="002B0900"/>
    <w:rsid w:val="002B098A"/>
    <w:rsid w:val="002B0B61"/>
    <w:rsid w:val="002B0F2D"/>
    <w:rsid w:val="002B1ACF"/>
    <w:rsid w:val="002B1F57"/>
    <w:rsid w:val="002B209B"/>
    <w:rsid w:val="002B274F"/>
    <w:rsid w:val="002B2F1B"/>
    <w:rsid w:val="002B2F8F"/>
    <w:rsid w:val="002B3188"/>
    <w:rsid w:val="002B3B3D"/>
    <w:rsid w:val="002B3D01"/>
    <w:rsid w:val="002B3D5A"/>
    <w:rsid w:val="002B3E96"/>
    <w:rsid w:val="002B3FF5"/>
    <w:rsid w:val="002B4106"/>
    <w:rsid w:val="002B4802"/>
    <w:rsid w:val="002B49BB"/>
    <w:rsid w:val="002B4A61"/>
    <w:rsid w:val="002B4AC3"/>
    <w:rsid w:val="002B4B5A"/>
    <w:rsid w:val="002B4DA1"/>
    <w:rsid w:val="002B4DF2"/>
    <w:rsid w:val="002B4E6D"/>
    <w:rsid w:val="002B5239"/>
    <w:rsid w:val="002B54C8"/>
    <w:rsid w:val="002B5569"/>
    <w:rsid w:val="002B5B4C"/>
    <w:rsid w:val="002B5B4D"/>
    <w:rsid w:val="002B5E5E"/>
    <w:rsid w:val="002B60D2"/>
    <w:rsid w:val="002B642E"/>
    <w:rsid w:val="002B64C4"/>
    <w:rsid w:val="002B6993"/>
    <w:rsid w:val="002B6C1A"/>
    <w:rsid w:val="002B6CCF"/>
    <w:rsid w:val="002B6D30"/>
    <w:rsid w:val="002B71BC"/>
    <w:rsid w:val="002B78A3"/>
    <w:rsid w:val="002B79AC"/>
    <w:rsid w:val="002B79B0"/>
    <w:rsid w:val="002B7A65"/>
    <w:rsid w:val="002B7BF3"/>
    <w:rsid w:val="002B7C1F"/>
    <w:rsid w:val="002B7F35"/>
    <w:rsid w:val="002B7FE4"/>
    <w:rsid w:val="002C000A"/>
    <w:rsid w:val="002C0752"/>
    <w:rsid w:val="002C0E19"/>
    <w:rsid w:val="002C1054"/>
    <w:rsid w:val="002C1230"/>
    <w:rsid w:val="002C16E0"/>
    <w:rsid w:val="002C1902"/>
    <w:rsid w:val="002C2026"/>
    <w:rsid w:val="002C209D"/>
    <w:rsid w:val="002C237F"/>
    <w:rsid w:val="002C24B5"/>
    <w:rsid w:val="002C2938"/>
    <w:rsid w:val="002C2CC2"/>
    <w:rsid w:val="002C2CC6"/>
    <w:rsid w:val="002C2D23"/>
    <w:rsid w:val="002C33F5"/>
    <w:rsid w:val="002C3776"/>
    <w:rsid w:val="002C3975"/>
    <w:rsid w:val="002C3A47"/>
    <w:rsid w:val="002C3B61"/>
    <w:rsid w:val="002C3E0F"/>
    <w:rsid w:val="002C4503"/>
    <w:rsid w:val="002C4A9B"/>
    <w:rsid w:val="002C5113"/>
    <w:rsid w:val="002C5372"/>
    <w:rsid w:val="002C5521"/>
    <w:rsid w:val="002C56E3"/>
    <w:rsid w:val="002C586C"/>
    <w:rsid w:val="002C58D6"/>
    <w:rsid w:val="002C5905"/>
    <w:rsid w:val="002C5EA1"/>
    <w:rsid w:val="002C5F19"/>
    <w:rsid w:val="002C6070"/>
    <w:rsid w:val="002C60EF"/>
    <w:rsid w:val="002C61A7"/>
    <w:rsid w:val="002C629F"/>
    <w:rsid w:val="002C66D4"/>
    <w:rsid w:val="002C6E17"/>
    <w:rsid w:val="002C7461"/>
    <w:rsid w:val="002C74C4"/>
    <w:rsid w:val="002C7AB5"/>
    <w:rsid w:val="002C7B83"/>
    <w:rsid w:val="002C7D9D"/>
    <w:rsid w:val="002D0087"/>
    <w:rsid w:val="002D0819"/>
    <w:rsid w:val="002D1093"/>
    <w:rsid w:val="002D1433"/>
    <w:rsid w:val="002D1A86"/>
    <w:rsid w:val="002D1FC9"/>
    <w:rsid w:val="002D2191"/>
    <w:rsid w:val="002D2376"/>
    <w:rsid w:val="002D23C8"/>
    <w:rsid w:val="002D3114"/>
    <w:rsid w:val="002D3274"/>
    <w:rsid w:val="002D3325"/>
    <w:rsid w:val="002D3C12"/>
    <w:rsid w:val="002D3CFE"/>
    <w:rsid w:val="002D3EDA"/>
    <w:rsid w:val="002D43F0"/>
    <w:rsid w:val="002D4859"/>
    <w:rsid w:val="002D4B35"/>
    <w:rsid w:val="002D4C6F"/>
    <w:rsid w:val="002D4D66"/>
    <w:rsid w:val="002D5EB5"/>
    <w:rsid w:val="002D6724"/>
    <w:rsid w:val="002D672D"/>
    <w:rsid w:val="002D69E3"/>
    <w:rsid w:val="002D6CF0"/>
    <w:rsid w:val="002D7308"/>
    <w:rsid w:val="002D7388"/>
    <w:rsid w:val="002D75A3"/>
    <w:rsid w:val="002D7D83"/>
    <w:rsid w:val="002E0407"/>
    <w:rsid w:val="002E05EF"/>
    <w:rsid w:val="002E0639"/>
    <w:rsid w:val="002E085E"/>
    <w:rsid w:val="002E0997"/>
    <w:rsid w:val="002E0A38"/>
    <w:rsid w:val="002E0B10"/>
    <w:rsid w:val="002E0DA9"/>
    <w:rsid w:val="002E139D"/>
    <w:rsid w:val="002E1461"/>
    <w:rsid w:val="002E1DE2"/>
    <w:rsid w:val="002E23AE"/>
    <w:rsid w:val="002E293A"/>
    <w:rsid w:val="002E2E54"/>
    <w:rsid w:val="002E2EA8"/>
    <w:rsid w:val="002E306B"/>
    <w:rsid w:val="002E3923"/>
    <w:rsid w:val="002E49F4"/>
    <w:rsid w:val="002E4A6E"/>
    <w:rsid w:val="002E572E"/>
    <w:rsid w:val="002E5A2C"/>
    <w:rsid w:val="002E5AE7"/>
    <w:rsid w:val="002E5DEB"/>
    <w:rsid w:val="002E5EBD"/>
    <w:rsid w:val="002E6224"/>
    <w:rsid w:val="002E6CA8"/>
    <w:rsid w:val="002E6DD1"/>
    <w:rsid w:val="002E70D3"/>
    <w:rsid w:val="002E71E0"/>
    <w:rsid w:val="002E71E2"/>
    <w:rsid w:val="002E7472"/>
    <w:rsid w:val="002E747F"/>
    <w:rsid w:val="002E7A07"/>
    <w:rsid w:val="002E7BBC"/>
    <w:rsid w:val="002E7C0A"/>
    <w:rsid w:val="002E7C5E"/>
    <w:rsid w:val="002F02AA"/>
    <w:rsid w:val="002F0C18"/>
    <w:rsid w:val="002F1442"/>
    <w:rsid w:val="002F1D40"/>
    <w:rsid w:val="002F2047"/>
    <w:rsid w:val="002F2170"/>
    <w:rsid w:val="002F2173"/>
    <w:rsid w:val="002F2485"/>
    <w:rsid w:val="002F2A02"/>
    <w:rsid w:val="002F2A49"/>
    <w:rsid w:val="002F2B76"/>
    <w:rsid w:val="002F2EE9"/>
    <w:rsid w:val="002F33A5"/>
    <w:rsid w:val="002F34DC"/>
    <w:rsid w:val="002F3B7A"/>
    <w:rsid w:val="002F46DB"/>
    <w:rsid w:val="002F482D"/>
    <w:rsid w:val="002F4BAE"/>
    <w:rsid w:val="002F50AA"/>
    <w:rsid w:val="002F5261"/>
    <w:rsid w:val="002F5651"/>
    <w:rsid w:val="002F5A51"/>
    <w:rsid w:val="002F5C89"/>
    <w:rsid w:val="002F5C8D"/>
    <w:rsid w:val="002F5E0E"/>
    <w:rsid w:val="002F64C4"/>
    <w:rsid w:val="002F6B3B"/>
    <w:rsid w:val="002F6C1C"/>
    <w:rsid w:val="002F73FF"/>
    <w:rsid w:val="002F77A2"/>
    <w:rsid w:val="002F7994"/>
    <w:rsid w:val="002F79EE"/>
    <w:rsid w:val="002F7ABE"/>
    <w:rsid w:val="002F7BCB"/>
    <w:rsid w:val="003002F6"/>
    <w:rsid w:val="00300394"/>
    <w:rsid w:val="0030095B"/>
    <w:rsid w:val="00300BD3"/>
    <w:rsid w:val="00300C0A"/>
    <w:rsid w:val="00300C1D"/>
    <w:rsid w:val="00300ED3"/>
    <w:rsid w:val="00300FA5"/>
    <w:rsid w:val="003012C7"/>
    <w:rsid w:val="00301525"/>
    <w:rsid w:val="00301852"/>
    <w:rsid w:val="00301C4F"/>
    <w:rsid w:val="0030201D"/>
    <w:rsid w:val="00302444"/>
    <w:rsid w:val="00302CF9"/>
    <w:rsid w:val="00303448"/>
    <w:rsid w:val="00303691"/>
    <w:rsid w:val="0030398C"/>
    <w:rsid w:val="003039A2"/>
    <w:rsid w:val="00303F3E"/>
    <w:rsid w:val="0030432B"/>
    <w:rsid w:val="00304375"/>
    <w:rsid w:val="00304E49"/>
    <w:rsid w:val="00304F13"/>
    <w:rsid w:val="00304FBE"/>
    <w:rsid w:val="0030538A"/>
    <w:rsid w:val="00305659"/>
    <w:rsid w:val="003057FB"/>
    <w:rsid w:val="003058D3"/>
    <w:rsid w:val="00305DA8"/>
    <w:rsid w:val="00305DC9"/>
    <w:rsid w:val="0030618E"/>
    <w:rsid w:val="0030620F"/>
    <w:rsid w:val="0030663C"/>
    <w:rsid w:val="003068BA"/>
    <w:rsid w:val="00306A7D"/>
    <w:rsid w:val="00306ADE"/>
    <w:rsid w:val="00307068"/>
    <w:rsid w:val="003070C8"/>
    <w:rsid w:val="00307B17"/>
    <w:rsid w:val="00307C1D"/>
    <w:rsid w:val="00307D8A"/>
    <w:rsid w:val="00310025"/>
    <w:rsid w:val="0031043A"/>
    <w:rsid w:val="0031084C"/>
    <w:rsid w:val="00311087"/>
    <w:rsid w:val="003112AA"/>
    <w:rsid w:val="00311553"/>
    <w:rsid w:val="00311683"/>
    <w:rsid w:val="0031218E"/>
    <w:rsid w:val="00312654"/>
    <w:rsid w:val="00312721"/>
    <w:rsid w:val="0031298B"/>
    <w:rsid w:val="00312B9E"/>
    <w:rsid w:val="00313453"/>
    <w:rsid w:val="0031349C"/>
    <w:rsid w:val="003135A2"/>
    <w:rsid w:val="00313711"/>
    <w:rsid w:val="0031395E"/>
    <w:rsid w:val="00313F7A"/>
    <w:rsid w:val="003144C7"/>
    <w:rsid w:val="003146F7"/>
    <w:rsid w:val="00314B95"/>
    <w:rsid w:val="00314C30"/>
    <w:rsid w:val="00314D62"/>
    <w:rsid w:val="00315483"/>
    <w:rsid w:val="0031552F"/>
    <w:rsid w:val="00315B58"/>
    <w:rsid w:val="00315D75"/>
    <w:rsid w:val="00315FA1"/>
    <w:rsid w:val="003166C9"/>
    <w:rsid w:val="0031675A"/>
    <w:rsid w:val="00316E0E"/>
    <w:rsid w:val="00316FA9"/>
    <w:rsid w:val="00317155"/>
    <w:rsid w:val="00317313"/>
    <w:rsid w:val="003175F8"/>
    <w:rsid w:val="00317B05"/>
    <w:rsid w:val="00317BDE"/>
    <w:rsid w:val="00317D82"/>
    <w:rsid w:val="0032053A"/>
    <w:rsid w:val="0032059C"/>
    <w:rsid w:val="00320EF9"/>
    <w:rsid w:val="00321263"/>
    <w:rsid w:val="0032163D"/>
    <w:rsid w:val="0032252F"/>
    <w:rsid w:val="00322657"/>
    <w:rsid w:val="00322924"/>
    <w:rsid w:val="0032315A"/>
    <w:rsid w:val="00323351"/>
    <w:rsid w:val="00323376"/>
    <w:rsid w:val="00323455"/>
    <w:rsid w:val="0032358D"/>
    <w:rsid w:val="00323BB2"/>
    <w:rsid w:val="00323D23"/>
    <w:rsid w:val="00324407"/>
    <w:rsid w:val="00324428"/>
    <w:rsid w:val="00324861"/>
    <w:rsid w:val="00324A18"/>
    <w:rsid w:val="00324B61"/>
    <w:rsid w:val="00324E53"/>
    <w:rsid w:val="0032538C"/>
    <w:rsid w:val="003255C9"/>
    <w:rsid w:val="003257AE"/>
    <w:rsid w:val="00325912"/>
    <w:rsid w:val="0032597F"/>
    <w:rsid w:val="00325A93"/>
    <w:rsid w:val="00325DCE"/>
    <w:rsid w:val="003260CF"/>
    <w:rsid w:val="00326183"/>
    <w:rsid w:val="00326712"/>
    <w:rsid w:val="00326CB6"/>
    <w:rsid w:val="00326F29"/>
    <w:rsid w:val="003276D6"/>
    <w:rsid w:val="00327932"/>
    <w:rsid w:val="00327FB7"/>
    <w:rsid w:val="003300FF"/>
    <w:rsid w:val="00330594"/>
    <w:rsid w:val="00330732"/>
    <w:rsid w:val="00330840"/>
    <w:rsid w:val="003309FE"/>
    <w:rsid w:val="00331121"/>
    <w:rsid w:val="00331C43"/>
    <w:rsid w:val="00331E65"/>
    <w:rsid w:val="00331F88"/>
    <w:rsid w:val="003321D8"/>
    <w:rsid w:val="00332527"/>
    <w:rsid w:val="00332B72"/>
    <w:rsid w:val="00333127"/>
    <w:rsid w:val="00333307"/>
    <w:rsid w:val="00333332"/>
    <w:rsid w:val="003333FE"/>
    <w:rsid w:val="003337E4"/>
    <w:rsid w:val="003341BE"/>
    <w:rsid w:val="003341CD"/>
    <w:rsid w:val="003344B2"/>
    <w:rsid w:val="003345A0"/>
    <w:rsid w:val="00334651"/>
    <w:rsid w:val="0033491C"/>
    <w:rsid w:val="00334EA5"/>
    <w:rsid w:val="00335680"/>
    <w:rsid w:val="00335867"/>
    <w:rsid w:val="00335E30"/>
    <w:rsid w:val="003366A0"/>
    <w:rsid w:val="00336809"/>
    <w:rsid w:val="003369FE"/>
    <w:rsid w:val="00336E6D"/>
    <w:rsid w:val="00337489"/>
    <w:rsid w:val="00337F0B"/>
    <w:rsid w:val="00340057"/>
    <w:rsid w:val="00340260"/>
    <w:rsid w:val="00340285"/>
    <w:rsid w:val="00340507"/>
    <w:rsid w:val="003405DF"/>
    <w:rsid w:val="00340942"/>
    <w:rsid w:val="00340F9E"/>
    <w:rsid w:val="00341116"/>
    <w:rsid w:val="00341835"/>
    <w:rsid w:val="00341B90"/>
    <w:rsid w:val="00341CE9"/>
    <w:rsid w:val="00341D2A"/>
    <w:rsid w:val="00341E60"/>
    <w:rsid w:val="00342077"/>
    <w:rsid w:val="003420D3"/>
    <w:rsid w:val="00342B9C"/>
    <w:rsid w:val="00342DCD"/>
    <w:rsid w:val="003430B5"/>
    <w:rsid w:val="003431F2"/>
    <w:rsid w:val="0034321D"/>
    <w:rsid w:val="00343730"/>
    <w:rsid w:val="00343743"/>
    <w:rsid w:val="00343AAD"/>
    <w:rsid w:val="00343C10"/>
    <w:rsid w:val="00343E78"/>
    <w:rsid w:val="00343F15"/>
    <w:rsid w:val="0034414D"/>
    <w:rsid w:val="0034432B"/>
    <w:rsid w:val="00344382"/>
    <w:rsid w:val="003445BA"/>
    <w:rsid w:val="003445C7"/>
    <w:rsid w:val="00344A51"/>
    <w:rsid w:val="00344B90"/>
    <w:rsid w:val="00344F81"/>
    <w:rsid w:val="003452BA"/>
    <w:rsid w:val="0034547E"/>
    <w:rsid w:val="00345504"/>
    <w:rsid w:val="0034570E"/>
    <w:rsid w:val="00346027"/>
    <w:rsid w:val="00346268"/>
    <w:rsid w:val="003464C7"/>
    <w:rsid w:val="003465AF"/>
    <w:rsid w:val="00346795"/>
    <w:rsid w:val="003467B4"/>
    <w:rsid w:val="00346C9B"/>
    <w:rsid w:val="00346E5C"/>
    <w:rsid w:val="00347045"/>
    <w:rsid w:val="003474F5"/>
    <w:rsid w:val="003478C0"/>
    <w:rsid w:val="003479A0"/>
    <w:rsid w:val="003479AE"/>
    <w:rsid w:val="00347AF0"/>
    <w:rsid w:val="003504CE"/>
    <w:rsid w:val="00350764"/>
    <w:rsid w:val="00350899"/>
    <w:rsid w:val="003511A8"/>
    <w:rsid w:val="00351383"/>
    <w:rsid w:val="00351BE5"/>
    <w:rsid w:val="00351CC4"/>
    <w:rsid w:val="00351CE5"/>
    <w:rsid w:val="00351D60"/>
    <w:rsid w:val="00351E07"/>
    <w:rsid w:val="0035205D"/>
    <w:rsid w:val="003521FE"/>
    <w:rsid w:val="00352DE6"/>
    <w:rsid w:val="00352E48"/>
    <w:rsid w:val="00352EEF"/>
    <w:rsid w:val="00352F4E"/>
    <w:rsid w:val="00352FE9"/>
    <w:rsid w:val="00353022"/>
    <w:rsid w:val="0035303F"/>
    <w:rsid w:val="0035304E"/>
    <w:rsid w:val="003530B7"/>
    <w:rsid w:val="003533A1"/>
    <w:rsid w:val="00353EB0"/>
    <w:rsid w:val="00353EBB"/>
    <w:rsid w:val="00353F9E"/>
    <w:rsid w:val="003540BD"/>
    <w:rsid w:val="00354345"/>
    <w:rsid w:val="0035438D"/>
    <w:rsid w:val="00354442"/>
    <w:rsid w:val="00354570"/>
    <w:rsid w:val="00354CFB"/>
    <w:rsid w:val="00355258"/>
    <w:rsid w:val="003554EF"/>
    <w:rsid w:val="00355776"/>
    <w:rsid w:val="00355924"/>
    <w:rsid w:val="0035606D"/>
    <w:rsid w:val="0035616F"/>
    <w:rsid w:val="003561CF"/>
    <w:rsid w:val="00357137"/>
    <w:rsid w:val="003573B5"/>
    <w:rsid w:val="00357E6F"/>
    <w:rsid w:val="00357EE4"/>
    <w:rsid w:val="003602DC"/>
    <w:rsid w:val="003606BF"/>
    <w:rsid w:val="00360780"/>
    <w:rsid w:val="00360979"/>
    <w:rsid w:val="00360C02"/>
    <w:rsid w:val="00361B67"/>
    <w:rsid w:val="00362223"/>
    <w:rsid w:val="00362385"/>
    <w:rsid w:val="0036244B"/>
    <w:rsid w:val="00362675"/>
    <w:rsid w:val="00362976"/>
    <w:rsid w:val="00362C48"/>
    <w:rsid w:val="00362F73"/>
    <w:rsid w:val="0036318A"/>
    <w:rsid w:val="003634C1"/>
    <w:rsid w:val="003634DE"/>
    <w:rsid w:val="003635B1"/>
    <w:rsid w:val="00363D1D"/>
    <w:rsid w:val="00364090"/>
    <w:rsid w:val="00364486"/>
    <w:rsid w:val="0036462E"/>
    <w:rsid w:val="003648C4"/>
    <w:rsid w:val="00364F2C"/>
    <w:rsid w:val="00365037"/>
    <w:rsid w:val="0036602F"/>
    <w:rsid w:val="00366201"/>
    <w:rsid w:val="003662EF"/>
    <w:rsid w:val="00366326"/>
    <w:rsid w:val="0036640E"/>
    <w:rsid w:val="0036660F"/>
    <w:rsid w:val="00366C49"/>
    <w:rsid w:val="00366CCB"/>
    <w:rsid w:val="00366E21"/>
    <w:rsid w:val="00366EE0"/>
    <w:rsid w:val="00366FEF"/>
    <w:rsid w:val="0036706B"/>
    <w:rsid w:val="0036706C"/>
    <w:rsid w:val="0036738B"/>
    <w:rsid w:val="0036752E"/>
    <w:rsid w:val="00367962"/>
    <w:rsid w:val="00367DD5"/>
    <w:rsid w:val="00367E04"/>
    <w:rsid w:val="0037007A"/>
    <w:rsid w:val="00370094"/>
    <w:rsid w:val="0037011D"/>
    <w:rsid w:val="0037069D"/>
    <w:rsid w:val="003706D8"/>
    <w:rsid w:val="00370E63"/>
    <w:rsid w:val="00370F56"/>
    <w:rsid w:val="003710EA"/>
    <w:rsid w:val="00371254"/>
    <w:rsid w:val="0037141B"/>
    <w:rsid w:val="0037156B"/>
    <w:rsid w:val="00371CB8"/>
    <w:rsid w:val="00371E2E"/>
    <w:rsid w:val="003721B1"/>
    <w:rsid w:val="003723F0"/>
    <w:rsid w:val="00372D9D"/>
    <w:rsid w:val="00372EDA"/>
    <w:rsid w:val="0037310F"/>
    <w:rsid w:val="00373D69"/>
    <w:rsid w:val="00373E0D"/>
    <w:rsid w:val="003742F6"/>
    <w:rsid w:val="0037457B"/>
    <w:rsid w:val="003751CB"/>
    <w:rsid w:val="00375313"/>
    <w:rsid w:val="0037597D"/>
    <w:rsid w:val="00375A8A"/>
    <w:rsid w:val="00375B65"/>
    <w:rsid w:val="00375F4A"/>
    <w:rsid w:val="003761C9"/>
    <w:rsid w:val="0037676E"/>
    <w:rsid w:val="003775A7"/>
    <w:rsid w:val="003776CA"/>
    <w:rsid w:val="003776FD"/>
    <w:rsid w:val="00377D2F"/>
    <w:rsid w:val="00377DD4"/>
    <w:rsid w:val="0038059D"/>
    <w:rsid w:val="00380862"/>
    <w:rsid w:val="00380A46"/>
    <w:rsid w:val="00381E9F"/>
    <w:rsid w:val="003820A1"/>
    <w:rsid w:val="003821AC"/>
    <w:rsid w:val="00382785"/>
    <w:rsid w:val="0038279F"/>
    <w:rsid w:val="00382B39"/>
    <w:rsid w:val="00382B7E"/>
    <w:rsid w:val="00383343"/>
    <w:rsid w:val="00383424"/>
    <w:rsid w:val="00383B37"/>
    <w:rsid w:val="00383BCA"/>
    <w:rsid w:val="00383CD0"/>
    <w:rsid w:val="003846FB"/>
    <w:rsid w:val="00384998"/>
    <w:rsid w:val="00384E50"/>
    <w:rsid w:val="00384E8D"/>
    <w:rsid w:val="00385004"/>
    <w:rsid w:val="00385159"/>
    <w:rsid w:val="003855AB"/>
    <w:rsid w:val="003858F4"/>
    <w:rsid w:val="00385982"/>
    <w:rsid w:val="00385EAD"/>
    <w:rsid w:val="00386137"/>
    <w:rsid w:val="00386A07"/>
    <w:rsid w:val="0038705B"/>
    <w:rsid w:val="003870B4"/>
    <w:rsid w:val="003871B8"/>
    <w:rsid w:val="00387C04"/>
    <w:rsid w:val="00387DAE"/>
    <w:rsid w:val="00387F6D"/>
    <w:rsid w:val="003901B1"/>
    <w:rsid w:val="003903AC"/>
    <w:rsid w:val="003905C0"/>
    <w:rsid w:val="0039062D"/>
    <w:rsid w:val="00390A1E"/>
    <w:rsid w:val="00390ACA"/>
    <w:rsid w:val="00390CAF"/>
    <w:rsid w:val="00390E6F"/>
    <w:rsid w:val="0039120A"/>
    <w:rsid w:val="00391218"/>
    <w:rsid w:val="00391BFC"/>
    <w:rsid w:val="00391DCC"/>
    <w:rsid w:val="00392467"/>
    <w:rsid w:val="003925AC"/>
    <w:rsid w:val="003927CC"/>
    <w:rsid w:val="0039299A"/>
    <w:rsid w:val="00392A38"/>
    <w:rsid w:val="00392A39"/>
    <w:rsid w:val="00392C96"/>
    <w:rsid w:val="00393E5B"/>
    <w:rsid w:val="00394003"/>
    <w:rsid w:val="003940D5"/>
    <w:rsid w:val="003942FE"/>
    <w:rsid w:val="003945C3"/>
    <w:rsid w:val="00394885"/>
    <w:rsid w:val="003951EF"/>
    <w:rsid w:val="00395496"/>
    <w:rsid w:val="003956D8"/>
    <w:rsid w:val="00395835"/>
    <w:rsid w:val="00395D19"/>
    <w:rsid w:val="003964BC"/>
    <w:rsid w:val="003968B4"/>
    <w:rsid w:val="00396AFF"/>
    <w:rsid w:val="00396E7C"/>
    <w:rsid w:val="00397189"/>
    <w:rsid w:val="003971C8"/>
    <w:rsid w:val="00397E21"/>
    <w:rsid w:val="003A044A"/>
    <w:rsid w:val="003A0935"/>
    <w:rsid w:val="003A0958"/>
    <w:rsid w:val="003A09E3"/>
    <w:rsid w:val="003A1156"/>
    <w:rsid w:val="003A1574"/>
    <w:rsid w:val="003A163C"/>
    <w:rsid w:val="003A17E0"/>
    <w:rsid w:val="003A1D8D"/>
    <w:rsid w:val="003A27E1"/>
    <w:rsid w:val="003A3051"/>
    <w:rsid w:val="003A332B"/>
    <w:rsid w:val="003A3589"/>
    <w:rsid w:val="003A374F"/>
    <w:rsid w:val="003A414C"/>
    <w:rsid w:val="003A4324"/>
    <w:rsid w:val="003A496B"/>
    <w:rsid w:val="003A4D16"/>
    <w:rsid w:val="003A4D2C"/>
    <w:rsid w:val="003A4F11"/>
    <w:rsid w:val="003A580A"/>
    <w:rsid w:val="003A5BE0"/>
    <w:rsid w:val="003A5EB5"/>
    <w:rsid w:val="003A5F90"/>
    <w:rsid w:val="003A60D3"/>
    <w:rsid w:val="003A6924"/>
    <w:rsid w:val="003A694E"/>
    <w:rsid w:val="003A70B6"/>
    <w:rsid w:val="003A7392"/>
    <w:rsid w:val="003A7C06"/>
    <w:rsid w:val="003B0135"/>
    <w:rsid w:val="003B0341"/>
    <w:rsid w:val="003B05E3"/>
    <w:rsid w:val="003B08F1"/>
    <w:rsid w:val="003B0A24"/>
    <w:rsid w:val="003B0FC5"/>
    <w:rsid w:val="003B0FEC"/>
    <w:rsid w:val="003B1C64"/>
    <w:rsid w:val="003B1CF1"/>
    <w:rsid w:val="003B219B"/>
    <w:rsid w:val="003B2375"/>
    <w:rsid w:val="003B2397"/>
    <w:rsid w:val="003B2683"/>
    <w:rsid w:val="003B295C"/>
    <w:rsid w:val="003B2B9D"/>
    <w:rsid w:val="003B2BE9"/>
    <w:rsid w:val="003B2F5F"/>
    <w:rsid w:val="003B3092"/>
    <w:rsid w:val="003B31AF"/>
    <w:rsid w:val="003B3258"/>
    <w:rsid w:val="003B39E3"/>
    <w:rsid w:val="003B3DD8"/>
    <w:rsid w:val="003B41C2"/>
    <w:rsid w:val="003B436C"/>
    <w:rsid w:val="003B436E"/>
    <w:rsid w:val="003B43C1"/>
    <w:rsid w:val="003B4765"/>
    <w:rsid w:val="003B495A"/>
    <w:rsid w:val="003B4B77"/>
    <w:rsid w:val="003B537B"/>
    <w:rsid w:val="003B5559"/>
    <w:rsid w:val="003B5575"/>
    <w:rsid w:val="003B56A8"/>
    <w:rsid w:val="003B5862"/>
    <w:rsid w:val="003B5D6F"/>
    <w:rsid w:val="003B5E04"/>
    <w:rsid w:val="003B5E34"/>
    <w:rsid w:val="003B5F56"/>
    <w:rsid w:val="003B600C"/>
    <w:rsid w:val="003B6332"/>
    <w:rsid w:val="003B647A"/>
    <w:rsid w:val="003B65CB"/>
    <w:rsid w:val="003B6674"/>
    <w:rsid w:val="003B6786"/>
    <w:rsid w:val="003B6A6C"/>
    <w:rsid w:val="003B6D29"/>
    <w:rsid w:val="003B7342"/>
    <w:rsid w:val="003B74C5"/>
    <w:rsid w:val="003C006F"/>
    <w:rsid w:val="003C01FA"/>
    <w:rsid w:val="003C021B"/>
    <w:rsid w:val="003C0370"/>
    <w:rsid w:val="003C040B"/>
    <w:rsid w:val="003C053D"/>
    <w:rsid w:val="003C0774"/>
    <w:rsid w:val="003C0F19"/>
    <w:rsid w:val="003C0F5A"/>
    <w:rsid w:val="003C1098"/>
    <w:rsid w:val="003C112D"/>
    <w:rsid w:val="003C1AD9"/>
    <w:rsid w:val="003C22F7"/>
    <w:rsid w:val="003C23A4"/>
    <w:rsid w:val="003C25BC"/>
    <w:rsid w:val="003C2866"/>
    <w:rsid w:val="003C2F00"/>
    <w:rsid w:val="003C311C"/>
    <w:rsid w:val="003C3179"/>
    <w:rsid w:val="003C317B"/>
    <w:rsid w:val="003C321F"/>
    <w:rsid w:val="003C36DD"/>
    <w:rsid w:val="003C3AF9"/>
    <w:rsid w:val="003C3B33"/>
    <w:rsid w:val="003C3CF9"/>
    <w:rsid w:val="003C418E"/>
    <w:rsid w:val="003C44E8"/>
    <w:rsid w:val="003C48F8"/>
    <w:rsid w:val="003C49BB"/>
    <w:rsid w:val="003C5157"/>
    <w:rsid w:val="003C5186"/>
    <w:rsid w:val="003C59BB"/>
    <w:rsid w:val="003C6216"/>
    <w:rsid w:val="003C65E8"/>
    <w:rsid w:val="003C6922"/>
    <w:rsid w:val="003C699C"/>
    <w:rsid w:val="003C6A74"/>
    <w:rsid w:val="003C6AE9"/>
    <w:rsid w:val="003C6E0F"/>
    <w:rsid w:val="003C771A"/>
    <w:rsid w:val="003C7A55"/>
    <w:rsid w:val="003C7F63"/>
    <w:rsid w:val="003D065C"/>
    <w:rsid w:val="003D099C"/>
    <w:rsid w:val="003D0BD6"/>
    <w:rsid w:val="003D0C2F"/>
    <w:rsid w:val="003D11E7"/>
    <w:rsid w:val="003D143B"/>
    <w:rsid w:val="003D1D23"/>
    <w:rsid w:val="003D231D"/>
    <w:rsid w:val="003D27B3"/>
    <w:rsid w:val="003D2AAE"/>
    <w:rsid w:val="003D30CD"/>
    <w:rsid w:val="003D33F2"/>
    <w:rsid w:val="003D3C0F"/>
    <w:rsid w:val="003D3E09"/>
    <w:rsid w:val="003D3F7B"/>
    <w:rsid w:val="003D4205"/>
    <w:rsid w:val="003D4921"/>
    <w:rsid w:val="003D49B1"/>
    <w:rsid w:val="003D4CF8"/>
    <w:rsid w:val="003D4E06"/>
    <w:rsid w:val="003D4EE6"/>
    <w:rsid w:val="003D514E"/>
    <w:rsid w:val="003D53FD"/>
    <w:rsid w:val="003D545D"/>
    <w:rsid w:val="003D5A4F"/>
    <w:rsid w:val="003D5C25"/>
    <w:rsid w:val="003D5D48"/>
    <w:rsid w:val="003D5D80"/>
    <w:rsid w:val="003D60DD"/>
    <w:rsid w:val="003D6C44"/>
    <w:rsid w:val="003D6F07"/>
    <w:rsid w:val="003D74EB"/>
    <w:rsid w:val="003D75ED"/>
    <w:rsid w:val="003D76EA"/>
    <w:rsid w:val="003D7772"/>
    <w:rsid w:val="003D7A35"/>
    <w:rsid w:val="003D7B3E"/>
    <w:rsid w:val="003D7BD2"/>
    <w:rsid w:val="003D7BEA"/>
    <w:rsid w:val="003D7D50"/>
    <w:rsid w:val="003D7D56"/>
    <w:rsid w:val="003D7DB0"/>
    <w:rsid w:val="003D7DDF"/>
    <w:rsid w:val="003E0076"/>
    <w:rsid w:val="003E01E5"/>
    <w:rsid w:val="003E08F9"/>
    <w:rsid w:val="003E0EEB"/>
    <w:rsid w:val="003E18BB"/>
    <w:rsid w:val="003E1D2E"/>
    <w:rsid w:val="003E265C"/>
    <w:rsid w:val="003E2FC7"/>
    <w:rsid w:val="003E2FCC"/>
    <w:rsid w:val="003E304A"/>
    <w:rsid w:val="003E3416"/>
    <w:rsid w:val="003E3465"/>
    <w:rsid w:val="003E393E"/>
    <w:rsid w:val="003E3E36"/>
    <w:rsid w:val="003E3F3C"/>
    <w:rsid w:val="003E41A1"/>
    <w:rsid w:val="003E4376"/>
    <w:rsid w:val="003E4652"/>
    <w:rsid w:val="003E4D4D"/>
    <w:rsid w:val="003E4E85"/>
    <w:rsid w:val="003E5017"/>
    <w:rsid w:val="003E50C8"/>
    <w:rsid w:val="003E521B"/>
    <w:rsid w:val="003E5498"/>
    <w:rsid w:val="003E56AB"/>
    <w:rsid w:val="003E59D5"/>
    <w:rsid w:val="003E5CE9"/>
    <w:rsid w:val="003E5F4F"/>
    <w:rsid w:val="003E6126"/>
    <w:rsid w:val="003E663D"/>
    <w:rsid w:val="003E66C7"/>
    <w:rsid w:val="003E6AFB"/>
    <w:rsid w:val="003E71CE"/>
    <w:rsid w:val="003E723B"/>
    <w:rsid w:val="003E73D4"/>
    <w:rsid w:val="003E74A4"/>
    <w:rsid w:val="003E763F"/>
    <w:rsid w:val="003E79CE"/>
    <w:rsid w:val="003E7C79"/>
    <w:rsid w:val="003F00C4"/>
    <w:rsid w:val="003F0313"/>
    <w:rsid w:val="003F0499"/>
    <w:rsid w:val="003F05DF"/>
    <w:rsid w:val="003F064F"/>
    <w:rsid w:val="003F0CE8"/>
    <w:rsid w:val="003F1180"/>
    <w:rsid w:val="003F1186"/>
    <w:rsid w:val="003F184E"/>
    <w:rsid w:val="003F22FA"/>
    <w:rsid w:val="003F24D9"/>
    <w:rsid w:val="003F27C0"/>
    <w:rsid w:val="003F2C27"/>
    <w:rsid w:val="003F2D40"/>
    <w:rsid w:val="003F2FE5"/>
    <w:rsid w:val="003F310C"/>
    <w:rsid w:val="003F3314"/>
    <w:rsid w:val="003F349A"/>
    <w:rsid w:val="003F34A1"/>
    <w:rsid w:val="003F351C"/>
    <w:rsid w:val="003F3607"/>
    <w:rsid w:val="003F3660"/>
    <w:rsid w:val="003F3906"/>
    <w:rsid w:val="003F3F2A"/>
    <w:rsid w:val="003F458F"/>
    <w:rsid w:val="003F487A"/>
    <w:rsid w:val="003F488D"/>
    <w:rsid w:val="003F4A91"/>
    <w:rsid w:val="003F4B80"/>
    <w:rsid w:val="003F4C07"/>
    <w:rsid w:val="003F4E86"/>
    <w:rsid w:val="003F4F00"/>
    <w:rsid w:val="003F538A"/>
    <w:rsid w:val="003F57E8"/>
    <w:rsid w:val="003F5E53"/>
    <w:rsid w:val="003F5EDF"/>
    <w:rsid w:val="003F5EFB"/>
    <w:rsid w:val="003F6173"/>
    <w:rsid w:val="003F6312"/>
    <w:rsid w:val="003F63C4"/>
    <w:rsid w:val="003F66D2"/>
    <w:rsid w:val="003F676B"/>
    <w:rsid w:val="003F696F"/>
    <w:rsid w:val="003F7215"/>
    <w:rsid w:val="003F73DF"/>
    <w:rsid w:val="003F750F"/>
    <w:rsid w:val="003F7601"/>
    <w:rsid w:val="003F7855"/>
    <w:rsid w:val="003F7859"/>
    <w:rsid w:val="003F79D6"/>
    <w:rsid w:val="003F7A4C"/>
    <w:rsid w:val="003F7B9F"/>
    <w:rsid w:val="003F7BB1"/>
    <w:rsid w:val="003F7CEC"/>
    <w:rsid w:val="00400168"/>
    <w:rsid w:val="0040024A"/>
    <w:rsid w:val="00400478"/>
    <w:rsid w:val="00400A77"/>
    <w:rsid w:val="004011A9"/>
    <w:rsid w:val="004018CE"/>
    <w:rsid w:val="00402978"/>
    <w:rsid w:val="00402A68"/>
    <w:rsid w:val="00402BCE"/>
    <w:rsid w:val="00402F38"/>
    <w:rsid w:val="0040332C"/>
    <w:rsid w:val="00403364"/>
    <w:rsid w:val="00403FE2"/>
    <w:rsid w:val="004040D5"/>
    <w:rsid w:val="004044AD"/>
    <w:rsid w:val="004046A7"/>
    <w:rsid w:val="004049BC"/>
    <w:rsid w:val="00404DB0"/>
    <w:rsid w:val="00404F8B"/>
    <w:rsid w:val="00405186"/>
    <w:rsid w:val="00405600"/>
    <w:rsid w:val="00405D1D"/>
    <w:rsid w:val="00405E58"/>
    <w:rsid w:val="004060B0"/>
    <w:rsid w:val="00406107"/>
    <w:rsid w:val="0040617B"/>
    <w:rsid w:val="004063EA"/>
    <w:rsid w:val="00407403"/>
    <w:rsid w:val="00407452"/>
    <w:rsid w:val="004078A3"/>
    <w:rsid w:val="004079AE"/>
    <w:rsid w:val="00407ED6"/>
    <w:rsid w:val="00407EFF"/>
    <w:rsid w:val="00407FB8"/>
    <w:rsid w:val="00407FBF"/>
    <w:rsid w:val="00410388"/>
    <w:rsid w:val="004106C0"/>
    <w:rsid w:val="00410BD6"/>
    <w:rsid w:val="00410D53"/>
    <w:rsid w:val="004117A1"/>
    <w:rsid w:val="004118AD"/>
    <w:rsid w:val="00411EBE"/>
    <w:rsid w:val="00411FA4"/>
    <w:rsid w:val="00412177"/>
    <w:rsid w:val="00412376"/>
    <w:rsid w:val="004124CE"/>
    <w:rsid w:val="00412667"/>
    <w:rsid w:val="00412706"/>
    <w:rsid w:val="00412D5F"/>
    <w:rsid w:val="00412DA8"/>
    <w:rsid w:val="0041337A"/>
    <w:rsid w:val="004133F0"/>
    <w:rsid w:val="00413DAA"/>
    <w:rsid w:val="004144F7"/>
    <w:rsid w:val="00414740"/>
    <w:rsid w:val="004149B0"/>
    <w:rsid w:val="00414B8D"/>
    <w:rsid w:val="00415253"/>
    <w:rsid w:val="004156DE"/>
    <w:rsid w:val="00415918"/>
    <w:rsid w:val="00415C67"/>
    <w:rsid w:val="00415CB1"/>
    <w:rsid w:val="00415CDA"/>
    <w:rsid w:val="00415E47"/>
    <w:rsid w:val="0041634E"/>
    <w:rsid w:val="00416B5A"/>
    <w:rsid w:val="00417298"/>
    <w:rsid w:val="004179C4"/>
    <w:rsid w:val="00417AD9"/>
    <w:rsid w:val="00417D64"/>
    <w:rsid w:val="00417DE4"/>
    <w:rsid w:val="004203EA"/>
    <w:rsid w:val="0042054F"/>
    <w:rsid w:val="004207F0"/>
    <w:rsid w:val="00420B86"/>
    <w:rsid w:val="00420BDC"/>
    <w:rsid w:val="00420F59"/>
    <w:rsid w:val="00420F8B"/>
    <w:rsid w:val="004212AD"/>
    <w:rsid w:val="00421A7E"/>
    <w:rsid w:val="00421C55"/>
    <w:rsid w:val="00421F2D"/>
    <w:rsid w:val="00421F46"/>
    <w:rsid w:val="0042286C"/>
    <w:rsid w:val="00422A65"/>
    <w:rsid w:val="00422B20"/>
    <w:rsid w:val="00422C1A"/>
    <w:rsid w:val="00422C39"/>
    <w:rsid w:val="004230EC"/>
    <w:rsid w:val="00423601"/>
    <w:rsid w:val="0042366D"/>
    <w:rsid w:val="00423C73"/>
    <w:rsid w:val="00423F2E"/>
    <w:rsid w:val="004249B9"/>
    <w:rsid w:val="0042559C"/>
    <w:rsid w:val="00425AD2"/>
    <w:rsid w:val="00425D51"/>
    <w:rsid w:val="00425EF3"/>
    <w:rsid w:val="00426002"/>
    <w:rsid w:val="00426B50"/>
    <w:rsid w:val="00427070"/>
    <w:rsid w:val="00427243"/>
    <w:rsid w:val="00427384"/>
    <w:rsid w:val="0042740C"/>
    <w:rsid w:val="0042756A"/>
    <w:rsid w:val="0042790C"/>
    <w:rsid w:val="00427A81"/>
    <w:rsid w:val="00427F4E"/>
    <w:rsid w:val="0043028C"/>
    <w:rsid w:val="004302BB"/>
    <w:rsid w:val="004306E9"/>
    <w:rsid w:val="00430EA3"/>
    <w:rsid w:val="00430FCF"/>
    <w:rsid w:val="00431093"/>
    <w:rsid w:val="0043111F"/>
    <w:rsid w:val="00431211"/>
    <w:rsid w:val="004313BB"/>
    <w:rsid w:val="0043158F"/>
    <w:rsid w:val="004316CA"/>
    <w:rsid w:val="00431930"/>
    <w:rsid w:val="00431989"/>
    <w:rsid w:val="00431C01"/>
    <w:rsid w:val="00432066"/>
    <w:rsid w:val="004323CF"/>
    <w:rsid w:val="00432BD2"/>
    <w:rsid w:val="00432D6F"/>
    <w:rsid w:val="00433246"/>
    <w:rsid w:val="00433740"/>
    <w:rsid w:val="00433A65"/>
    <w:rsid w:val="00433AFB"/>
    <w:rsid w:val="00433BB1"/>
    <w:rsid w:val="00434408"/>
    <w:rsid w:val="00434C40"/>
    <w:rsid w:val="00434F16"/>
    <w:rsid w:val="0043551F"/>
    <w:rsid w:val="00435FDF"/>
    <w:rsid w:val="00436069"/>
    <w:rsid w:val="004361A5"/>
    <w:rsid w:val="00436561"/>
    <w:rsid w:val="00436842"/>
    <w:rsid w:val="00436854"/>
    <w:rsid w:val="00436B27"/>
    <w:rsid w:val="00436CC9"/>
    <w:rsid w:val="00436D06"/>
    <w:rsid w:val="004375AD"/>
    <w:rsid w:val="00440452"/>
    <w:rsid w:val="00440737"/>
    <w:rsid w:val="0044078F"/>
    <w:rsid w:val="004408D6"/>
    <w:rsid w:val="00440948"/>
    <w:rsid w:val="00440EE7"/>
    <w:rsid w:val="00441461"/>
    <w:rsid w:val="0044155F"/>
    <w:rsid w:val="00441625"/>
    <w:rsid w:val="0044271A"/>
    <w:rsid w:val="00442942"/>
    <w:rsid w:val="004429BB"/>
    <w:rsid w:val="00442A91"/>
    <w:rsid w:val="00442F23"/>
    <w:rsid w:val="004430E7"/>
    <w:rsid w:val="004434A1"/>
    <w:rsid w:val="0044352C"/>
    <w:rsid w:val="0044353B"/>
    <w:rsid w:val="00443738"/>
    <w:rsid w:val="0044390E"/>
    <w:rsid w:val="00443A93"/>
    <w:rsid w:val="00443DC0"/>
    <w:rsid w:val="00444620"/>
    <w:rsid w:val="00444754"/>
    <w:rsid w:val="0044497D"/>
    <w:rsid w:val="00444A64"/>
    <w:rsid w:val="0044517D"/>
    <w:rsid w:val="00445270"/>
    <w:rsid w:val="00445F59"/>
    <w:rsid w:val="00445FF2"/>
    <w:rsid w:val="00446097"/>
    <w:rsid w:val="0044642A"/>
    <w:rsid w:val="00446582"/>
    <w:rsid w:val="004468BA"/>
    <w:rsid w:val="00446985"/>
    <w:rsid w:val="00446C00"/>
    <w:rsid w:val="00446E26"/>
    <w:rsid w:val="004471E1"/>
    <w:rsid w:val="004479B5"/>
    <w:rsid w:val="00450048"/>
    <w:rsid w:val="004500BB"/>
    <w:rsid w:val="00450EC4"/>
    <w:rsid w:val="0045127C"/>
    <w:rsid w:val="00451814"/>
    <w:rsid w:val="00451B10"/>
    <w:rsid w:val="004523AE"/>
    <w:rsid w:val="004523DF"/>
    <w:rsid w:val="004523FF"/>
    <w:rsid w:val="0045240E"/>
    <w:rsid w:val="00452546"/>
    <w:rsid w:val="00452B44"/>
    <w:rsid w:val="00452BDA"/>
    <w:rsid w:val="00453336"/>
    <w:rsid w:val="004535E1"/>
    <w:rsid w:val="00453AC0"/>
    <w:rsid w:val="00453AFA"/>
    <w:rsid w:val="00453F23"/>
    <w:rsid w:val="00453FC9"/>
    <w:rsid w:val="0045416F"/>
    <w:rsid w:val="0045438F"/>
    <w:rsid w:val="00454645"/>
    <w:rsid w:val="00454ABD"/>
    <w:rsid w:val="00454B6B"/>
    <w:rsid w:val="004550B5"/>
    <w:rsid w:val="00455BF6"/>
    <w:rsid w:val="00455E67"/>
    <w:rsid w:val="00456074"/>
    <w:rsid w:val="0045615F"/>
    <w:rsid w:val="0045631A"/>
    <w:rsid w:val="00456562"/>
    <w:rsid w:val="00456A99"/>
    <w:rsid w:val="00456C5B"/>
    <w:rsid w:val="00456E1B"/>
    <w:rsid w:val="00457042"/>
    <w:rsid w:val="004572E2"/>
    <w:rsid w:val="004573F4"/>
    <w:rsid w:val="00457DFE"/>
    <w:rsid w:val="00457EF5"/>
    <w:rsid w:val="00457FEC"/>
    <w:rsid w:val="00460135"/>
    <w:rsid w:val="00460288"/>
    <w:rsid w:val="00460636"/>
    <w:rsid w:val="00460705"/>
    <w:rsid w:val="00460A12"/>
    <w:rsid w:val="00460CD0"/>
    <w:rsid w:val="00461542"/>
    <w:rsid w:val="00461B6A"/>
    <w:rsid w:val="00461DE5"/>
    <w:rsid w:val="00462393"/>
    <w:rsid w:val="0046265E"/>
    <w:rsid w:val="004626DA"/>
    <w:rsid w:val="00462CB6"/>
    <w:rsid w:val="00462DAC"/>
    <w:rsid w:val="00462EC6"/>
    <w:rsid w:val="00463034"/>
    <w:rsid w:val="004630E7"/>
    <w:rsid w:val="0046322E"/>
    <w:rsid w:val="00463362"/>
    <w:rsid w:val="00463545"/>
    <w:rsid w:val="00463590"/>
    <w:rsid w:val="004638FA"/>
    <w:rsid w:val="004639BB"/>
    <w:rsid w:val="00463A68"/>
    <w:rsid w:val="00463BAA"/>
    <w:rsid w:val="00463EFB"/>
    <w:rsid w:val="00464460"/>
    <w:rsid w:val="004646C9"/>
    <w:rsid w:val="00464E76"/>
    <w:rsid w:val="004652C2"/>
    <w:rsid w:val="00465354"/>
    <w:rsid w:val="004656C6"/>
    <w:rsid w:val="00465BC0"/>
    <w:rsid w:val="00465BC8"/>
    <w:rsid w:val="00465C8C"/>
    <w:rsid w:val="00465CF0"/>
    <w:rsid w:val="00465F97"/>
    <w:rsid w:val="00466614"/>
    <w:rsid w:val="00466796"/>
    <w:rsid w:val="004667D0"/>
    <w:rsid w:val="0046697B"/>
    <w:rsid w:val="00466B55"/>
    <w:rsid w:val="00466B95"/>
    <w:rsid w:val="00467333"/>
    <w:rsid w:val="004674D6"/>
    <w:rsid w:val="004679DB"/>
    <w:rsid w:val="00467AA6"/>
    <w:rsid w:val="004708BF"/>
    <w:rsid w:val="00471426"/>
    <w:rsid w:val="0047170C"/>
    <w:rsid w:val="00471791"/>
    <w:rsid w:val="00471A43"/>
    <w:rsid w:val="004720E8"/>
    <w:rsid w:val="00472321"/>
    <w:rsid w:val="00472328"/>
    <w:rsid w:val="004723CA"/>
    <w:rsid w:val="0047255C"/>
    <w:rsid w:val="00472A7F"/>
    <w:rsid w:val="0047359E"/>
    <w:rsid w:val="00473E04"/>
    <w:rsid w:val="00473FEA"/>
    <w:rsid w:val="00474918"/>
    <w:rsid w:val="004749F8"/>
    <w:rsid w:val="00474A55"/>
    <w:rsid w:val="00474D59"/>
    <w:rsid w:val="00474E69"/>
    <w:rsid w:val="00474F3F"/>
    <w:rsid w:val="00475080"/>
    <w:rsid w:val="00475403"/>
    <w:rsid w:val="0047558E"/>
    <w:rsid w:val="00475790"/>
    <w:rsid w:val="004758D9"/>
    <w:rsid w:val="00475BDC"/>
    <w:rsid w:val="00475F48"/>
    <w:rsid w:val="00476344"/>
    <w:rsid w:val="00476776"/>
    <w:rsid w:val="00476A1A"/>
    <w:rsid w:val="00476CCB"/>
    <w:rsid w:val="00476CED"/>
    <w:rsid w:val="00476D9A"/>
    <w:rsid w:val="00476DB9"/>
    <w:rsid w:val="00477119"/>
    <w:rsid w:val="0047745B"/>
    <w:rsid w:val="00477588"/>
    <w:rsid w:val="00477AEE"/>
    <w:rsid w:val="00477C75"/>
    <w:rsid w:val="00477D24"/>
    <w:rsid w:val="004800A8"/>
    <w:rsid w:val="00480112"/>
    <w:rsid w:val="0048029C"/>
    <w:rsid w:val="0048072A"/>
    <w:rsid w:val="00480C03"/>
    <w:rsid w:val="00480CFA"/>
    <w:rsid w:val="00480EB2"/>
    <w:rsid w:val="00480F5D"/>
    <w:rsid w:val="004815C3"/>
    <w:rsid w:val="00481668"/>
    <w:rsid w:val="004816A4"/>
    <w:rsid w:val="004818ED"/>
    <w:rsid w:val="00481BB6"/>
    <w:rsid w:val="00481CC2"/>
    <w:rsid w:val="00481D86"/>
    <w:rsid w:val="004820A9"/>
    <w:rsid w:val="0048286F"/>
    <w:rsid w:val="00482901"/>
    <w:rsid w:val="00482DAF"/>
    <w:rsid w:val="00483295"/>
    <w:rsid w:val="00483474"/>
    <w:rsid w:val="00483A85"/>
    <w:rsid w:val="00483C34"/>
    <w:rsid w:val="00483FB4"/>
    <w:rsid w:val="004841DF"/>
    <w:rsid w:val="00484213"/>
    <w:rsid w:val="004846CB"/>
    <w:rsid w:val="004847B4"/>
    <w:rsid w:val="00484812"/>
    <w:rsid w:val="0048496D"/>
    <w:rsid w:val="00484ED8"/>
    <w:rsid w:val="004852F0"/>
    <w:rsid w:val="00485683"/>
    <w:rsid w:val="00485772"/>
    <w:rsid w:val="00485989"/>
    <w:rsid w:val="004859C6"/>
    <w:rsid w:val="00485AC3"/>
    <w:rsid w:val="00485D24"/>
    <w:rsid w:val="00485EE7"/>
    <w:rsid w:val="00486236"/>
    <w:rsid w:val="00486261"/>
    <w:rsid w:val="00486312"/>
    <w:rsid w:val="004866AB"/>
    <w:rsid w:val="004866D4"/>
    <w:rsid w:val="004869BF"/>
    <w:rsid w:val="00487155"/>
    <w:rsid w:val="004874EC"/>
    <w:rsid w:val="0048765A"/>
    <w:rsid w:val="004877A5"/>
    <w:rsid w:val="00487A01"/>
    <w:rsid w:val="00487A2A"/>
    <w:rsid w:val="00490253"/>
    <w:rsid w:val="00490D1F"/>
    <w:rsid w:val="0049138B"/>
    <w:rsid w:val="00491CC6"/>
    <w:rsid w:val="00491D21"/>
    <w:rsid w:val="00492342"/>
    <w:rsid w:val="0049256B"/>
    <w:rsid w:val="004929C2"/>
    <w:rsid w:val="00493242"/>
    <w:rsid w:val="004937CC"/>
    <w:rsid w:val="00493BF0"/>
    <w:rsid w:val="00494AA4"/>
    <w:rsid w:val="00494AFB"/>
    <w:rsid w:val="00495446"/>
    <w:rsid w:val="0049547E"/>
    <w:rsid w:val="004960AD"/>
    <w:rsid w:val="0049648D"/>
    <w:rsid w:val="00496550"/>
    <w:rsid w:val="00496B39"/>
    <w:rsid w:val="00496FF3"/>
    <w:rsid w:val="00497541"/>
    <w:rsid w:val="00497DCF"/>
    <w:rsid w:val="004A0472"/>
    <w:rsid w:val="004A049B"/>
    <w:rsid w:val="004A0EA4"/>
    <w:rsid w:val="004A0EB1"/>
    <w:rsid w:val="004A0EDF"/>
    <w:rsid w:val="004A0F51"/>
    <w:rsid w:val="004A152F"/>
    <w:rsid w:val="004A15F8"/>
    <w:rsid w:val="004A1D57"/>
    <w:rsid w:val="004A214F"/>
    <w:rsid w:val="004A23E9"/>
    <w:rsid w:val="004A2587"/>
    <w:rsid w:val="004A2700"/>
    <w:rsid w:val="004A282D"/>
    <w:rsid w:val="004A2B23"/>
    <w:rsid w:val="004A3094"/>
    <w:rsid w:val="004A31DB"/>
    <w:rsid w:val="004A3329"/>
    <w:rsid w:val="004A349A"/>
    <w:rsid w:val="004A34BD"/>
    <w:rsid w:val="004A387C"/>
    <w:rsid w:val="004A3ACB"/>
    <w:rsid w:val="004A3B80"/>
    <w:rsid w:val="004A5F6B"/>
    <w:rsid w:val="004A6827"/>
    <w:rsid w:val="004A72EA"/>
    <w:rsid w:val="004A758C"/>
    <w:rsid w:val="004A75E5"/>
    <w:rsid w:val="004A7896"/>
    <w:rsid w:val="004A79C2"/>
    <w:rsid w:val="004A7D92"/>
    <w:rsid w:val="004A7DAB"/>
    <w:rsid w:val="004A7EC8"/>
    <w:rsid w:val="004B0139"/>
    <w:rsid w:val="004B0140"/>
    <w:rsid w:val="004B02C9"/>
    <w:rsid w:val="004B0A82"/>
    <w:rsid w:val="004B15F8"/>
    <w:rsid w:val="004B1607"/>
    <w:rsid w:val="004B176C"/>
    <w:rsid w:val="004B1885"/>
    <w:rsid w:val="004B1B22"/>
    <w:rsid w:val="004B1FE9"/>
    <w:rsid w:val="004B2051"/>
    <w:rsid w:val="004B23BC"/>
    <w:rsid w:val="004B2422"/>
    <w:rsid w:val="004B26B3"/>
    <w:rsid w:val="004B281A"/>
    <w:rsid w:val="004B2827"/>
    <w:rsid w:val="004B2BF3"/>
    <w:rsid w:val="004B2D30"/>
    <w:rsid w:val="004B2EF5"/>
    <w:rsid w:val="004B2F4B"/>
    <w:rsid w:val="004B306B"/>
    <w:rsid w:val="004B341A"/>
    <w:rsid w:val="004B3509"/>
    <w:rsid w:val="004B3678"/>
    <w:rsid w:val="004B3C18"/>
    <w:rsid w:val="004B3F5F"/>
    <w:rsid w:val="004B4555"/>
    <w:rsid w:val="004B457D"/>
    <w:rsid w:val="004B4694"/>
    <w:rsid w:val="004B4755"/>
    <w:rsid w:val="004B4760"/>
    <w:rsid w:val="004B4EFE"/>
    <w:rsid w:val="004B5192"/>
    <w:rsid w:val="004B52BD"/>
    <w:rsid w:val="004B52E8"/>
    <w:rsid w:val="004B5316"/>
    <w:rsid w:val="004B5348"/>
    <w:rsid w:val="004B5FA3"/>
    <w:rsid w:val="004B5FAA"/>
    <w:rsid w:val="004B6043"/>
    <w:rsid w:val="004B60D0"/>
    <w:rsid w:val="004B6250"/>
    <w:rsid w:val="004B6297"/>
    <w:rsid w:val="004B6352"/>
    <w:rsid w:val="004B6353"/>
    <w:rsid w:val="004B63CE"/>
    <w:rsid w:val="004B6574"/>
    <w:rsid w:val="004B67DA"/>
    <w:rsid w:val="004B67F9"/>
    <w:rsid w:val="004B6B68"/>
    <w:rsid w:val="004B6D30"/>
    <w:rsid w:val="004B7117"/>
    <w:rsid w:val="004B7185"/>
    <w:rsid w:val="004B7731"/>
    <w:rsid w:val="004B78D2"/>
    <w:rsid w:val="004B7DF4"/>
    <w:rsid w:val="004B7E0C"/>
    <w:rsid w:val="004B7F76"/>
    <w:rsid w:val="004C01E5"/>
    <w:rsid w:val="004C0976"/>
    <w:rsid w:val="004C0C55"/>
    <w:rsid w:val="004C11E6"/>
    <w:rsid w:val="004C12BF"/>
    <w:rsid w:val="004C19D4"/>
    <w:rsid w:val="004C1ABA"/>
    <w:rsid w:val="004C1CF6"/>
    <w:rsid w:val="004C1D0F"/>
    <w:rsid w:val="004C1F66"/>
    <w:rsid w:val="004C201B"/>
    <w:rsid w:val="004C2795"/>
    <w:rsid w:val="004C2A04"/>
    <w:rsid w:val="004C2BDD"/>
    <w:rsid w:val="004C2C12"/>
    <w:rsid w:val="004C344F"/>
    <w:rsid w:val="004C35CF"/>
    <w:rsid w:val="004C3933"/>
    <w:rsid w:val="004C4335"/>
    <w:rsid w:val="004C438C"/>
    <w:rsid w:val="004C44A6"/>
    <w:rsid w:val="004C46B6"/>
    <w:rsid w:val="004C4706"/>
    <w:rsid w:val="004C471C"/>
    <w:rsid w:val="004C4775"/>
    <w:rsid w:val="004C4F70"/>
    <w:rsid w:val="004C51F9"/>
    <w:rsid w:val="004C5B10"/>
    <w:rsid w:val="004C5C2B"/>
    <w:rsid w:val="004C5D42"/>
    <w:rsid w:val="004C5D7B"/>
    <w:rsid w:val="004C5F50"/>
    <w:rsid w:val="004C6051"/>
    <w:rsid w:val="004C665A"/>
    <w:rsid w:val="004C6709"/>
    <w:rsid w:val="004C6A2E"/>
    <w:rsid w:val="004C6A8C"/>
    <w:rsid w:val="004C6C79"/>
    <w:rsid w:val="004C7250"/>
    <w:rsid w:val="004C727D"/>
    <w:rsid w:val="004C72E0"/>
    <w:rsid w:val="004C7944"/>
    <w:rsid w:val="004C7C48"/>
    <w:rsid w:val="004C7E9F"/>
    <w:rsid w:val="004C7FBA"/>
    <w:rsid w:val="004D05D4"/>
    <w:rsid w:val="004D07D9"/>
    <w:rsid w:val="004D0AC1"/>
    <w:rsid w:val="004D0BE2"/>
    <w:rsid w:val="004D0F14"/>
    <w:rsid w:val="004D1294"/>
    <w:rsid w:val="004D12C0"/>
    <w:rsid w:val="004D1A4C"/>
    <w:rsid w:val="004D1BAC"/>
    <w:rsid w:val="004D1DAB"/>
    <w:rsid w:val="004D2082"/>
    <w:rsid w:val="004D21CA"/>
    <w:rsid w:val="004D2484"/>
    <w:rsid w:val="004D2C74"/>
    <w:rsid w:val="004D319C"/>
    <w:rsid w:val="004D342A"/>
    <w:rsid w:val="004D3785"/>
    <w:rsid w:val="004D3BD7"/>
    <w:rsid w:val="004D3C64"/>
    <w:rsid w:val="004D3D1C"/>
    <w:rsid w:val="004D4711"/>
    <w:rsid w:val="004D4B33"/>
    <w:rsid w:val="004D4F49"/>
    <w:rsid w:val="004D50E3"/>
    <w:rsid w:val="004D51F8"/>
    <w:rsid w:val="004D5290"/>
    <w:rsid w:val="004D5461"/>
    <w:rsid w:val="004D6340"/>
    <w:rsid w:val="004D6356"/>
    <w:rsid w:val="004D6E19"/>
    <w:rsid w:val="004D72AB"/>
    <w:rsid w:val="004D7418"/>
    <w:rsid w:val="004D7864"/>
    <w:rsid w:val="004D7A27"/>
    <w:rsid w:val="004D7C44"/>
    <w:rsid w:val="004E0010"/>
    <w:rsid w:val="004E0773"/>
    <w:rsid w:val="004E088B"/>
    <w:rsid w:val="004E0C71"/>
    <w:rsid w:val="004E0F57"/>
    <w:rsid w:val="004E101C"/>
    <w:rsid w:val="004E123A"/>
    <w:rsid w:val="004E1894"/>
    <w:rsid w:val="004E18AF"/>
    <w:rsid w:val="004E199F"/>
    <w:rsid w:val="004E1C51"/>
    <w:rsid w:val="004E1CA4"/>
    <w:rsid w:val="004E1D38"/>
    <w:rsid w:val="004E22AB"/>
    <w:rsid w:val="004E22C6"/>
    <w:rsid w:val="004E2402"/>
    <w:rsid w:val="004E264D"/>
    <w:rsid w:val="004E27C4"/>
    <w:rsid w:val="004E2C9C"/>
    <w:rsid w:val="004E317C"/>
    <w:rsid w:val="004E34D7"/>
    <w:rsid w:val="004E3875"/>
    <w:rsid w:val="004E3A5C"/>
    <w:rsid w:val="004E3F41"/>
    <w:rsid w:val="004E43ED"/>
    <w:rsid w:val="004E44C5"/>
    <w:rsid w:val="004E450F"/>
    <w:rsid w:val="004E454E"/>
    <w:rsid w:val="004E488D"/>
    <w:rsid w:val="004E4D9B"/>
    <w:rsid w:val="004E4DBC"/>
    <w:rsid w:val="004E4F48"/>
    <w:rsid w:val="004E4F89"/>
    <w:rsid w:val="004E5611"/>
    <w:rsid w:val="004E576D"/>
    <w:rsid w:val="004E5BB1"/>
    <w:rsid w:val="004E6530"/>
    <w:rsid w:val="004E6621"/>
    <w:rsid w:val="004E679C"/>
    <w:rsid w:val="004E68D8"/>
    <w:rsid w:val="004E6C98"/>
    <w:rsid w:val="004E74E6"/>
    <w:rsid w:val="004E784B"/>
    <w:rsid w:val="004E7ABA"/>
    <w:rsid w:val="004F0165"/>
    <w:rsid w:val="004F04F1"/>
    <w:rsid w:val="004F065C"/>
    <w:rsid w:val="004F0754"/>
    <w:rsid w:val="004F0925"/>
    <w:rsid w:val="004F0989"/>
    <w:rsid w:val="004F09BF"/>
    <w:rsid w:val="004F0AAA"/>
    <w:rsid w:val="004F0E30"/>
    <w:rsid w:val="004F1024"/>
    <w:rsid w:val="004F14F8"/>
    <w:rsid w:val="004F1729"/>
    <w:rsid w:val="004F1B23"/>
    <w:rsid w:val="004F207D"/>
    <w:rsid w:val="004F213A"/>
    <w:rsid w:val="004F2340"/>
    <w:rsid w:val="004F23D0"/>
    <w:rsid w:val="004F2471"/>
    <w:rsid w:val="004F2517"/>
    <w:rsid w:val="004F25A7"/>
    <w:rsid w:val="004F25F9"/>
    <w:rsid w:val="004F31E1"/>
    <w:rsid w:val="004F3219"/>
    <w:rsid w:val="004F3573"/>
    <w:rsid w:val="004F3A72"/>
    <w:rsid w:val="004F3FAF"/>
    <w:rsid w:val="004F405D"/>
    <w:rsid w:val="004F48E1"/>
    <w:rsid w:val="004F4941"/>
    <w:rsid w:val="004F4E17"/>
    <w:rsid w:val="004F4E35"/>
    <w:rsid w:val="004F4ECD"/>
    <w:rsid w:val="004F51EE"/>
    <w:rsid w:val="004F56C5"/>
    <w:rsid w:val="004F5802"/>
    <w:rsid w:val="004F583C"/>
    <w:rsid w:val="004F59F3"/>
    <w:rsid w:val="004F6138"/>
    <w:rsid w:val="004F6318"/>
    <w:rsid w:val="004F6450"/>
    <w:rsid w:val="004F6E87"/>
    <w:rsid w:val="004F711D"/>
    <w:rsid w:val="004F7122"/>
    <w:rsid w:val="004F71AD"/>
    <w:rsid w:val="004F7218"/>
    <w:rsid w:val="004F73C4"/>
    <w:rsid w:val="004F7449"/>
    <w:rsid w:val="004F7A3E"/>
    <w:rsid w:val="004F7B67"/>
    <w:rsid w:val="00500121"/>
    <w:rsid w:val="00500261"/>
    <w:rsid w:val="005005FC"/>
    <w:rsid w:val="00500EC6"/>
    <w:rsid w:val="00500F27"/>
    <w:rsid w:val="00500F41"/>
    <w:rsid w:val="00501E8D"/>
    <w:rsid w:val="00502738"/>
    <w:rsid w:val="00502845"/>
    <w:rsid w:val="00502B5E"/>
    <w:rsid w:val="00502CA2"/>
    <w:rsid w:val="00502F20"/>
    <w:rsid w:val="0050381D"/>
    <w:rsid w:val="00503856"/>
    <w:rsid w:val="00503ACA"/>
    <w:rsid w:val="00503C64"/>
    <w:rsid w:val="00503E61"/>
    <w:rsid w:val="00503F06"/>
    <w:rsid w:val="00503FE3"/>
    <w:rsid w:val="00504854"/>
    <w:rsid w:val="005050E7"/>
    <w:rsid w:val="005051C9"/>
    <w:rsid w:val="0050532A"/>
    <w:rsid w:val="0050542F"/>
    <w:rsid w:val="00505A7F"/>
    <w:rsid w:val="00505E66"/>
    <w:rsid w:val="005060A9"/>
    <w:rsid w:val="00506108"/>
    <w:rsid w:val="0050625A"/>
    <w:rsid w:val="005063A9"/>
    <w:rsid w:val="00506535"/>
    <w:rsid w:val="00506A9A"/>
    <w:rsid w:val="00506B22"/>
    <w:rsid w:val="005075AE"/>
    <w:rsid w:val="005075CA"/>
    <w:rsid w:val="005078E8"/>
    <w:rsid w:val="005079A4"/>
    <w:rsid w:val="00507D5F"/>
    <w:rsid w:val="00507F2F"/>
    <w:rsid w:val="005105A3"/>
    <w:rsid w:val="00510837"/>
    <w:rsid w:val="00511098"/>
    <w:rsid w:val="0051135F"/>
    <w:rsid w:val="0051137C"/>
    <w:rsid w:val="005114D9"/>
    <w:rsid w:val="00511500"/>
    <w:rsid w:val="0051150E"/>
    <w:rsid w:val="0051154E"/>
    <w:rsid w:val="0051197D"/>
    <w:rsid w:val="00511B8D"/>
    <w:rsid w:val="0051254E"/>
    <w:rsid w:val="00512689"/>
    <w:rsid w:val="005126D9"/>
    <w:rsid w:val="00512833"/>
    <w:rsid w:val="00513035"/>
    <w:rsid w:val="00513264"/>
    <w:rsid w:val="0051338F"/>
    <w:rsid w:val="0051368F"/>
    <w:rsid w:val="0051373C"/>
    <w:rsid w:val="005138FB"/>
    <w:rsid w:val="00513E65"/>
    <w:rsid w:val="00514302"/>
    <w:rsid w:val="0051449E"/>
    <w:rsid w:val="005146D0"/>
    <w:rsid w:val="00514784"/>
    <w:rsid w:val="00514AF6"/>
    <w:rsid w:val="00514B65"/>
    <w:rsid w:val="00514E07"/>
    <w:rsid w:val="00514FB6"/>
    <w:rsid w:val="0051523B"/>
    <w:rsid w:val="0051550C"/>
    <w:rsid w:val="00515578"/>
    <w:rsid w:val="005156A0"/>
    <w:rsid w:val="00515929"/>
    <w:rsid w:val="00515F4B"/>
    <w:rsid w:val="005160DC"/>
    <w:rsid w:val="005168ED"/>
    <w:rsid w:val="00516B00"/>
    <w:rsid w:val="00516B17"/>
    <w:rsid w:val="00516E5D"/>
    <w:rsid w:val="00516F4F"/>
    <w:rsid w:val="0051724C"/>
    <w:rsid w:val="00517782"/>
    <w:rsid w:val="00517798"/>
    <w:rsid w:val="00517898"/>
    <w:rsid w:val="005200D5"/>
    <w:rsid w:val="005200F4"/>
    <w:rsid w:val="005204DF"/>
    <w:rsid w:val="0052089E"/>
    <w:rsid w:val="00520A46"/>
    <w:rsid w:val="00520A6B"/>
    <w:rsid w:val="00520B1B"/>
    <w:rsid w:val="00520B4A"/>
    <w:rsid w:val="00520B86"/>
    <w:rsid w:val="00520DB7"/>
    <w:rsid w:val="005211FE"/>
    <w:rsid w:val="0052130D"/>
    <w:rsid w:val="005220C8"/>
    <w:rsid w:val="005222E4"/>
    <w:rsid w:val="005225DE"/>
    <w:rsid w:val="00522619"/>
    <w:rsid w:val="00522CE0"/>
    <w:rsid w:val="00522F7B"/>
    <w:rsid w:val="0052310D"/>
    <w:rsid w:val="00523478"/>
    <w:rsid w:val="005235B9"/>
    <w:rsid w:val="005238DC"/>
    <w:rsid w:val="005239A5"/>
    <w:rsid w:val="00523AF0"/>
    <w:rsid w:val="00523C13"/>
    <w:rsid w:val="0052464D"/>
    <w:rsid w:val="005248E1"/>
    <w:rsid w:val="005249E0"/>
    <w:rsid w:val="00524CCC"/>
    <w:rsid w:val="00524E54"/>
    <w:rsid w:val="00525682"/>
    <w:rsid w:val="00525A1D"/>
    <w:rsid w:val="00525F18"/>
    <w:rsid w:val="00526174"/>
    <w:rsid w:val="00526914"/>
    <w:rsid w:val="005271ED"/>
    <w:rsid w:val="00527258"/>
    <w:rsid w:val="005272C2"/>
    <w:rsid w:val="00527318"/>
    <w:rsid w:val="00527E25"/>
    <w:rsid w:val="0053014C"/>
    <w:rsid w:val="005302B4"/>
    <w:rsid w:val="00530915"/>
    <w:rsid w:val="00530CBA"/>
    <w:rsid w:val="0053131F"/>
    <w:rsid w:val="0053133F"/>
    <w:rsid w:val="0053134D"/>
    <w:rsid w:val="005313C0"/>
    <w:rsid w:val="00531A18"/>
    <w:rsid w:val="00531C6E"/>
    <w:rsid w:val="00531D1C"/>
    <w:rsid w:val="00531D87"/>
    <w:rsid w:val="00531DDC"/>
    <w:rsid w:val="0053212B"/>
    <w:rsid w:val="00532276"/>
    <w:rsid w:val="0053253B"/>
    <w:rsid w:val="005328E9"/>
    <w:rsid w:val="0053336B"/>
    <w:rsid w:val="005333F0"/>
    <w:rsid w:val="005334A2"/>
    <w:rsid w:val="005337DE"/>
    <w:rsid w:val="005339AD"/>
    <w:rsid w:val="00533AF9"/>
    <w:rsid w:val="005340F3"/>
    <w:rsid w:val="0053444B"/>
    <w:rsid w:val="00534A56"/>
    <w:rsid w:val="00534BC4"/>
    <w:rsid w:val="00534CD2"/>
    <w:rsid w:val="005358C2"/>
    <w:rsid w:val="005359C9"/>
    <w:rsid w:val="00535CDE"/>
    <w:rsid w:val="00536657"/>
    <w:rsid w:val="00536AFE"/>
    <w:rsid w:val="00536C36"/>
    <w:rsid w:val="00536E50"/>
    <w:rsid w:val="00537093"/>
    <w:rsid w:val="00537126"/>
    <w:rsid w:val="005372EA"/>
    <w:rsid w:val="005375D9"/>
    <w:rsid w:val="00537E54"/>
    <w:rsid w:val="0054079D"/>
    <w:rsid w:val="00540938"/>
    <w:rsid w:val="00540A1B"/>
    <w:rsid w:val="00540FB9"/>
    <w:rsid w:val="00541282"/>
    <w:rsid w:val="005417AA"/>
    <w:rsid w:val="00541A94"/>
    <w:rsid w:val="00541BCA"/>
    <w:rsid w:val="00541D93"/>
    <w:rsid w:val="0054240E"/>
    <w:rsid w:val="005425DB"/>
    <w:rsid w:val="00542617"/>
    <w:rsid w:val="00542B38"/>
    <w:rsid w:val="00542C01"/>
    <w:rsid w:val="00542E9C"/>
    <w:rsid w:val="00543003"/>
    <w:rsid w:val="005431EC"/>
    <w:rsid w:val="0054358E"/>
    <w:rsid w:val="005436E2"/>
    <w:rsid w:val="00543A5D"/>
    <w:rsid w:val="00543C87"/>
    <w:rsid w:val="00543CEE"/>
    <w:rsid w:val="005442ED"/>
    <w:rsid w:val="0054476E"/>
    <w:rsid w:val="005456B3"/>
    <w:rsid w:val="0054618A"/>
    <w:rsid w:val="0054632D"/>
    <w:rsid w:val="00546C22"/>
    <w:rsid w:val="00546E71"/>
    <w:rsid w:val="00546F77"/>
    <w:rsid w:val="00547223"/>
    <w:rsid w:val="005478A3"/>
    <w:rsid w:val="00547D2E"/>
    <w:rsid w:val="00547F75"/>
    <w:rsid w:val="00547F88"/>
    <w:rsid w:val="00550117"/>
    <w:rsid w:val="0055039A"/>
    <w:rsid w:val="00550513"/>
    <w:rsid w:val="005508B7"/>
    <w:rsid w:val="005513B7"/>
    <w:rsid w:val="00551B63"/>
    <w:rsid w:val="00551C23"/>
    <w:rsid w:val="00551EF3"/>
    <w:rsid w:val="0055200A"/>
    <w:rsid w:val="00552564"/>
    <w:rsid w:val="00552AE0"/>
    <w:rsid w:val="0055314B"/>
    <w:rsid w:val="005531D4"/>
    <w:rsid w:val="005534C9"/>
    <w:rsid w:val="00553583"/>
    <w:rsid w:val="00553740"/>
    <w:rsid w:val="005538CC"/>
    <w:rsid w:val="005538D3"/>
    <w:rsid w:val="00553B34"/>
    <w:rsid w:val="00553BE6"/>
    <w:rsid w:val="00554562"/>
    <w:rsid w:val="00554786"/>
    <w:rsid w:val="0055520F"/>
    <w:rsid w:val="00555258"/>
    <w:rsid w:val="0055546B"/>
    <w:rsid w:val="005554E7"/>
    <w:rsid w:val="00555677"/>
    <w:rsid w:val="005559F6"/>
    <w:rsid w:val="00555AB0"/>
    <w:rsid w:val="00555CC6"/>
    <w:rsid w:val="00555FD3"/>
    <w:rsid w:val="005562E1"/>
    <w:rsid w:val="005566D3"/>
    <w:rsid w:val="00556B5A"/>
    <w:rsid w:val="00557466"/>
    <w:rsid w:val="00557488"/>
    <w:rsid w:val="005574ED"/>
    <w:rsid w:val="00557538"/>
    <w:rsid w:val="005576EF"/>
    <w:rsid w:val="00560031"/>
    <w:rsid w:val="00560092"/>
    <w:rsid w:val="00560532"/>
    <w:rsid w:val="005606F5"/>
    <w:rsid w:val="00560C93"/>
    <w:rsid w:val="00560E63"/>
    <w:rsid w:val="00561288"/>
    <w:rsid w:val="00561473"/>
    <w:rsid w:val="00561572"/>
    <w:rsid w:val="00561775"/>
    <w:rsid w:val="00561A4A"/>
    <w:rsid w:val="00561DF2"/>
    <w:rsid w:val="00561EBA"/>
    <w:rsid w:val="00561FC7"/>
    <w:rsid w:val="005625B2"/>
    <w:rsid w:val="005629BC"/>
    <w:rsid w:val="00562A1C"/>
    <w:rsid w:val="00562EC4"/>
    <w:rsid w:val="005632C0"/>
    <w:rsid w:val="00563569"/>
    <w:rsid w:val="005635B1"/>
    <w:rsid w:val="0056364B"/>
    <w:rsid w:val="00563971"/>
    <w:rsid w:val="00563BFD"/>
    <w:rsid w:val="00564530"/>
    <w:rsid w:val="00564824"/>
    <w:rsid w:val="005650E8"/>
    <w:rsid w:val="005653B9"/>
    <w:rsid w:val="005654DC"/>
    <w:rsid w:val="00565777"/>
    <w:rsid w:val="00565857"/>
    <w:rsid w:val="00565986"/>
    <w:rsid w:val="00565AD7"/>
    <w:rsid w:val="00565D84"/>
    <w:rsid w:val="00566127"/>
    <w:rsid w:val="00566272"/>
    <w:rsid w:val="0056653C"/>
    <w:rsid w:val="00566634"/>
    <w:rsid w:val="00566A1B"/>
    <w:rsid w:val="00566E6A"/>
    <w:rsid w:val="00567075"/>
    <w:rsid w:val="00567646"/>
    <w:rsid w:val="00567767"/>
    <w:rsid w:val="005677BC"/>
    <w:rsid w:val="00567B7E"/>
    <w:rsid w:val="00567EAC"/>
    <w:rsid w:val="00570AC6"/>
    <w:rsid w:val="00570B28"/>
    <w:rsid w:val="00570B58"/>
    <w:rsid w:val="00570FBA"/>
    <w:rsid w:val="0057129C"/>
    <w:rsid w:val="00571669"/>
    <w:rsid w:val="005716A8"/>
    <w:rsid w:val="00571B3E"/>
    <w:rsid w:val="00571E82"/>
    <w:rsid w:val="00571FEF"/>
    <w:rsid w:val="0057271F"/>
    <w:rsid w:val="00572A08"/>
    <w:rsid w:val="00572A27"/>
    <w:rsid w:val="0057318D"/>
    <w:rsid w:val="005731C4"/>
    <w:rsid w:val="00573A97"/>
    <w:rsid w:val="00573C9A"/>
    <w:rsid w:val="005744EC"/>
    <w:rsid w:val="0057454C"/>
    <w:rsid w:val="00574826"/>
    <w:rsid w:val="00574B5A"/>
    <w:rsid w:val="00574BBB"/>
    <w:rsid w:val="00575227"/>
    <w:rsid w:val="00575485"/>
    <w:rsid w:val="00575822"/>
    <w:rsid w:val="0057585B"/>
    <w:rsid w:val="00575F8D"/>
    <w:rsid w:val="0057605A"/>
    <w:rsid w:val="0057611C"/>
    <w:rsid w:val="00576852"/>
    <w:rsid w:val="00576932"/>
    <w:rsid w:val="00576974"/>
    <w:rsid w:val="00576AB1"/>
    <w:rsid w:val="00576F70"/>
    <w:rsid w:val="00577AAA"/>
    <w:rsid w:val="00577AC0"/>
    <w:rsid w:val="00577E93"/>
    <w:rsid w:val="00580133"/>
    <w:rsid w:val="00580424"/>
    <w:rsid w:val="00580431"/>
    <w:rsid w:val="005804F6"/>
    <w:rsid w:val="00580953"/>
    <w:rsid w:val="005809F2"/>
    <w:rsid w:val="00580CEE"/>
    <w:rsid w:val="00580FE8"/>
    <w:rsid w:val="0058118B"/>
    <w:rsid w:val="00581445"/>
    <w:rsid w:val="00581592"/>
    <w:rsid w:val="00581B0B"/>
    <w:rsid w:val="00582940"/>
    <w:rsid w:val="00582C04"/>
    <w:rsid w:val="0058341D"/>
    <w:rsid w:val="00583451"/>
    <w:rsid w:val="0058376F"/>
    <w:rsid w:val="005837BF"/>
    <w:rsid w:val="005839C4"/>
    <w:rsid w:val="00583CF3"/>
    <w:rsid w:val="0058438E"/>
    <w:rsid w:val="0058484E"/>
    <w:rsid w:val="00584D14"/>
    <w:rsid w:val="00584E96"/>
    <w:rsid w:val="0058527F"/>
    <w:rsid w:val="005856BC"/>
    <w:rsid w:val="005858E8"/>
    <w:rsid w:val="00585C0B"/>
    <w:rsid w:val="005861D8"/>
    <w:rsid w:val="005865F4"/>
    <w:rsid w:val="005869AD"/>
    <w:rsid w:val="005869C0"/>
    <w:rsid w:val="0058701C"/>
    <w:rsid w:val="00587257"/>
    <w:rsid w:val="00587405"/>
    <w:rsid w:val="005876DA"/>
    <w:rsid w:val="00587967"/>
    <w:rsid w:val="00587C07"/>
    <w:rsid w:val="00590650"/>
    <w:rsid w:val="00590969"/>
    <w:rsid w:val="005909E8"/>
    <w:rsid w:val="00590AA3"/>
    <w:rsid w:val="00590C54"/>
    <w:rsid w:val="00590E0D"/>
    <w:rsid w:val="0059144E"/>
    <w:rsid w:val="00591974"/>
    <w:rsid w:val="00591A4B"/>
    <w:rsid w:val="00591E77"/>
    <w:rsid w:val="00591EC5"/>
    <w:rsid w:val="00591FB0"/>
    <w:rsid w:val="00592651"/>
    <w:rsid w:val="005928DA"/>
    <w:rsid w:val="0059294C"/>
    <w:rsid w:val="00592B9F"/>
    <w:rsid w:val="00592E03"/>
    <w:rsid w:val="00592FF8"/>
    <w:rsid w:val="00593188"/>
    <w:rsid w:val="00593984"/>
    <w:rsid w:val="00593C32"/>
    <w:rsid w:val="005940D9"/>
    <w:rsid w:val="00594241"/>
    <w:rsid w:val="00594434"/>
    <w:rsid w:val="005946DF"/>
    <w:rsid w:val="00594B74"/>
    <w:rsid w:val="00594BA1"/>
    <w:rsid w:val="00594D87"/>
    <w:rsid w:val="00594EDA"/>
    <w:rsid w:val="00594F88"/>
    <w:rsid w:val="0059519F"/>
    <w:rsid w:val="00595454"/>
    <w:rsid w:val="00595E60"/>
    <w:rsid w:val="005965B7"/>
    <w:rsid w:val="0059674A"/>
    <w:rsid w:val="005967B0"/>
    <w:rsid w:val="00596D54"/>
    <w:rsid w:val="00596D65"/>
    <w:rsid w:val="00596F39"/>
    <w:rsid w:val="0059758C"/>
    <w:rsid w:val="0059785D"/>
    <w:rsid w:val="00597C8F"/>
    <w:rsid w:val="005A05F6"/>
    <w:rsid w:val="005A160C"/>
    <w:rsid w:val="005A1F8B"/>
    <w:rsid w:val="005A212B"/>
    <w:rsid w:val="005A218B"/>
    <w:rsid w:val="005A22F9"/>
    <w:rsid w:val="005A26E0"/>
    <w:rsid w:val="005A27B5"/>
    <w:rsid w:val="005A2962"/>
    <w:rsid w:val="005A2B0E"/>
    <w:rsid w:val="005A2E97"/>
    <w:rsid w:val="005A320B"/>
    <w:rsid w:val="005A3379"/>
    <w:rsid w:val="005A33DC"/>
    <w:rsid w:val="005A3543"/>
    <w:rsid w:val="005A3CA8"/>
    <w:rsid w:val="005A3CE7"/>
    <w:rsid w:val="005A4223"/>
    <w:rsid w:val="005A44C0"/>
    <w:rsid w:val="005A45DB"/>
    <w:rsid w:val="005A47D1"/>
    <w:rsid w:val="005A4BF3"/>
    <w:rsid w:val="005A4DF8"/>
    <w:rsid w:val="005A508D"/>
    <w:rsid w:val="005A5692"/>
    <w:rsid w:val="005A5BD6"/>
    <w:rsid w:val="005A5C93"/>
    <w:rsid w:val="005A5EA8"/>
    <w:rsid w:val="005A6338"/>
    <w:rsid w:val="005A635F"/>
    <w:rsid w:val="005A6436"/>
    <w:rsid w:val="005A66B5"/>
    <w:rsid w:val="005A66C9"/>
    <w:rsid w:val="005A7580"/>
    <w:rsid w:val="005B01CF"/>
    <w:rsid w:val="005B0458"/>
    <w:rsid w:val="005B08C3"/>
    <w:rsid w:val="005B08F2"/>
    <w:rsid w:val="005B0E87"/>
    <w:rsid w:val="005B16C6"/>
    <w:rsid w:val="005B170F"/>
    <w:rsid w:val="005B17EA"/>
    <w:rsid w:val="005B1B7A"/>
    <w:rsid w:val="005B22B7"/>
    <w:rsid w:val="005B25C2"/>
    <w:rsid w:val="005B2646"/>
    <w:rsid w:val="005B2DEA"/>
    <w:rsid w:val="005B37C7"/>
    <w:rsid w:val="005B380C"/>
    <w:rsid w:val="005B383D"/>
    <w:rsid w:val="005B3D4B"/>
    <w:rsid w:val="005B3FBF"/>
    <w:rsid w:val="005B447B"/>
    <w:rsid w:val="005B462D"/>
    <w:rsid w:val="005B4647"/>
    <w:rsid w:val="005B48EF"/>
    <w:rsid w:val="005B4A76"/>
    <w:rsid w:val="005B507D"/>
    <w:rsid w:val="005B5977"/>
    <w:rsid w:val="005B5A4B"/>
    <w:rsid w:val="005B5EC0"/>
    <w:rsid w:val="005B62D9"/>
    <w:rsid w:val="005B6613"/>
    <w:rsid w:val="005B6632"/>
    <w:rsid w:val="005B6656"/>
    <w:rsid w:val="005B6689"/>
    <w:rsid w:val="005B6AD3"/>
    <w:rsid w:val="005B6C9B"/>
    <w:rsid w:val="005B7377"/>
    <w:rsid w:val="005B755F"/>
    <w:rsid w:val="005B77D2"/>
    <w:rsid w:val="005B7A7C"/>
    <w:rsid w:val="005B7B14"/>
    <w:rsid w:val="005B7C53"/>
    <w:rsid w:val="005B7F5F"/>
    <w:rsid w:val="005C00B8"/>
    <w:rsid w:val="005C0150"/>
    <w:rsid w:val="005C015F"/>
    <w:rsid w:val="005C021C"/>
    <w:rsid w:val="005C02FB"/>
    <w:rsid w:val="005C0710"/>
    <w:rsid w:val="005C0914"/>
    <w:rsid w:val="005C09FA"/>
    <w:rsid w:val="005C0C7B"/>
    <w:rsid w:val="005C141C"/>
    <w:rsid w:val="005C14A1"/>
    <w:rsid w:val="005C1BB2"/>
    <w:rsid w:val="005C1BFB"/>
    <w:rsid w:val="005C203E"/>
    <w:rsid w:val="005C2085"/>
    <w:rsid w:val="005C224C"/>
    <w:rsid w:val="005C226A"/>
    <w:rsid w:val="005C2340"/>
    <w:rsid w:val="005C2591"/>
    <w:rsid w:val="005C27B2"/>
    <w:rsid w:val="005C27EF"/>
    <w:rsid w:val="005C2E87"/>
    <w:rsid w:val="005C2EB0"/>
    <w:rsid w:val="005C2F1F"/>
    <w:rsid w:val="005C33F9"/>
    <w:rsid w:val="005C34CA"/>
    <w:rsid w:val="005C3516"/>
    <w:rsid w:val="005C390E"/>
    <w:rsid w:val="005C3B5B"/>
    <w:rsid w:val="005C4236"/>
    <w:rsid w:val="005C42D2"/>
    <w:rsid w:val="005C4A1D"/>
    <w:rsid w:val="005C4B16"/>
    <w:rsid w:val="005C51E0"/>
    <w:rsid w:val="005C5555"/>
    <w:rsid w:val="005C5570"/>
    <w:rsid w:val="005C569D"/>
    <w:rsid w:val="005C596F"/>
    <w:rsid w:val="005C5BB1"/>
    <w:rsid w:val="005C5E33"/>
    <w:rsid w:val="005C6153"/>
    <w:rsid w:val="005C644A"/>
    <w:rsid w:val="005C672E"/>
    <w:rsid w:val="005C695D"/>
    <w:rsid w:val="005C6B80"/>
    <w:rsid w:val="005C6CA8"/>
    <w:rsid w:val="005C702B"/>
    <w:rsid w:val="005C708F"/>
    <w:rsid w:val="005C726E"/>
    <w:rsid w:val="005C730B"/>
    <w:rsid w:val="005C73E7"/>
    <w:rsid w:val="005C7A27"/>
    <w:rsid w:val="005C7D2F"/>
    <w:rsid w:val="005C7D49"/>
    <w:rsid w:val="005D01E2"/>
    <w:rsid w:val="005D04D7"/>
    <w:rsid w:val="005D0615"/>
    <w:rsid w:val="005D0805"/>
    <w:rsid w:val="005D0DC2"/>
    <w:rsid w:val="005D11E3"/>
    <w:rsid w:val="005D1237"/>
    <w:rsid w:val="005D1676"/>
    <w:rsid w:val="005D170E"/>
    <w:rsid w:val="005D18A0"/>
    <w:rsid w:val="005D1A14"/>
    <w:rsid w:val="005D1E8E"/>
    <w:rsid w:val="005D210A"/>
    <w:rsid w:val="005D23FF"/>
    <w:rsid w:val="005D2480"/>
    <w:rsid w:val="005D296B"/>
    <w:rsid w:val="005D2AAE"/>
    <w:rsid w:val="005D2B10"/>
    <w:rsid w:val="005D2E00"/>
    <w:rsid w:val="005D31B1"/>
    <w:rsid w:val="005D37DF"/>
    <w:rsid w:val="005D37F1"/>
    <w:rsid w:val="005D3D06"/>
    <w:rsid w:val="005D3EFE"/>
    <w:rsid w:val="005D4044"/>
    <w:rsid w:val="005D423E"/>
    <w:rsid w:val="005D4278"/>
    <w:rsid w:val="005D474B"/>
    <w:rsid w:val="005D47E9"/>
    <w:rsid w:val="005D4935"/>
    <w:rsid w:val="005D5319"/>
    <w:rsid w:val="005D5367"/>
    <w:rsid w:val="005D54F4"/>
    <w:rsid w:val="005D55B7"/>
    <w:rsid w:val="005D5AC6"/>
    <w:rsid w:val="005D5B12"/>
    <w:rsid w:val="005D6130"/>
    <w:rsid w:val="005D69AC"/>
    <w:rsid w:val="005D6A36"/>
    <w:rsid w:val="005D6F87"/>
    <w:rsid w:val="005D704B"/>
    <w:rsid w:val="005D714A"/>
    <w:rsid w:val="005D7761"/>
    <w:rsid w:val="005D7797"/>
    <w:rsid w:val="005E0008"/>
    <w:rsid w:val="005E011B"/>
    <w:rsid w:val="005E02F2"/>
    <w:rsid w:val="005E054A"/>
    <w:rsid w:val="005E077D"/>
    <w:rsid w:val="005E0874"/>
    <w:rsid w:val="005E0BBF"/>
    <w:rsid w:val="005E0D76"/>
    <w:rsid w:val="005E1250"/>
    <w:rsid w:val="005E13CB"/>
    <w:rsid w:val="005E1447"/>
    <w:rsid w:val="005E1846"/>
    <w:rsid w:val="005E1AE8"/>
    <w:rsid w:val="005E1CF5"/>
    <w:rsid w:val="005E1E14"/>
    <w:rsid w:val="005E2007"/>
    <w:rsid w:val="005E20CD"/>
    <w:rsid w:val="005E334E"/>
    <w:rsid w:val="005E3387"/>
    <w:rsid w:val="005E344E"/>
    <w:rsid w:val="005E3761"/>
    <w:rsid w:val="005E38AF"/>
    <w:rsid w:val="005E3944"/>
    <w:rsid w:val="005E3B44"/>
    <w:rsid w:val="005E3C05"/>
    <w:rsid w:val="005E3CBE"/>
    <w:rsid w:val="005E4261"/>
    <w:rsid w:val="005E4340"/>
    <w:rsid w:val="005E4785"/>
    <w:rsid w:val="005E4C94"/>
    <w:rsid w:val="005E4EE9"/>
    <w:rsid w:val="005E4F87"/>
    <w:rsid w:val="005E4FEA"/>
    <w:rsid w:val="005E5596"/>
    <w:rsid w:val="005E5A98"/>
    <w:rsid w:val="005E5B49"/>
    <w:rsid w:val="005E5B9B"/>
    <w:rsid w:val="005E5C86"/>
    <w:rsid w:val="005E5F35"/>
    <w:rsid w:val="005E63B5"/>
    <w:rsid w:val="005E6438"/>
    <w:rsid w:val="005E64F4"/>
    <w:rsid w:val="005E69AB"/>
    <w:rsid w:val="005E6C87"/>
    <w:rsid w:val="005E6E05"/>
    <w:rsid w:val="005E7467"/>
    <w:rsid w:val="005E79E0"/>
    <w:rsid w:val="005E7AD1"/>
    <w:rsid w:val="005E7C8A"/>
    <w:rsid w:val="005E7D52"/>
    <w:rsid w:val="005F04BC"/>
    <w:rsid w:val="005F071E"/>
    <w:rsid w:val="005F07EC"/>
    <w:rsid w:val="005F0D3B"/>
    <w:rsid w:val="005F0D5D"/>
    <w:rsid w:val="005F0EB2"/>
    <w:rsid w:val="005F107E"/>
    <w:rsid w:val="005F1253"/>
    <w:rsid w:val="005F14EC"/>
    <w:rsid w:val="005F152D"/>
    <w:rsid w:val="005F18AE"/>
    <w:rsid w:val="005F1A9F"/>
    <w:rsid w:val="005F210E"/>
    <w:rsid w:val="005F2284"/>
    <w:rsid w:val="005F2855"/>
    <w:rsid w:val="005F28C3"/>
    <w:rsid w:val="005F295E"/>
    <w:rsid w:val="005F2A65"/>
    <w:rsid w:val="005F3245"/>
    <w:rsid w:val="005F3281"/>
    <w:rsid w:val="005F356E"/>
    <w:rsid w:val="005F3601"/>
    <w:rsid w:val="005F368B"/>
    <w:rsid w:val="005F3D0C"/>
    <w:rsid w:val="005F3D7C"/>
    <w:rsid w:val="005F3E11"/>
    <w:rsid w:val="005F424F"/>
    <w:rsid w:val="005F43A2"/>
    <w:rsid w:val="005F44C7"/>
    <w:rsid w:val="005F4891"/>
    <w:rsid w:val="005F4A32"/>
    <w:rsid w:val="005F4A76"/>
    <w:rsid w:val="005F4B33"/>
    <w:rsid w:val="005F4BAA"/>
    <w:rsid w:val="005F61C1"/>
    <w:rsid w:val="005F64D8"/>
    <w:rsid w:val="005F6C78"/>
    <w:rsid w:val="005F7372"/>
    <w:rsid w:val="005F7431"/>
    <w:rsid w:val="005F75DF"/>
    <w:rsid w:val="005F782D"/>
    <w:rsid w:val="005F7932"/>
    <w:rsid w:val="005F7C18"/>
    <w:rsid w:val="005F7F14"/>
    <w:rsid w:val="005F7FC8"/>
    <w:rsid w:val="00600393"/>
    <w:rsid w:val="006010BA"/>
    <w:rsid w:val="00601638"/>
    <w:rsid w:val="006016E5"/>
    <w:rsid w:val="006019C2"/>
    <w:rsid w:val="00601A48"/>
    <w:rsid w:val="0060201B"/>
    <w:rsid w:val="00602421"/>
    <w:rsid w:val="0060265B"/>
    <w:rsid w:val="00602E50"/>
    <w:rsid w:val="006033C1"/>
    <w:rsid w:val="0060359A"/>
    <w:rsid w:val="0060376A"/>
    <w:rsid w:val="00603971"/>
    <w:rsid w:val="006039A1"/>
    <w:rsid w:val="00603BE3"/>
    <w:rsid w:val="00603FC2"/>
    <w:rsid w:val="00604202"/>
    <w:rsid w:val="006045FF"/>
    <w:rsid w:val="0060492C"/>
    <w:rsid w:val="00604D09"/>
    <w:rsid w:val="00604EA0"/>
    <w:rsid w:val="00605352"/>
    <w:rsid w:val="0060570E"/>
    <w:rsid w:val="00606210"/>
    <w:rsid w:val="006067B2"/>
    <w:rsid w:val="00606A5D"/>
    <w:rsid w:val="00606F47"/>
    <w:rsid w:val="006070E5"/>
    <w:rsid w:val="0060712D"/>
    <w:rsid w:val="00607275"/>
    <w:rsid w:val="00607636"/>
    <w:rsid w:val="006076E1"/>
    <w:rsid w:val="00607843"/>
    <w:rsid w:val="00607B9D"/>
    <w:rsid w:val="00607DD0"/>
    <w:rsid w:val="00610980"/>
    <w:rsid w:val="00610CE1"/>
    <w:rsid w:val="006117B0"/>
    <w:rsid w:val="006118FA"/>
    <w:rsid w:val="0061190B"/>
    <w:rsid w:val="00611AA7"/>
    <w:rsid w:val="00612479"/>
    <w:rsid w:val="0061263D"/>
    <w:rsid w:val="00613422"/>
    <w:rsid w:val="006136E7"/>
    <w:rsid w:val="00613707"/>
    <w:rsid w:val="00613B1A"/>
    <w:rsid w:val="00614107"/>
    <w:rsid w:val="00614189"/>
    <w:rsid w:val="006142F4"/>
    <w:rsid w:val="006144F6"/>
    <w:rsid w:val="00614766"/>
    <w:rsid w:val="00614907"/>
    <w:rsid w:val="00614F48"/>
    <w:rsid w:val="0061529D"/>
    <w:rsid w:val="006155B6"/>
    <w:rsid w:val="00615D20"/>
    <w:rsid w:val="00615D21"/>
    <w:rsid w:val="0061607D"/>
    <w:rsid w:val="006165BD"/>
    <w:rsid w:val="00616771"/>
    <w:rsid w:val="006167F0"/>
    <w:rsid w:val="00616998"/>
    <w:rsid w:val="00616A44"/>
    <w:rsid w:val="00616AFB"/>
    <w:rsid w:val="00616B62"/>
    <w:rsid w:val="00616B88"/>
    <w:rsid w:val="00616BD5"/>
    <w:rsid w:val="00616C47"/>
    <w:rsid w:val="00616E3B"/>
    <w:rsid w:val="006171A3"/>
    <w:rsid w:val="00617429"/>
    <w:rsid w:val="0061748B"/>
    <w:rsid w:val="0061763F"/>
    <w:rsid w:val="0061797A"/>
    <w:rsid w:val="00617E5F"/>
    <w:rsid w:val="00620314"/>
    <w:rsid w:val="0062034F"/>
    <w:rsid w:val="006203ED"/>
    <w:rsid w:val="0062042C"/>
    <w:rsid w:val="0062045E"/>
    <w:rsid w:val="00620AC6"/>
    <w:rsid w:val="00620BF5"/>
    <w:rsid w:val="00620C1B"/>
    <w:rsid w:val="006210C7"/>
    <w:rsid w:val="00621A88"/>
    <w:rsid w:val="0062275F"/>
    <w:rsid w:val="00622784"/>
    <w:rsid w:val="00622811"/>
    <w:rsid w:val="00622891"/>
    <w:rsid w:val="006229D8"/>
    <w:rsid w:val="006233FC"/>
    <w:rsid w:val="0062363B"/>
    <w:rsid w:val="00623A8B"/>
    <w:rsid w:val="006241F8"/>
    <w:rsid w:val="0062440C"/>
    <w:rsid w:val="00624650"/>
    <w:rsid w:val="00624DF2"/>
    <w:rsid w:val="00625379"/>
    <w:rsid w:val="00625630"/>
    <w:rsid w:val="00625D8F"/>
    <w:rsid w:val="006263EF"/>
    <w:rsid w:val="0062716A"/>
    <w:rsid w:val="0062774F"/>
    <w:rsid w:val="00627877"/>
    <w:rsid w:val="006300EB"/>
    <w:rsid w:val="00630414"/>
    <w:rsid w:val="006304E6"/>
    <w:rsid w:val="006309F3"/>
    <w:rsid w:val="00630B09"/>
    <w:rsid w:val="00630C18"/>
    <w:rsid w:val="0063100B"/>
    <w:rsid w:val="0063133A"/>
    <w:rsid w:val="006314BB"/>
    <w:rsid w:val="006315E1"/>
    <w:rsid w:val="006315F7"/>
    <w:rsid w:val="00631947"/>
    <w:rsid w:val="006319F0"/>
    <w:rsid w:val="00631C1D"/>
    <w:rsid w:val="00631D2C"/>
    <w:rsid w:val="00631D39"/>
    <w:rsid w:val="00632076"/>
    <w:rsid w:val="006321BF"/>
    <w:rsid w:val="006322CA"/>
    <w:rsid w:val="006324D7"/>
    <w:rsid w:val="0063315E"/>
    <w:rsid w:val="006336CB"/>
    <w:rsid w:val="00633725"/>
    <w:rsid w:val="006337E2"/>
    <w:rsid w:val="00633801"/>
    <w:rsid w:val="00633DBD"/>
    <w:rsid w:val="00633E62"/>
    <w:rsid w:val="00634910"/>
    <w:rsid w:val="00634ABC"/>
    <w:rsid w:val="0063520F"/>
    <w:rsid w:val="0063527F"/>
    <w:rsid w:val="00635410"/>
    <w:rsid w:val="006357C5"/>
    <w:rsid w:val="006357FF"/>
    <w:rsid w:val="00635897"/>
    <w:rsid w:val="006358E3"/>
    <w:rsid w:val="00635AB0"/>
    <w:rsid w:val="00635D1B"/>
    <w:rsid w:val="00635F83"/>
    <w:rsid w:val="00636A7A"/>
    <w:rsid w:val="00636A92"/>
    <w:rsid w:val="00637380"/>
    <w:rsid w:val="006373CD"/>
    <w:rsid w:val="00637629"/>
    <w:rsid w:val="006377D6"/>
    <w:rsid w:val="00637F84"/>
    <w:rsid w:val="00640111"/>
    <w:rsid w:val="00640325"/>
    <w:rsid w:val="00640768"/>
    <w:rsid w:val="006407C3"/>
    <w:rsid w:val="006409AD"/>
    <w:rsid w:val="00640B61"/>
    <w:rsid w:val="00640B6F"/>
    <w:rsid w:val="00640D23"/>
    <w:rsid w:val="00640DA1"/>
    <w:rsid w:val="00641494"/>
    <w:rsid w:val="006416BE"/>
    <w:rsid w:val="006417D2"/>
    <w:rsid w:val="00641855"/>
    <w:rsid w:val="00641E3F"/>
    <w:rsid w:val="00641F77"/>
    <w:rsid w:val="00642087"/>
    <w:rsid w:val="00642160"/>
    <w:rsid w:val="0064276D"/>
    <w:rsid w:val="00642A5F"/>
    <w:rsid w:val="00642B2F"/>
    <w:rsid w:val="00642BB5"/>
    <w:rsid w:val="00642CA9"/>
    <w:rsid w:val="006431F5"/>
    <w:rsid w:val="00643963"/>
    <w:rsid w:val="00643BFE"/>
    <w:rsid w:val="00643E04"/>
    <w:rsid w:val="006444B4"/>
    <w:rsid w:val="006454BF"/>
    <w:rsid w:val="00645B04"/>
    <w:rsid w:val="00645D7C"/>
    <w:rsid w:val="00645FDF"/>
    <w:rsid w:val="00646A3E"/>
    <w:rsid w:val="00646FC9"/>
    <w:rsid w:val="0064789C"/>
    <w:rsid w:val="006478EA"/>
    <w:rsid w:val="00647D1D"/>
    <w:rsid w:val="00650320"/>
    <w:rsid w:val="00650EE3"/>
    <w:rsid w:val="00651584"/>
    <w:rsid w:val="00651627"/>
    <w:rsid w:val="006525A7"/>
    <w:rsid w:val="00652649"/>
    <w:rsid w:val="0065279E"/>
    <w:rsid w:val="00652929"/>
    <w:rsid w:val="00652DA0"/>
    <w:rsid w:val="00652EB0"/>
    <w:rsid w:val="00653022"/>
    <w:rsid w:val="00653184"/>
    <w:rsid w:val="006533E7"/>
    <w:rsid w:val="00653A03"/>
    <w:rsid w:val="00653BB0"/>
    <w:rsid w:val="00653C9E"/>
    <w:rsid w:val="00653D1F"/>
    <w:rsid w:val="00653D99"/>
    <w:rsid w:val="00653E0A"/>
    <w:rsid w:val="0065443E"/>
    <w:rsid w:val="006545EE"/>
    <w:rsid w:val="00654A6C"/>
    <w:rsid w:val="00654D3C"/>
    <w:rsid w:val="0065553B"/>
    <w:rsid w:val="00655628"/>
    <w:rsid w:val="0065572D"/>
    <w:rsid w:val="006557BB"/>
    <w:rsid w:val="006558CA"/>
    <w:rsid w:val="00655B2A"/>
    <w:rsid w:val="00655D00"/>
    <w:rsid w:val="00655D7D"/>
    <w:rsid w:val="00656160"/>
    <w:rsid w:val="006565FE"/>
    <w:rsid w:val="00656672"/>
    <w:rsid w:val="00656AB8"/>
    <w:rsid w:val="00656D59"/>
    <w:rsid w:val="00656D94"/>
    <w:rsid w:val="006575D3"/>
    <w:rsid w:val="00657D8C"/>
    <w:rsid w:val="0066045B"/>
    <w:rsid w:val="006606A8"/>
    <w:rsid w:val="006606FF"/>
    <w:rsid w:val="00660A54"/>
    <w:rsid w:val="00660B72"/>
    <w:rsid w:val="00660EE4"/>
    <w:rsid w:val="00660FA2"/>
    <w:rsid w:val="006614CE"/>
    <w:rsid w:val="006619EE"/>
    <w:rsid w:val="00661B64"/>
    <w:rsid w:val="00661F10"/>
    <w:rsid w:val="00662011"/>
    <w:rsid w:val="00662264"/>
    <w:rsid w:val="006625A2"/>
    <w:rsid w:val="00662648"/>
    <w:rsid w:val="006626EE"/>
    <w:rsid w:val="00662926"/>
    <w:rsid w:val="00662E5C"/>
    <w:rsid w:val="00662F45"/>
    <w:rsid w:val="00663109"/>
    <w:rsid w:val="00663559"/>
    <w:rsid w:val="00663F73"/>
    <w:rsid w:val="00664568"/>
    <w:rsid w:val="0066477A"/>
    <w:rsid w:val="006649FD"/>
    <w:rsid w:val="006655A3"/>
    <w:rsid w:val="006658F4"/>
    <w:rsid w:val="00665984"/>
    <w:rsid w:val="0066602E"/>
    <w:rsid w:val="0066606A"/>
    <w:rsid w:val="00666190"/>
    <w:rsid w:val="006663F3"/>
    <w:rsid w:val="0066664E"/>
    <w:rsid w:val="00666928"/>
    <w:rsid w:val="00666B44"/>
    <w:rsid w:val="006670CC"/>
    <w:rsid w:val="006675FB"/>
    <w:rsid w:val="00667682"/>
    <w:rsid w:val="00667691"/>
    <w:rsid w:val="00667E55"/>
    <w:rsid w:val="00670082"/>
    <w:rsid w:val="0067018E"/>
    <w:rsid w:val="006704B0"/>
    <w:rsid w:val="00670B81"/>
    <w:rsid w:val="00670B93"/>
    <w:rsid w:val="006710D5"/>
    <w:rsid w:val="00671652"/>
    <w:rsid w:val="00671C5F"/>
    <w:rsid w:val="00672085"/>
    <w:rsid w:val="00672693"/>
    <w:rsid w:val="0067334C"/>
    <w:rsid w:val="00673851"/>
    <w:rsid w:val="00673FE2"/>
    <w:rsid w:val="006748B4"/>
    <w:rsid w:val="00674BBC"/>
    <w:rsid w:val="00674CD7"/>
    <w:rsid w:val="00675622"/>
    <w:rsid w:val="0067563A"/>
    <w:rsid w:val="006756E8"/>
    <w:rsid w:val="006758A8"/>
    <w:rsid w:val="006759D9"/>
    <w:rsid w:val="00675B66"/>
    <w:rsid w:val="00675BD9"/>
    <w:rsid w:val="00675D46"/>
    <w:rsid w:val="00675D9D"/>
    <w:rsid w:val="00676322"/>
    <w:rsid w:val="00676367"/>
    <w:rsid w:val="00676BF3"/>
    <w:rsid w:val="00676D24"/>
    <w:rsid w:val="00676FE6"/>
    <w:rsid w:val="006772AE"/>
    <w:rsid w:val="006772FA"/>
    <w:rsid w:val="006777EE"/>
    <w:rsid w:val="00677B07"/>
    <w:rsid w:val="00680027"/>
    <w:rsid w:val="00680247"/>
    <w:rsid w:val="00680316"/>
    <w:rsid w:val="00680D2B"/>
    <w:rsid w:val="006814DB"/>
    <w:rsid w:val="006816C6"/>
    <w:rsid w:val="00681C4F"/>
    <w:rsid w:val="00681CB7"/>
    <w:rsid w:val="00681E1F"/>
    <w:rsid w:val="00681E4C"/>
    <w:rsid w:val="006824AB"/>
    <w:rsid w:val="00682845"/>
    <w:rsid w:val="00682F29"/>
    <w:rsid w:val="00683700"/>
    <w:rsid w:val="00684099"/>
    <w:rsid w:val="006842D3"/>
    <w:rsid w:val="006842E6"/>
    <w:rsid w:val="0068449C"/>
    <w:rsid w:val="006848ED"/>
    <w:rsid w:val="00684B56"/>
    <w:rsid w:val="00684D1E"/>
    <w:rsid w:val="006859B8"/>
    <w:rsid w:val="00685BE9"/>
    <w:rsid w:val="00685F63"/>
    <w:rsid w:val="00685F71"/>
    <w:rsid w:val="00685F9A"/>
    <w:rsid w:val="00686471"/>
    <w:rsid w:val="00686837"/>
    <w:rsid w:val="00686931"/>
    <w:rsid w:val="00686B65"/>
    <w:rsid w:val="00686BBD"/>
    <w:rsid w:val="00686E29"/>
    <w:rsid w:val="006874A7"/>
    <w:rsid w:val="00690987"/>
    <w:rsid w:val="00690A5B"/>
    <w:rsid w:val="00690DA1"/>
    <w:rsid w:val="00690E95"/>
    <w:rsid w:val="00690F30"/>
    <w:rsid w:val="00691960"/>
    <w:rsid w:val="00691A0C"/>
    <w:rsid w:val="00691DCE"/>
    <w:rsid w:val="00691E5B"/>
    <w:rsid w:val="006921CC"/>
    <w:rsid w:val="00692EEA"/>
    <w:rsid w:val="00693006"/>
    <w:rsid w:val="00693513"/>
    <w:rsid w:val="0069378F"/>
    <w:rsid w:val="006938AE"/>
    <w:rsid w:val="0069390B"/>
    <w:rsid w:val="00693981"/>
    <w:rsid w:val="00693CE8"/>
    <w:rsid w:val="00694130"/>
    <w:rsid w:val="00694146"/>
    <w:rsid w:val="006942D4"/>
    <w:rsid w:val="006945B7"/>
    <w:rsid w:val="006945FE"/>
    <w:rsid w:val="00694A23"/>
    <w:rsid w:val="00694F31"/>
    <w:rsid w:val="00695407"/>
    <w:rsid w:val="00695509"/>
    <w:rsid w:val="006959CE"/>
    <w:rsid w:val="00695D2B"/>
    <w:rsid w:val="0069683A"/>
    <w:rsid w:val="00696CF3"/>
    <w:rsid w:val="00696F86"/>
    <w:rsid w:val="0069759A"/>
    <w:rsid w:val="006976FD"/>
    <w:rsid w:val="0069785B"/>
    <w:rsid w:val="006978C3"/>
    <w:rsid w:val="006A03A2"/>
    <w:rsid w:val="006A03F1"/>
    <w:rsid w:val="006A0444"/>
    <w:rsid w:val="006A05D8"/>
    <w:rsid w:val="006A0904"/>
    <w:rsid w:val="006A0BF2"/>
    <w:rsid w:val="006A0C4F"/>
    <w:rsid w:val="006A0C85"/>
    <w:rsid w:val="006A11ED"/>
    <w:rsid w:val="006A1572"/>
    <w:rsid w:val="006A22AC"/>
    <w:rsid w:val="006A2316"/>
    <w:rsid w:val="006A232F"/>
    <w:rsid w:val="006A23EE"/>
    <w:rsid w:val="006A2488"/>
    <w:rsid w:val="006A251C"/>
    <w:rsid w:val="006A251F"/>
    <w:rsid w:val="006A26ED"/>
    <w:rsid w:val="006A29FE"/>
    <w:rsid w:val="006A2EA3"/>
    <w:rsid w:val="006A3416"/>
    <w:rsid w:val="006A39E0"/>
    <w:rsid w:val="006A3AD7"/>
    <w:rsid w:val="006A3F6C"/>
    <w:rsid w:val="006A44AE"/>
    <w:rsid w:val="006A4F55"/>
    <w:rsid w:val="006A5015"/>
    <w:rsid w:val="006A5246"/>
    <w:rsid w:val="006A5490"/>
    <w:rsid w:val="006A577A"/>
    <w:rsid w:val="006A5981"/>
    <w:rsid w:val="006A5C95"/>
    <w:rsid w:val="006A5DD0"/>
    <w:rsid w:val="006A6262"/>
    <w:rsid w:val="006A63DD"/>
    <w:rsid w:val="006A6694"/>
    <w:rsid w:val="006A66A3"/>
    <w:rsid w:val="006A6A75"/>
    <w:rsid w:val="006A6C02"/>
    <w:rsid w:val="006A6D09"/>
    <w:rsid w:val="006A6F66"/>
    <w:rsid w:val="006A6F89"/>
    <w:rsid w:val="006A7835"/>
    <w:rsid w:val="006A7C03"/>
    <w:rsid w:val="006B044B"/>
    <w:rsid w:val="006B0ABE"/>
    <w:rsid w:val="006B1129"/>
    <w:rsid w:val="006B1293"/>
    <w:rsid w:val="006B1B96"/>
    <w:rsid w:val="006B1CAC"/>
    <w:rsid w:val="006B2001"/>
    <w:rsid w:val="006B23E2"/>
    <w:rsid w:val="006B23EF"/>
    <w:rsid w:val="006B2457"/>
    <w:rsid w:val="006B292D"/>
    <w:rsid w:val="006B333D"/>
    <w:rsid w:val="006B39AB"/>
    <w:rsid w:val="006B3D15"/>
    <w:rsid w:val="006B3D1F"/>
    <w:rsid w:val="006B4105"/>
    <w:rsid w:val="006B444C"/>
    <w:rsid w:val="006B467A"/>
    <w:rsid w:val="006B4763"/>
    <w:rsid w:val="006B47CF"/>
    <w:rsid w:val="006B4977"/>
    <w:rsid w:val="006B4D10"/>
    <w:rsid w:val="006B4D4A"/>
    <w:rsid w:val="006B4F28"/>
    <w:rsid w:val="006B575D"/>
    <w:rsid w:val="006B5ABA"/>
    <w:rsid w:val="006B5F3F"/>
    <w:rsid w:val="006B6184"/>
    <w:rsid w:val="006B634F"/>
    <w:rsid w:val="006B669F"/>
    <w:rsid w:val="006B672D"/>
    <w:rsid w:val="006B6766"/>
    <w:rsid w:val="006B6783"/>
    <w:rsid w:val="006B680A"/>
    <w:rsid w:val="006B697E"/>
    <w:rsid w:val="006B69BE"/>
    <w:rsid w:val="006B6AAD"/>
    <w:rsid w:val="006B6E95"/>
    <w:rsid w:val="006B7503"/>
    <w:rsid w:val="006B777A"/>
    <w:rsid w:val="006B7805"/>
    <w:rsid w:val="006B7A50"/>
    <w:rsid w:val="006B7C73"/>
    <w:rsid w:val="006C0302"/>
    <w:rsid w:val="006C08EA"/>
    <w:rsid w:val="006C0B4C"/>
    <w:rsid w:val="006C0E1D"/>
    <w:rsid w:val="006C1355"/>
    <w:rsid w:val="006C142C"/>
    <w:rsid w:val="006C1748"/>
    <w:rsid w:val="006C1AEC"/>
    <w:rsid w:val="006C1CAC"/>
    <w:rsid w:val="006C1FD2"/>
    <w:rsid w:val="006C1FE7"/>
    <w:rsid w:val="006C2058"/>
    <w:rsid w:val="006C22EE"/>
    <w:rsid w:val="006C277D"/>
    <w:rsid w:val="006C281F"/>
    <w:rsid w:val="006C2843"/>
    <w:rsid w:val="006C2C2E"/>
    <w:rsid w:val="006C2CA2"/>
    <w:rsid w:val="006C2D3E"/>
    <w:rsid w:val="006C2F27"/>
    <w:rsid w:val="006C30D2"/>
    <w:rsid w:val="006C349F"/>
    <w:rsid w:val="006C35BE"/>
    <w:rsid w:val="006C367F"/>
    <w:rsid w:val="006C3755"/>
    <w:rsid w:val="006C37A7"/>
    <w:rsid w:val="006C3802"/>
    <w:rsid w:val="006C38DC"/>
    <w:rsid w:val="006C38F9"/>
    <w:rsid w:val="006C3D04"/>
    <w:rsid w:val="006C3EC6"/>
    <w:rsid w:val="006C3FC9"/>
    <w:rsid w:val="006C4105"/>
    <w:rsid w:val="006C42BB"/>
    <w:rsid w:val="006C4585"/>
    <w:rsid w:val="006C4925"/>
    <w:rsid w:val="006C4A8E"/>
    <w:rsid w:val="006C5253"/>
    <w:rsid w:val="006C588A"/>
    <w:rsid w:val="006C59ED"/>
    <w:rsid w:val="006C5BB6"/>
    <w:rsid w:val="006C5BBC"/>
    <w:rsid w:val="006C5E2C"/>
    <w:rsid w:val="006C60DB"/>
    <w:rsid w:val="006C61ED"/>
    <w:rsid w:val="006C632F"/>
    <w:rsid w:val="006C64AB"/>
    <w:rsid w:val="006C66FF"/>
    <w:rsid w:val="006C6CB8"/>
    <w:rsid w:val="006C6E5F"/>
    <w:rsid w:val="006C71B8"/>
    <w:rsid w:val="006C729D"/>
    <w:rsid w:val="006C7307"/>
    <w:rsid w:val="006C73B7"/>
    <w:rsid w:val="006C73F4"/>
    <w:rsid w:val="006C75A7"/>
    <w:rsid w:val="006D021F"/>
    <w:rsid w:val="006D0F15"/>
    <w:rsid w:val="006D0F72"/>
    <w:rsid w:val="006D1189"/>
    <w:rsid w:val="006D199C"/>
    <w:rsid w:val="006D21D8"/>
    <w:rsid w:val="006D28A6"/>
    <w:rsid w:val="006D2AE0"/>
    <w:rsid w:val="006D313D"/>
    <w:rsid w:val="006D31CC"/>
    <w:rsid w:val="006D32C9"/>
    <w:rsid w:val="006D3435"/>
    <w:rsid w:val="006D38FE"/>
    <w:rsid w:val="006D3B6C"/>
    <w:rsid w:val="006D3C58"/>
    <w:rsid w:val="006D419E"/>
    <w:rsid w:val="006D50E9"/>
    <w:rsid w:val="006D51CE"/>
    <w:rsid w:val="006D51D6"/>
    <w:rsid w:val="006D51DE"/>
    <w:rsid w:val="006D5255"/>
    <w:rsid w:val="006D539C"/>
    <w:rsid w:val="006D55B4"/>
    <w:rsid w:val="006D589B"/>
    <w:rsid w:val="006D5B0B"/>
    <w:rsid w:val="006D5E0F"/>
    <w:rsid w:val="006D63FB"/>
    <w:rsid w:val="006D646A"/>
    <w:rsid w:val="006D648A"/>
    <w:rsid w:val="006D64B5"/>
    <w:rsid w:val="006D66FD"/>
    <w:rsid w:val="006D67B8"/>
    <w:rsid w:val="006D687C"/>
    <w:rsid w:val="006D6B55"/>
    <w:rsid w:val="006D6EF9"/>
    <w:rsid w:val="006D7248"/>
    <w:rsid w:val="006D7454"/>
    <w:rsid w:val="006D7DCB"/>
    <w:rsid w:val="006E0256"/>
    <w:rsid w:val="006E0486"/>
    <w:rsid w:val="006E0AD6"/>
    <w:rsid w:val="006E0D90"/>
    <w:rsid w:val="006E0FC7"/>
    <w:rsid w:val="006E10CF"/>
    <w:rsid w:val="006E1184"/>
    <w:rsid w:val="006E1199"/>
    <w:rsid w:val="006E1271"/>
    <w:rsid w:val="006E1367"/>
    <w:rsid w:val="006E1DD7"/>
    <w:rsid w:val="006E1E0D"/>
    <w:rsid w:val="006E20FA"/>
    <w:rsid w:val="006E2156"/>
    <w:rsid w:val="006E2394"/>
    <w:rsid w:val="006E240D"/>
    <w:rsid w:val="006E2501"/>
    <w:rsid w:val="006E2508"/>
    <w:rsid w:val="006E2612"/>
    <w:rsid w:val="006E29CD"/>
    <w:rsid w:val="006E2A1E"/>
    <w:rsid w:val="006E30B7"/>
    <w:rsid w:val="006E30E1"/>
    <w:rsid w:val="006E3210"/>
    <w:rsid w:val="006E3294"/>
    <w:rsid w:val="006E32C9"/>
    <w:rsid w:val="006E38E3"/>
    <w:rsid w:val="006E3EE4"/>
    <w:rsid w:val="006E3F86"/>
    <w:rsid w:val="006E45A9"/>
    <w:rsid w:val="006E4A50"/>
    <w:rsid w:val="006E4D2E"/>
    <w:rsid w:val="006E528C"/>
    <w:rsid w:val="006E52BE"/>
    <w:rsid w:val="006E536D"/>
    <w:rsid w:val="006E59B4"/>
    <w:rsid w:val="006E63B6"/>
    <w:rsid w:val="006E69A8"/>
    <w:rsid w:val="006F0799"/>
    <w:rsid w:val="006F0E60"/>
    <w:rsid w:val="006F1667"/>
    <w:rsid w:val="006F1758"/>
    <w:rsid w:val="006F1ADC"/>
    <w:rsid w:val="006F1B59"/>
    <w:rsid w:val="006F1EB3"/>
    <w:rsid w:val="006F20C7"/>
    <w:rsid w:val="006F210C"/>
    <w:rsid w:val="006F22B9"/>
    <w:rsid w:val="006F2733"/>
    <w:rsid w:val="006F3218"/>
    <w:rsid w:val="006F3248"/>
    <w:rsid w:val="006F34E8"/>
    <w:rsid w:val="006F3948"/>
    <w:rsid w:val="006F3BAA"/>
    <w:rsid w:val="006F3C11"/>
    <w:rsid w:val="006F3F90"/>
    <w:rsid w:val="006F40C6"/>
    <w:rsid w:val="006F47DB"/>
    <w:rsid w:val="006F5218"/>
    <w:rsid w:val="006F5910"/>
    <w:rsid w:val="006F5A89"/>
    <w:rsid w:val="006F5AA0"/>
    <w:rsid w:val="006F5B93"/>
    <w:rsid w:val="006F5E72"/>
    <w:rsid w:val="006F6127"/>
    <w:rsid w:val="006F659A"/>
    <w:rsid w:val="006F6681"/>
    <w:rsid w:val="006F66C1"/>
    <w:rsid w:val="006F6911"/>
    <w:rsid w:val="006F6A09"/>
    <w:rsid w:val="007003FA"/>
    <w:rsid w:val="00700CFE"/>
    <w:rsid w:val="00700D20"/>
    <w:rsid w:val="00700E20"/>
    <w:rsid w:val="00700E9A"/>
    <w:rsid w:val="00701314"/>
    <w:rsid w:val="007018EC"/>
    <w:rsid w:val="00701A35"/>
    <w:rsid w:val="007022D0"/>
    <w:rsid w:val="00702613"/>
    <w:rsid w:val="00702677"/>
    <w:rsid w:val="00702A17"/>
    <w:rsid w:val="00702AE1"/>
    <w:rsid w:val="00703809"/>
    <w:rsid w:val="00703856"/>
    <w:rsid w:val="00703BE5"/>
    <w:rsid w:val="00703C6A"/>
    <w:rsid w:val="007040C8"/>
    <w:rsid w:val="007042AA"/>
    <w:rsid w:val="007042FF"/>
    <w:rsid w:val="00704546"/>
    <w:rsid w:val="00704576"/>
    <w:rsid w:val="007049CF"/>
    <w:rsid w:val="00704E0E"/>
    <w:rsid w:val="00704E44"/>
    <w:rsid w:val="00704ECD"/>
    <w:rsid w:val="00705606"/>
    <w:rsid w:val="00705782"/>
    <w:rsid w:val="00705B79"/>
    <w:rsid w:val="007060D0"/>
    <w:rsid w:val="00706B81"/>
    <w:rsid w:val="00706E71"/>
    <w:rsid w:val="00707205"/>
    <w:rsid w:val="007072C2"/>
    <w:rsid w:val="00707397"/>
    <w:rsid w:val="007075C6"/>
    <w:rsid w:val="00707BEF"/>
    <w:rsid w:val="00707D0E"/>
    <w:rsid w:val="00707D3F"/>
    <w:rsid w:val="00710292"/>
    <w:rsid w:val="0071073F"/>
    <w:rsid w:val="00710A25"/>
    <w:rsid w:val="00710B9C"/>
    <w:rsid w:val="00710BE1"/>
    <w:rsid w:val="00710CD7"/>
    <w:rsid w:val="00710DA6"/>
    <w:rsid w:val="00710EA2"/>
    <w:rsid w:val="00711017"/>
    <w:rsid w:val="00711443"/>
    <w:rsid w:val="00711514"/>
    <w:rsid w:val="00711FB5"/>
    <w:rsid w:val="007120D7"/>
    <w:rsid w:val="007121B3"/>
    <w:rsid w:val="007128FE"/>
    <w:rsid w:val="00712B68"/>
    <w:rsid w:val="00712D90"/>
    <w:rsid w:val="00712E19"/>
    <w:rsid w:val="00713129"/>
    <w:rsid w:val="007136ED"/>
    <w:rsid w:val="00713801"/>
    <w:rsid w:val="00713EAE"/>
    <w:rsid w:val="00713FA4"/>
    <w:rsid w:val="00714123"/>
    <w:rsid w:val="00714617"/>
    <w:rsid w:val="007146C1"/>
    <w:rsid w:val="00714829"/>
    <w:rsid w:val="007148F4"/>
    <w:rsid w:val="00714AA8"/>
    <w:rsid w:val="00715098"/>
    <w:rsid w:val="00715258"/>
    <w:rsid w:val="007157D7"/>
    <w:rsid w:val="007158A6"/>
    <w:rsid w:val="00715FE4"/>
    <w:rsid w:val="007163EA"/>
    <w:rsid w:val="00716847"/>
    <w:rsid w:val="0071690F"/>
    <w:rsid w:val="00716997"/>
    <w:rsid w:val="00716D5C"/>
    <w:rsid w:val="007171B9"/>
    <w:rsid w:val="007173E8"/>
    <w:rsid w:val="007174E6"/>
    <w:rsid w:val="00717701"/>
    <w:rsid w:val="0071782A"/>
    <w:rsid w:val="00717889"/>
    <w:rsid w:val="007178E3"/>
    <w:rsid w:val="00720089"/>
    <w:rsid w:val="00720244"/>
    <w:rsid w:val="00720578"/>
    <w:rsid w:val="00720618"/>
    <w:rsid w:val="0072061A"/>
    <w:rsid w:val="0072073C"/>
    <w:rsid w:val="00720843"/>
    <w:rsid w:val="007208F3"/>
    <w:rsid w:val="00720E48"/>
    <w:rsid w:val="0072112F"/>
    <w:rsid w:val="007215D0"/>
    <w:rsid w:val="007215EC"/>
    <w:rsid w:val="00721973"/>
    <w:rsid w:val="00721AC2"/>
    <w:rsid w:val="00721B28"/>
    <w:rsid w:val="00721B52"/>
    <w:rsid w:val="00721DCC"/>
    <w:rsid w:val="00721E30"/>
    <w:rsid w:val="00721E45"/>
    <w:rsid w:val="00722263"/>
    <w:rsid w:val="007225E2"/>
    <w:rsid w:val="00722847"/>
    <w:rsid w:val="00722A50"/>
    <w:rsid w:val="00722A5D"/>
    <w:rsid w:val="00723082"/>
    <w:rsid w:val="0072350C"/>
    <w:rsid w:val="00723CDE"/>
    <w:rsid w:val="00723F69"/>
    <w:rsid w:val="00724646"/>
    <w:rsid w:val="00724C73"/>
    <w:rsid w:val="00725036"/>
    <w:rsid w:val="007254BC"/>
    <w:rsid w:val="00725EE2"/>
    <w:rsid w:val="007266AE"/>
    <w:rsid w:val="007266E1"/>
    <w:rsid w:val="00726E1C"/>
    <w:rsid w:val="0072730E"/>
    <w:rsid w:val="007276A4"/>
    <w:rsid w:val="0072778E"/>
    <w:rsid w:val="00727792"/>
    <w:rsid w:val="007277C3"/>
    <w:rsid w:val="007279B9"/>
    <w:rsid w:val="00730149"/>
    <w:rsid w:val="007301A5"/>
    <w:rsid w:val="007305DB"/>
    <w:rsid w:val="00730604"/>
    <w:rsid w:val="00730CCC"/>
    <w:rsid w:val="00730CE8"/>
    <w:rsid w:val="00731256"/>
    <w:rsid w:val="00731467"/>
    <w:rsid w:val="007314E6"/>
    <w:rsid w:val="00731721"/>
    <w:rsid w:val="00731900"/>
    <w:rsid w:val="00731BD7"/>
    <w:rsid w:val="00731F84"/>
    <w:rsid w:val="00732982"/>
    <w:rsid w:val="00732ADB"/>
    <w:rsid w:val="00732BBC"/>
    <w:rsid w:val="00732F68"/>
    <w:rsid w:val="00733078"/>
    <w:rsid w:val="007333D0"/>
    <w:rsid w:val="00733985"/>
    <w:rsid w:val="00733AB2"/>
    <w:rsid w:val="00733C50"/>
    <w:rsid w:val="00733DB4"/>
    <w:rsid w:val="0073417C"/>
    <w:rsid w:val="00734532"/>
    <w:rsid w:val="00734594"/>
    <w:rsid w:val="0073476B"/>
    <w:rsid w:val="00734E44"/>
    <w:rsid w:val="00734F21"/>
    <w:rsid w:val="00734FE3"/>
    <w:rsid w:val="007350D4"/>
    <w:rsid w:val="007359F7"/>
    <w:rsid w:val="00735AE0"/>
    <w:rsid w:val="00735C1E"/>
    <w:rsid w:val="00735E7D"/>
    <w:rsid w:val="00735FDF"/>
    <w:rsid w:val="007368E4"/>
    <w:rsid w:val="00736DA4"/>
    <w:rsid w:val="0073738B"/>
    <w:rsid w:val="007375DB"/>
    <w:rsid w:val="00737C4D"/>
    <w:rsid w:val="00737D21"/>
    <w:rsid w:val="00737D26"/>
    <w:rsid w:val="0074042A"/>
    <w:rsid w:val="00740465"/>
    <w:rsid w:val="00740BAD"/>
    <w:rsid w:val="007414EE"/>
    <w:rsid w:val="00741568"/>
    <w:rsid w:val="00741726"/>
    <w:rsid w:val="00741AA7"/>
    <w:rsid w:val="00741D19"/>
    <w:rsid w:val="00741E56"/>
    <w:rsid w:val="0074265E"/>
    <w:rsid w:val="00742748"/>
    <w:rsid w:val="0074295D"/>
    <w:rsid w:val="00742A34"/>
    <w:rsid w:val="00742AC4"/>
    <w:rsid w:val="00742C44"/>
    <w:rsid w:val="00742EE6"/>
    <w:rsid w:val="0074374B"/>
    <w:rsid w:val="007438E3"/>
    <w:rsid w:val="007439FF"/>
    <w:rsid w:val="00743BD0"/>
    <w:rsid w:val="00743C27"/>
    <w:rsid w:val="00743DFB"/>
    <w:rsid w:val="0074461B"/>
    <w:rsid w:val="00744904"/>
    <w:rsid w:val="00744977"/>
    <w:rsid w:val="0074560C"/>
    <w:rsid w:val="00745850"/>
    <w:rsid w:val="007458F1"/>
    <w:rsid w:val="0074593E"/>
    <w:rsid w:val="007459B2"/>
    <w:rsid w:val="00745A4B"/>
    <w:rsid w:val="00745CF3"/>
    <w:rsid w:val="007460FC"/>
    <w:rsid w:val="0074632F"/>
    <w:rsid w:val="007463A2"/>
    <w:rsid w:val="007464BB"/>
    <w:rsid w:val="00746A33"/>
    <w:rsid w:val="00746AF5"/>
    <w:rsid w:val="00746C08"/>
    <w:rsid w:val="0074764D"/>
    <w:rsid w:val="00747A4D"/>
    <w:rsid w:val="00747D1B"/>
    <w:rsid w:val="00747F50"/>
    <w:rsid w:val="007500D9"/>
    <w:rsid w:val="0075035B"/>
    <w:rsid w:val="00750390"/>
    <w:rsid w:val="0075075F"/>
    <w:rsid w:val="00750800"/>
    <w:rsid w:val="00750ECE"/>
    <w:rsid w:val="0075141D"/>
    <w:rsid w:val="00751969"/>
    <w:rsid w:val="007520FA"/>
    <w:rsid w:val="007523DD"/>
    <w:rsid w:val="00752A06"/>
    <w:rsid w:val="007530F7"/>
    <w:rsid w:val="007537E5"/>
    <w:rsid w:val="00753989"/>
    <w:rsid w:val="00754010"/>
    <w:rsid w:val="00754037"/>
    <w:rsid w:val="00754277"/>
    <w:rsid w:val="00754480"/>
    <w:rsid w:val="00754622"/>
    <w:rsid w:val="00754A61"/>
    <w:rsid w:val="00755017"/>
    <w:rsid w:val="00755069"/>
    <w:rsid w:val="0075571E"/>
    <w:rsid w:val="00755A27"/>
    <w:rsid w:val="00755D7C"/>
    <w:rsid w:val="00755E99"/>
    <w:rsid w:val="00756094"/>
    <w:rsid w:val="0075691B"/>
    <w:rsid w:val="00756EF9"/>
    <w:rsid w:val="00756FD6"/>
    <w:rsid w:val="00757290"/>
    <w:rsid w:val="0075787E"/>
    <w:rsid w:val="00757D4A"/>
    <w:rsid w:val="00757EAC"/>
    <w:rsid w:val="00760177"/>
    <w:rsid w:val="007602FF"/>
    <w:rsid w:val="0076079F"/>
    <w:rsid w:val="00760832"/>
    <w:rsid w:val="007608E9"/>
    <w:rsid w:val="00760BEB"/>
    <w:rsid w:val="00760F9E"/>
    <w:rsid w:val="0076164D"/>
    <w:rsid w:val="0076180C"/>
    <w:rsid w:val="00762774"/>
    <w:rsid w:val="00762AB0"/>
    <w:rsid w:val="00763318"/>
    <w:rsid w:val="0076332E"/>
    <w:rsid w:val="0076334B"/>
    <w:rsid w:val="0076339D"/>
    <w:rsid w:val="0076361B"/>
    <w:rsid w:val="007636E7"/>
    <w:rsid w:val="00763790"/>
    <w:rsid w:val="0076445E"/>
    <w:rsid w:val="007644C7"/>
    <w:rsid w:val="007645D5"/>
    <w:rsid w:val="00764660"/>
    <w:rsid w:val="00764A25"/>
    <w:rsid w:val="00764E12"/>
    <w:rsid w:val="00765305"/>
    <w:rsid w:val="0076599C"/>
    <w:rsid w:val="00765C89"/>
    <w:rsid w:val="00765E87"/>
    <w:rsid w:val="007661D9"/>
    <w:rsid w:val="007663B9"/>
    <w:rsid w:val="007665B8"/>
    <w:rsid w:val="007667F4"/>
    <w:rsid w:val="00766CD3"/>
    <w:rsid w:val="00766E3F"/>
    <w:rsid w:val="00767139"/>
    <w:rsid w:val="007701B7"/>
    <w:rsid w:val="00770938"/>
    <w:rsid w:val="00770A0E"/>
    <w:rsid w:val="00770B95"/>
    <w:rsid w:val="00770C27"/>
    <w:rsid w:val="00770FBE"/>
    <w:rsid w:val="00771EA5"/>
    <w:rsid w:val="00771EAC"/>
    <w:rsid w:val="00772052"/>
    <w:rsid w:val="00772086"/>
    <w:rsid w:val="00772352"/>
    <w:rsid w:val="0077235C"/>
    <w:rsid w:val="0077277B"/>
    <w:rsid w:val="00772B25"/>
    <w:rsid w:val="00773628"/>
    <w:rsid w:val="007736B5"/>
    <w:rsid w:val="00773DC4"/>
    <w:rsid w:val="00773DD0"/>
    <w:rsid w:val="00773DFB"/>
    <w:rsid w:val="00773E54"/>
    <w:rsid w:val="00773E61"/>
    <w:rsid w:val="00773ECA"/>
    <w:rsid w:val="00773FEB"/>
    <w:rsid w:val="00774338"/>
    <w:rsid w:val="0077479C"/>
    <w:rsid w:val="0077488C"/>
    <w:rsid w:val="00774A2F"/>
    <w:rsid w:val="00774FCD"/>
    <w:rsid w:val="00775240"/>
    <w:rsid w:val="00775A2C"/>
    <w:rsid w:val="00775B83"/>
    <w:rsid w:val="00775FF2"/>
    <w:rsid w:val="007763B8"/>
    <w:rsid w:val="0077649C"/>
    <w:rsid w:val="007765C8"/>
    <w:rsid w:val="007765EA"/>
    <w:rsid w:val="007765F0"/>
    <w:rsid w:val="00776628"/>
    <w:rsid w:val="007767EE"/>
    <w:rsid w:val="00776848"/>
    <w:rsid w:val="00776EB0"/>
    <w:rsid w:val="00776EFC"/>
    <w:rsid w:val="00777451"/>
    <w:rsid w:val="00777779"/>
    <w:rsid w:val="007804C5"/>
    <w:rsid w:val="00780863"/>
    <w:rsid w:val="00780C28"/>
    <w:rsid w:val="007811A3"/>
    <w:rsid w:val="00781311"/>
    <w:rsid w:val="007816E8"/>
    <w:rsid w:val="007819A3"/>
    <w:rsid w:val="0078220F"/>
    <w:rsid w:val="0078240C"/>
    <w:rsid w:val="00782431"/>
    <w:rsid w:val="00782595"/>
    <w:rsid w:val="007829FB"/>
    <w:rsid w:val="00782A00"/>
    <w:rsid w:val="00782CC7"/>
    <w:rsid w:val="00783267"/>
    <w:rsid w:val="00783277"/>
    <w:rsid w:val="007839D6"/>
    <w:rsid w:val="00783F7C"/>
    <w:rsid w:val="00784012"/>
    <w:rsid w:val="0078417C"/>
    <w:rsid w:val="0078439E"/>
    <w:rsid w:val="00784920"/>
    <w:rsid w:val="00785639"/>
    <w:rsid w:val="00785700"/>
    <w:rsid w:val="007857C3"/>
    <w:rsid w:val="00785954"/>
    <w:rsid w:val="007859CF"/>
    <w:rsid w:val="00785B75"/>
    <w:rsid w:val="0078601B"/>
    <w:rsid w:val="00786421"/>
    <w:rsid w:val="0078691F"/>
    <w:rsid w:val="00786C48"/>
    <w:rsid w:val="00786C85"/>
    <w:rsid w:val="0078700A"/>
    <w:rsid w:val="0078700F"/>
    <w:rsid w:val="007870AB"/>
    <w:rsid w:val="00787587"/>
    <w:rsid w:val="007876B2"/>
    <w:rsid w:val="00787729"/>
    <w:rsid w:val="007877E3"/>
    <w:rsid w:val="007879E8"/>
    <w:rsid w:val="00787A46"/>
    <w:rsid w:val="00787C41"/>
    <w:rsid w:val="00790004"/>
    <w:rsid w:val="007905D6"/>
    <w:rsid w:val="00790694"/>
    <w:rsid w:val="007906AA"/>
    <w:rsid w:val="00790963"/>
    <w:rsid w:val="007914C3"/>
    <w:rsid w:val="00791668"/>
    <w:rsid w:val="00791942"/>
    <w:rsid w:val="00792157"/>
    <w:rsid w:val="00792B44"/>
    <w:rsid w:val="00792DCB"/>
    <w:rsid w:val="00792E1C"/>
    <w:rsid w:val="00792F64"/>
    <w:rsid w:val="00793029"/>
    <w:rsid w:val="007936F6"/>
    <w:rsid w:val="00794025"/>
    <w:rsid w:val="0079420C"/>
    <w:rsid w:val="0079430C"/>
    <w:rsid w:val="0079453D"/>
    <w:rsid w:val="00794725"/>
    <w:rsid w:val="007948AE"/>
    <w:rsid w:val="007949D6"/>
    <w:rsid w:val="00794B97"/>
    <w:rsid w:val="00794DED"/>
    <w:rsid w:val="007951EC"/>
    <w:rsid w:val="00795466"/>
    <w:rsid w:val="0079553B"/>
    <w:rsid w:val="00795826"/>
    <w:rsid w:val="00795842"/>
    <w:rsid w:val="00795E89"/>
    <w:rsid w:val="007965C7"/>
    <w:rsid w:val="00796837"/>
    <w:rsid w:val="0079694C"/>
    <w:rsid w:val="00796B24"/>
    <w:rsid w:val="00796FCA"/>
    <w:rsid w:val="00797431"/>
    <w:rsid w:val="007A000A"/>
    <w:rsid w:val="007A013A"/>
    <w:rsid w:val="007A033A"/>
    <w:rsid w:val="007A0564"/>
    <w:rsid w:val="007A06C9"/>
    <w:rsid w:val="007A0811"/>
    <w:rsid w:val="007A0DAE"/>
    <w:rsid w:val="007A0EE3"/>
    <w:rsid w:val="007A0F81"/>
    <w:rsid w:val="007A10CE"/>
    <w:rsid w:val="007A1290"/>
    <w:rsid w:val="007A13C0"/>
    <w:rsid w:val="007A142C"/>
    <w:rsid w:val="007A208C"/>
    <w:rsid w:val="007A213C"/>
    <w:rsid w:val="007A229B"/>
    <w:rsid w:val="007A28F6"/>
    <w:rsid w:val="007A2C3A"/>
    <w:rsid w:val="007A3062"/>
    <w:rsid w:val="007A364E"/>
    <w:rsid w:val="007A3926"/>
    <w:rsid w:val="007A3AA9"/>
    <w:rsid w:val="007A4546"/>
    <w:rsid w:val="007A497E"/>
    <w:rsid w:val="007A4B24"/>
    <w:rsid w:val="007A50A7"/>
    <w:rsid w:val="007A526F"/>
    <w:rsid w:val="007A584C"/>
    <w:rsid w:val="007A5A51"/>
    <w:rsid w:val="007A6004"/>
    <w:rsid w:val="007A62BD"/>
    <w:rsid w:val="007A6BA2"/>
    <w:rsid w:val="007A6ECF"/>
    <w:rsid w:val="007A73EE"/>
    <w:rsid w:val="007A7654"/>
    <w:rsid w:val="007A7BD7"/>
    <w:rsid w:val="007A7CD4"/>
    <w:rsid w:val="007A7D10"/>
    <w:rsid w:val="007B0BC9"/>
    <w:rsid w:val="007B10FE"/>
    <w:rsid w:val="007B1113"/>
    <w:rsid w:val="007B127C"/>
    <w:rsid w:val="007B135B"/>
    <w:rsid w:val="007B16AB"/>
    <w:rsid w:val="007B1DAF"/>
    <w:rsid w:val="007B1E56"/>
    <w:rsid w:val="007B236C"/>
    <w:rsid w:val="007B2572"/>
    <w:rsid w:val="007B2DFB"/>
    <w:rsid w:val="007B307B"/>
    <w:rsid w:val="007B31E2"/>
    <w:rsid w:val="007B3336"/>
    <w:rsid w:val="007B35A9"/>
    <w:rsid w:val="007B35D5"/>
    <w:rsid w:val="007B3BA5"/>
    <w:rsid w:val="007B3C0D"/>
    <w:rsid w:val="007B3C22"/>
    <w:rsid w:val="007B3EC3"/>
    <w:rsid w:val="007B3F7C"/>
    <w:rsid w:val="007B3F83"/>
    <w:rsid w:val="007B41D3"/>
    <w:rsid w:val="007B45D2"/>
    <w:rsid w:val="007B4791"/>
    <w:rsid w:val="007B54F9"/>
    <w:rsid w:val="007B5B88"/>
    <w:rsid w:val="007B5B8A"/>
    <w:rsid w:val="007B5D34"/>
    <w:rsid w:val="007B60B6"/>
    <w:rsid w:val="007B6A4D"/>
    <w:rsid w:val="007B6B2E"/>
    <w:rsid w:val="007B6DB4"/>
    <w:rsid w:val="007B701E"/>
    <w:rsid w:val="007B7713"/>
    <w:rsid w:val="007B7AE3"/>
    <w:rsid w:val="007C0A48"/>
    <w:rsid w:val="007C0AD2"/>
    <w:rsid w:val="007C0F00"/>
    <w:rsid w:val="007C10C2"/>
    <w:rsid w:val="007C1167"/>
    <w:rsid w:val="007C16E1"/>
    <w:rsid w:val="007C1B8A"/>
    <w:rsid w:val="007C1D31"/>
    <w:rsid w:val="007C1D5A"/>
    <w:rsid w:val="007C20BF"/>
    <w:rsid w:val="007C21EA"/>
    <w:rsid w:val="007C225C"/>
    <w:rsid w:val="007C27AF"/>
    <w:rsid w:val="007C28DD"/>
    <w:rsid w:val="007C2EE0"/>
    <w:rsid w:val="007C2F87"/>
    <w:rsid w:val="007C3219"/>
    <w:rsid w:val="007C322D"/>
    <w:rsid w:val="007C34B6"/>
    <w:rsid w:val="007C3B0D"/>
    <w:rsid w:val="007C40E1"/>
    <w:rsid w:val="007C4FBE"/>
    <w:rsid w:val="007C538E"/>
    <w:rsid w:val="007C595E"/>
    <w:rsid w:val="007C5C36"/>
    <w:rsid w:val="007C5E75"/>
    <w:rsid w:val="007C5E9A"/>
    <w:rsid w:val="007C5F71"/>
    <w:rsid w:val="007C6062"/>
    <w:rsid w:val="007C6B21"/>
    <w:rsid w:val="007D0030"/>
    <w:rsid w:val="007D005B"/>
    <w:rsid w:val="007D02B3"/>
    <w:rsid w:val="007D07E3"/>
    <w:rsid w:val="007D0C75"/>
    <w:rsid w:val="007D0E8E"/>
    <w:rsid w:val="007D1576"/>
    <w:rsid w:val="007D1854"/>
    <w:rsid w:val="007D1B58"/>
    <w:rsid w:val="007D1D9F"/>
    <w:rsid w:val="007D2123"/>
    <w:rsid w:val="007D2154"/>
    <w:rsid w:val="007D2346"/>
    <w:rsid w:val="007D2826"/>
    <w:rsid w:val="007D2A99"/>
    <w:rsid w:val="007D2DBA"/>
    <w:rsid w:val="007D2E66"/>
    <w:rsid w:val="007D2F44"/>
    <w:rsid w:val="007D2F4B"/>
    <w:rsid w:val="007D3835"/>
    <w:rsid w:val="007D3F9D"/>
    <w:rsid w:val="007D4489"/>
    <w:rsid w:val="007D4519"/>
    <w:rsid w:val="007D4577"/>
    <w:rsid w:val="007D4854"/>
    <w:rsid w:val="007D49A0"/>
    <w:rsid w:val="007D4BEB"/>
    <w:rsid w:val="007D4D46"/>
    <w:rsid w:val="007D515E"/>
    <w:rsid w:val="007D5D63"/>
    <w:rsid w:val="007D5E96"/>
    <w:rsid w:val="007D5F71"/>
    <w:rsid w:val="007D5F96"/>
    <w:rsid w:val="007D5FA9"/>
    <w:rsid w:val="007D6173"/>
    <w:rsid w:val="007D65F6"/>
    <w:rsid w:val="007D6972"/>
    <w:rsid w:val="007D6BED"/>
    <w:rsid w:val="007D6BF8"/>
    <w:rsid w:val="007D6FE6"/>
    <w:rsid w:val="007D7044"/>
    <w:rsid w:val="007D73B1"/>
    <w:rsid w:val="007D76BF"/>
    <w:rsid w:val="007D7920"/>
    <w:rsid w:val="007D7BB7"/>
    <w:rsid w:val="007D7D39"/>
    <w:rsid w:val="007D7E1D"/>
    <w:rsid w:val="007E0552"/>
    <w:rsid w:val="007E07C4"/>
    <w:rsid w:val="007E0B33"/>
    <w:rsid w:val="007E0B5B"/>
    <w:rsid w:val="007E0DA0"/>
    <w:rsid w:val="007E123F"/>
    <w:rsid w:val="007E1376"/>
    <w:rsid w:val="007E1922"/>
    <w:rsid w:val="007E1EB0"/>
    <w:rsid w:val="007E1FB3"/>
    <w:rsid w:val="007E2245"/>
    <w:rsid w:val="007E26AA"/>
    <w:rsid w:val="007E2A61"/>
    <w:rsid w:val="007E2D3A"/>
    <w:rsid w:val="007E313C"/>
    <w:rsid w:val="007E34B1"/>
    <w:rsid w:val="007E3796"/>
    <w:rsid w:val="007E38B4"/>
    <w:rsid w:val="007E404B"/>
    <w:rsid w:val="007E4298"/>
    <w:rsid w:val="007E4444"/>
    <w:rsid w:val="007E4513"/>
    <w:rsid w:val="007E45AC"/>
    <w:rsid w:val="007E4EAE"/>
    <w:rsid w:val="007E5188"/>
    <w:rsid w:val="007E561E"/>
    <w:rsid w:val="007E5673"/>
    <w:rsid w:val="007E5995"/>
    <w:rsid w:val="007E5F34"/>
    <w:rsid w:val="007E6381"/>
    <w:rsid w:val="007E6D41"/>
    <w:rsid w:val="007E70AD"/>
    <w:rsid w:val="007E70BC"/>
    <w:rsid w:val="007E7450"/>
    <w:rsid w:val="007E7699"/>
    <w:rsid w:val="007E7958"/>
    <w:rsid w:val="007E7DE6"/>
    <w:rsid w:val="007E7ED5"/>
    <w:rsid w:val="007E7F68"/>
    <w:rsid w:val="007F014F"/>
    <w:rsid w:val="007F0867"/>
    <w:rsid w:val="007F0910"/>
    <w:rsid w:val="007F09E5"/>
    <w:rsid w:val="007F0A04"/>
    <w:rsid w:val="007F0D53"/>
    <w:rsid w:val="007F1833"/>
    <w:rsid w:val="007F1916"/>
    <w:rsid w:val="007F2E6B"/>
    <w:rsid w:val="007F307C"/>
    <w:rsid w:val="007F3133"/>
    <w:rsid w:val="007F335E"/>
    <w:rsid w:val="007F365C"/>
    <w:rsid w:val="007F3FB8"/>
    <w:rsid w:val="007F45EE"/>
    <w:rsid w:val="007F4631"/>
    <w:rsid w:val="007F48AA"/>
    <w:rsid w:val="007F4C0E"/>
    <w:rsid w:val="007F4DFA"/>
    <w:rsid w:val="007F4FA5"/>
    <w:rsid w:val="007F5319"/>
    <w:rsid w:val="007F54A7"/>
    <w:rsid w:val="007F583A"/>
    <w:rsid w:val="007F5BFB"/>
    <w:rsid w:val="007F5E7D"/>
    <w:rsid w:val="007F5EF2"/>
    <w:rsid w:val="007F6A3C"/>
    <w:rsid w:val="007F6D23"/>
    <w:rsid w:val="007F6E81"/>
    <w:rsid w:val="007F6EFA"/>
    <w:rsid w:val="007F743E"/>
    <w:rsid w:val="007F7699"/>
    <w:rsid w:val="007F7B57"/>
    <w:rsid w:val="00800DFD"/>
    <w:rsid w:val="008011AE"/>
    <w:rsid w:val="008013FA"/>
    <w:rsid w:val="00801465"/>
    <w:rsid w:val="00801577"/>
    <w:rsid w:val="008018A9"/>
    <w:rsid w:val="00801CEA"/>
    <w:rsid w:val="00801F32"/>
    <w:rsid w:val="00801F35"/>
    <w:rsid w:val="00801FE3"/>
    <w:rsid w:val="00802018"/>
    <w:rsid w:val="00802041"/>
    <w:rsid w:val="008021CC"/>
    <w:rsid w:val="00802B2C"/>
    <w:rsid w:val="0080321F"/>
    <w:rsid w:val="00803765"/>
    <w:rsid w:val="008047F0"/>
    <w:rsid w:val="00804945"/>
    <w:rsid w:val="00804FDD"/>
    <w:rsid w:val="008051DD"/>
    <w:rsid w:val="00805B11"/>
    <w:rsid w:val="00805B49"/>
    <w:rsid w:val="00805BBB"/>
    <w:rsid w:val="00805C84"/>
    <w:rsid w:val="00805CDD"/>
    <w:rsid w:val="00805E4E"/>
    <w:rsid w:val="00806666"/>
    <w:rsid w:val="00806846"/>
    <w:rsid w:val="00806B8C"/>
    <w:rsid w:val="00806C51"/>
    <w:rsid w:val="00806C55"/>
    <w:rsid w:val="008071D0"/>
    <w:rsid w:val="008073A8"/>
    <w:rsid w:val="00807435"/>
    <w:rsid w:val="008075C5"/>
    <w:rsid w:val="008076D1"/>
    <w:rsid w:val="00807842"/>
    <w:rsid w:val="00807885"/>
    <w:rsid w:val="00807CB8"/>
    <w:rsid w:val="00807CDF"/>
    <w:rsid w:val="00807D02"/>
    <w:rsid w:val="00807E71"/>
    <w:rsid w:val="00810134"/>
    <w:rsid w:val="0081079C"/>
    <w:rsid w:val="008109EA"/>
    <w:rsid w:val="00810A11"/>
    <w:rsid w:val="00810D1B"/>
    <w:rsid w:val="00810D8E"/>
    <w:rsid w:val="00810DD6"/>
    <w:rsid w:val="0081104D"/>
    <w:rsid w:val="0081149C"/>
    <w:rsid w:val="008119C5"/>
    <w:rsid w:val="00811CEF"/>
    <w:rsid w:val="0081232D"/>
    <w:rsid w:val="00812392"/>
    <w:rsid w:val="00812438"/>
    <w:rsid w:val="00812445"/>
    <w:rsid w:val="008124C8"/>
    <w:rsid w:val="00812774"/>
    <w:rsid w:val="00812792"/>
    <w:rsid w:val="0081296F"/>
    <w:rsid w:val="008129A9"/>
    <w:rsid w:val="0081387B"/>
    <w:rsid w:val="00813A0E"/>
    <w:rsid w:val="00814A60"/>
    <w:rsid w:val="00814C7E"/>
    <w:rsid w:val="00814E4A"/>
    <w:rsid w:val="008151C1"/>
    <w:rsid w:val="008155BA"/>
    <w:rsid w:val="008155E6"/>
    <w:rsid w:val="008157D5"/>
    <w:rsid w:val="00815B01"/>
    <w:rsid w:val="00815B91"/>
    <w:rsid w:val="00815EB9"/>
    <w:rsid w:val="00815FA4"/>
    <w:rsid w:val="00816193"/>
    <w:rsid w:val="00816194"/>
    <w:rsid w:val="00816346"/>
    <w:rsid w:val="0081652B"/>
    <w:rsid w:val="00816AA4"/>
    <w:rsid w:val="00816D5B"/>
    <w:rsid w:val="0081796E"/>
    <w:rsid w:val="00817A35"/>
    <w:rsid w:val="00817AFF"/>
    <w:rsid w:val="00820159"/>
    <w:rsid w:val="008201C5"/>
    <w:rsid w:val="008201FA"/>
    <w:rsid w:val="0082059A"/>
    <w:rsid w:val="008208E8"/>
    <w:rsid w:val="00820A76"/>
    <w:rsid w:val="00820EE5"/>
    <w:rsid w:val="00820FAB"/>
    <w:rsid w:val="008217D6"/>
    <w:rsid w:val="008219C9"/>
    <w:rsid w:val="00821A96"/>
    <w:rsid w:val="00821F1C"/>
    <w:rsid w:val="0082217D"/>
    <w:rsid w:val="0082218C"/>
    <w:rsid w:val="00822EED"/>
    <w:rsid w:val="0082307A"/>
    <w:rsid w:val="00823196"/>
    <w:rsid w:val="0082325E"/>
    <w:rsid w:val="00823618"/>
    <w:rsid w:val="00823A22"/>
    <w:rsid w:val="00823FDB"/>
    <w:rsid w:val="00824018"/>
    <w:rsid w:val="0082495A"/>
    <w:rsid w:val="00824B81"/>
    <w:rsid w:val="00824BDD"/>
    <w:rsid w:val="00825EEA"/>
    <w:rsid w:val="00825F3D"/>
    <w:rsid w:val="00826232"/>
    <w:rsid w:val="008264EE"/>
    <w:rsid w:val="00826CE7"/>
    <w:rsid w:val="00827238"/>
    <w:rsid w:val="0082726E"/>
    <w:rsid w:val="008272B0"/>
    <w:rsid w:val="008274A2"/>
    <w:rsid w:val="008275E5"/>
    <w:rsid w:val="008278E4"/>
    <w:rsid w:val="008279FB"/>
    <w:rsid w:val="00827A81"/>
    <w:rsid w:val="00827B7C"/>
    <w:rsid w:val="00827B81"/>
    <w:rsid w:val="00827E52"/>
    <w:rsid w:val="00830323"/>
    <w:rsid w:val="00830453"/>
    <w:rsid w:val="00830473"/>
    <w:rsid w:val="00830659"/>
    <w:rsid w:val="00830AC7"/>
    <w:rsid w:val="00830FD9"/>
    <w:rsid w:val="00831069"/>
    <w:rsid w:val="0083135D"/>
    <w:rsid w:val="008314F8"/>
    <w:rsid w:val="00831511"/>
    <w:rsid w:val="00831616"/>
    <w:rsid w:val="00831D1F"/>
    <w:rsid w:val="00831DA1"/>
    <w:rsid w:val="00832232"/>
    <w:rsid w:val="00832360"/>
    <w:rsid w:val="0083269E"/>
    <w:rsid w:val="00832F58"/>
    <w:rsid w:val="0083382B"/>
    <w:rsid w:val="00833857"/>
    <w:rsid w:val="008340CD"/>
    <w:rsid w:val="0083419C"/>
    <w:rsid w:val="008341B1"/>
    <w:rsid w:val="008342F1"/>
    <w:rsid w:val="008348C8"/>
    <w:rsid w:val="00834909"/>
    <w:rsid w:val="00834D39"/>
    <w:rsid w:val="00834FDD"/>
    <w:rsid w:val="008354A4"/>
    <w:rsid w:val="00836595"/>
    <w:rsid w:val="00836658"/>
    <w:rsid w:val="008367A0"/>
    <w:rsid w:val="0083689E"/>
    <w:rsid w:val="00837065"/>
    <w:rsid w:val="008370C1"/>
    <w:rsid w:val="00837385"/>
    <w:rsid w:val="008374DC"/>
    <w:rsid w:val="00837A4D"/>
    <w:rsid w:val="00837D7F"/>
    <w:rsid w:val="008401BA"/>
    <w:rsid w:val="00840466"/>
    <w:rsid w:val="008405C2"/>
    <w:rsid w:val="00840964"/>
    <w:rsid w:val="00840B86"/>
    <w:rsid w:val="00840E34"/>
    <w:rsid w:val="008418B5"/>
    <w:rsid w:val="00841957"/>
    <w:rsid w:val="00841B39"/>
    <w:rsid w:val="00841D59"/>
    <w:rsid w:val="008424DD"/>
    <w:rsid w:val="00842530"/>
    <w:rsid w:val="0084262E"/>
    <w:rsid w:val="0084286D"/>
    <w:rsid w:val="008428A0"/>
    <w:rsid w:val="00842960"/>
    <w:rsid w:val="00842B4D"/>
    <w:rsid w:val="00843A2B"/>
    <w:rsid w:val="00843A8B"/>
    <w:rsid w:val="00843BDB"/>
    <w:rsid w:val="00843D19"/>
    <w:rsid w:val="00843F4A"/>
    <w:rsid w:val="00844185"/>
    <w:rsid w:val="00844395"/>
    <w:rsid w:val="0084488A"/>
    <w:rsid w:val="008448D0"/>
    <w:rsid w:val="00844AFD"/>
    <w:rsid w:val="00844F38"/>
    <w:rsid w:val="00845437"/>
    <w:rsid w:val="008455FE"/>
    <w:rsid w:val="00845771"/>
    <w:rsid w:val="00845CE6"/>
    <w:rsid w:val="00845E58"/>
    <w:rsid w:val="00845E94"/>
    <w:rsid w:val="00846143"/>
    <w:rsid w:val="008467CB"/>
    <w:rsid w:val="0084699F"/>
    <w:rsid w:val="008469E9"/>
    <w:rsid w:val="00846C24"/>
    <w:rsid w:val="00847719"/>
    <w:rsid w:val="0084778A"/>
    <w:rsid w:val="00847BB5"/>
    <w:rsid w:val="00847D02"/>
    <w:rsid w:val="00850059"/>
    <w:rsid w:val="008500D3"/>
    <w:rsid w:val="00850367"/>
    <w:rsid w:val="00850426"/>
    <w:rsid w:val="00850433"/>
    <w:rsid w:val="008505C6"/>
    <w:rsid w:val="00850AB5"/>
    <w:rsid w:val="00850DBE"/>
    <w:rsid w:val="008510F4"/>
    <w:rsid w:val="0085219B"/>
    <w:rsid w:val="0085220F"/>
    <w:rsid w:val="008526A9"/>
    <w:rsid w:val="00852752"/>
    <w:rsid w:val="0085276C"/>
    <w:rsid w:val="00852B01"/>
    <w:rsid w:val="00852C72"/>
    <w:rsid w:val="0085350E"/>
    <w:rsid w:val="00853E8F"/>
    <w:rsid w:val="00853FDA"/>
    <w:rsid w:val="00854025"/>
    <w:rsid w:val="0085405D"/>
    <w:rsid w:val="008543E8"/>
    <w:rsid w:val="0085452B"/>
    <w:rsid w:val="00854679"/>
    <w:rsid w:val="0085483B"/>
    <w:rsid w:val="00854B7E"/>
    <w:rsid w:val="00854B9E"/>
    <w:rsid w:val="00854BE3"/>
    <w:rsid w:val="00854C42"/>
    <w:rsid w:val="00854C5D"/>
    <w:rsid w:val="00854FA8"/>
    <w:rsid w:val="00854FF1"/>
    <w:rsid w:val="00855065"/>
    <w:rsid w:val="008551EC"/>
    <w:rsid w:val="0085576B"/>
    <w:rsid w:val="008562CC"/>
    <w:rsid w:val="00856490"/>
    <w:rsid w:val="00856726"/>
    <w:rsid w:val="008568FD"/>
    <w:rsid w:val="00856913"/>
    <w:rsid w:val="00856A22"/>
    <w:rsid w:val="00856A5A"/>
    <w:rsid w:val="00856AC3"/>
    <w:rsid w:val="0085780D"/>
    <w:rsid w:val="00857813"/>
    <w:rsid w:val="00857D0F"/>
    <w:rsid w:val="00857D76"/>
    <w:rsid w:val="00860685"/>
    <w:rsid w:val="0086098B"/>
    <w:rsid w:val="008609DF"/>
    <w:rsid w:val="00860C56"/>
    <w:rsid w:val="00860FF5"/>
    <w:rsid w:val="00861128"/>
    <w:rsid w:val="008611A7"/>
    <w:rsid w:val="008612C6"/>
    <w:rsid w:val="008616D6"/>
    <w:rsid w:val="00861760"/>
    <w:rsid w:val="00861BED"/>
    <w:rsid w:val="00861C5E"/>
    <w:rsid w:val="00861DB0"/>
    <w:rsid w:val="00861FBA"/>
    <w:rsid w:val="008621F4"/>
    <w:rsid w:val="0086227B"/>
    <w:rsid w:val="0086457B"/>
    <w:rsid w:val="00864D3C"/>
    <w:rsid w:val="00864F69"/>
    <w:rsid w:val="00865368"/>
    <w:rsid w:val="008654B6"/>
    <w:rsid w:val="0086577C"/>
    <w:rsid w:val="00865ABB"/>
    <w:rsid w:val="00865C52"/>
    <w:rsid w:val="00866017"/>
    <w:rsid w:val="0086606A"/>
    <w:rsid w:val="00866286"/>
    <w:rsid w:val="00866559"/>
    <w:rsid w:val="00866610"/>
    <w:rsid w:val="00866754"/>
    <w:rsid w:val="00866A09"/>
    <w:rsid w:val="00866B4F"/>
    <w:rsid w:val="00866E21"/>
    <w:rsid w:val="00866F35"/>
    <w:rsid w:val="008672CB"/>
    <w:rsid w:val="0086763F"/>
    <w:rsid w:val="00867B9A"/>
    <w:rsid w:val="00867DBB"/>
    <w:rsid w:val="00870465"/>
    <w:rsid w:val="00870542"/>
    <w:rsid w:val="008708F3"/>
    <w:rsid w:val="0087095F"/>
    <w:rsid w:val="00870DAE"/>
    <w:rsid w:val="008717CB"/>
    <w:rsid w:val="00871960"/>
    <w:rsid w:val="00871A53"/>
    <w:rsid w:val="00871B50"/>
    <w:rsid w:val="00872A25"/>
    <w:rsid w:val="00872EAE"/>
    <w:rsid w:val="00872FB0"/>
    <w:rsid w:val="00873247"/>
    <w:rsid w:val="00873250"/>
    <w:rsid w:val="00873251"/>
    <w:rsid w:val="008732CA"/>
    <w:rsid w:val="008733F6"/>
    <w:rsid w:val="00873533"/>
    <w:rsid w:val="00873851"/>
    <w:rsid w:val="00873FA6"/>
    <w:rsid w:val="0087420D"/>
    <w:rsid w:val="008742EB"/>
    <w:rsid w:val="0087494B"/>
    <w:rsid w:val="00874D3F"/>
    <w:rsid w:val="00875263"/>
    <w:rsid w:val="0087593C"/>
    <w:rsid w:val="008759FC"/>
    <w:rsid w:val="00875C21"/>
    <w:rsid w:val="00876104"/>
    <w:rsid w:val="008761A5"/>
    <w:rsid w:val="00876387"/>
    <w:rsid w:val="00876804"/>
    <w:rsid w:val="00876F16"/>
    <w:rsid w:val="008774BE"/>
    <w:rsid w:val="00877AD1"/>
    <w:rsid w:val="00880182"/>
    <w:rsid w:val="008801D7"/>
    <w:rsid w:val="008803B6"/>
    <w:rsid w:val="008803DF"/>
    <w:rsid w:val="0088059D"/>
    <w:rsid w:val="00880C94"/>
    <w:rsid w:val="00880FD9"/>
    <w:rsid w:val="0088127F"/>
    <w:rsid w:val="0088144D"/>
    <w:rsid w:val="008816E1"/>
    <w:rsid w:val="00881763"/>
    <w:rsid w:val="00881E40"/>
    <w:rsid w:val="00881FC3"/>
    <w:rsid w:val="00882421"/>
    <w:rsid w:val="0088250D"/>
    <w:rsid w:val="0088263F"/>
    <w:rsid w:val="0088269C"/>
    <w:rsid w:val="008826F6"/>
    <w:rsid w:val="0088282C"/>
    <w:rsid w:val="00882FFB"/>
    <w:rsid w:val="00883050"/>
    <w:rsid w:val="008832AD"/>
    <w:rsid w:val="008833C2"/>
    <w:rsid w:val="0088369A"/>
    <w:rsid w:val="00883798"/>
    <w:rsid w:val="008838DD"/>
    <w:rsid w:val="00883A6D"/>
    <w:rsid w:val="00883FE6"/>
    <w:rsid w:val="00884356"/>
    <w:rsid w:val="008843E3"/>
    <w:rsid w:val="008844C2"/>
    <w:rsid w:val="008848BF"/>
    <w:rsid w:val="00884AB4"/>
    <w:rsid w:val="00884C51"/>
    <w:rsid w:val="00884D9E"/>
    <w:rsid w:val="00884EA9"/>
    <w:rsid w:val="008851F8"/>
    <w:rsid w:val="008852F4"/>
    <w:rsid w:val="0088595D"/>
    <w:rsid w:val="00885B98"/>
    <w:rsid w:val="00886004"/>
    <w:rsid w:val="00886100"/>
    <w:rsid w:val="008864CA"/>
    <w:rsid w:val="00886552"/>
    <w:rsid w:val="008869A6"/>
    <w:rsid w:val="008869BC"/>
    <w:rsid w:val="00886A51"/>
    <w:rsid w:val="00887120"/>
    <w:rsid w:val="008871A0"/>
    <w:rsid w:val="00887528"/>
    <w:rsid w:val="008875D5"/>
    <w:rsid w:val="00887627"/>
    <w:rsid w:val="008878C3"/>
    <w:rsid w:val="00887DAA"/>
    <w:rsid w:val="0089001E"/>
    <w:rsid w:val="008901B5"/>
    <w:rsid w:val="00890BC9"/>
    <w:rsid w:val="00890E76"/>
    <w:rsid w:val="0089139F"/>
    <w:rsid w:val="0089144F"/>
    <w:rsid w:val="008915F0"/>
    <w:rsid w:val="00891625"/>
    <w:rsid w:val="00891780"/>
    <w:rsid w:val="00891B89"/>
    <w:rsid w:val="00892192"/>
    <w:rsid w:val="00892383"/>
    <w:rsid w:val="00892510"/>
    <w:rsid w:val="008926EC"/>
    <w:rsid w:val="00892740"/>
    <w:rsid w:val="0089285A"/>
    <w:rsid w:val="00892895"/>
    <w:rsid w:val="00892D91"/>
    <w:rsid w:val="008930DD"/>
    <w:rsid w:val="008932B3"/>
    <w:rsid w:val="0089345F"/>
    <w:rsid w:val="00893603"/>
    <w:rsid w:val="008938F7"/>
    <w:rsid w:val="00893B75"/>
    <w:rsid w:val="008942F3"/>
    <w:rsid w:val="008946E8"/>
    <w:rsid w:val="00894F50"/>
    <w:rsid w:val="008950A9"/>
    <w:rsid w:val="0089580D"/>
    <w:rsid w:val="00895CC9"/>
    <w:rsid w:val="0089614B"/>
    <w:rsid w:val="008968E1"/>
    <w:rsid w:val="0089692F"/>
    <w:rsid w:val="00896958"/>
    <w:rsid w:val="00896DC4"/>
    <w:rsid w:val="00897557"/>
    <w:rsid w:val="008975D4"/>
    <w:rsid w:val="00897708"/>
    <w:rsid w:val="00897F6D"/>
    <w:rsid w:val="00897FA6"/>
    <w:rsid w:val="008A0118"/>
    <w:rsid w:val="008A018C"/>
    <w:rsid w:val="008A020B"/>
    <w:rsid w:val="008A094B"/>
    <w:rsid w:val="008A0B10"/>
    <w:rsid w:val="008A1E16"/>
    <w:rsid w:val="008A2EF9"/>
    <w:rsid w:val="008A30FF"/>
    <w:rsid w:val="008A326B"/>
    <w:rsid w:val="008A3402"/>
    <w:rsid w:val="008A35C3"/>
    <w:rsid w:val="008A3740"/>
    <w:rsid w:val="008A387A"/>
    <w:rsid w:val="008A39BF"/>
    <w:rsid w:val="008A3B5C"/>
    <w:rsid w:val="008A3E03"/>
    <w:rsid w:val="008A55D6"/>
    <w:rsid w:val="008A56B0"/>
    <w:rsid w:val="008A5934"/>
    <w:rsid w:val="008A6717"/>
    <w:rsid w:val="008A6EEE"/>
    <w:rsid w:val="008A72ED"/>
    <w:rsid w:val="008A75C7"/>
    <w:rsid w:val="008A77ED"/>
    <w:rsid w:val="008A7C06"/>
    <w:rsid w:val="008B012F"/>
    <w:rsid w:val="008B0174"/>
    <w:rsid w:val="008B0238"/>
    <w:rsid w:val="008B0AB3"/>
    <w:rsid w:val="008B0B9E"/>
    <w:rsid w:val="008B0D0D"/>
    <w:rsid w:val="008B0F5D"/>
    <w:rsid w:val="008B1630"/>
    <w:rsid w:val="008B170E"/>
    <w:rsid w:val="008B17E0"/>
    <w:rsid w:val="008B18CA"/>
    <w:rsid w:val="008B1A3C"/>
    <w:rsid w:val="008B1BBE"/>
    <w:rsid w:val="008B1EB2"/>
    <w:rsid w:val="008B24C5"/>
    <w:rsid w:val="008B2793"/>
    <w:rsid w:val="008B288D"/>
    <w:rsid w:val="008B2F43"/>
    <w:rsid w:val="008B2F84"/>
    <w:rsid w:val="008B3104"/>
    <w:rsid w:val="008B32F1"/>
    <w:rsid w:val="008B330E"/>
    <w:rsid w:val="008B3455"/>
    <w:rsid w:val="008B347D"/>
    <w:rsid w:val="008B360C"/>
    <w:rsid w:val="008B3A59"/>
    <w:rsid w:val="008B3B0B"/>
    <w:rsid w:val="008B3F31"/>
    <w:rsid w:val="008B3F9C"/>
    <w:rsid w:val="008B411D"/>
    <w:rsid w:val="008B42A3"/>
    <w:rsid w:val="008B4441"/>
    <w:rsid w:val="008B4452"/>
    <w:rsid w:val="008B45E4"/>
    <w:rsid w:val="008B4C6F"/>
    <w:rsid w:val="008B4D42"/>
    <w:rsid w:val="008B4D8B"/>
    <w:rsid w:val="008B4E91"/>
    <w:rsid w:val="008B50E5"/>
    <w:rsid w:val="008B5ED5"/>
    <w:rsid w:val="008B609C"/>
    <w:rsid w:val="008B6336"/>
    <w:rsid w:val="008B63DF"/>
    <w:rsid w:val="008B6F45"/>
    <w:rsid w:val="008B75AE"/>
    <w:rsid w:val="008B7761"/>
    <w:rsid w:val="008B7D8B"/>
    <w:rsid w:val="008B7FCD"/>
    <w:rsid w:val="008C062F"/>
    <w:rsid w:val="008C06FD"/>
    <w:rsid w:val="008C0A6D"/>
    <w:rsid w:val="008C0ADA"/>
    <w:rsid w:val="008C0AE0"/>
    <w:rsid w:val="008C0C5A"/>
    <w:rsid w:val="008C0C8D"/>
    <w:rsid w:val="008C0F1C"/>
    <w:rsid w:val="008C1527"/>
    <w:rsid w:val="008C15D2"/>
    <w:rsid w:val="008C183F"/>
    <w:rsid w:val="008C18EA"/>
    <w:rsid w:val="008C198B"/>
    <w:rsid w:val="008C1B81"/>
    <w:rsid w:val="008C1FD3"/>
    <w:rsid w:val="008C2F36"/>
    <w:rsid w:val="008C2FBF"/>
    <w:rsid w:val="008C3056"/>
    <w:rsid w:val="008C378E"/>
    <w:rsid w:val="008C3A53"/>
    <w:rsid w:val="008C434A"/>
    <w:rsid w:val="008C44E0"/>
    <w:rsid w:val="008C46BB"/>
    <w:rsid w:val="008C4B0A"/>
    <w:rsid w:val="008C506C"/>
    <w:rsid w:val="008C518B"/>
    <w:rsid w:val="008C5DF1"/>
    <w:rsid w:val="008C6427"/>
    <w:rsid w:val="008C6507"/>
    <w:rsid w:val="008C6866"/>
    <w:rsid w:val="008C6F49"/>
    <w:rsid w:val="008C7207"/>
    <w:rsid w:val="008C7603"/>
    <w:rsid w:val="008C76A4"/>
    <w:rsid w:val="008C7A3F"/>
    <w:rsid w:val="008D01F4"/>
    <w:rsid w:val="008D0534"/>
    <w:rsid w:val="008D0604"/>
    <w:rsid w:val="008D0673"/>
    <w:rsid w:val="008D224B"/>
    <w:rsid w:val="008D243D"/>
    <w:rsid w:val="008D2487"/>
    <w:rsid w:val="008D2752"/>
    <w:rsid w:val="008D2ED1"/>
    <w:rsid w:val="008D303E"/>
    <w:rsid w:val="008D3464"/>
    <w:rsid w:val="008D3A2A"/>
    <w:rsid w:val="008D3CF1"/>
    <w:rsid w:val="008D3E34"/>
    <w:rsid w:val="008D4299"/>
    <w:rsid w:val="008D4752"/>
    <w:rsid w:val="008D4AE8"/>
    <w:rsid w:val="008D4DB1"/>
    <w:rsid w:val="008D4EAB"/>
    <w:rsid w:val="008D520A"/>
    <w:rsid w:val="008D520F"/>
    <w:rsid w:val="008D5809"/>
    <w:rsid w:val="008D5C25"/>
    <w:rsid w:val="008D5CE0"/>
    <w:rsid w:val="008D64A8"/>
    <w:rsid w:val="008D6912"/>
    <w:rsid w:val="008D6BA5"/>
    <w:rsid w:val="008D6C18"/>
    <w:rsid w:val="008D6C83"/>
    <w:rsid w:val="008D71CB"/>
    <w:rsid w:val="008D71F5"/>
    <w:rsid w:val="008D7406"/>
    <w:rsid w:val="008D751A"/>
    <w:rsid w:val="008D756D"/>
    <w:rsid w:val="008D761F"/>
    <w:rsid w:val="008D7EF7"/>
    <w:rsid w:val="008D7F3D"/>
    <w:rsid w:val="008E01D8"/>
    <w:rsid w:val="008E039A"/>
    <w:rsid w:val="008E04E9"/>
    <w:rsid w:val="008E0709"/>
    <w:rsid w:val="008E0A42"/>
    <w:rsid w:val="008E0B1B"/>
    <w:rsid w:val="008E116F"/>
    <w:rsid w:val="008E1474"/>
    <w:rsid w:val="008E1AE8"/>
    <w:rsid w:val="008E20DC"/>
    <w:rsid w:val="008E20E3"/>
    <w:rsid w:val="008E23E1"/>
    <w:rsid w:val="008E25B9"/>
    <w:rsid w:val="008E28D0"/>
    <w:rsid w:val="008E28E7"/>
    <w:rsid w:val="008E2D97"/>
    <w:rsid w:val="008E30DC"/>
    <w:rsid w:val="008E3138"/>
    <w:rsid w:val="008E332B"/>
    <w:rsid w:val="008E3425"/>
    <w:rsid w:val="008E343E"/>
    <w:rsid w:val="008E34B4"/>
    <w:rsid w:val="008E3DB1"/>
    <w:rsid w:val="008E42D2"/>
    <w:rsid w:val="008E49B4"/>
    <w:rsid w:val="008E4D58"/>
    <w:rsid w:val="008E4F3E"/>
    <w:rsid w:val="008E506D"/>
    <w:rsid w:val="008E50AD"/>
    <w:rsid w:val="008E56C2"/>
    <w:rsid w:val="008E5BBD"/>
    <w:rsid w:val="008E5D08"/>
    <w:rsid w:val="008E61ED"/>
    <w:rsid w:val="008E670F"/>
    <w:rsid w:val="008E6C81"/>
    <w:rsid w:val="008E7257"/>
    <w:rsid w:val="008E7353"/>
    <w:rsid w:val="008E79F8"/>
    <w:rsid w:val="008E7ED6"/>
    <w:rsid w:val="008F040D"/>
    <w:rsid w:val="008F0845"/>
    <w:rsid w:val="008F09A2"/>
    <w:rsid w:val="008F0A74"/>
    <w:rsid w:val="008F0BB1"/>
    <w:rsid w:val="008F0E1E"/>
    <w:rsid w:val="008F0FC9"/>
    <w:rsid w:val="008F166C"/>
    <w:rsid w:val="008F17C9"/>
    <w:rsid w:val="008F2AD5"/>
    <w:rsid w:val="008F2D97"/>
    <w:rsid w:val="008F2E89"/>
    <w:rsid w:val="008F2F13"/>
    <w:rsid w:val="008F2FAE"/>
    <w:rsid w:val="008F3006"/>
    <w:rsid w:val="008F32AE"/>
    <w:rsid w:val="008F37CE"/>
    <w:rsid w:val="008F3A8B"/>
    <w:rsid w:val="008F3DEA"/>
    <w:rsid w:val="008F40AF"/>
    <w:rsid w:val="008F4193"/>
    <w:rsid w:val="008F4198"/>
    <w:rsid w:val="008F4943"/>
    <w:rsid w:val="008F4A0E"/>
    <w:rsid w:val="008F4BAE"/>
    <w:rsid w:val="008F4DE0"/>
    <w:rsid w:val="008F5042"/>
    <w:rsid w:val="008F52D4"/>
    <w:rsid w:val="008F54A4"/>
    <w:rsid w:val="008F57AE"/>
    <w:rsid w:val="008F5D92"/>
    <w:rsid w:val="008F60DD"/>
    <w:rsid w:val="008F618D"/>
    <w:rsid w:val="008F61F5"/>
    <w:rsid w:val="008F62EF"/>
    <w:rsid w:val="008F66DC"/>
    <w:rsid w:val="008F6945"/>
    <w:rsid w:val="008F6CDC"/>
    <w:rsid w:val="008F7274"/>
    <w:rsid w:val="008F7391"/>
    <w:rsid w:val="008F7DAF"/>
    <w:rsid w:val="00900326"/>
    <w:rsid w:val="00900A27"/>
    <w:rsid w:val="00900F1A"/>
    <w:rsid w:val="00901237"/>
    <w:rsid w:val="009016B9"/>
    <w:rsid w:val="00901766"/>
    <w:rsid w:val="00901998"/>
    <w:rsid w:val="00901D0C"/>
    <w:rsid w:val="00901D1B"/>
    <w:rsid w:val="00902294"/>
    <w:rsid w:val="00902296"/>
    <w:rsid w:val="00902534"/>
    <w:rsid w:val="009029C5"/>
    <w:rsid w:val="00902CFA"/>
    <w:rsid w:val="00902D0A"/>
    <w:rsid w:val="00902D80"/>
    <w:rsid w:val="00902E52"/>
    <w:rsid w:val="00902FE0"/>
    <w:rsid w:val="009031CB"/>
    <w:rsid w:val="0090348B"/>
    <w:rsid w:val="00903FDB"/>
    <w:rsid w:val="0090408A"/>
    <w:rsid w:val="00904109"/>
    <w:rsid w:val="009043B1"/>
    <w:rsid w:val="009047B0"/>
    <w:rsid w:val="009048BD"/>
    <w:rsid w:val="00904D37"/>
    <w:rsid w:val="00904F72"/>
    <w:rsid w:val="00905526"/>
    <w:rsid w:val="00905BA0"/>
    <w:rsid w:val="00905D0B"/>
    <w:rsid w:val="00905FD0"/>
    <w:rsid w:val="00906E33"/>
    <w:rsid w:val="00906FB9"/>
    <w:rsid w:val="00907090"/>
    <w:rsid w:val="00907418"/>
    <w:rsid w:val="0090788F"/>
    <w:rsid w:val="00907C37"/>
    <w:rsid w:val="00907D95"/>
    <w:rsid w:val="0091014C"/>
    <w:rsid w:val="0091020E"/>
    <w:rsid w:val="0091026D"/>
    <w:rsid w:val="009105A5"/>
    <w:rsid w:val="00910B2C"/>
    <w:rsid w:val="00910FC4"/>
    <w:rsid w:val="009111EA"/>
    <w:rsid w:val="00911672"/>
    <w:rsid w:val="0091171A"/>
    <w:rsid w:val="00911A98"/>
    <w:rsid w:val="00911ACE"/>
    <w:rsid w:val="00911B14"/>
    <w:rsid w:val="00911CF7"/>
    <w:rsid w:val="009131D2"/>
    <w:rsid w:val="00913343"/>
    <w:rsid w:val="00913C2E"/>
    <w:rsid w:val="00913CBD"/>
    <w:rsid w:val="009140CD"/>
    <w:rsid w:val="00914165"/>
    <w:rsid w:val="0091426E"/>
    <w:rsid w:val="00914495"/>
    <w:rsid w:val="009147D6"/>
    <w:rsid w:val="009148D3"/>
    <w:rsid w:val="009152CB"/>
    <w:rsid w:val="00915339"/>
    <w:rsid w:val="0091533A"/>
    <w:rsid w:val="00915724"/>
    <w:rsid w:val="0091576F"/>
    <w:rsid w:val="00915CFD"/>
    <w:rsid w:val="00915E9C"/>
    <w:rsid w:val="00916300"/>
    <w:rsid w:val="00916331"/>
    <w:rsid w:val="009164BE"/>
    <w:rsid w:val="00916FAE"/>
    <w:rsid w:val="0091718A"/>
    <w:rsid w:val="00917937"/>
    <w:rsid w:val="00917BB0"/>
    <w:rsid w:val="00920188"/>
    <w:rsid w:val="009206CF"/>
    <w:rsid w:val="0092079A"/>
    <w:rsid w:val="00920C46"/>
    <w:rsid w:val="00920CD2"/>
    <w:rsid w:val="00920E64"/>
    <w:rsid w:val="00921000"/>
    <w:rsid w:val="0092108C"/>
    <w:rsid w:val="009217CB"/>
    <w:rsid w:val="009219BC"/>
    <w:rsid w:val="00921E13"/>
    <w:rsid w:val="00922299"/>
    <w:rsid w:val="00922380"/>
    <w:rsid w:val="00922522"/>
    <w:rsid w:val="00922AC8"/>
    <w:rsid w:val="00922E94"/>
    <w:rsid w:val="00922F93"/>
    <w:rsid w:val="009230EF"/>
    <w:rsid w:val="00923192"/>
    <w:rsid w:val="009237BA"/>
    <w:rsid w:val="00923897"/>
    <w:rsid w:val="00923CED"/>
    <w:rsid w:val="00923F01"/>
    <w:rsid w:val="00923F2D"/>
    <w:rsid w:val="00924118"/>
    <w:rsid w:val="009244BB"/>
    <w:rsid w:val="009246AC"/>
    <w:rsid w:val="00924ACB"/>
    <w:rsid w:val="00924BD2"/>
    <w:rsid w:val="00924BF8"/>
    <w:rsid w:val="00924CEA"/>
    <w:rsid w:val="00924E3C"/>
    <w:rsid w:val="0092515D"/>
    <w:rsid w:val="00925450"/>
    <w:rsid w:val="00925610"/>
    <w:rsid w:val="00925790"/>
    <w:rsid w:val="00925EAB"/>
    <w:rsid w:val="009264E3"/>
    <w:rsid w:val="0092682D"/>
    <w:rsid w:val="00926C18"/>
    <w:rsid w:val="00927076"/>
    <w:rsid w:val="009271EC"/>
    <w:rsid w:val="00927537"/>
    <w:rsid w:val="009275B0"/>
    <w:rsid w:val="00927A08"/>
    <w:rsid w:val="00927A18"/>
    <w:rsid w:val="00927ABA"/>
    <w:rsid w:val="0093010F"/>
    <w:rsid w:val="00930154"/>
    <w:rsid w:val="00930168"/>
    <w:rsid w:val="00930765"/>
    <w:rsid w:val="00930A63"/>
    <w:rsid w:val="00930B8D"/>
    <w:rsid w:val="00930B94"/>
    <w:rsid w:val="0093106F"/>
    <w:rsid w:val="00931098"/>
    <w:rsid w:val="00931CA9"/>
    <w:rsid w:val="00931F3B"/>
    <w:rsid w:val="00931F85"/>
    <w:rsid w:val="0093261D"/>
    <w:rsid w:val="0093296F"/>
    <w:rsid w:val="00932E74"/>
    <w:rsid w:val="00932F55"/>
    <w:rsid w:val="00933161"/>
    <w:rsid w:val="00933383"/>
    <w:rsid w:val="0093356B"/>
    <w:rsid w:val="00933673"/>
    <w:rsid w:val="00933A98"/>
    <w:rsid w:val="00933D8C"/>
    <w:rsid w:val="00933E60"/>
    <w:rsid w:val="00934344"/>
    <w:rsid w:val="0093497A"/>
    <w:rsid w:val="00934B34"/>
    <w:rsid w:val="00934E49"/>
    <w:rsid w:val="0093572F"/>
    <w:rsid w:val="00935956"/>
    <w:rsid w:val="00935995"/>
    <w:rsid w:val="00935BAA"/>
    <w:rsid w:val="00935DE4"/>
    <w:rsid w:val="00935EF4"/>
    <w:rsid w:val="009361C0"/>
    <w:rsid w:val="009361F0"/>
    <w:rsid w:val="00936492"/>
    <w:rsid w:val="00936653"/>
    <w:rsid w:val="00936A27"/>
    <w:rsid w:val="00936AEB"/>
    <w:rsid w:val="00936D79"/>
    <w:rsid w:val="00937BF4"/>
    <w:rsid w:val="00937E20"/>
    <w:rsid w:val="00937EB5"/>
    <w:rsid w:val="0094049E"/>
    <w:rsid w:val="00940717"/>
    <w:rsid w:val="00940863"/>
    <w:rsid w:val="0094099D"/>
    <w:rsid w:val="00940CDC"/>
    <w:rsid w:val="009410C4"/>
    <w:rsid w:val="009413E0"/>
    <w:rsid w:val="00941520"/>
    <w:rsid w:val="00941AC1"/>
    <w:rsid w:val="00941AC6"/>
    <w:rsid w:val="00941F14"/>
    <w:rsid w:val="009424A0"/>
    <w:rsid w:val="00942943"/>
    <w:rsid w:val="00942CE9"/>
    <w:rsid w:val="00942CEF"/>
    <w:rsid w:val="00942D68"/>
    <w:rsid w:val="00942DFD"/>
    <w:rsid w:val="009433E7"/>
    <w:rsid w:val="00943522"/>
    <w:rsid w:val="0094362B"/>
    <w:rsid w:val="009436FD"/>
    <w:rsid w:val="00943B9B"/>
    <w:rsid w:val="00943F10"/>
    <w:rsid w:val="00944002"/>
    <w:rsid w:val="00944336"/>
    <w:rsid w:val="009446C2"/>
    <w:rsid w:val="00944825"/>
    <w:rsid w:val="00944E89"/>
    <w:rsid w:val="00944F23"/>
    <w:rsid w:val="00944F9B"/>
    <w:rsid w:val="009451C7"/>
    <w:rsid w:val="00945462"/>
    <w:rsid w:val="00945B8D"/>
    <w:rsid w:val="00945DBF"/>
    <w:rsid w:val="00945EE7"/>
    <w:rsid w:val="00945F78"/>
    <w:rsid w:val="009461E6"/>
    <w:rsid w:val="0094655C"/>
    <w:rsid w:val="0094664C"/>
    <w:rsid w:val="00946738"/>
    <w:rsid w:val="00946894"/>
    <w:rsid w:val="00946FFB"/>
    <w:rsid w:val="0094768B"/>
    <w:rsid w:val="00947ABB"/>
    <w:rsid w:val="00947C31"/>
    <w:rsid w:val="00950310"/>
    <w:rsid w:val="009510F3"/>
    <w:rsid w:val="00951329"/>
    <w:rsid w:val="00951515"/>
    <w:rsid w:val="00951643"/>
    <w:rsid w:val="009516A8"/>
    <w:rsid w:val="00951C82"/>
    <w:rsid w:val="00951CAC"/>
    <w:rsid w:val="00951F01"/>
    <w:rsid w:val="0095232E"/>
    <w:rsid w:val="009523E4"/>
    <w:rsid w:val="009527EE"/>
    <w:rsid w:val="00952813"/>
    <w:rsid w:val="0095288C"/>
    <w:rsid w:val="00952C33"/>
    <w:rsid w:val="00952DD0"/>
    <w:rsid w:val="00952F45"/>
    <w:rsid w:val="009538D0"/>
    <w:rsid w:val="00953C5A"/>
    <w:rsid w:val="009540A0"/>
    <w:rsid w:val="00954488"/>
    <w:rsid w:val="009544DD"/>
    <w:rsid w:val="00954EBB"/>
    <w:rsid w:val="00955196"/>
    <w:rsid w:val="00955318"/>
    <w:rsid w:val="009555A7"/>
    <w:rsid w:val="009558F1"/>
    <w:rsid w:val="00956296"/>
    <w:rsid w:val="00956403"/>
    <w:rsid w:val="00956C3E"/>
    <w:rsid w:val="00957457"/>
    <w:rsid w:val="009579F6"/>
    <w:rsid w:val="00957C52"/>
    <w:rsid w:val="00957D33"/>
    <w:rsid w:val="0096017D"/>
    <w:rsid w:val="0096071F"/>
    <w:rsid w:val="00960836"/>
    <w:rsid w:val="0096091B"/>
    <w:rsid w:val="0096093C"/>
    <w:rsid w:val="00960DB4"/>
    <w:rsid w:val="00960FE0"/>
    <w:rsid w:val="009612FB"/>
    <w:rsid w:val="009615FC"/>
    <w:rsid w:val="009617A9"/>
    <w:rsid w:val="00961B52"/>
    <w:rsid w:val="00962029"/>
    <w:rsid w:val="0096252A"/>
    <w:rsid w:val="009625A5"/>
    <w:rsid w:val="009625B9"/>
    <w:rsid w:val="00962819"/>
    <w:rsid w:val="00962B4B"/>
    <w:rsid w:val="0096351E"/>
    <w:rsid w:val="00963881"/>
    <w:rsid w:val="009639C4"/>
    <w:rsid w:val="00963BA0"/>
    <w:rsid w:val="009645D0"/>
    <w:rsid w:val="009648FF"/>
    <w:rsid w:val="00964ED2"/>
    <w:rsid w:val="00965C6A"/>
    <w:rsid w:val="00966067"/>
    <w:rsid w:val="0096648A"/>
    <w:rsid w:val="00966672"/>
    <w:rsid w:val="00966687"/>
    <w:rsid w:val="00966718"/>
    <w:rsid w:val="009667D9"/>
    <w:rsid w:val="0096728E"/>
    <w:rsid w:val="0096762B"/>
    <w:rsid w:val="00967D7E"/>
    <w:rsid w:val="009706B1"/>
    <w:rsid w:val="0097076A"/>
    <w:rsid w:val="0097158B"/>
    <w:rsid w:val="00971931"/>
    <w:rsid w:val="00971A92"/>
    <w:rsid w:val="00971C58"/>
    <w:rsid w:val="0097201C"/>
    <w:rsid w:val="00972119"/>
    <w:rsid w:val="00972453"/>
    <w:rsid w:val="0097248C"/>
    <w:rsid w:val="009724BF"/>
    <w:rsid w:val="00972705"/>
    <w:rsid w:val="00972831"/>
    <w:rsid w:val="00972895"/>
    <w:rsid w:val="009729D3"/>
    <w:rsid w:val="00972F64"/>
    <w:rsid w:val="00973095"/>
    <w:rsid w:val="00973158"/>
    <w:rsid w:val="00973244"/>
    <w:rsid w:val="00973309"/>
    <w:rsid w:val="00973590"/>
    <w:rsid w:val="0097379C"/>
    <w:rsid w:val="00973E88"/>
    <w:rsid w:val="00973EDB"/>
    <w:rsid w:val="009745D1"/>
    <w:rsid w:val="009747D9"/>
    <w:rsid w:val="009749F9"/>
    <w:rsid w:val="00974C5C"/>
    <w:rsid w:val="00974DD2"/>
    <w:rsid w:val="00974EF5"/>
    <w:rsid w:val="00974F78"/>
    <w:rsid w:val="0097513F"/>
    <w:rsid w:val="00975387"/>
    <w:rsid w:val="009753F8"/>
    <w:rsid w:val="00975FDF"/>
    <w:rsid w:val="0097631B"/>
    <w:rsid w:val="00976486"/>
    <w:rsid w:val="00976567"/>
    <w:rsid w:val="0097691F"/>
    <w:rsid w:val="00976929"/>
    <w:rsid w:val="00976FAF"/>
    <w:rsid w:val="0097797A"/>
    <w:rsid w:val="00977F51"/>
    <w:rsid w:val="00980011"/>
    <w:rsid w:val="0098032C"/>
    <w:rsid w:val="00980360"/>
    <w:rsid w:val="00980685"/>
    <w:rsid w:val="009806BB"/>
    <w:rsid w:val="009806F7"/>
    <w:rsid w:val="00980772"/>
    <w:rsid w:val="00980880"/>
    <w:rsid w:val="00980928"/>
    <w:rsid w:val="00980BDC"/>
    <w:rsid w:val="00980E7F"/>
    <w:rsid w:val="00980F05"/>
    <w:rsid w:val="0098168D"/>
    <w:rsid w:val="0098172F"/>
    <w:rsid w:val="009817DE"/>
    <w:rsid w:val="00981901"/>
    <w:rsid w:val="00981F1D"/>
    <w:rsid w:val="009820B8"/>
    <w:rsid w:val="009820E3"/>
    <w:rsid w:val="0098247E"/>
    <w:rsid w:val="009826C8"/>
    <w:rsid w:val="009826DE"/>
    <w:rsid w:val="009827D2"/>
    <w:rsid w:val="009827ED"/>
    <w:rsid w:val="00982B49"/>
    <w:rsid w:val="00982BD7"/>
    <w:rsid w:val="00982D30"/>
    <w:rsid w:val="00982DA5"/>
    <w:rsid w:val="00982E28"/>
    <w:rsid w:val="00982EA4"/>
    <w:rsid w:val="00982FC5"/>
    <w:rsid w:val="009831E6"/>
    <w:rsid w:val="00983209"/>
    <w:rsid w:val="00983409"/>
    <w:rsid w:val="0098350A"/>
    <w:rsid w:val="00983521"/>
    <w:rsid w:val="00983581"/>
    <w:rsid w:val="00983780"/>
    <w:rsid w:val="00983AD7"/>
    <w:rsid w:val="00983B8F"/>
    <w:rsid w:val="0098430E"/>
    <w:rsid w:val="00984431"/>
    <w:rsid w:val="009846DC"/>
    <w:rsid w:val="0098474C"/>
    <w:rsid w:val="0098482E"/>
    <w:rsid w:val="009848FA"/>
    <w:rsid w:val="00984A1B"/>
    <w:rsid w:val="00984F81"/>
    <w:rsid w:val="00985148"/>
    <w:rsid w:val="009853C9"/>
    <w:rsid w:val="0098576D"/>
    <w:rsid w:val="0098581D"/>
    <w:rsid w:val="00985825"/>
    <w:rsid w:val="00985875"/>
    <w:rsid w:val="00985A38"/>
    <w:rsid w:val="00985AB9"/>
    <w:rsid w:val="00985F0A"/>
    <w:rsid w:val="00986295"/>
    <w:rsid w:val="009867CD"/>
    <w:rsid w:val="0098685D"/>
    <w:rsid w:val="00986B1E"/>
    <w:rsid w:val="00986C33"/>
    <w:rsid w:val="009870CF"/>
    <w:rsid w:val="009871CF"/>
    <w:rsid w:val="00987410"/>
    <w:rsid w:val="009874D6"/>
    <w:rsid w:val="00987DB6"/>
    <w:rsid w:val="00987E27"/>
    <w:rsid w:val="0099005F"/>
    <w:rsid w:val="00990507"/>
    <w:rsid w:val="009905AE"/>
    <w:rsid w:val="009909AE"/>
    <w:rsid w:val="00990A67"/>
    <w:rsid w:val="00990CE5"/>
    <w:rsid w:val="00990DB7"/>
    <w:rsid w:val="00991166"/>
    <w:rsid w:val="009915F4"/>
    <w:rsid w:val="0099197E"/>
    <w:rsid w:val="009921C0"/>
    <w:rsid w:val="0099264E"/>
    <w:rsid w:val="00992D7A"/>
    <w:rsid w:val="00992D83"/>
    <w:rsid w:val="00992E5A"/>
    <w:rsid w:val="00992FC5"/>
    <w:rsid w:val="00993445"/>
    <w:rsid w:val="0099380D"/>
    <w:rsid w:val="009938FB"/>
    <w:rsid w:val="00993AC3"/>
    <w:rsid w:val="0099424E"/>
    <w:rsid w:val="00994D42"/>
    <w:rsid w:val="00994EBE"/>
    <w:rsid w:val="00995168"/>
    <w:rsid w:val="00995722"/>
    <w:rsid w:val="009957CE"/>
    <w:rsid w:val="00995D4F"/>
    <w:rsid w:val="00995F80"/>
    <w:rsid w:val="00996026"/>
    <w:rsid w:val="009966DE"/>
    <w:rsid w:val="00996742"/>
    <w:rsid w:val="009968F7"/>
    <w:rsid w:val="009975D1"/>
    <w:rsid w:val="009976F1"/>
    <w:rsid w:val="00997974"/>
    <w:rsid w:val="00997BCB"/>
    <w:rsid w:val="009A013B"/>
    <w:rsid w:val="009A06D3"/>
    <w:rsid w:val="009A0AF7"/>
    <w:rsid w:val="009A0D6D"/>
    <w:rsid w:val="009A0D95"/>
    <w:rsid w:val="009A116D"/>
    <w:rsid w:val="009A1287"/>
    <w:rsid w:val="009A181E"/>
    <w:rsid w:val="009A1920"/>
    <w:rsid w:val="009A19E9"/>
    <w:rsid w:val="009A20E7"/>
    <w:rsid w:val="009A24DA"/>
    <w:rsid w:val="009A250A"/>
    <w:rsid w:val="009A2549"/>
    <w:rsid w:val="009A25DB"/>
    <w:rsid w:val="009A2625"/>
    <w:rsid w:val="009A2FD5"/>
    <w:rsid w:val="009A31F2"/>
    <w:rsid w:val="009A3CA6"/>
    <w:rsid w:val="009A3F44"/>
    <w:rsid w:val="009A4200"/>
    <w:rsid w:val="009A4418"/>
    <w:rsid w:val="009A484A"/>
    <w:rsid w:val="009A4917"/>
    <w:rsid w:val="009A49C4"/>
    <w:rsid w:val="009A4A0C"/>
    <w:rsid w:val="009A50C8"/>
    <w:rsid w:val="009A50DE"/>
    <w:rsid w:val="009A523B"/>
    <w:rsid w:val="009A53EE"/>
    <w:rsid w:val="009A5736"/>
    <w:rsid w:val="009A5ACE"/>
    <w:rsid w:val="009A5E4D"/>
    <w:rsid w:val="009A5FE3"/>
    <w:rsid w:val="009A629D"/>
    <w:rsid w:val="009A677F"/>
    <w:rsid w:val="009A6795"/>
    <w:rsid w:val="009A67EF"/>
    <w:rsid w:val="009A6AD0"/>
    <w:rsid w:val="009A6CAC"/>
    <w:rsid w:val="009A6ED6"/>
    <w:rsid w:val="009A705A"/>
    <w:rsid w:val="009A70FF"/>
    <w:rsid w:val="009A7954"/>
    <w:rsid w:val="009A7F0B"/>
    <w:rsid w:val="009B003E"/>
    <w:rsid w:val="009B004F"/>
    <w:rsid w:val="009B05F5"/>
    <w:rsid w:val="009B115D"/>
    <w:rsid w:val="009B1500"/>
    <w:rsid w:val="009B1599"/>
    <w:rsid w:val="009B15E5"/>
    <w:rsid w:val="009B1863"/>
    <w:rsid w:val="009B1916"/>
    <w:rsid w:val="009B1988"/>
    <w:rsid w:val="009B1A9E"/>
    <w:rsid w:val="009B1D24"/>
    <w:rsid w:val="009B2090"/>
    <w:rsid w:val="009B20F0"/>
    <w:rsid w:val="009B2175"/>
    <w:rsid w:val="009B2B91"/>
    <w:rsid w:val="009B2BF6"/>
    <w:rsid w:val="009B2C48"/>
    <w:rsid w:val="009B3249"/>
    <w:rsid w:val="009B32E1"/>
    <w:rsid w:val="009B3438"/>
    <w:rsid w:val="009B3505"/>
    <w:rsid w:val="009B399B"/>
    <w:rsid w:val="009B3A88"/>
    <w:rsid w:val="009B40E8"/>
    <w:rsid w:val="009B4331"/>
    <w:rsid w:val="009B44AE"/>
    <w:rsid w:val="009B453F"/>
    <w:rsid w:val="009B4838"/>
    <w:rsid w:val="009B4B7E"/>
    <w:rsid w:val="009B5209"/>
    <w:rsid w:val="009B5259"/>
    <w:rsid w:val="009B5348"/>
    <w:rsid w:val="009B5820"/>
    <w:rsid w:val="009B5980"/>
    <w:rsid w:val="009B62EC"/>
    <w:rsid w:val="009B645A"/>
    <w:rsid w:val="009B647A"/>
    <w:rsid w:val="009B6505"/>
    <w:rsid w:val="009B6BB8"/>
    <w:rsid w:val="009B6C19"/>
    <w:rsid w:val="009B6EBC"/>
    <w:rsid w:val="009B6F58"/>
    <w:rsid w:val="009B729F"/>
    <w:rsid w:val="009B767E"/>
    <w:rsid w:val="009B7D40"/>
    <w:rsid w:val="009B7FD2"/>
    <w:rsid w:val="009C0452"/>
    <w:rsid w:val="009C05D0"/>
    <w:rsid w:val="009C0ABF"/>
    <w:rsid w:val="009C121A"/>
    <w:rsid w:val="009C13B4"/>
    <w:rsid w:val="009C1501"/>
    <w:rsid w:val="009C1656"/>
    <w:rsid w:val="009C1731"/>
    <w:rsid w:val="009C1DFA"/>
    <w:rsid w:val="009C1FD2"/>
    <w:rsid w:val="009C21C1"/>
    <w:rsid w:val="009C259A"/>
    <w:rsid w:val="009C28E4"/>
    <w:rsid w:val="009C2B0C"/>
    <w:rsid w:val="009C2BBE"/>
    <w:rsid w:val="009C2D79"/>
    <w:rsid w:val="009C2DCB"/>
    <w:rsid w:val="009C2E2A"/>
    <w:rsid w:val="009C2EEA"/>
    <w:rsid w:val="009C3278"/>
    <w:rsid w:val="009C33A5"/>
    <w:rsid w:val="009C3598"/>
    <w:rsid w:val="009C3B44"/>
    <w:rsid w:val="009C431A"/>
    <w:rsid w:val="009C43F7"/>
    <w:rsid w:val="009C44E8"/>
    <w:rsid w:val="009C454F"/>
    <w:rsid w:val="009C4C66"/>
    <w:rsid w:val="009C50A3"/>
    <w:rsid w:val="009C54A6"/>
    <w:rsid w:val="009C56D9"/>
    <w:rsid w:val="009C56E4"/>
    <w:rsid w:val="009C574C"/>
    <w:rsid w:val="009C5963"/>
    <w:rsid w:val="009C5E4A"/>
    <w:rsid w:val="009C6A96"/>
    <w:rsid w:val="009C6AA5"/>
    <w:rsid w:val="009C720E"/>
    <w:rsid w:val="009C7755"/>
    <w:rsid w:val="009C777E"/>
    <w:rsid w:val="009C789B"/>
    <w:rsid w:val="009C79CE"/>
    <w:rsid w:val="009C7BDD"/>
    <w:rsid w:val="009C7C35"/>
    <w:rsid w:val="009D01C8"/>
    <w:rsid w:val="009D02CA"/>
    <w:rsid w:val="009D0907"/>
    <w:rsid w:val="009D0995"/>
    <w:rsid w:val="009D09FE"/>
    <w:rsid w:val="009D0CD4"/>
    <w:rsid w:val="009D0E57"/>
    <w:rsid w:val="009D105C"/>
    <w:rsid w:val="009D13CD"/>
    <w:rsid w:val="009D1855"/>
    <w:rsid w:val="009D18C9"/>
    <w:rsid w:val="009D1EFB"/>
    <w:rsid w:val="009D214D"/>
    <w:rsid w:val="009D23CC"/>
    <w:rsid w:val="009D262E"/>
    <w:rsid w:val="009D2C60"/>
    <w:rsid w:val="009D310C"/>
    <w:rsid w:val="009D3711"/>
    <w:rsid w:val="009D3DAB"/>
    <w:rsid w:val="009D4009"/>
    <w:rsid w:val="009D43D4"/>
    <w:rsid w:val="009D4412"/>
    <w:rsid w:val="009D4618"/>
    <w:rsid w:val="009D4792"/>
    <w:rsid w:val="009D47EF"/>
    <w:rsid w:val="009D4D5A"/>
    <w:rsid w:val="009D4F5C"/>
    <w:rsid w:val="009D52DC"/>
    <w:rsid w:val="009D592F"/>
    <w:rsid w:val="009D5991"/>
    <w:rsid w:val="009D5C24"/>
    <w:rsid w:val="009D5D37"/>
    <w:rsid w:val="009D60E1"/>
    <w:rsid w:val="009D62DA"/>
    <w:rsid w:val="009D6A9A"/>
    <w:rsid w:val="009D7C73"/>
    <w:rsid w:val="009D7E2B"/>
    <w:rsid w:val="009E01FA"/>
    <w:rsid w:val="009E0A21"/>
    <w:rsid w:val="009E0C06"/>
    <w:rsid w:val="009E0C49"/>
    <w:rsid w:val="009E0D3D"/>
    <w:rsid w:val="009E0E49"/>
    <w:rsid w:val="009E10D7"/>
    <w:rsid w:val="009E1270"/>
    <w:rsid w:val="009E12F5"/>
    <w:rsid w:val="009E19E5"/>
    <w:rsid w:val="009E1DE3"/>
    <w:rsid w:val="009E230D"/>
    <w:rsid w:val="009E244B"/>
    <w:rsid w:val="009E2696"/>
    <w:rsid w:val="009E2A7D"/>
    <w:rsid w:val="009E2ED1"/>
    <w:rsid w:val="009E3091"/>
    <w:rsid w:val="009E3B59"/>
    <w:rsid w:val="009E3EAD"/>
    <w:rsid w:val="009E4210"/>
    <w:rsid w:val="009E4548"/>
    <w:rsid w:val="009E4AC4"/>
    <w:rsid w:val="009E4C1C"/>
    <w:rsid w:val="009E50A5"/>
    <w:rsid w:val="009E5246"/>
    <w:rsid w:val="009E55F3"/>
    <w:rsid w:val="009E5A7B"/>
    <w:rsid w:val="009E5BC2"/>
    <w:rsid w:val="009E5E6E"/>
    <w:rsid w:val="009E63EC"/>
    <w:rsid w:val="009E651E"/>
    <w:rsid w:val="009E65AF"/>
    <w:rsid w:val="009E66A2"/>
    <w:rsid w:val="009E68F5"/>
    <w:rsid w:val="009E6A65"/>
    <w:rsid w:val="009E6A6C"/>
    <w:rsid w:val="009E6EB2"/>
    <w:rsid w:val="009E6EE7"/>
    <w:rsid w:val="009E70B6"/>
    <w:rsid w:val="009E727D"/>
    <w:rsid w:val="009E7333"/>
    <w:rsid w:val="009E7478"/>
    <w:rsid w:val="009E767B"/>
    <w:rsid w:val="009E7C1D"/>
    <w:rsid w:val="009E7C47"/>
    <w:rsid w:val="009F01F5"/>
    <w:rsid w:val="009F0369"/>
    <w:rsid w:val="009F0617"/>
    <w:rsid w:val="009F087B"/>
    <w:rsid w:val="009F0BAD"/>
    <w:rsid w:val="009F0C2F"/>
    <w:rsid w:val="009F111D"/>
    <w:rsid w:val="009F141B"/>
    <w:rsid w:val="009F18E3"/>
    <w:rsid w:val="009F19C9"/>
    <w:rsid w:val="009F1A2E"/>
    <w:rsid w:val="009F1FEF"/>
    <w:rsid w:val="009F20B5"/>
    <w:rsid w:val="009F275C"/>
    <w:rsid w:val="009F28A5"/>
    <w:rsid w:val="009F292A"/>
    <w:rsid w:val="009F2C32"/>
    <w:rsid w:val="009F30DD"/>
    <w:rsid w:val="009F3152"/>
    <w:rsid w:val="009F31A3"/>
    <w:rsid w:val="009F33BF"/>
    <w:rsid w:val="009F3538"/>
    <w:rsid w:val="009F3B82"/>
    <w:rsid w:val="009F3C23"/>
    <w:rsid w:val="009F3D05"/>
    <w:rsid w:val="009F4013"/>
    <w:rsid w:val="009F47C7"/>
    <w:rsid w:val="009F4E13"/>
    <w:rsid w:val="009F51D5"/>
    <w:rsid w:val="009F57FF"/>
    <w:rsid w:val="009F588B"/>
    <w:rsid w:val="009F5E5C"/>
    <w:rsid w:val="009F60A7"/>
    <w:rsid w:val="009F647D"/>
    <w:rsid w:val="009F672F"/>
    <w:rsid w:val="009F6E7A"/>
    <w:rsid w:val="009F6EA7"/>
    <w:rsid w:val="009F6ED9"/>
    <w:rsid w:val="009F7A45"/>
    <w:rsid w:val="009F7C6B"/>
    <w:rsid w:val="009F7DBB"/>
    <w:rsid w:val="00A005C7"/>
    <w:rsid w:val="00A00923"/>
    <w:rsid w:val="00A00983"/>
    <w:rsid w:val="00A00BF0"/>
    <w:rsid w:val="00A00D4D"/>
    <w:rsid w:val="00A00E32"/>
    <w:rsid w:val="00A011C8"/>
    <w:rsid w:val="00A01264"/>
    <w:rsid w:val="00A01291"/>
    <w:rsid w:val="00A01861"/>
    <w:rsid w:val="00A01872"/>
    <w:rsid w:val="00A01B41"/>
    <w:rsid w:val="00A02181"/>
    <w:rsid w:val="00A02210"/>
    <w:rsid w:val="00A02265"/>
    <w:rsid w:val="00A028B1"/>
    <w:rsid w:val="00A02942"/>
    <w:rsid w:val="00A0296C"/>
    <w:rsid w:val="00A02E24"/>
    <w:rsid w:val="00A03370"/>
    <w:rsid w:val="00A0347F"/>
    <w:rsid w:val="00A035A8"/>
    <w:rsid w:val="00A03936"/>
    <w:rsid w:val="00A03A5B"/>
    <w:rsid w:val="00A03E5B"/>
    <w:rsid w:val="00A041B7"/>
    <w:rsid w:val="00A042CB"/>
    <w:rsid w:val="00A04319"/>
    <w:rsid w:val="00A0437E"/>
    <w:rsid w:val="00A047D8"/>
    <w:rsid w:val="00A04D21"/>
    <w:rsid w:val="00A058EF"/>
    <w:rsid w:val="00A0628C"/>
    <w:rsid w:val="00A06347"/>
    <w:rsid w:val="00A065CB"/>
    <w:rsid w:val="00A06B2C"/>
    <w:rsid w:val="00A06FEF"/>
    <w:rsid w:val="00A070BF"/>
    <w:rsid w:val="00A072FD"/>
    <w:rsid w:val="00A07604"/>
    <w:rsid w:val="00A079AC"/>
    <w:rsid w:val="00A07A73"/>
    <w:rsid w:val="00A1005E"/>
    <w:rsid w:val="00A101BB"/>
    <w:rsid w:val="00A107F1"/>
    <w:rsid w:val="00A10B9C"/>
    <w:rsid w:val="00A10BF4"/>
    <w:rsid w:val="00A11116"/>
    <w:rsid w:val="00A11728"/>
    <w:rsid w:val="00A12120"/>
    <w:rsid w:val="00A122D2"/>
    <w:rsid w:val="00A12814"/>
    <w:rsid w:val="00A1288B"/>
    <w:rsid w:val="00A12984"/>
    <w:rsid w:val="00A12ADA"/>
    <w:rsid w:val="00A12D26"/>
    <w:rsid w:val="00A12E87"/>
    <w:rsid w:val="00A12F42"/>
    <w:rsid w:val="00A13332"/>
    <w:rsid w:val="00A1342D"/>
    <w:rsid w:val="00A138B2"/>
    <w:rsid w:val="00A13CB0"/>
    <w:rsid w:val="00A14109"/>
    <w:rsid w:val="00A1458A"/>
    <w:rsid w:val="00A14715"/>
    <w:rsid w:val="00A14771"/>
    <w:rsid w:val="00A14922"/>
    <w:rsid w:val="00A14946"/>
    <w:rsid w:val="00A14B81"/>
    <w:rsid w:val="00A14F96"/>
    <w:rsid w:val="00A1506D"/>
    <w:rsid w:val="00A15B9D"/>
    <w:rsid w:val="00A16425"/>
    <w:rsid w:val="00A1649C"/>
    <w:rsid w:val="00A165D4"/>
    <w:rsid w:val="00A16957"/>
    <w:rsid w:val="00A16A05"/>
    <w:rsid w:val="00A16A54"/>
    <w:rsid w:val="00A16B8D"/>
    <w:rsid w:val="00A16E28"/>
    <w:rsid w:val="00A170B8"/>
    <w:rsid w:val="00A174FC"/>
    <w:rsid w:val="00A1764C"/>
    <w:rsid w:val="00A17710"/>
    <w:rsid w:val="00A17D84"/>
    <w:rsid w:val="00A17EEC"/>
    <w:rsid w:val="00A200D2"/>
    <w:rsid w:val="00A20188"/>
    <w:rsid w:val="00A2089C"/>
    <w:rsid w:val="00A20D31"/>
    <w:rsid w:val="00A20EFB"/>
    <w:rsid w:val="00A212CA"/>
    <w:rsid w:val="00A21391"/>
    <w:rsid w:val="00A2195B"/>
    <w:rsid w:val="00A21DAB"/>
    <w:rsid w:val="00A22451"/>
    <w:rsid w:val="00A22BC5"/>
    <w:rsid w:val="00A22C12"/>
    <w:rsid w:val="00A22FE9"/>
    <w:rsid w:val="00A23198"/>
    <w:rsid w:val="00A23ADD"/>
    <w:rsid w:val="00A23AE0"/>
    <w:rsid w:val="00A23C2C"/>
    <w:rsid w:val="00A23F5A"/>
    <w:rsid w:val="00A24014"/>
    <w:rsid w:val="00A243F3"/>
    <w:rsid w:val="00A24579"/>
    <w:rsid w:val="00A2482F"/>
    <w:rsid w:val="00A24831"/>
    <w:rsid w:val="00A248E1"/>
    <w:rsid w:val="00A24B13"/>
    <w:rsid w:val="00A24B47"/>
    <w:rsid w:val="00A25695"/>
    <w:rsid w:val="00A26365"/>
    <w:rsid w:val="00A2649B"/>
    <w:rsid w:val="00A264D8"/>
    <w:rsid w:val="00A264DF"/>
    <w:rsid w:val="00A265BE"/>
    <w:rsid w:val="00A26827"/>
    <w:rsid w:val="00A26854"/>
    <w:rsid w:val="00A268B0"/>
    <w:rsid w:val="00A26D4F"/>
    <w:rsid w:val="00A26EBF"/>
    <w:rsid w:val="00A26F6A"/>
    <w:rsid w:val="00A27B96"/>
    <w:rsid w:val="00A27EE8"/>
    <w:rsid w:val="00A30033"/>
    <w:rsid w:val="00A302C9"/>
    <w:rsid w:val="00A3088A"/>
    <w:rsid w:val="00A30C28"/>
    <w:rsid w:val="00A30E7C"/>
    <w:rsid w:val="00A30FAF"/>
    <w:rsid w:val="00A312C3"/>
    <w:rsid w:val="00A31350"/>
    <w:rsid w:val="00A3140A"/>
    <w:rsid w:val="00A3173E"/>
    <w:rsid w:val="00A3194C"/>
    <w:rsid w:val="00A32757"/>
    <w:rsid w:val="00A32CBE"/>
    <w:rsid w:val="00A32F0F"/>
    <w:rsid w:val="00A334F1"/>
    <w:rsid w:val="00A338CB"/>
    <w:rsid w:val="00A33F9F"/>
    <w:rsid w:val="00A341EF"/>
    <w:rsid w:val="00A342E7"/>
    <w:rsid w:val="00A3472E"/>
    <w:rsid w:val="00A34BD0"/>
    <w:rsid w:val="00A354CE"/>
    <w:rsid w:val="00A35DDD"/>
    <w:rsid w:val="00A35F48"/>
    <w:rsid w:val="00A360D4"/>
    <w:rsid w:val="00A363BF"/>
    <w:rsid w:val="00A36657"/>
    <w:rsid w:val="00A36946"/>
    <w:rsid w:val="00A370FD"/>
    <w:rsid w:val="00A37585"/>
    <w:rsid w:val="00A375A8"/>
    <w:rsid w:val="00A375C6"/>
    <w:rsid w:val="00A378CF"/>
    <w:rsid w:val="00A378EB"/>
    <w:rsid w:val="00A37964"/>
    <w:rsid w:val="00A37AF5"/>
    <w:rsid w:val="00A37F79"/>
    <w:rsid w:val="00A40150"/>
    <w:rsid w:val="00A40291"/>
    <w:rsid w:val="00A40590"/>
    <w:rsid w:val="00A40CDA"/>
    <w:rsid w:val="00A41196"/>
    <w:rsid w:val="00A41801"/>
    <w:rsid w:val="00A4204E"/>
    <w:rsid w:val="00A42081"/>
    <w:rsid w:val="00A420EB"/>
    <w:rsid w:val="00A421A3"/>
    <w:rsid w:val="00A423E4"/>
    <w:rsid w:val="00A424DF"/>
    <w:rsid w:val="00A42A90"/>
    <w:rsid w:val="00A42DFC"/>
    <w:rsid w:val="00A433FF"/>
    <w:rsid w:val="00A438E1"/>
    <w:rsid w:val="00A43C66"/>
    <w:rsid w:val="00A43C88"/>
    <w:rsid w:val="00A442C8"/>
    <w:rsid w:val="00A448CB"/>
    <w:rsid w:val="00A449E8"/>
    <w:rsid w:val="00A44ED1"/>
    <w:rsid w:val="00A45253"/>
    <w:rsid w:val="00A458D2"/>
    <w:rsid w:val="00A45A64"/>
    <w:rsid w:val="00A45CC8"/>
    <w:rsid w:val="00A45D28"/>
    <w:rsid w:val="00A46448"/>
    <w:rsid w:val="00A46545"/>
    <w:rsid w:val="00A46620"/>
    <w:rsid w:val="00A467AB"/>
    <w:rsid w:val="00A46896"/>
    <w:rsid w:val="00A468F2"/>
    <w:rsid w:val="00A4692E"/>
    <w:rsid w:val="00A46B49"/>
    <w:rsid w:val="00A47136"/>
    <w:rsid w:val="00A473F4"/>
    <w:rsid w:val="00A47944"/>
    <w:rsid w:val="00A47ABC"/>
    <w:rsid w:val="00A47AC5"/>
    <w:rsid w:val="00A47EAC"/>
    <w:rsid w:val="00A50429"/>
    <w:rsid w:val="00A50539"/>
    <w:rsid w:val="00A50541"/>
    <w:rsid w:val="00A50829"/>
    <w:rsid w:val="00A50A31"/>
    <w:rsid w:val="00A50DAF"/>
    <w:rsid w:val="00A50ED9"/>
    <w:rsid w:val="00A512B5"/>
    <w:rsid w:val="00A51468"/>
    <w:rsid w:val="00A5160B"/>
    <w:rsid w:val="00A5165B"/>
    <w:rsid w:val="00A5169F"/>
    <w:rsid w:val="00A5197F"/>
    <w:rsid w:val="00A51A19"/>
    <w:rsid w:val="00A51B17"/>
    <w:rsid w:val="00A51E1D"/>
    <w:rsid w:val="00A51F09"/>
    <w:rsid w:val="00A51F89"/>
    <w:rsid w:val="00A52094"/>
    <w:rsid w:val="00A525E7"/>
    <w:rsid w:val="00A52626"/>
    <w:rsid w:val="00A52885"/>
    <w:rsid w:val="00A529A8"/>
    <w:rsid w:val="00A52AB6"/>
    <w:rsid w:val="00A531D8"/>
    <w:rsid w:val="00A53773"/>
    <w:rsid w:val="00A53B88"/>
    <w:rsid w:val="00A53C79"/>
    <w:rsid w:val="00A54152"/>
    <w:rsid w:val="00A54651"/>
    <w:rsid w:val="00A54AC2"/>
    <w:rsid w:val="00A54ECA"/>
    <w:rsid w:val="00A55604"/>
    <w:rsid w:val="00A55850"/>
    <w:rsid w:val="00A55B5E"/>
    <w:rsid w:val="00A55C8A"/>
    <w:rsid w:val="00A5616E"/>
    <w:rsid w:val="00A561E3"/>
    <w:rsid w:val="00A56995"/>
    <w:rsid w:val="00A56E19"/>
    <w:rsid w:val="00A56F06"/>
    <w:rsid w:val="00A570E8"/>
    <w:rsid w:val="00A57232"/>
    <w:rsid w:val="00A5723F"/>
    <w:rsid w:val="00A576F5"/>
    <w:rsid w:val="00A57A0D"/>
    <w:rsid w:val="00A57A21"/>
    <w:rsid w:val="00A57DB0"/>
    <w:rsid w:val="00A57E3F"/>
    <w:rsid w:val="00A60171"/>
    <w:rsid w:val="00A603D5"/>
    <w:rsid w:val="00A6051F"/>
    <w:rsid w:val="00A60D78"/>
    <w:rsid w:val="00A6103D"/>
    <w:rsid w:val="00A61468"/>
    <w:rsid w:val="00A61DCC"/>
    <w:rsid w:val="00A61FA0"/>
    <w:rsid w:val="00A62093"/>
    <w:rsid w:val="00A620AC"/>
    <w:rsid w:val="00A6235C"/>
    <w:rsid w:val="00A623F5"/>
    <w:rsid w:val="00A6244B"/>
    <w:rsid w:val="00A626B9"/>
    <w:rsid w:val="00A629E1"/>
    <w:rsid w:val="00A62B57"/>
    <w:rsid w:val="00A62EC5"/>
    <w:rsid w:val="00A62F00"/>
    <w:rsid w:val="00A62F6D"/>
    <w:rsid w:val="00A62FA4"/>
    <w:rsid w:val="00A630B4"/>
    <w:rsid w:val="00A63114"/>
    <w:rsid w:val="00A633B3"/>
    <w:rsid w:val="00A633C1"/>
    <w:rsid w:val="00A634B0"/>
    <w:rsid w:val="00A64318"/>
    <w:rsid w:val="00A645D8"/>
    <w:rsid w:val="00A64AB8"/>
    <w:rsid w:val="00A6546D"/>
    <w:rsid w:val="00A6568A"/>
    <w:rsid w:val="00A65896"/>
    <w:rsid w:val="00A66200"/>
    <w:rsid w:val="00A6650F"/>
    <w:rsid w:val="00A66605"/>
    <w:rsid w:val="00A674A6"/>
    <w:rsid w:val="00A67B2B"/>
    <w:rsid w:val="00A67B53"/>
    <w:rsid w:val="00A67EB5"/>
    <w:rsid w:val="00A67F8D"/>
    <w:rsid w:val="00A7008B"/>
    <w:rsid w:val="00A70285"/>
    <w:rsid w:val="00A70731"/>
    <w:rsid w:val="00A70A54"/>
    <w:rsid w:val="00A71128"/>
    <w:rsid w:val="00A71186"/>
    <w:rsid w:val="00A71302"/>
    <w:rsid w:val="00A714B5"/>
    <w:rsid w:val="00A714D6"/>
    <w:rsid w:val="00A718CF"/>
    <w:rsid w:val="00A719F7"/>
    <w:rsid w:val="00A721F0"/>
    <w:rsid w:val="00A73043"/>
    <w:rsid w:val="00A730D5"/>
    <w:rsid w:val="00A731A2"/>
    <w:rsid w:val="00A7332B"/>
    <w:rsid w:val="00A734AD"/>
    <w:rsid w:val="00A737F2"/>
    <w:rsid w:val="00A739F8"/>
    <w:rsid w:val="00A73ACD"/>
    <w:rsid w:val="00A73D0A"/>
    <w:rsid w:val="00A73D11"/>
    <w:rsid w:val="00A73E71"/>
    <w:rsid w:val="00A7446F"/>
    <w:rsid w:val="00A746E8"/>
    <w:rsid w:val="00A74D4F"/>
    <w:rsid w:val="00A75189"/>
    <w:rsid w:val="00A753BF"/>
    <w:rsid w:val="00A7542A"/>
    <w:rsid w:val="00A7578B"/>
    <w:rsid w:val="00A75BAB"/>
    <w:rsid w:val="00A75BD3"/>
    <w:rsid w:val="00A75C0F"/>
    <w:rsid w:val="00A75D9E"/>
    <w:rsid w:val="00A761A3"/>
    <w:rsid w:val="00A7653D"/>
    <w:rsid w:val="00A76721"/>
    <w:rsid w:val="00A768C8"/>
    <w:rsid w:val="00A76A8A"/>
    <w:rsid w:val="00A76E65"/>
    <w:rsid w:val="00A772F0"/>
    <w:rsid w:val="00A7763B"/>
    <w:rsid w:val="00A77717"/>
    <w:rsid w:val="00A77BCB"/>
    <w:rsid w:val="00A77CB8"/>
    <w:rsid w:val="00A800C4"/>
    <w:rsid w:val="00A800EF"/>
    <w:rsid w:val="00A801B5"/>
    <w:rsid w:val="00A80344"/>
    <w:rsid w:val="00A8035C"/>
    <w:rsid w:val="00A80954"/>
    <w:rsid w:val="00A80DD4"/>
    <w:rsid w:val="00A80E93"/>
    <w:rsid w:val="00A80FF8"/>
    <w:rsid w:val="00A811A6"/>
    <w:rsid w:val="00A81E11"/>
    <w:rsid w:val="00A81E8D"/>
    <w:rsid w:val="00A81F54"/>
    <w:rsid w:val="00A820A6"/>
    <w:rsid w:val="00A822FD"/>
    <w:rsid w:val="00A828B3"/>
    <w:rsid w:val="00A82EFA"/>
    <w:rsid w:val="00A831E9"/>
    <w:rsid w:val="00A8328A"/>
    <w:rsid w:val="00A8349D"/>
    <w:rsid w:val="00A838E1"/>
    <w:rsid w:val="00A838E6"/>
    <w:rsid w:val="00A83939"/>
    <w:rsid w:val="00A839BC"/>
    <w:rsid w:val="00A83C7C"/>
    <w:rsid w:val="00A83DB0"/>
    <w:rsid w:val="00A83E3C"/>
    <w:rsid w:val="00A83ECA"/>
    <w:rsid w:val="00A842A7"/>
    <w:rsid w:val="00A842E1"/>
    <w:rsid w:val="00A843C6"/>
    <w:rsid w:val="00A84706"/>
    <w:rsid w:val="00A84812"/>
    <w:rsid w:val="00A84C9A"/>
    <w:rsid w:val="00A84CEA"/>
    <w:rsid w:val="00A84EA8"/>
    <w:rsid w:val="00A84F3A"/>
    <w:rsid w:val="00A853FF"/>
    <w:rsid w:val="00A85807"/>
    <w:rsid w:val="00A85931"/>
    <w:rsid w:val="00A8652A"/>
    <w:rsid w:val="00A86625"/>
    <w:rsid w:val="00A866CA"/>
    <w:rsid w:val="00A86995"/>
    <w:rsid w:val="00A86A61"/>
    <w:rsid w:val="00A87792"/>
    <w:rsid w:val="00A87919"/>
    <w:rsid w:val="00A87A66"/>
    <w:rsid w:val="00A87E60"/>
    <w:rsid w:val="00A90321"/>
    <w:rsid w:val="00A906AB"/>
    <w:rsid w:val="00A90746"/>
    <w:rsid w:val="00A90C31"/>
    <w:rsid w:val="00A90D0F"/>
    <w:rsid w:val="00A90DCC"/>
    <w:rsid w:val="00A91771"/>
    <w:rsid w:val="00A922FE"/>
    <w:rsid w:val="00A9264D"/>
    <w:rsid w:val="00A92C16"/>
    <w:rsid w:val="00A92DD0"/>
    <w:rsid w:val="00A92FAC"/>
    <w:rsid w:val="00A9306B"/>
    <w:rsid w:val="00A932E2"/>
    <w:rsid w:val="00A933F4"/>
    <w:rsid w:val="00A93416"/>
    <w:rsid w:val="00A934F3"/>
    <w:rsid w:val="00A936EB"/>
    <w:rsid w:val="00A93898"/>
    <w:rsid w:val="00A939CA"/>
    <w:rsid w:val="00A93A90"/>
    <w:rsid w:val="00A93E45"/>
    <w:rsid w:val="00A93F5C"/>
    <w:rsid w:val="00A9475C"/>
    <w:rsid w:val="00A94A94"/>
    <w:rsid w:val="00A94DEA"/>
    <w:rsid w:val="00A95055"/>
    <w:rsid w:val="00A95C25"/>
    <w:rsid w:val="00A95DA7"/>
    <w:rsid w:val="00A95E0D"/>
    <w:rsid w:val="00A96408"/>
    <w:rsid w:val="00A96702"/>
    <w:rsid w:val="00A96AFA"/>
    <w:rsid w:val="00A96DC4"/>
    <w:rsid w:val="00A97079"/>
    <w:rsid w:val="00A971B2"/>
    <w:rsid w:val="00A9727C"/>
    <w:rsid w:val="00A97816"/>
    <w:rsid w:val="00A97A5E"/>
    <w:rsid w:val="00A97C64"/>
    <w:rsid w:val="00AA0106"/>
    <w:rsid w:val="00AA06AC"/>
    <w:rsid w:val="00AA0835"/>
    <w:rsid w:val="00AA0A97"/>
    <w:rsid w:val="00AA0ACC"/>
    <w:rsid w:val="00AA0C7D"/>
    <w:rsid w:val="00AA0DC7"/>
    <w:rsid w:val="00AA0E7C"/>
    <w:rsid w:val="00AA0F2C"/>
    <w:rsid w:val="00AA11ED"/>
    <w:rsid w:val="00AA1796"/>
    <w:rsid w:val="00AA17F9"/>
    <w:rsid w:val="00AA21FC"/>
    <w:rsid w:val="00AA2327"/>
    <w:rsid w:val="00AA2372"/>
    <w:rsid w:val="00AA2467"/>
    <w:rsid w:val="00AA2A54"/>
    <w:rsid w:val="00AA2B02"/>
    <w:rsid w:val="00AA2F55"/>
    <w:rsid w:val="00AA33F4"/>
    <w:rsid w:val="00AA3490"/>
    <w:rsid w:val="00AA36D4"/>
    <w:rsid w:val="00AA3AE7"/>
    <w:rsid w:val="00AA3DA8"/>
    <w:rsid w:val="00AA3F27"/>
    <w:rsid w:val="00AA40AF"/>
    <w:rsid w:val="00AA41C5"/>
    <w:rsid w:val="00AA44A4"/>
    <w:rsid w:val="00AA4B27"/>
    <w:rsid w:val="00AA4DCD"/>
    <w:rsid w:val="00AA4DEA"/>
    <w:rsid w:val="00AA4E17"/>
    <w:rsid w:val="00AA52B3"/>
    <w:rsid w:val="00AA54EC"/>
    <w:rsid w:val="00AA5623"/>
    <w:rsid w:val="00AA6475"/>
    <w:rsid w:val="00AA64D2"/>
    <w:rsid w:val="00AA6510"/>
    <w:rsid w:val="00AA6AF5"/>
    <w:rsid w:val="00AA6C82"/>
    <w:rsid w:val="00AA6E10"/>
    <w:rsid w:val="00AA6E47"/>
    <w:rsid w:val="00AB015C"/>
    <w:rsid w:val="00AB0289"/>
    <w:rsid w:val="00AB03D2"/>
    <w:rsid w:val="00AB0AC0"/>
    <w:rsid w:val="00AB0AE3"/>
    <w:rsid w:val="00AB0F53"/>
    <w:rsid w:val="00AB0F98"/>
    <w:rsid w:val="00AB1258"/>
    <w:rsid w:val="00AB178E"/>
    <w:rsid w:val="00AB2187"/>
    <w:rsid w:val="00AB2B50"/>
    <w:rsid w:val="00AB30F5"/>
    <w:rsid w:val="00AB322C"/>
    <w:rsid w:val="00AB370C"/>
    <w:rsid w:val="00AB3AB9"/>
    <w:rsid w:val="00AB3D9D"/>
    <w:rsid w:val="00AB46DC"/>
    <w:rsid w:val="00AB4A5F"/>
    <w:rsid w:val="00AB4CB7"/>
    <w:rsid w:val="00AB5561"/>
    <w:rsid w:val="00AB55BA"/>
    <w:rsid w:val="00AB57BE"/>
    <w:rsid w:val="00AB5A8C"/>
    <w:rsid w:val="00AB5E4D"/>
    <w:rsid w:val="00AB5F29"/>
    <w:rsid w:val="00AB6302"/>
    <w:rsid w:val="00AB68C6"/>
    <w:rsid w:val="00AB6EEF"/>
    <w:rsid w:val="00AB6F70"/>
    <w:rsid w:val="00AB7024"/>
    <w:rsid w:val="00AB707D"/>
    <w:rsid w:val="00AB70CA"/>
    <w:rsid w:val="00AB74B5"/>
    <w:rsid w:val="00AB7CCA"/>
    <w:rsid w:val="00AB7DD6"/>
    <w:rsid w:val="00AB7E6D"/>
    <w:rsid w:val="00AC00BE"/>
    <w:rsid w:val="00AC00D7"/>
    <w:rsid w:val="00AC068E"/>
    <w:rsid w:val="00AC0CE5"/>
    <w:rsid w:val="00AC0DF4"/>
    <w:rsid w:val="00AC1136"/>
    <w:rsid w:val="00AC128A"/>
    <w:rsid w:val="00AC15C8"/>
    <w:rsid w:val="00AC19EC"/>
    <w:rsid w:val="00AC1AB4"/>
    <w:rsid w:val="00AC1B05"/>
    <w:rsid w:val="00AC20F0"/>
    <w:rsid w:val="00AC2194"/>
    <w:rsid w:val="00AC26E5"/>
    <w:rsid w:val="00AC28AD"/>
    <w:rsid w:val="00AC2C84"/>
    <w:rsid w:val="00AC323F"/>
    <w:rsid w:val="00AC38A1"/>
    <w:rsid w:val="00AC3A84"/>
    <w:rsid w:val="00AC3B2B"/>
    <w:rsid w:val="00AC3C98"/>
    <w:rsid w:val="00AC3F1E"/>
    <w:rsid w:val="00AC3F92"/>
    <w:rsid w:val="00AC4397"/>
    <w:rsid w:val="00AC4402"/>
    <w:rsid w:val="00AC4713"/>
    <w:rsid w:val="00AC4741"/>
    <w:rsid w:val="00AC51A8"/>
    <w:rsid w:val="00AC51DB"/>
    <w:rsid w:val="00AC54FA"/>
    <w:rsid w:val="00AC5594"/>
    <w:rsid w:val="00AC5649"/>
    <w:rsid w:val="00AC5D70"/>
    <w:rsid w:val="00AC5DE1"/>
    <w:rsid w:val="00AC5F64"/>
    <w:rsid w:val="00AC6181"/>
    <w:rsid w:val="00AC6211"/>
    <w:rsid w:val="00AC6E32"/>
    <w:rsid w:val="00AC74F3"/>
    <w:rsid w:val="00AC76B1"/>
    <w:rsid w:val="00AC7B3A"/>
    <w:rsid w:val="00AC7FE4"/>
    <w:rsid w:val="00AD0113"/>
    <w:rsid w:val="00AD033E"/>
    <w:rsid w:val="00AD07AB"/>
    <w:rsid w:val="00AD0968"/>
    <w:rsid w:val="00AD0CD2"/>
    <w:rsid w:val="00AD129C"/>
    <w:rsid w:val="00AD1387"/>
    <w:rsid w:val="00AD1B39"/>
    <w:rsid w:val="00AD1E0A"/>
    <w:rsid w:val="00AD1F43"/>
    <w:rsid w:val="00AD22A7"/>
    <w:rsid w:val="00AD22F6"/>
    <w:rsid w:val="00AD28A0"/>
    <w:rsid w:val="00AD2952"/>
    <w:rsid w:val="00AD2A2D"/>
    <w:rsid w:val="00AD2B89"/>
    <w:rsid w:val="00AD2D29"/>
    <w:rsid w:val="00AD2FDC"/>
    <w:rsid w:val="00AD30B7"/>
    <w:rsid w:val="00AD3490"/>
    <w:rsid w:val="00AD35D1"/>
    <w:rsid w:val="00AD3C16"/>
    <w:rsid w:val="00AD3E5C"/>
    <w:rsid w:val="00AD3F43"/>
    <w:rsid w:val="00AD3FCE"/>
    <w:rsid w:val="00AD4403"/>
    <w:rsid w:val="00AD48E9"/>
    <w:rsid w:val="00AD4A46"/>
    <w:rsid w:val="00AD4B3D"/>
    <w:rsid w:val="00AD4C91"/>
    <w:rsid w:val="00AD4DB4"/>
    <w:rsid w:val="00AD5055"/>
    <w:rsid w:val="00AD53D2"/>
    <w:rsid w:val="00AD54E0"/>
    <w:rsid w:val="00AD5504"/>
    <w:rsid w:val="00AD5811"/>
    <w:rsid w:val="00AD5839"/>
    <w:rsid w:val="00AD5A8F"/>
    <w:rsid w:val="00AD60A5"/>
    <w:rsid w:val="00AD65DE"/>
    <w:rsid w:val="00AD66D5"/>
    <w:rsid w:val="00AD6AEE"/>
    <w:rsid w:val="00AD6B50"/>
    <w:rsid w:val="00AD760C"/>
    <w:rsid w:val="00AD765D"/>
    <w:rsid w:val="00AD7C0A"/>
    <w:rsid w:val="00AD7D08"/>
    <w:rsid w:val="00AD7F1C"/>
    <w:rsid w:val="00AE0208"/>
    <w:rsid w:val="00AE0459"/>
    <w:rsid w:val="00AE05EE"/>
    <w:rsid w:val="00AE05F2"/>
    <w:rsid w:val="00AE0738"/>
    <w:rsid w:val="00AE0819"/>
    <w:rsid w:val="00AE0840"/>
    <w:rsid w:val="00AE0ACA"/>
    <w:rsid w:val="00AE0B3E"/>
    <w:rsid w:val="00AE10B9"/>
    <w:rsid w:val="00AE13B6"/>
    <w:rsid w:val="00AE18F3"/>
    <w:rsid w:val="00AE1A9A"/>
    <w:rsid w:val="00AE1EFE"/>
    <w:rsid w:val="00AE236A"/>
    <w:rsid w:val="00AE2458"/>
    <w:rsid w:val="00AE29FB"/>
    <w:rsid w:val="00AE2E30"/>
    <w:rsid w:val="00AE2E3B"/>
    <w:rsid w:val="00AE3771"/>
    <w:rsid w:val="00AE3779"/>
    <w:rsid w:val="00AE3897"/>
    <w:rsid w:val="00AE3EF1"/>
    <w:rsid w:val="00AE431E"/>
    <w:rsid w:val="00AE4597"/>
    <w:rsid w:val="00AE45F9"/>
    <w:rsid w:val="00AE487F"/>
    <w:rsid w:val="00AE5016"/>
    <w:rsid w:val="00AE508E"/>
    <w:rsid w:val="00AE56C1"/>
    <w:rsid w:val="00AE5BB7"/>
    <w:rsid w:val="00AE5CBE"/>
    <w:rsid w:val="00AE6144"/>
    <w:rsid w:val="00AE636F"/>
    <w:rsid w:val="00AE6721"/>
    <w:rsid w:val="00AE6918"/>
    <w:rsid w:val="00AE69E3"/>
    <w:rsid w:val="00AE6AAB"/>
    <w:rsid w:val="00AE6AE8"/>
    <w:rsid w:val="00AE6DAA"/>
    <w:rsid w:val="00AE6EF4"/>
    <w:rsid w:val="00AE7273"/>
    <w:rsid w:val="00AE72D1"/>
    <w:rsid w:val="00AE7431"/>
    <w:rsid w:val="00AE788F"/>
    <w:rsid w:val="00AE7BA9"/>
    <w:rsid w:val="00AE7D5A"/>
    <w:rsid w:val="00AE7F23"/>
    <w:rsid w:val="00AF050E"/>
    <w:rsid w:val="00AF05C8"/>
    <w:rsid w:val="00AF07F4"/>
    <w:rsid w:val="00AF0DEC"/>
    <w:rsid w:val="00AF0E24"/>
    <w:rsid w:val="00AF0E43"/>
    <w:rsid w:val="00AF1300"/>
    <w:rsid w:val="00AF2356"/>
    <w:rsid w:val="00AF2360"/>
    <w:rsid w:val="00AF2F27"/>
    <w:rsid w:val="00AF31CF"/>
    <w:rsid w:val="00AF3DAE"/>
    <w:rsid w:val="00AF3DF8"/>
    <w:rsid w:val="00AF420F"/>
    <w:rsid w:val="00AF4664"/>
    <w:rsid w:val="00AF496B"/>
    <w:rsid w:val="00AF51E5"/>
    <w:rsid w:val="00AF5599"/>
    <w:rsid w:val="00AF56F8"/>
    <w:rsid w:val="00AF575A"/>
    <w:rsid w:val="00AF58BF"/>
    <w:rsid w:val="00AF5A0A"/>
    <w:rsid w:val="00AF5F69"/>
    <w:rsid w:val="00AF5F6A"/>
    <w:rsid w:val="00AF6740"/>
    <w:rsid w:val="00AF6D62"/>
    <w:rsid w:val="00AF71C7"/>
    <w:rsid w:val="00AF741E"/>
    <w:rsid w:val="00AF7B43"/>
    <w:rsid w:val="00AF7D57"/>
    <w:rsid w:val="00B00010"/>
    <w:rsid w:val="00B000F3"/>
    <w:rsid w:val="00B00237"/>
    <w:rsid w:val="00B0029A"/>
    <w:rsid w:val="00B00473"/>
    <w:rsid w:val="00B005FB"/>
    <w:rsid w:val="00B00ADB"/>
    <w:rsid w:val="00B00E19"/>
    <w:rsid w:val="00B00F42"/>
    <w:rsid w:val="00B01234"/>
    <w:rsid w:val="00B01282"/>
    <w:rsid w:val="00B012A3"/>
    <w:rsid w:val="00B01391"/>
    <w:rsid w:val="00B01B26"/>
    <w:rsid w:val="00B01D82"/>
    <w:rsid w:val="00B0281E"/>
    <w:rsid w:val="00B02BEB"/>
    <w:rsid w:val="00B02E31"/>
    <w:rsid w:val="00B030E9"/>
    <w:rsid w:val="00B03537"/>
    <w:rsid w:val="00B03879"/>
    <w:rsid w:val="00B03BF7"/>
    <w:rsid w:val="00B046D5"/>
    <w:rsid w:val="00B048FE"/>
    <w:rsid w:val="00B04AF1"/>
    <w:rsid w:val="00B04BFA"/>
    <w:rsid w:val="00B04C22"/>
    <w:rsid w:val="00B05137"/>
    <w:rsid w:val="00B051CA"/>
    <w:rsid w:val="00B05481"/>
    <w:rsid w:val="00B0576D"/>
    <w:rsid w:val="00B05BF6"/>
    <w:rsid w:val="00B05CB3"/>
    <w:rsid w:val="00B05D7C"/>
    <w:rsid w:val="00B06B57"/>
    <w:rsid w:val="00B0708C"/>
    <w:rsid w:val="00B070B2"/>
    <w:rsid w:val="00B07341"/>
    <w:rsid w:val="00B07401"/>
    <w:rsid w:val="00B07645"/>
    <w:rsid w:val="00B07995"/>
    <w:rsid w:val="00B079B0"/>
    <w:rsid w:val="00B07BE5"/>
    <w:rsid w:val="00B07C2F"/>
    <w:rsid w:val="00B1025E"/>
    <w:rsid w:val="00B10629"/>
    <w:rsid w:val="00B10651"/>
    <w:rsid w:val="00B10BA1"/>
    <w:rsid w:val="00B10FDC"/>
    <w:rsid w:val="00B111B6"/>
    <w:rsid w:val="00B11534"/>
    <w:rsid w:val="00B115B4"/>
    <w:rsid w:val="00B11A83"/>
    <w:rsid w:val="00B11B3A"/>
    <w:rsid w:val="00B11B43"/>
    <w:rsid w:val="00B1220E"/>
    <w:rsid w:val="00B12281"/>
    <w:rsid w:val="00B12D6F"/>
    <w:rsid w:val="00B12E9B"/>
    <w:rsid w:val="00B1336A"/>
    <w:rsid w:val="00B1365C"/>
    <w:rsid w:val="00B13681"/>
    <w:rsid w:val="00B136B6"/>
    <w:rsid w:val="00B13A64"/>
    <w:rsid w:val="00B13C61"/>
    <w:rsid w:val="00B13D1E"/>
    <w:rsid w:val="00B13ECE"/>
    <w:rsid w:val="00B140F2"/>
    <w:rsid w:val="00B1425A"/>
    <w:rsid w:val="00B14404"/>
    <w:rsid w:val="00B146FC"/>
    <w:rsid w:val="00B15B2B"/>
    <w:rsid w:val="00B15C83"/>
    <w:rsid w:val="00B15F04"/>
    <w:rsid w:val="00B15FF7"/>
    <w:rsid w:val="00B16089"/>
    <w:rsid w:val="00B161E5"/>
    <w:rsid w:val="00B16890"/>
    <w:rsid w:val="00B169CC"/>
    <w:rsid w:val="00B16C7A"/>
    <w:rsid w:val="00B16DDB"/>
    <w:rsid w:val="00B17152"/>
    <w:rsid w:val="00B171B8"/>
    <w:rsid w:val="00B177F3"/>
    <w:rsid w:val="00B179A7"/>
    <w:rsid w:val="00B17B07"/>
    <w:rsid w:val="00B17D6E"/>
    <w:rsid w:val="00B2021D"/>
    <w:rsid w:val="00B20870"/>
    <w:rsid w:val="00B20A02"/>
    <w:rsid w:val="00B20FE2"/>
    <w:rsid w:val="00B2177E"/>
    <w:rsid w:val="00B217C8"/>
    <w:rsid w:val="00B217F7"/>
    <w:rsid w:val="00B21C0E"/>
    <w:rsid w:val="00B21DD2"/>
    <w:rsid w:val="00B21F99"/>
    <w:rsid w:val="00B22182"/>
    <w:rsid w:val="00B221CD"/>
    <w:rsid w:val="00B2293A"/>
    <w:rsid w:val="00B23186"/>
    <w:rsid w:val="00B235C6"/>
    <w:rsid w:val="00B23B43"/>
    <w:rsid w:val="00B23B93"/>
    <w:rsid w:val="00B23BB2"/>
    <w:rsid w:val="00B23F25"/>
    <w:rsid w:val="00B2403F"/>
    <w:rsid w:val="00B2412C"/>
    <w:rsid w:val="00B241A9"/>
    <w:rsid w:val="00B24418"/>
    <w:rsid w:val="00B249BF"/>
    <w:rsid w:val="00B24B8E"/>
    <w:rsid w:val="00B24DDA"/>
    <w:rsid w:val="00B2526E"/>
    <w:rsid w:val="00B255EF"/>
    <w:rsid w:val="00B25ADC"/>
    <w:rsid w:val="00B25F25"/>
    <w:rsid w:val="00B26036"/>
    <w:rsid w:val="00B261DA"/>
    <w:rsid w:val="00B26473"/>
    <w:rsid w:val="00B2680E"/>
    <w:rsid w:val="00B26BF5"/>
    <w:rsid w:val="00B272CB"/>
    <w:rsid w:val="00B2775E"/>
    <w:rsid w:val="00B278D0"/>
    <w:rsid w:val="00B27A12"/>
    <w:rsid w:val="00B27AAF"/>
    <w:rsid w:val="00B27AE2"/>
    <w:rsid w:val="00B27CF2"/>
    <w:rsid w:val="00B27F4F"/>
    <w:rsid w:val="00B302C7"/>
    <w:rsid w:val="00B30302"/>
    <w:rsid w:val="00B305A1"/>
    <w:rsid w:val="00B305E2"/>
    <w:rsid w:val="00B30AC7"/>
    <w:rsid w:val="00B3100A"/>
    <w:rsid w:val="00B3139D"/>
    <w:rsid w:val="00B313A8"/>
    <w:rsid w:val="00B31510"/>
    <w:rsid w:val="00B3153E"/>
    <w:rsid w:val="00B3158C"/>
    <w:rsid w:val="00B3167B"/>
    <w:rsid w:val="00B318AF"/>
    <w:rsid w:val="00B31DD2"/>
    <w:rsid w:val="00B3232E"/>
    <w:rsid w:val="00B32569"/>
    <w:rsid w:val="00B32603"/>
    <w:rsid w:val="00B32BC1"/>
    <w:rsid w:val="00B32FEE"/>
    <w:rsid w:val="00B331A9"/>
    <w:rsid w:val="00B334E7"/>
    <w:rsid w:val="00B33840"/>
    <w:rsid w:val="00B33B63"/>
    <w:rsid w:val="00B33D91"/>
    <w:rsid w:val="00B33E06"/>
    <w:rsid w:val="00B33E85"/>
    <w:rsid w:val="00B33EE6"/>
    <w:rsid w:val="00B33F86"/>
    <w:rsid w:val="00B33F8B"/>
    <w:rsid w:val="00B33FE9"/>
    <w:rsid w:val="00B3449C"/>
    <w:rsid w:val="00B344B8"/>
    <w:rsid w:val="00B345D4"/>
    <w:rsid w:val="00B34761"/>
    <w:rsid w:val="00B34846"/>
    <w:rsid w:val="00B3496F"/>
    <w:rsid w:val="00B34F8A"/>
    <w:rsid w:val="00B3501D"/>
    <w:rsid w:val="00B352B5"/>
    <w:rsid w:val="00B35788"/>
    <w:rsid w:val="00B359E2"/>
    <w:rsid w:val="00B35BB5"/>
    <w:rsid w:val="00B35D7B"/>
    <w:rsid w:val="00B35E95"/>
    <w:rsid w:val="00B36180"/>
    <w:rsid w:val="00B366B2"/>
    <w:rsid w:val="00B36CC2"/>
    <w:rsid w:val="00B36F34"/>
    <w:rsid w:val="00B371B1"/>
    <w:rsid w:val="00B37605"/>
    <w:rsid w:val="00B37666"/>
    <w:rsid w:val="00B377C3"/>
    <w:rsid w:val="00B37BDA"/>
    <w:rsid w:val="00B37C71"/>
    <w:rsid w:val="00B401E1"/>
    <w:rsid w:val="00B40711"/>
    <w:rsid w:val="00B40A77"/>
    <w:rsid w:val="00B40C5E"/>
    <w:rsid w:val="00B40CF8"/>
    <w:rsid w:val="00B4137F"/>
    <w:rsid w:val="00B4218D"/>
    <w:rsid w:val="00B42379"/>
    <w:rsid w:val="00B42C12"/>
    <w:rsid w:val="00B42C43"/>
    <w:rsid w:val="00B42CF7"/>
    <w:rsid w:val="00B4332F"/>
    <w:rsid w:val="00B43447"/>
    <w:rsid w:val="00B4387E"/>
    <w:rsid w:val="00B43DE9"/>
    <w:rsid w:val="00B446FC"/>
    <w:rsid w:val="00B44785"/>
    <w:rsid w:val="00B44F26"/>
    <w:rsid w:val="00B451FD"/>
    <w:rsid w:val="00B4563C"/>
    <w:rsid w:val="00B45665"/>
    <w:rsid w:val="00B457E2"/>
    <w:rsid w:val="00B457F2"/>
    <w:rsid w:val="00B45B21"/>
    <w:rsid w:val="00B46B6B"/>
    <w:rsid w:val="00B471A1"/>
    <w:rsid w:val="00B47B69"/>
    <w:rsid w:val="00B47D4E"/>
    <w:rsid w:val="00B47D76"/>
    <w:rsid w:val="00B47D93"/>
    <w:rsid w:val="00B5009C"/>
    <w:rsid w:val="00B50483"/>
    <w:rsid w:val="00B5072E"/>
    <w:rsid w:val="00B50A92"/>
    <w:rsid w:val="00B50C40"/>
    <w:rsid w:val="00B511ED"/>
    <w:rsid w:val="00B51CDB"/>
    <w:rsid w:val="00B51E8D"/>
    <w:rsid w:val="00B5222B"/>
    <w:rsid w:val="00B526A2"/>
    <w:rsid w:val="00B52818"/>
    <w:rsid w:val="00B52856"/>
    <w:rsid w:val="00B52FE7"/>
    <w:rsid w:val="00B530F9"/>
    <w:rsid w:val="00B531EE"/>
    <w:rsid w:val="00B539B7"/>
    <w:rsid w:val="00B53B18"/>
    <w:rsid w:val="00B53C84"/>
    <w:rsid w:val="00B54172"/>
    <w:rsid w:val="00B54CC8"/>
    <w:rsid w:val="00B558B4"/>
    <w:rsid w:val="00B558CD"/>
    <w:rsid w:val="00B55B6D"/>
    <w:rsid w:val="00B56106"/>
    <w:rsid w:val="00B56203"/>
    <w:rsid w:val="00B562BA"/>
    <w:rsid w:val="00B5631B"/>
    <w:rsid w:val="00B56464"/>
    <w:rsid w:val="00B564C3"/>
    <w:rsid w:val="00B56906"/>
    <w:rsid w:val="00B5724E"/>
    <w:rsid w:val="00B575E5"/>
    <w:rsid w:val="00B57C55"/>
    <w:rsid w:val="00B57DBD"/>
    <w:rsid w:val="00B57EC9"/>
    <w:rsid w:val="00B57ED3"/>
    <w:rsid w:val="00B60167"/>
    <w:rsid w:val="00B601D5"/>
    <w:rsid w:val="00B60665"/>
    <w:rsid w:val="00B60BB9"/>
    <w:rsid w:val="00B611F3"/>
    <w:rsid w:val="00B61261"/>
    <w:rsid w:val="00B6134B"/>
    <w:rsid w:val="00B619F4"/>
    <w:rsid w:val="00B61AF1"/>
    <w:rsid w:val="00B61DA2"/>
    <w:rsid w:val="00B61E9C"/>
    <w:rsid w:val="00B61F96"/>
    <w:rsid w:val="00B620BA"/>
    <w:rsid w:val="00B62110"/>
    <w:rsid w:val="00B62138"/>
    <w:rsid w:val="00B62499"/>
    <w:rsid w:val="00B6256F"/>
    <w:rsid w:val="00B6290A"/>
    <w:rsid w:val="00B62917"/>
    <w:rsid w:val="00B62A22"/>
    <w:rsid w:val="00B62B80"/>
    <w:rsid w:val="00B62BB1"/>
    <w:rsid w:val="00B637A5"/>
    <w:rsid w:val="00B63A3A"/>
    <w:rsid w:val="00B63F0C"/>
    <w:rsid w:val="00B63F4E"/>
    <w:rsid w:val="00B641A1"/>
    <w:rsid w:val="00B6424B"/>
    <w:rsid w:val="00B64581"/>
    <w:rsid w:val="00B64C06"/>
    <w:rsid w:val="00B64D63"/>
    <w:rsid w:val="00B6501F"/>
    <w:rsid w:val="00B65A72"/>
    <w:rsid w:val="00B65AD7"/>
    <w:rsid w:val="00B65DA3"/>
    <w:rsid w:val="00B65DC5"/>
    <w:rsid w:val="00B6626E"/>
    <w:rsid w:val="00B66398"/>
    <w:rsid w:val="00B67013"/>
    <w:rsid w:val="00B670A1"/>
    <w:rsid w:val="00B67200"/>
    <w:rsid w:val="00B6745C"/>
    <w:rsid w:val="00B67498"/>
    <w:rsid w:val="00B675E5"/>
    <w:rsid w:val="00B67900"/>
    <w:rsid w:val="00B67B2C"/>
    <w:rsid w:val="00B67BCB"/>
    <w:rsid w:val="00B67BE1"/>
    <w:rsid w:val="00B70B29"/>
    <w:rsid w:val="00B70CC7"/>
    <w:rsid w:val="00B71050"/>
    <w:rsid w:val="00B711BA"/>
    <w:rsid w:val="00B711E6"/>
    <w:rsid w:val="00B71252"/>
    <w:rsid w:val="00B7181F"/>
    <w:rsid w:val="00B71C5E"/>
    <w:rsid w:val="00B71F48"/>
    <w:rsid w:val="00B729A1"/>
    <w:rsid w:val="00B729DF"/>
    <w:rsid w:val="00B7302B"/>
    <w:rsid w:val="00B73098"/>
    <w:rsid w:val="00B73797"/>
    <w:rsid w:val="00B7381B"/>
    <w:rsid w:val="00B73A03"/>
    <w:rsid w:val="00B73D02"/>
    <w:rsid w:val="00B74378"/>
    <w:rsid w:val="00B7471D"/>
    <w:rsid w:val="00B74889"/>
    <w:rsid w:val="00B74C9E"/>
    <w:rsid w:val="00B75243"/>
    <w:rsid w:val="00B75537"/>
    <w:rsid w:val="00B75D03"/>
    <w:rsid w:val="00B760BB"/>
    <w:rsid w:val="00B764B7"/>
    <w:rsid w:val="00B767C8"/>
    <w:rsid w:val="00B76DF0"/>
    <w:rsid w:val="00B77626"/>
    <w:rsid w:val="00B77863"/>
    <w:rsid w:val="00B77A33"/>
    <w:rsid w:val="00B77A80"/>
    <w:rsid w:val="00B77C03"/>
    <w:rsid w:val="00B804B1"/>
    <w:rsid w:val="00B80654"/>
    <w:rsid w:val="00B80B08"/>
    <w:rsid w:val="00B80BA0"/>
    <w:rsid w:val="00B80C32"/>
    <w:rsid w:val="00B80E37"/>
    <w:rsid w:val="00B80EEC"/>
    <w:rsid w:val="00B81097"/>
    <w:rsid w:val="00B8174D"/>
    <w:rsid w:val="00B81969"/>
    <w:rsid w:val="00B824B4"/>
    <w:rsid w:val="00B828A0"/>
    <w:rsid w:val="00B82A21"/>
    <w:rsid w:val="00B82DE7"/>
    <w:rsid w:val="00B82EA2"/>
    <w:rsid w:val="00B8321F"/>
    <w:rsid w:val="00B837FA"/>
    <w:rsid w:val="00B8401C"/>
    <w:rsid w:val="00B841D6"/>
    <w:rsid w:val="00B841EB"/>
    <w:rsid w:val="00B8438C"/>
    <w:rsid w:val="00B8454B"/>
    <w:rsid w:val="00B846A0"/>
    <w:rsid w:val="00B848D2"/>
    <w:rsid w:val="00B8496E"/>
    <w:rsid w:val="00B849D1"/>
    <w:rsid w:val="00B84ACB"/>
    <w:rsid w:val="00B84B3D"/>
    <w:rsid w:val="00B8580D"/>
    <w:rsid w:val="00B8591F"/>
    <w:rsid w:val="00B85ADF"/>
    <w:rsid w:val="00B8623F"/>
    <w:rsid w:val="00B86F2F"/>
    <w:rsid w:val="00B86F83"/>
    <w:rsid w:val="00B87555"/>
    <w:rsid w:val="00B878C2"/>
    <w:rsid w:val="00B87FDA"/>
    <w:rsid w:val="00B900C8"/>
    <w:rsid w:val="00B90174"/>
    <w:rsid w:val="00B902AF"/>
    <w:rsid w:val="00B9035A"/>
    <w:rsid w:val="00B903A3"/>
    <w:rsid w:val="00B9042D"/>
    <w:rsid w:val="00B904EF"/>
    <w:rsid w:val="00B905F5"/>
    <w:rsid w:val="00B90B94"/>
    <w:rsid w:val="00B913B7"/>
    <w:rsid w:val="00B916A2"/>
    <w:rsid w:val="00B91C4D"/>
    <w:rsid w:val="00B92161"/>
    <w:rsid w:val="00B923A5"/>
    <w:rsid w:val="00B923D0"/>
    <w:rsid w:val="00B925A7"/>
    <w:rsid w:val="00B92C19"/>
    <w:rsid w:val="00B92D8A"/>
    <w:rsid w:val="00B93426"/>
    <w:rsid w:val="00B9368B"/>
    <w:rsid w:val="00B93CB4"/>
    <w:rsid w:val="00B93E74"/>
    <w:rsid w:val="00B93F47"/>
    <w:rsid w:val="00B940A2"/>
    <w:rsid w:val="00B94189"/>
    <w:rsid w:val="00B94578"/>
    <w:rsid w:val="00B94BBC"/>
    <w:rsid w:val="00B95032"/>
    <w:rsid w:val="00B9517C"/>
    <w:rsid w:val="00B9538B"/>
    <w:rsid w:val="00B9540F"/>
    <w:rsid w:val="00B956FC"/>
    <w:rsid w:val="00B958C9"/>
    <w:rsid w:val="00B967EE"/>
    <w:rsid w:val="00B96B41"/>
    <w:rsid w:val="00B96C30"/>
    <w:rsid w:val="00B9703E"/>
    <w:rsid w:val="00B9723E"/>
    <w:rsid w:val="00B97449"/>
    <w:rsid w:val="00B97A7B"/>
    <w:rsid w:val="00B97FA0"/>
    <w:rsid w:val="00BA0594"/>
    <w:rsid w:val="00BA09A7"/>
    <w:rsid w:val="00BA0B36"/>
    <w:rsid w:val="00BA0D42"/>
    <w:rsid w:val="00BA1BEC"/>
    <w:rsid w:val="00BA1F07"/>
    <w:rsid w:val="00BA28D2"/>
    <w:rsid w:val="00BA2954"/>
    <w:rsid w:val="00BA2AA5"/>
    <w:rsid w:val="00BA2C58"/>
    <w:rsid w:val="00BA331F"/>
    <w:rsid w:val="00BA3537"/>
    <w:rsid w:val="00BA378A"/>
    <w:rsid w:val="00BA3ACE"/>
    <w:rsid w:val="00BA4518"/>
    <w:rsid w:val="00BA4776"/>
    <w:rsid w:val="00BA49EF"/>
    <w:rsid w:val="00BA5106"/>
    <w:rsid w:val="00BA56A3"/>
    <w:rsid w:val="00BA5A64"/>
    <w:rsid w:val="00BA5D7B"/>
    <w:rsid w:val="00BA64B9"/>
    <w:rsid w:val="00BA65A9"/>
    <w:rsid w:val="00BA7084"/>
    <w:rsid w:val="00BA72DD"/>
    <w:rsid w:val="00BA7D0C"/>
    <w:rsid w:val="00BA7DD7"/>
    <w:rsid w:val="00BB0607"/>
    <w:rsid w:val="00BB0AE9"/>
    <w:rsid w:val="00BB11CD"/>
    <w:rsid w:val="00BB1361"/>
    <w:rsid w:val="00BB161E"/>
    <w:rsid w:val="00BB1BE5"/>
    <w:rsid w:val="00BB1F0D"/>
    <w:rsid w:val="00BB2293"/>
    <w:rsid w:val="00BB28EB"/>
    <w:rsid w:val="00BB2C7C"/>
    <w:rsid w:val="00BB2D4F"/>
    <w:rsid w:val="00BB2DC3"/>
    <w:rsid w:val="00BB2E4F"/>
    <w:rsid w:val="00BB2FCC"/>
    <w:rsid w:val="00BB3008"/>
    <w:rsid w:val="00BB3014"/>
    <w:rsid w:val="00BB3153"/>
    <w:rsid w:val="00BB3155"/>
    <w:rsid w:val="00BB319D"/>
    <w:rsid w:val="00BB37FB"/>
    <w:rsid w:val="00BB383C"/>
    <w:rsid w:val="00BB3E94"/>
    <w:rsid w:val="00BB455A"/>
    <w:rsid w:val="00BB46C6"/>
    <w:rsid w:val="00BB4819"/>
    <w:rsid w:val="00BB4937"/>
    <w:rsid w:val="00BB4A6F"/>
    <w:rsid w:val="00BB4D33"/>
    <w:rsid w:val="00BB5487"/>
    <w:rsid w:val="00BB5712"/>
    <w:rsid w:val="00BB5D70"/>
    <w:rsid w:val="00BB5DC3"/>
    <w:rsid w:val="00BB60C8"/>
    <w:rsid w:val="00BB6C12"/>
    <w:rsid w:val="00BB732A"/>
    <w:rsid w:val="00BB742A"/>
    <w:rsid w:val="00BB7713"/>
    <w:rsid w:val="00BB7801"/>
    <w:rsid w:val="00BB7C8C"/>
    <w:rsid w:val="00BC000C"/>
    <w:rsid w:val="00BC05D1"/>
    <w:rsid w:val="00BC0615"/>
    <w:rsid w:val="00BC0B3F"/>
    <w:rsid w:val="00BC0BDC"/>
    <w:rsid w:val="00BC0C17"/>
    <w:rsid w:val="00BC0EF0"/>
    <w:rsid w:val="00BC11AE"/>
    <w:rsid w:val="00BC1262"/>
    <w:rsid w:val="00BC1632"/>
    <w:rsid w:val="00BC1705"/>
    <w:rsid w:val="00BC18D6"/>
    <w:rsid w:val="00BC1C20"/>
    <w:rsid w:val="00BC1D70"/>
    <w:rsid w:val="00BC268D"/>
    <w:rsid w:val="00BC279D"/>
    <w:rsid w:val="00BC2A27"/>
    <w:rsid w:val="00BC2C57"/>
    <w:rsid w:val="00BC2CCB"/>
    <w:rsid w:val="00BC2F15"/>
    <w:rsid w:val="00BC33F8"/>
    <w:rsid w:val="00BC3427"/>
    <w:rsid w:val="00BC3B04"/>
    <w:rsid w:val="00BC3CF7"/>
    <w:rsid w:val="00BC3EF3"/>
    <w:rsid w:val="00BC4138"/>
    <w:rsid w:val="00BC460D"/>
    <w:rsid w:val="00BC4622"/>
    <w:rsid w:val="00BC4707"/>
    <w:rsid w:val="00BC471F"/>
    <w:rsid w:val="00BC4BD8"/>
    <w:rsid w:val="00BC4CEF"/>
    <w:rsid w:val="00BC4DBA"/>
    <w:rsid w:val="00BC4E1D"/>
    <w:rsid w:val="00BC4F7C"/>
    <w:rsid w:val="00BC545F"/>
    <w:rsid w:val="00BC5D1D"/>
    <w:rsid w:val="00BC5EEC"/>
    <w:rsid w:val="00BC61A4"/>
    <w:rsid w:val="00BC6275"/>
    <w:rsid w:val="00BC6388"/>
    <w:rsid w:val="00BC63DC"/>
    <w:rsid w:val="00BC6545"/>
    <w:rsid w:val="00BC6595"/>
    <w:rsid w:val="00BC65F0"/>
    <w:rsid w:val="00BC685D"/>
    <w:rsid w:val="00BC69F8"/>
    <w:rsid w:val="00BC6A3B"/>
    <w:rsid w:val="00BC6D54"/>
    <w:rsid w:val="00BC7075"/>
    <w:rsid w:val="00BC71C6"/>
    <w:rsid w:val="00BC748B"/>
    <w:rsid w:val="00BC74A5"/>
    <w:rsid w:val="00BC79B7"/>
    <w:rsid w:val="00BC7D83"/>
    <w:rsid w:val="00BC7F2C"/>
    <w:rsid w:val="00BD036B"/>
    <w:rsid w:val="00BD05BF"/>
    <w:rsid w:val="00BD08B6"/>
    <w:rsid w:val="00BD0901"/>
    <w:rsid w:val="00BD11B3"/>
    <w:rsid w:val="00BD1997"/>
    <w:rsid w:val="00BD1B47"/>
    <w:rsid w:val="00BD22F9"/>
    <w:rsid w:val="00BD2897"/>
    <w:rsid w:val="00BD2AA1"/>
    <w:rsid w:val="00BD2BE5"/>
    <w:rsid w:val="00BD2E1C"/>
    <w:rsid w:val="00BD30CC"/>
    <w:rsid w:val="00BD32C2"/>
    <w:rsid w:val="00BD3450"/>
    <w:rsid w:val="00BD3B01"/>
    <w:rsid w:val="00BD4236"/>
    <w:rsid w:val="00BD49C5"/>
    <w:rsid w:val="00BD4C55"/>
    <w:rsid w:val="00BD5263"/>
    <w:rsid w:val="00BD5914"/>
    <w:rsid w:val="00BD5F69"/>
    <w:rsid w:val="00BD640F"/>
    <w:rsid w:val="00BD6574"/>
    <w:rsid w:val="00BD6ECE"/>
    <w:rsid w:val="00BD743E"/>
    <w:rsid w:val="00BD74C6"/>
    <w:rsid w:val="00BD7A8F"/>
    <w:rsid w:val="00BD7BA0"/>
    <w:rsid w:val="00BE012E"/>
    <w:rsid w:val="00BE02CD"/>
    <w:rsid w:val="00BE03CA"/>
    <w:rsid w:val="00BE0655"/>
    <w:rsid w:val="00BE0E0E"/>
    <w:rsid w:val="00BE11C7"/>
    <w:rsid w:val="00BE1CF0"/>
    <w:rsid w:val="00BE1E09"/>
    <w:rsid w:val="00BE231B"/>
    <w:rsid w:val="00BE2438"/>
    <w:rsid w:val="00BE2849"/>
    <w:rsid w:val="00BE28C7"/>
    <w:rsid w:val="00BE3093"/>
    <w:rsid w:val="00BE3190"/>
    <w:rsid w:val="00BE3225"/>
    <w:rsid w:val="00BE3517"/>
    <w:rsid w:val="00BE35D5"/>
    <w:rsid w:val="00BE3B38"/>
    <w:rsid w:val="00BE3CF4"/>
    <w:rsid w:val="00BE4096"/>
    <w:rsid w:val="00BE43BB"/>
    <w:rsid w:val="00BE46CE"/>
    <w:rsid w:val="00BE4C76"/>
    <w:rsid w:val="00BE4CB8"/>
    <w:rsid w:val="00BE4D95"/>
    <w:rsid w:val="00BE4F13"/>
    <w:rsid w:val="00BE5D26"/>
    <w:rsid w:val="00BE5DB1"/>
    <w:rsid w:val="00BE5F49"/>
    <w:rsid w:val="00BE6181"/>
    <w:rsid w:val="00BE61B4"/>
    <w:rsid w:val="00BE61D3"/>
    <w:rsid w:val="00BE638A"/>
    <w:rsid w:val="00BE6658"/>
    <w:rsid w:val="00BE6711"/>
    <w:rsid w:val="00BE6788"/>
    <w:rsid w:val="00BE6C6E"/>
    <w:rsid w:val="00BE6EEF"/>
    <w:rsid w:val="00BE715F"/>
    <w:rsid w:val="00BE75C6"/>
    <w:rsid w:val="00BE793C"/>
    <w:rsid w:val="00BE79AF"/>
    <w:rsid w:val="00BE7D4B"/>
    <w:rsid w:val="00BF00E9"/>
    <w:rsid w:val="00BF0189"/>
    <w:rsid w:val="00BF0E6C"/>
    <w:rsid w:val="00BF10AF"/>
    <w:rsid w:val="00BF1146"/>
    <w:rsid w:val="00BF1263"/>
    <w:rsid w:val="00BF1426"/>
    <w:rsid w:val="00BF14F9"/>
    <w:rsid w:val="00BF1B51"/>
    <w:rsid w:val="00BF1BD7"/>
    <w:rsid w:val="00BF1E70"/>
    <w:rsid w:val="00BF2394"/>
    <w:rsid w:val="00BF2F47"/>
    <w:rsid w:val="00BF2F58"/>
    <w:rsid w:val="00BF321A"/>
    <w:rsid w:val="00BF35DF"/>
    <w:rsid w:val="00BF37C5"/>
    <w:rsid w:val="00BF3897"/>
    <w:rsid w:val="00BF3D20"/>
    <w:rsid w:val="00BF3DFD"/>
    <w:rsid w:val="00BF3E27"/>
    <w:rsid w:val="00BF3F57"/>
    <w:rsid w:val="00BF4056"/>
    <w:rsid w:val="00BF41D1"/>
    <w:rsid w:val="00BF4701"/>
    <w:rsid w:val="00BF47ED"/>
    <w:rsid w:val="00BF48D9"/>
    <w:rsid w:val="00BF4908"/>
    <w:rsid w:val="00BF4B2B"/>
    <w:rsid w:val="00BF4C0F"/>
    <w:rsid w:val="00BF51C9"/>
    <w:rsid w:val="00BF52A0"/>
    <w:rsid w:val="00BF54D9"/>
    <w:rsid w:val="00BF5585"/>
    <w:rsid w:val="00BF5D98"/>
    <w:rsid w:val="00BF5EAF"/>
    <w:rsid w:val="00BF6C1C"/>
    <w:rsid w:val="00BF6F00"/>
    <w:rsid w:val="00BF751B"/>
    <w:rsid w:val="00BF752B"/>
    <w:rsid w:val="00BF755B"/>
    <w:rsid w:val="00BF7788"/>
    <w:rsid w:val="00BF7C91"/>
    <w:rsid w:val="00C00C0F"/>
    <w:rsid w:val="00C00CEF"/>
    <w:rsid w:val="00C00FEC"/>
    <w:rsid w:val="00C0100A"/>
    <w:rsid w:val="00C013C4"/>
    <w:rsid w:val="00C016BD"/>
    <w:rsid w:val="00C017F4"/>
    <w:rsid w:val="00C01CEF"/>
    <w:rsid w:val="00C01FB1"/>
    <w:rsid w:val="00C0298C"/>
    <w:rsid w:val="00C02DB3"/>
    <w:rsid w:val="00C02E7A"/>
    <w:rsid w:val="00C02F3C"/>
    <w:rsid w:val="00C0332F"/>
    <w:rsid w:val="00C03466"/>
    <w:rsid w:val="00C0380C"/>
    <w:rsid w:val="00C03ADC"/>
    <w:rsid w:val="00C03D6F"/>
    <w:rsid w:val="00C03E2F"/>
    <w:rsid w:val="00C03E62"/>
    <w:rsid w:val="00C03F00"/>
    <w:rsid w:val="00C03F44"/>
    <w:rsid w:val="00C041DA"/>
    <w:rsid w:val="00C0438C"/>
    <w:rsid w:val="00C0484D"/>
    <w:rsid w:val="00C04BF9"/>
    <w:rsid w:val="00C04C63"/>
    <w:rsid w:val="00C05069"/>
    <w:rsid w:val="00C051AF"/>
    <w:rsid w:val="00C05995"/>
    <w:rsid w:val="00C05BE2"/>
    <w:rsid w:val="00C06143"/>
    <w:rsid w:val="00C0622C"/>
    <w:rsid w:val="00C06270"/>
    <w:rsid w:val="00C06647"/>
    <w:rsid w:val="00C06F0B"/>
    <w:rsid w:val="00C07224"/>
    <w:rsid w:val="00C0742B"/>
    <w:rsid w:val="00C076BE"/>
    <w:rsid w:val="00C07724"/>
    <w:rsid w:val="00C079B5"/>
    <w:rsid w:val="00C07A3A"/>
    <w:rsid w:val="00C10050"/>
    <w:rsid w:val="00C1055B"/>
    <w:rsid w:val="00C105E9"/>
    <w:rsid w:val="00C11529"/>
    <w:rsid w:val="00C11580"/>
    <w:rsid w:val="00C11724"/>
    <w:rsid w:val="00C11DDE"/>
    <w:rsid w:val="00C120B3"/>
    <w:rsid w:val="00C1212C"/>
    <w:rsid w:val="00C122E3"/>
    <w:rsid w:val="00C12399"/>
    <w:rsid w:val="00C12405"/>
    <w:rsid w:val="00C125A9"/>
    <w:rsid w:val="00C12EDF"/>
    <w:rsid w:val="00C12FD7"/>
    <w:rsid w:val="00C13142"/>
    <w:rsid w:val="00C13290"/>
    <w:rsid w:val="00C13984"/>
    <w:rsid w:val="00C13A9C"/>
    <w:rsid w:val="00C146A7"/>
    <w:rsid w:val="00C14948"/>
    <w:rsid w:val="00C14F6D"/>
    <w:rsid w:val="00C1500E"/>
    <w:rsid w:val="00C151F8"/>
    <w:rsid w:val="00C15369"/>
    <w:rsid w:val="00C15407"/>
    <w:rsid w:val="00C15C77"/>
    <w:rsid w:val="00C15D6E"/>
    <w:rsid w:val="00C16571"/>
    <w:rsid w:val="00C16663"/>
    <w:rsid w:val="00C167E1"/>
    <w:rsid w:val="00C1696F"/>
    <w:rsid w:val="00C16D12"/>
    <w:rsid w:val="00C16FA8"/>
    <w:rsid w:val="00C172BE"/>
    <w:rsid w:val="00C173BE"/>
    <w:rsid w:val="00C17B4F"/>
    <w:rsid w:val="00C17B8D"/>
    <w:rsid w:val="00C20113"/>
    <w:rsid w:val="00C201F8"/>
    <w:rsid w:val="00C20376"/>
    <w:rsid w:val="00C20723"/>
    <w:rsid w:val="00C20752"/>
    <w:rsid w:val="00C2086B"/>
    <w:rsid w:val="00C20957"/>
    <w:rsid w:val="00C20A44"/>
    <w:rsid w:val="00C20BDE"/>
    <w:rsid w:val="00C20F25"/>
    <w:rsid w:val="00C20F53"/>
    <w:rsid w:val="00C21204"/>
    <w:rsid w:val="00C21235"/>
    <w:rsid w:val="00C213E2"/>
    <w:rsid w:val="00C21771"/>
    <w:rsid w:val="00C21AA4"/>
    <w:rsid w:val="00C21B3E"/>
    <w:rsid w:val="00C21CCF"/>
    <w:rsid w:val="00C21D1E"/>
    <w:rsid w:val="00C21E1F"/>
    <w:rsid w:val="00C21E78"/>
    <w:rsid w:val="00C22A2F"/>
    <w:rsid w:val="00C22BDD"/>
    <w:rsid w:val="00C22CD8"/>
    <w:rsid w:val="00C22CE8"/>
    <w:rsid w:val="00C234C6"/>
    <w:rsid w:val="00C23A2A"/>
    <w:rsid w:val="00C23C74"/>
    <w:rsid w:val="00C24000"/>
    <w:rsid w:val="00C24235"/>
    <w:rsid w:val="00C24259"/>
    <w:rsid w:val="00C242BC"/>
    <w:rsid w:val="00C24A0C"/>
    <w:rsid w:val="00C24E24"/>
    <w:rsid w:val="00C25D5B"/>
    <w:rsid w:val="00C25F6B"/>
    <w:rsid w:val="00C25F93"/>
    <w:rsid w:val="00C261CF"/>
    <w:rsid w:val="00C261D1"/>
    <w:rsid w:val="00C261FF"/>
    <w:rsid w:val="00C264D0"/>
    <w:rsid w:val="00C266C5"/>
    <w:rsid w:val="00C26A35"/>
    <w:rsid w:val="00C26CB4"/>
    <w:rsid w:val="00C26D3D"/>
    <w:rsid w:val="00C26DA9"/>
    <w:rsid w:val="00C26FF2"/>
    <w:rsid w:val="00C2723A"/>
    <w:rsid w:val="00C272B8"/>
    <w:rsid w:val="00C3028F"/>
    <w:rsid w:val="00C30453"/>
    <w:rsid w:val="00C30813"/>
    <w:rsid w:val="00C30BE9"/>
    <w:rsid w:val="00C30D4E"/>
    <w:rsid w:val="00C30F14"/>
    <w:rsid w:val="00C31333"/>
    <w:rsid w:val="00C316CE"/>
    <w:rsid w:val="00C31F66"/>
    <w:rsid w:val="00C32072"/>
    <w:rsid w:val="00C321F1"/>
    <w:rsid w:val="00C3266F"/>
    <w:rsid w:val="00C32BB1"/>
    <w:rsid w:val="00C32EF6"/>
    <w:rsid w:val="00C33366"/>
    <w:rsid w:val="00C33569"/>
    <w:rsid w:val="00C33807"/>
    <w:rsid w:val="00C3396B"/>
    <w:rsid w:val="00C33D4F"/>
    <w:rsid w:val="00C3438D"/>
    <w:rsid w:val="00C34913"/>
    <w:rsid w:val="00C34DF9"/>
    <w:rsid w:val="00C34EE5"/>
    <w:rsid w:val="00C34F31"/>
    <w:rsid w:val="00C350BB"/>
    <w:rsid w:val="00C3525D"/>
    <w:rsid w:val="00C35544"/>
    <w:rsid w:val="00C35A53"/>
    <w:rsid w:val="00C35DD6"/>
    <w:rsid w:val="00C35EC7"/>
    <w:rsid w:val="00C36073"/>
    <w:rsid w:val="00C36147"/>
    <w:rsid w:val="00C362BE"/>
    <w:rsid w:val="00C36300"/>
    <w:rsid w:val="00C36492"/>
    <w:rsid w:val="00C36753"/>
    <w:rsid w:val="00C367A7"/>
    <w:rsid w:val="00C368D5"/>
    <w:rsid w:val="00C3692D"/>
    <w:rsid w:val="00C36DD6"/>
    <w:rsid w:val="00C36FA4"/>
    <w:rsid w:val="00C37052"/>
    <w:rsid w:val="00C37B6F"/>
    <w:rsid w:val="00C37E13"/>
    <w:rsid w:val="00C404AE"/>
    <w:rsid w:val="00C40588"/>
    <w:rsid w:val="00C410F0"/>
    <w:rsid w:val="00C41107"/>
    <w:rsid w:val="00C411D0"/>
    <w:rsid w:val="00C4123B"/>
    <w:rsid w:val="00C415AC"/>
    <w:rsid w:val="00C41B0F"/>
    <w:rsid w:val="00C422B1"/>
    <w:rsid w:val="00C42398"/>
    <w:rsid w:val="00C42643"/>
    <w:rsid w:val="00C42AC6"/>
    <w:rsid w:val="00C42AD8"/>
    <w:rsid w:val="00C42DF4"/>
    <w:rsid w:val="00C42EC2"/>
    <w:rsid w:val="00C43394"/>
    <w:rsid w:val="00C4339C"/>
    <w:rsid w:val="00C43668"/>
    <w:rsid w:val="00C43690"/>
    <w:rsid w:val="00C4374F"/>
    <w:rsid w:val="00C43E8A"/>
    <w:rsid w:val="00C43EFF"/>
    <w:rsid w:val="00C440ED"/>
    <w:rsid w:val="00C44146"/>
    <w:rsid w:val="00C4435A"/>
    <w:rsid w:val="00C444BB"/>
    <w:rsid w:val="00C444FF"/>
    <w:rsid w:val="00C44CE1"/>
    <w:rsid w:val="00C44CEA"/>
    <w:rsid w:val="00C44F40"/>
    <w:rsid w:val="00C452BF"/>
    <w:rsid w:val="00C45425"/>
    <w:rsid w:val="00C45600"/>
    <w:rsid w:val="00C45C70"/>
    <w:rsid w:val="00C4613D"/>
    <w:rsid w:val="00C4622D"/>
    <w:rsid w:val="00C462F1"/>
    <w:rsid w:val="00C46592"/>
    <w:rsid w:val="00C46718"/>
    <w:rsid w:val="00C46D33"/>
    <w:rsid w:val="00C47162"/>
    <w:rsid w:val="00C478AF"/>
    <w:rsid w:val="00C47961"/>
    <w:rsid w:val="00C47B4A"/>
    <w:rsid w:val="00C50CFD"/>
    <w:rsid w:val="00C50D1A"/>
    <w:rsid w:val="00C50F0B"/>
    <w:rsid w:val="00C50F2E"/>
    <w:rsid w:val="00C51290"/>
    <w:rsid w:val="00C51993"/>
    <w:rsid w:val="00C51DFF"/>
    <w:rsid w:val="00C521E7"/>
    <w:rsid w:val="00C5221D"/>
    <w:rsid w:val="00C52657"/>
    <w:rsid w:val="00C52AF5"/>
    <w:rsid w:val="00C530E4"/>
    <w:rsid w:val="00C5351A"/>
    <w:rsid w:val="00C537F4"/>
    <w:rsid w:val="00C5382A"/>
    <w:rsid w:val="00C53953"/>
    <w:rsid w:val="00C53BFA"/>
    <w:rsid w:val="00C53FE4"/>
    <w:rsid w:val="00C54BD8"/>
    <w:rsid w:val="00C54D1A"/>
    <w:rsid w:val="00C54E65"/>
    <w:rsid w:val="00C55359"/>
    <w:rsid w:val="00C55523"/>
    <w:rsid w:val="00C55CE3"/>
    <w:rsid w:val="00C55E57"/>
    <w:rsid w:val="00C55F84"/>
    <w:rsid w:val="00C565C5"/>
    <w:rsid w:val="00C56844"/>
    <w:rsid w:val="00C56B97"/>
    <w:rsid w:val="00C56C64"/>
    <w:rsid w:val="00C56F53"/>
    <w:rsid w:val="00C570D2"/>
    <w:rsid w:val="00C5714C"/>
    <w:rsid w:val="00C57371"/>
    <w:rsid w:val="00C575E7"/>
    <w:rsid w:val="00C607A8"/>
    <w:rsid w:val="00C609CF"/>
    <w:rsid w:val="00C60FA1"/>
    <w:rsid w:val="00C61344"/>
    <w:rsid w:val="00C613D2"/>
    <w:rsid w:val="00C6149F"/>
    <w:rsid w:val="00C614CB"/>
    <w:rsid w:val="00C614DE"/>
    <w:rsid w:val="00C6183D"/>
    <w:rsid w:val="00C61CDB"/>
    <w:rsid w:val="00C6218D"/>
    <w:rsid w:val="00C622BA"/>
    <w:rsid w:val="00C62A09"/>
    <w:rsid w:val="00C62E58"/>
    <w:rsid w:val="00C62F4B"/>
    <w:rsid w:val="00C6308D"/>
    <w:rsid w:val="00C631B7"/>
    <w:rsid w:val="00C63510"/>
    <w:rsid w:val="00C63904"/>
    <w:rsid w:val="00C63963"/>
    <w:rsid w:val="00C63C36"/>
    <w:rsid w:val="00C63FCB"/>
    <w:rsid w:val="00C64D9F"/>
    <w:rsid w:val="00C64E17"/>
    <w:rsid w:val="00C6520E"/>
    <w:rsid w:val="00C652A6"/>
    <w:rsid w:val="00C65565"/>
    <w:rsid w:val="00C65998"/>
    <w:rsid w:val="00C65BD6"/>
    <w:rsid w:val="00C65E7A"/>
    <w:rsid w:val="00C65EA7"/>
    <w:rsid w:val="00C65F13"/>
    <w:rsid w:val="00C65FDC"/>
    <w:rsid w:val="00C662E2"/>
    <w:rsid w:val="00C6659D"/>
    <w:rsid w:val="00C665F1"/>
    <w:rsid w:val="00C66823"/>
    <w:rsid w:val="00C66ADF"/>
    <w:rsid w:val="00C66BF0"/>
    <w:rsid w:val="00C67318"/>
    <w:rsid w:val="00C67836"/>
    <w:rsid w:val="00C678BB"/>
    <w:rsid w:val="00C67EE7"/>
    <w:rsid w:val="00C70230"/>
    <w:rsid w:val="00C70AF0"/>
    <w:rsid w:val="00C70B45"/>
    <w:rsid w:val="00C71591"/>
    <w:rsid w:val="00C716F3"/>
    <w:rsid w:val="00C717C0"/>
    <w:rsid w:val="00C719A0"/>
    <w:rsid w:val="00C71D03"/>
    <w:rsid w:val="00C71DE9"/>
    <w:rsid w:val="00C71FE6"/>
    <w:rsid w:val="00C71FED"/>
    <w:rsid w:val="00C72192"/>
    <w:rsid w:val="00C7231A"/>
    <w:rsid w:val="00C7266A"/>
    <w:rsid w:val="00C72CF9"/>
    <w:rsid w:val="00C731AC"/>
    <w:rsid w:val="00C731C7"/>
    <w:rsid w:val="00C7342F"/>
    <w:rsid w:val="00C73918"/>
    <w:rsid w:val="00C73A61"/>
    <w:rsid w:val="00C73CC4"/>
    <w:rsid w:val="00C74103"/>
    <w:rsid w:val="00C741EF"/>
    <w:rsid w:val="00C7452A"/>
    <w:rsid w:val="00C747BD"/>
    <w:rsid w:val="00C74DF4"/>
    <w:rsid w:val="00C753D8"/>
    <w:rsid w:val="00C757C4"/>
    <w:rsid w:val="00C75C06"/>
    <w:rsid w:val="00C75D73"/>
    <w:rsid w:val="00C75ECD"/>
    <w:rsid w:val="00C75F90"/>
    <w:rsid w:val="00C76702"/>
    <w:rsid w:val="00C76B97"/>
    <w:rsid w:val="00C76C6C"/>
    <w:rsid w:val="00C76D95"/>
    <w:rsid w:val="00C7790D"/>
    <w:rsid w:val="00C77956"/>
    <w:rsid w:val="00C77EB5"/>
    <w:rsid w:val="00C800A0"/>
    <w:rsid w:val="00C80917"/>
    <w:rsid w:val="00C809DA"/>
    <w:rsid w:val="00C80B96"/>
    <w:rsid w:val="00C80C24"/>
    <w:rsid w:val="00C80C5F"/>
    <w:rsid w:val="00C80CBA"/>
    <w:rsid w:val="00C80CBC"/>
    <w:rsid w:val="00C80E41"/>
    <w:rsid w:val="00C81298"/>
    <w:rsid w:val="00C813F3"/>
    <w:rsid w:val="00C81560"/>
    <w:rsid w:val="00C81739"/>
    <w:rsid w:val="00C81BAB"/>
    <w:rsid w:val="00C81E16"/>
    <w:rsid w:val="00C82054"/>
    <w:rsid w:val="00C82114"/>
    <w:rsid w:val="00C8218F"/>
    <w:rsid w:val="00C828BB"/>
    <w:rsid w:val="00C82B01"/>
    <w:rsid w:val="00C82C8E"/>
    <w:rsid w:val="00C82F39"/>
    <w:rsid w:val="00C837F9"/>
    <w:rsid w:val="00C83804"/>
    <w:rsid w:val="00C83CFB"/>
    <w:rsid w:val="00C83DC6"/>
    <w:rsid w:val="00C84104"/>
    <w:rsid w:val="00C845DA"/>
    <w:rsid w:val="00C8497F"/>
    <w:rsid w:val="00C84A33"/>
    <w:rsid w:val="00C85BEC"/>
    <w:rsid w:val="00C85E7F"/>
    <w:rsid w:val="00C8606D"/>
    <w:rsid w:val="00C86170"/>
    <w:rsid w:val="00C8645C"/>
    <w:rsid w:val="00C8660D"/>
    <w:rsid w:val="00C86C31"/>
    <w:rsid w:val="00C87340"/>
    <w:rsid w:val="00C87D4D"/>
    <w:rsid w:val="00C903C0"/>
    <w:rsid w:val="00C91303"/>
    <w:rsid w:val="00C914F6"/>
    <w:rsid w:val="00C92420"/>
    <w:rsid w:val="00C92BCC"/>
    <w:rsid w:val="00C92CB2"/>
    <w:rsid w:val="00C92F7E"/>
    <w:rsid w:val="00C92F95"/>
    <w:rsid w:val="00C937D0"/>
    <w:rsid w:val="00C93DB3"/>
    <w:rsid w:val="00C93F8E"/>
    <w:rsid w:val="00C942F2"/>
    <w:rsid w:val="00C9457A"/>
    <w:rsid w:val="00C94D11"/>
    <w:rsid w:val="00C94F8B"/>
    <w:rsid w:val="00C95271"/>
    <w:rsid w:val="00C954E9"/>
    <w:rsid w:val="00C95665"/>
    <w:rsid w:val="00C95BE2"/>
    <w:rsid w:val="00C95E68"/>
    <w:rsid w:val="00C962E0"/>
    <w:rsid w:val="00C9669A"/>
    <w:rsid w:val="00C967D6"/>
    <w:rsid w:val="00C9695D"/>
    <w:rsid w:val="00C96CCE"/>
    <w:rsid w:val="00C973CB"/>
    <w:rsid w:val="00C97A4F"/>
    <w:rsid w:val="00C97EDF"/>
    <w:rsid w:val="00CA0426"/>
    <w:rsid w:val="00CA0981"/>
    <w:rsid w:val="00CA0B6F"/>
    <w:rsid w:val="00CA0C98"/>
    <w:rsid w:val="00CA1219"/>
    <w:rsid w:val="00CA1709"/>
    <w:rsid w:val="00CA1AB8"/>
    <w:rsid w:val="00CA1ECF"/>
    <w:rsid w:val="00CA21A2"/>
    <w:rsid w:val="00CA258A"/>
    <w:rsid w:val="00CA2987"/>
    <w:rsid w:val="00CA2C99"/>
    <w:rsid w:val="00CA2EED"/>
    <w:rsid w:val="00CA3262"/>
    <w:rsid w:val="00CA336B"/>
    <w:rsid w:val="00CA36C8"/>
    <w:rsid w:val="00CA3D3D"/>
    <w:rsid w:val="00CA3FD6"/>
    <w:rsid w:val="00CA4003"/>
    <w:rsid w:val="00CA4007"/>
    <w:rsid w:val="00CA442C"/>
    <w:rsid w:val="00CA4B56"/>
    <w:rsid w:val="00CA4DE7"/>
    <w:rsid w:val="00CA5008"/>
    <w:rsid w:val="00CA51DE"/>
    <w:rsid w:val="00CA557C"/>
    <w:rsid w:val="00CA55A9"/>
    <w:rsid w:val="00CA56E8"/>
    <w:rsid w:val="00CA570A"/>
    <w:rsid w:val="00CA5BBC"/>
    <w:rsid w:val="00CA5D7E"/>
    <w:rsid w:val="00CA5E68"/>
    <w:rsid w:val="00CA6E2D"/>
    <w:rsid w:val="00CA6EA3"/>
    <w:rsid w:val="00CA6F59"/>
    <w:rsid w:val="00CA70B8"/>
    <w:rsid w:val="00CA7480"/>
    <w:rsid w:val="00CA7692"/>
    <w:rsid w:val="00CA781A"/>
    <w:rsid w:val="00CA7A8D"/>
    <w:rsid w:val="00CA7EFF"/>
    <w:rsid w:val="00CB06F7"/>
    <w:rsid w:val="00CB0883"/>
    <w:rsid w:val="00CB09B3"/>
    <w:rsid w:val="00CB0CA1"/>
    <w:rsid w:val="00CB0E53"/>
    <w:rsid w:val="00CB1411"/>
    <w:rsid w:val="00CB14BE"/>
    <w:rsid w:val="00CB167F"/>
    <w:rsid w:val="00CB1749"/>
    <w:rsid w:val="00CB1BF3"/>
    <w:rsid w:val="00CB26A2"/>
    <w:rsid w:val="00CB2B67"/>
    <w:rsid w:val="00CB2C80"/>
    <w:rsid w:val="00CB2F3E"/>
    <w:rsid w:val="00CB2F3F"/>
    <w:rsid w:val="00CB390C"/>
    <w:rsid w:val="00CB413B"/>
    <w:rsid w:val="00CB4356"/>
    <w:rsid w:val="00CB4BEC"/>
    <w:rsid w:val="00CB4E26"/>
    <w:rsid w:val="00CB5ABE"/>
    <w:rsid w:val="00CB5C74"/>
    <w:rsid w:val="00CB5ED8"/>
    <w:rsid w:val="00CB6890"/>
    <w:rsid w:val="00CB7DC9"/>
    <w:rsid w:val="00CB7EF3"/>
    <w:rsid w:val="00CC01BD"/>
    <w:rsid w:val="00CC05F1"/>
    <w:rsid w:val="00CC09AD"/>
    <w:rsid w:val="00CC0BE7"/>
    <w:rsid w:val="00CC10BF"/>
    <w:rsid w:val="00CC113D"/>
    <w:rsid w:val="00CC144E"/>
    <w:rsid w:val="00CC156C"/>
    <w:rsid w:val="00CC173D"/>
    <w:rsid w:val="00CC1DD1"/>
    <w:rsid w:val="00CC1FD5"/>
    <w:rsid w:val="00CC2257"/>
    <w:rsid w:val="00CC24D3"/>
    <w:rsid w:val="00CC2954"/>
    <w:rsid w:val="00CC2C92"/>
    <w:rsid w:val="00CC2CF9"/>
    <w:rsid w:val="00CC2F84"/>
    <w:rsid w:val="00CC3485"/>
    <w:rsid w:val="00CC3780"/>
    <w:rsid w:val="00CC388D"/>
    <w:rsid w:val="00CC3FA0"/>
    <w:rsid w:val="00CC41EC"/>
    <w:rsid w:val="00CC45B0"/>
    <w:rsid w:val="00CC45F0"/>
    <w:rsid w:val="00CC49B3"/>
    <w:rsid w:val="00CC4B9B"/>
    <w:rsid w:val="00CC5042"/>
    <w:rsid w:val="00CC5946"/>
    <w:rsid w:val="00CC5AF5"/>
    <w:rsid w:val="00CC61EC"/>
    <w:rsid w:val="00CC6500"/>
    <w:rsid w:val="00CC663E"/>
    <w:rsid w:val="00CC6B36"/>
    <w:rsid w:val="00CC6E31"/>
    <w:rsid w:val="00CC76FF"/>
    <w:rsid w:val="00CC791D"/>
    <w:rsid w:val="00CC7B1A"/>
    <w:rsid w:val="00CC7B80"/>
    <w:rsid w:val="00CD0043"/>
    <w:rsid w:val="00CD0722"/>
    <w:rsid w:val="00CD0967"/>
    <w:rsid w:val="00CD0ACA"/>
    <w:rsid w:val="00CD129F"/>
    <w:rsid w:val="00CD1A9E"/>
    <w:rsid w:val="00CD1D94"/>
    <w:rsid w:val="00CD1E6D"/>
    <w:rsid w:val="00CD1E74"/>
    <w:rsid w:val="00CD2032"/>
    <w:rsid w:val="00CD23A7"/>
    <w:rsid w:val="00CD2A9E"/>
    <w:rsid w:val="00CD2B9B"/>
    <w:rsid w:val="00CD2CFA"/>
    <w:rsid w:val="00CD308A"/>
    <w:rsid w:val="00CD3240"/>
    <w:rsid w:val="00CD3516"/>
    <w:rsid w:val="00CD3BEF"/>
    <w:rsid w:val="00CD3DD6"/>
    <w:rsid w:val="00CD3ED6"/>
    <w:rsid w:val="00CD4018"/>
    <w:rsid w:val="00CD5217"/>
    <w:rsid w:val="00CD546E"/>
    <w:rsid w:val="00CD55F6"/>
    <w:rsid w:val="00CD5907"/>
    <w:rsid w:val="00CD5CC7"/>
    <w:rsid w:val="00CD5E82"/>
    <w:rsid w:val="00CD5FEF"/>
    <w:rsid w:val="00CD6308"/>
    <w:rsid w:val="00CD6B15"/>
    <w:rsid w:val="00CD6D27"/>
    <w:rsid w:val="00CD6E77"/>
    <w:rsid w:val="00CD6EAD"/>
    <w:rsid w:val="00CD735E"/>
    <w:rsid w:val="00CD7A63"/>
    <w:rsid w:val="00CE03CC"/>
    <w:rsid w:val="00CE0540"/>
    <w:rsid w:val="00CE0708"/>
    <w:rsid w:val="00CE0C5D"/>
    <w:rsid w:val="00CE1147"/>
    <w:rsid w:val="00CE1251"/>
    <w:rsid w:val="00CE15F5"/>
    <w:rsid w:val="00CE1741"/>
    <w:rsid w:val="00CE17C5"/>
    <w:rsid w:val="00CE1884"/>
    <w:rsid w:val="00CE3925"/>
    <w:rsid w:val="00CE3E14"/>
    <w:rsid w:val="00CE404C"/>
    <w:rsid w:val="00CE4203"/>
    <w:rsid w:val="00CE4640"/>
    <w:rsid w:val="00CE474B"/>
    <w:rsid w:val="00CE4A62"/>
    <w:rsid w:val="00CE4BFF"/>
    <w:rsid w:val="00CE4DCC"/>
    <w:rsid w:val="00CE4FD7"/>
    <w:rsid w:val="00CE50C9"/>
    <w:rsid w:val="00CE518D"/>
    <w:rsid w:val="00CE5345"/>
    <w:rsid w:val="00CE55CE"/>
    <w:rsid w:val="00CE56B3"/>
    <w:rsid w:val="00CE5709"/>
    <w:rsid w:val="00CE585C"/>
    <w:rsid w:val="00CE5C94"/>
    <w:rsid w:val="00CE5DA0"/>
    <w:rsid w:val="00CE64E0"/>
    <w:rsid w:val="00CE67A9"/>
    <w:rsid w:val="00CE69DB"/>
    <w:rsid w:val="00CE6E0F"/>
    <w:rsid w:val="00CE70D1"/>
    <w:rsid w:val="00CE7545"/>
    <w:rsid w:val="00CE7724"/>
    <w:rsid w:val="00CE7B5E"/>
    <w:rsid w:val="00CE7EB7"/>
    <w:rsid w:val="00CF00D0"/>
    <w:rsid w:val="00CF0418"/>
    <w:rsid w:val="00CF0784"/>
    <w:rsid w:val="00CF09DC"/>
    <w:rsid w:val="00CF0A72"/>
    <w:rsid w:val="00CF0AB2"/>
    <w:rsid w:val="00CF0D65"/>
    <w:rsid w:val="00CF0FEE"/>
    <w:rsid w:val="00CF108C"/>
    <w:rsid w:val="00CF1090"/>
    <w:rsid w:val="00CF180B"/>
    <w:rsid w:val="00CF1CA6"/>
    <w:rsid w:val="00CF23DC"/>
    <w:rsid w:val="00CF289C"/>
    <w:rsid w:val="00CF2F8E"/>
    <w:rsid w:val="00CF3155"/>
    <w:rsid w:val="00CF3175"/>
    <w:rsid w:val="00CF31DD"/>
    <w:rsid w:val="00CF32CD"/>
    <w:rsid w:val="00CF330F"/>
    <w:rsid w:val="00CF344B"/>
    <w:rsid w:val="00CF3A9B"/>
    <w:rsid w:val="00CF3C50"/>
    <w:rsid w:val="00CF46E2"/>
    <w:rsid w:val="00CF48D0"/>
    <w:rsid w:val="00CF4A5C"/>
    <w:rsid w:val="00CF4A9A"/>
    <w:rsid w:val="00CF5575"/>
    <w:rsid w:val="00CF5595"/>
    <w:rsid w:val="00CF5756"/>
    <w:rsid w:val="00CF5BBC"/>
    <w:rsid w:val="00CF5DE5"/>
    <w:rsid w:val="00CF6066"/>
    <w:rsid w:val="00CF622A"/>
    <w:rsid w:val="00CF6379"/>
    <w:rsid w:val="00CF6657"/>
    <w:rsid w:val="00CF6767"/>
    <w:rsid w:val="00CF68DE"/>
    <w:rsid w:val="00CF6A7E"/>
    <w:rsid w:val="00CF6CD7"/>
    <w:rsid w:val="00CF6D67"/>
    <w:rsid w:val="00CF709F"/>
    <w:rsid w:val="00CF726B"/>
    <w:rsid w:val="00CF757B"/>
    <w:rsid w:val="00CF7E09"/>
    <w:rsid w:val="00D00267"/>
    <w:rsid w:val="00D004A2"/>
    <w:rsid w:val="00D00590"/>
    <w:rsid w:val="00D00933"/>
    <w:rsid w:val="00D01312"/>
    <w:rsid w:val="00D01451"/>
    <w:rsid w:val="00D01501"/>
    <w:rsid w:val="00D01712"/>
    <w:rsid w:val="00D017B8"/>
    <w:rsid w:val="00D01AA1"/>
    <w:rsid w:val="00D01FE7"/>
    <w:rsid w:val="00D02206"/>
    <w:rsid w:val="00D0223A"/>
    <w:rsid w:val="00D02565"/>
    <w:rsid w:val="00D02750"/>
    <w:rsid w:val="00D0277D"/>
    <w:rsid w:val="00D0286B"/>
    <w:rsid w:val="00D029A4"/>
    <w:rsid w:val="00D02C2C"/>
    <w:rsid w:val="00D02FC8"/>
    <w:rsid w:val="00D03057"/>
    <w:rsid w:val="00D03314"/>
    <w:rsid w:val="00D0332B"/>
    <w:rsid w:val="00D034C5"/>
    <w:rsid w:val="00D0374E"/>
    <w:rsid w:val="00D03B03"/>
    <w:rsid w:val="00D03CD8"/>
    <w:rsid w:val="00D03D9B"/>
    <w:rsid w:val="00D046E8"/>
    <w:rsid w:val="00D04950"/>
    <w:rsid w:val="00D04AB6"/>
    <w:rsid w:val="00D04BD2"/>
    <w:rsid w:val="00D04D58"/>
    <w:rsid w:val="00D04D69"/>
    <w:rsid w:val="00D05298"/>
    <w:rsid w:val="00D05B86"/>
    <w:rsid w:val="00D05C8C"/>
    <w:rsid w:val="00D05C9D"/>
    <w:rsid w:val="00D05D09"/>
    <w:rsid w:val="00D05EA9"/>
    <w:rsid w:val="00D05EDA"/>
    <w:rsid w:val="00D06323"/>
    <w:rsid w:val="00D067C7"/>
    <w:rsid w:val="00D068BA"/>
    <w:rsid w:val="00D0695F"/>
    <w:rsid w:val="00D07659"/>
    <w:rsid w:val="00D10354"/>
    <w:rsid w:val="00D106DB"/>
    <w:rsid w:val="00D1082F"/>
    <w:rsid w:val="00D10834"/>
    <w:rsid w:val="00D10AE1"/>
    <w:rsid w:val="00D10B17"/>
    <w:rsid w:val="00D10CFF"/>
    <w:rsid w:val="00D10D5F"/>
    <w:rsid w:val="00D1129A"/>
    <w:rsid w:val="00D113FD"/>
    <w:rsid w:val="00D11AB1"/>
    <w:rsid w:val="00D11CFA"/>
    <w:rsid w:val="00D122BD"/>
    <w:rsid w:val="00D125A1"/>
    <w:rsid w:val="00D12772"/>
    <w:rsid w:val="00D12810"/>
    <w:rsid w:val="00D12BBB"/>
    <w:rsid w:val="00D1331B"/>
    <w:rsid w:val="00D13372"/>
    <w:rsid w:val="00D13675"/>
    <w:rsid w:val="00D13F8A"/>
    <w:rsid w:val="00D14067"/>
    <w:rsid w:val="00D144BB"/>
    <w:rsid w:val="00D14946"/>
    <w:rsid w:val="00D14D25"/>
    <w:rsid w:val="00D14EAE"/>
    <w:rsid w:val="00D156E7"/>
    <w:rsid w:val="00D1626A"/>
    <w:rsid w:val="00D162DC"/>
    <w:rsid w:val="00D16AD2"/>
    <w:rsid w:val="00D174B9"/>
    <w:rsid w:val="00D174F2"/>
    <w:rsid w:val="00D17624"/>
    <w:rsid w:val="00D176F2"/>
    <w:rsid w:val="00D17750"/>
    <w:rsid w:val="00D17819"/>
    <w:rsid w:val="00D178C4"/>
    <w:rsid w:val="00D17A35"/>
    <w:rsid w:val="00D20229"/>
    <w:rsid w:val="00D20368"/>
    <w:rsid w:val="00D20614"/>
    <w:rsid w:val="00D2078B"/>
    <w:rsid w:val="00D2089E"/>
    <w:rsid w:val="00D20933"/>
    <w:rsid w:val="00D20935"/>
    <w:rsid w:val="00D20B44"/>
    <w:rsid w:val="00D20B69"/>
    <w:rsid w:val="00D20E83"/>
    <w:rsid w:val="00D20E86"/>
    <w:rsid w:val="00D2110A"/>
    <w:rsid w:val="00D21600"/>
    <w:rsid w:val="00D21C24"/>
    <w:rsid w:val="00D21F6F"/>
    <w:rsid w:val="00D22209"/>
    <w:rsid w:val="00D22351"/>
    <w:rsid w:val="00D22755"/>
    <w:rsid w:val="00D2298F"/>
    <w:rsid w:val="00D229AE"/>
    <w:rsid w:val="00D22A6A"/>
    <w:rsid w:val="00D22CC6"/>
    <w:rsid w:val="00D22E72"/>
    <w:rsid w:val="00D23095"/>
    <w:rsid w:val="00D236B3"/>
    <w:rsid w:val="00D2381B"/>
    <w:rsid w:val="00D239A0"/>
    <w:rsid w:val="00D23D77"/>
    <w:rsid w:val="00D24837"/>
    <w:rsid w:val="00D24A52"/>
    <w:rsid w:val="00D24C5A"/>
    <w:rsid w:val="00D253A6"/>
    <w:rsid w:val="00D2568A"/>
    <w:rsid w:val="00D25B4A"/>
    <w:rsid w:val="00D25C1C"/>
    <w:rsid w:val="00D25CD4"/>
    <w:rsid w:val="00D25D8E"/>
    <w:rsid w:val="00D26229"/>
    <w:rsid w:val="00D26612"/>
    <w:rsid w:val="00D26615"/>
    <w:rsid w:val="00D267A9"/>
    <w:rsid w:val="00D26ABD"/>
    <w:rsid w:val="00D26C57"/>
    <w:rsid w:val="00D26E74"/>
    <w:rsid w:val="00D271D3"/>
    <w:rsid w:val="00D27425"/>
    <w:rsid w:val="00D27C1D"/>
    <w:rsid w:val="00D27FD8"/>
    <w:rsid w:val="00D306E2"/>
    <w:rsid w:val="00D30735"/>
    <w:rsid w:val="00D3085C"/>
    <w:rsid w:val="00D30AB4"/>
    <w:rsid w:val="00D30B16"/>
    <w:rsid w:val="00D30E71"/>
    <w:rsid w:val="00D31039"/>
    <w:rsid w:val="00D312F1"/>
    <w:rsid w:val="00D3143C"/>
    <w:rsid w:val="00D3175F"/>
    <w:rsid w:val="00D318CC"/>
    <w:rsid w:val="00D31CA5"/>
    <w:rsid w:val="00D31F81"/>
    <w:rsid w:val="00D32181"/>
    <w:rsid w:val="00D32295"/>
    <w:rsid w:val="00D323C0"/>
    <w:rsid w:val="00D326BC"/>
    <w:rsid w:val="00D329A2"/>
    <w:rsid w:val="00D32CDC"/>
    <w:rsid w:val="00D334A8"/>
    <w:rsid w:val="00D33855"/>
    <w:rsid w:val="00D33E42"/>
    <w:rsid w:val="00D33EFA"/>
    <w:rsid w:val="00D34045"/>
    <w:rsid w:val="00D343DA"/>
    <w:rsid w:val="00D3443B"/>
    <w:rsid w:val="00D34651"/>
    <w:rsid w:val="00D34670"/>
    <w:rsid w:val="00D34696"/>
    <w:rsid w:val="00D34774"/>
    <w:rsid w:val="00D34DE2"/>
    <w:rsid w:val="00D34E27"/>
    <w:rsid w:val="00D35016"/>
    <w:rsid w:val="00D35657"/>
    <w:rsid w:val="00D35782"/>
    <w:rsid w:val="00D35809"/>
    <w:rsid w:val="00D35A51"/>
    <w:rsid w:val="00D35C26"/>
    <w:rsid w:val="00D361DC"/>
    <w:rsid w:val="00D362C1"/>
    <w:rsid w:val="00D363DB"/>
    <w:rsid w:val="00D365A5"/>
    <w:rsid w:val="00D37351"/>
    <w:rsid w:val="00D37384"/>
    <w:rsid w:val="00D3746C"/>
    <w:rsid w:val="00D37813"/>
    <w:rsid w:val="00D37827"/>
    <w:rsid w:val="00D37B19"/>
    <w:rsid w:val="00D37BD3"/>
    <w:rsid w:val="00D4019D"/>
    <w:rsid w:val="00D40715"/>
    <w:rsid w:val="00D408E6"/>
    <w:rsid w:val="00D40A1F"/>
    <w:rsid w:val="00D40FBB"/>
    <w:rsid w:val="00D40FCB"/>
    <w:rsid w:val="00D41538"/>
    <w:rsid w:val="00D41938"/>
    <w:rsid w:val="00D4193F"/>
    <w:rsid w:val="00D42110"/>
    <w:rsid w:val="00D426D9"/>
    <w:rsid w:val="00D42D03"/>
    <w:rsid w:val="00D42F09"/>
    <w:rsid w:val="00D43207"/>
    <w:rsid w:val="00D434B9"/>
    <w:rsid w:val="00D43B3B"/>
    <w:rsid w:val="00D43CF6"/>
    <w:rsid w:val="00D4418C"/>
    <w:rsid w:val="00D441FC"/>
    <w:rsid w:val="00D4423E"/>
    <w:rsid w:val="00D446D1"/>
    <w:rsid w:val="00D447E2"/>
    <w:rsid w:val="00D44894"/>
    <w:rsid w:val="00D449EA"/>
    <w:rsid w:val="00D44D79"/>
    <w:rsid w:val="00D44E93"/>
    <w:rsid w:val="00D450B6"/>
    <w:rsid w:val="00D454C7"/>
    <w:rsid w:val="00D458A9"/>
    <w:rsid w:val="00D45F27"/>
    <w:rsid w:val="00D45F65"/>
    <w:rsid w:val="00D461B2"/>
    <w:rsid w:val="00D46273"/>
    <w:rsid w:val="00D46387"/>
    <w:rsid w:val="00D4692F"/>
    <w:rsid w:val="00D46B29"/>
    <w:rsid w:val="00D46BBF"/>
    <w:rsid w:val="00D471F8"/>
    <w:rsid w:val="00D473C4"/>
    <w:rsid w:val="00D475CA"/>
    <w:rsid w:val="00D47DC6"/>
    <w:rsid w:val="00D47E47"/>
    <w:rsid w:val="00D50477"/>
    <w:rsid w:val="00D505D5"/>
    <w:rsid w:val="00D507EB"/>
    <w:rsid w:val="00D5096F"/>
    <w:rsid w:val="00D50B01"/>
    <w:rsid w:val="00D50D6D"/>
    <w:rsid w:val="00D50E06"/>
    <w:rsid w:val="00D50E8F"/>
    <w:rsid w:val="00D51020"/>
    <w:rsid w:val="00D513CF"/>
    <w:rsid w:val="00D518DD"/>
    <w:rsid w:val="00D52571"/>
    <w:rsid w:val="00D5280C"/>
    <w:rsid w:val="00D52A17"/>
    <w:rsid w:val="00D532EE"/>
    <w:rsid w:val="00D535D9"/>
    <w:rsid w:val="00D537EC"/>
    <w:rsid w:val="00D53A24"/>
    <w:rsid w:val="00D540B1"/>
    <w:rsid w:val="00D5416E"/>
    <w:rsid w:val="00D54923"/>
    <w:rsid w:val="00D54A05"/>
    <w:rsid w:val="00D54CCE"/>
    <w:rsid w:val="00D550D7"/>
    <w:rsid w:val="00D55513"/>
    <w:rsid w:val="00D55A9B"/>
    <w:rsid w:val="00D55C0D"/>
    <w:rsid w:val="00D55CE6"/>
    <w:rsid w:val="00D55DB5"/>
    <w:rsid w:val="00D5600E"/>
    <w:rsid w:val="00D560E2"/>
    <w:rsid w:val="00D56161"/>
    <w:rsid w:val="00D5676C"/>
    <w:rsid w:val="00D567C2"/>
    <w:rsid w:val="00D569E5"/>
    <w:rsid w:val="00D56D07"/>
    <w:rsid w:val="00D57372"/>
    <w:rsid w:val="00D57507"/>
    <w:rsid w:val="00D577C2"/>
    <w:rsid w:val="00D57C79"/>
    <w:rsid w:val="00D57E54"/>
    <w:rsid w:val="00D57FF6"/>
    <w:rsid w:val="00D6052D"/>
    <w:rsid w:val="00D60A63"/>
    <w:rsid w:val="00D60B8D"/>
    <w:rsid w:val="00D60CA8"/>
    <w:rsid w:val="00D60D15"/>
    <w:rsid w:val="00D616AE"/>
    <w:rsid w:val="00D6183F"/>
    <w:rsid w:val="00D61F55"/>
    <w:rsid w:val="00D621C6"/>
    <w:rsid w:val="00D6251C"/>
    <w:rsid w:val="00D633A3"/>
    <w:rsid w:val="00D63681"/>
    <w:rsid w:val="00D63874"/>
    <w:rsid w:val="00D63C0B"/>
    <w:rsid w:val="00D63C2B"/>
    <w:rsid w:val="00D63CD8"/>
    <w:rsid w:val="00D64923"/>
    <w:rsid w:val="00D64C0A"/>
    <w:rsid w:val="00D64D64"/>
    <w:rsid w:val="00D651F4"/>
    <w:rsid w:val="00D65335"/>
    <w:rsid w:val="00D65B41"/>
    <w:rsid w:val="00D65F4A"/>
    <w:rsid w:val="00D665BE"/>
    <w:rsid w:val="00D668AC"/>
    <w:rsid w:val="00D668E0"/>
    <w:rsid w:val="00D669D5"/>
    <w:rsid w:val="00D66B9A"/>
    <w:rsid w:val="00D66C13"/>
    <w:rsid w:val="00D66F94"/>
    <w:rsid w:val="00D67213"/>
    <w:rsid w:val="00D6749E"/>
    <w:rsid w:val="00D674A9"/>
    <w:rsid w:val="00D67694"/>
    <w:rsid w:val="00D67A2B"/>
    <w:rsid w:val="00D67AE0"/>
    <w:rsid w:val="00D67C95"/>
    <w:rsid w:val="00D70A16"/>
    <w:rsid w:val="00D70D09"/>
    <w:rsid w:val="00D71150"/>
    <w:rsid w:val="00D713CB"/>
    <w:rsid w:val="00D7141F"/>
    <w:rsid w:val="00D715B6"/>
    <w:rsid w:val="00D71FC8"/>
    <w:rsid w:val="00D7223E"/>
    <w:rsid w:val="00D72432"/>
    <w:rsid w:val="00D72582"/>
    <w:rsid w:val="00D725F0"/>
    <w:rsid w:val="00D72DF7"/>
    <w:rsid w:val="00D72E9E"/>
    <w:rsid w:val="00D72ED5"/>
    <w:rsid w:val="00D72FE8"/>
    <w:rsid w:val="00D73000"/>
    <w:rsid w:val="00D73182"/>
    <w:rsid w:val="00D731B1"/>
    <w:rsid w:val="00D736FD"/>
    <w:rsid w:val="00D7383B"/>
    <w:rsid w:val="00D7393F"/>
    <w:rsid w:val="00D7398A"/>
    <w:rsid w:val="00D73CD5"/>
    <w:rsid w:val="00D73D88"/>
    <w:rsid w:val="00D73FDF"/>
    <w:rsid w:val="00D7417D"/>
    <w:rsid w:val="00D745CB"/>
    <w:rsid w:val="00D74A32"/>
    <w:rsid w:val="00D74C7F"/>
    <w:rsid w:val="00D74E17"/>
    <w:rsid w:val="00D7526A"/>
    <w:rsid w:val="00D753F2"/>
    <w:rsid w:val="00D7601B"/>
    <w:rsid w:val="00D76253"/>
    <w:rsid w:val="00D767C1"/>
    <w:rsid w:val="00D76BDB"/>
    <w:rsid w:val="00D76D7B"/>
    <w:rsid w:val="00D7744D"/>
    <w:rsid w:val="00D774B1"/>
    <w:rsid w:val="00D77A95"/>
    <w:rsid w:val="00D77E36"/>
    <w:rsid w:val="00D77FB8"/>
    <w:rsid w:val="00D8018D"/>
    <w:rsid w:val="00D8048C"/>
    <w:rsid w:val="00D804DA"/>
    <w:rsid w:val="00D80824"/>
    <w:rsid w:val="00D8097A"/>
    <w:rsid w:val="00D814F3"/>
    <w:rsid w:val="00D815F7"/>
    <w:rsid w:val="00D81603"/>
    <w:rsid w:val="00D816F8"/>
    <w:rsid w:val="00D8182E"/>
    <w:rsid w:val="00D81D5D"/>
    <w:rsid w:val="00D82713"/>
    <w:rsid w:val="00D82A2F"/>
    <w:rsid w:val="00D82A9D"/>
    <w:rsid w:val="00D82C62"/>
    <w:rsid w:val="00D82ED2"/>
    <w:rsid w:val="00D82EFD"/>
    <w:rsid w:val="00D82F27"/>
    <w:rsid w:val="00D8347C"/>
    <w:rsid w:val="00D835E1"/>
    <w:rsid w:val="00D836AB"/>
    <w:rsid w:val="00D837EC"/>
    <w:rsid w:val="00D83CE6"/>
    <w:rsid w:val="00D83E40"/>
    <w:rsid w:val="00D83EA3"/>
    <w:rsid w:val="00D83F45"/>
    <w:rsid w:val="00D84075"/>
    <w:rsid w:val="00D843A9"/>
    <w:rsid w:val="00D844E1"/>
    <w:rsid w:val="00D84919"/>
    <w:rsid w:val="00D8528A"/>
    <w:rsid w:val="00D8530F"/>
    <w:rsid w:val="00D85551"/>
    <w:rsid w:val="00D855E2"/>
    <w:rsid w:val="00D85A54"/>
    <w:rsid w:val="00D85F81"/>
    <w:rsid w:val="00D864CE"/>
    <w:rsid w:val="00D86A0E"/>
    <w:rsid w:val="00D86BFF"/>
    <w:rsid w:val="00D877E1"/>
    <w:rsid w:val="00D87B23"/>
    <w:rsid w:val="00D87D7E"/>
    <w:rsid w:val="00D905D6"/>
    <w:rsid w:val="00D9094E"/>
    <w:rsid w:val="00D90A6C"/>
    <w:rsid w:val="00D90C98"/>
    <w:rsid w:val="00D90EC4"/>
    <w:rsid w:val="00D90F10"/>
    <w:rsid w:val="00D90FB9"/>
    <w:rsid w:val="00D91670"/>
    <w:rsid w:val="00D91794"/>
    <w:rsid w:val="00D91820"/>
    <w:rsid w:val="00D925F9"/>
    <w:rsid w:val="00D92754"/>
    <w:rsid w:val="00D92CD7"/>
    <w:rsid w:val="00D92FCE"/>
    <w:rsid w:val="00D931AC"/>
    <w:rsid w:val="00D936E3"/>
    <w:rsid w:val="00D937B9"/>
    <w:rsid w:val="00D93C10"/>
    <w:rsid w:val="00D93F13"/>
    <w:rsid w:val="00D94178"/>
    <w:rsid w:val="00D94448"/>
    <w:rsid w:val="00D945D3"/>
    <w:rsid w:val="00D94B4E"/>
    <w:rsid w:val="00D950CA"/>
    <w:rsid w:val="00D954B9"/>
    <w:rsid w:val="00D959CE"/>
    <w:rsid w:val="00D95AA1"/>
    <w:rsid w:val="00D96694"/>
    <w:rsid w:val="00D96840"/>
    <w:rsid w:val="00D96CEA"/>
    <w:rsid w:val="00D96EDB"/>
    <w:rsid w:val="00D97A69"/>
    <w:rsid w:val="00DA0413"/>
    <w:rsid w:val="00DA042E"/>
    <w:rsid w:val="00DA128E"/>
    <w:rsid w:val="00DA1561"/>
    <w:rsid w:val="00DA17C8"/>
    <w:rsid w:val="00DA1C78"/>
    <w:rsid w:val="00DA1E9B"/>
    <w:rsid w:val="00DA2289"/>
    <w:rsid w:val="00DA23EF"/>
    <w:rsid w:val="00DA2773"/>
    <w:rsid w:val="00DA2A92"/>
    <w:rsid w:val="00DA3752"/>
    <w:rsid w:val="00DA3938"/>
    <w:rsid w:val="00DA393C"/>
    <w:rsid w:val="00DA3E7A"/>
    <w:rsid w:val="00DA3F6E"/>
    <w:rsid w:val="00DA40BD"/>
    <w:rsid w:val="00DA426E"/>
    <w:rsid w:val="00DA4398"/>
    <w:rsid w:val="00DA43A9"/>
    <w:rsid w:val="00DA44A9"/>
    <w:rsid w:val="00DA4AEB"/>
    <w:rsid w:val="00DA4EC1"/>
    <w:rsid w:val="00DA5628"/>
    <w:rsid w:val="00DA576C"/>
    <w:rsid w:val="00DA58A4"/>
    <w:rsid w:val="00DA58CC"/>
    <w:rsid w:val="00DA5C36"/>
    <w:rsid w:val="00DA5DCC"/>
    <w:rsid w:val="00DA5ED7"/>
    <w:rsid w:val="00DA6804"/>
    <w:rsid w:val="00DA69DC"/>
    <w:rsid w:val="00DA6BCA"/>
    <w:rsid w:val="00DA6BFF"/>
    <w:rsid w:val="00DA6D61"/>
    <w:rsid w:val="00DA7060"/>
    <w:rsid w:val="00DA79D2"/>
    <w:rsid w:val="00DB00C0"/>
    <w:rsid w:val="00DB00E3"/>
    <w:rsid w:val="00DB090E"/>
    <w:rsid w:val="00DB0B3B"/>
    <w:rsid w:val="00DB0C0E"/>
    <w:rsid w:val="00DB0E0C"/>
    <w:rsid w:val="00DB10E5"/>
    <w:rsid w:val="00DB1627"/>
    <w:rsid w:val="00DB1985"/>
    <w:rsid w:val="00DB25FB"/>
    <w:rsid w:val="00DB265B"/>
    <w:rsid w:val="00DB2C85"/>
    <w:rsid w:val="00DB2CEC"/>
    <w:rsid w:val="00DB2E3E"/>
    <w:rsid w:val="00DB2ED9"/>
    <w:rsid w:val="00DB3979"/>
    <w:rsid w:val="00DB3C88"/>
    <w:rsid w:val="00DB3D12"/>
    <w:rsid w:val="00DB3D53"/>
    <w:rsid w:val="00DB3F8A"/>
    <w:rsid w:val="00DB42BE"/>
    <w:rsid w:val="00DB4387"/>
    <w:rsid w:val="00DB43E3"/>
    <w:rsid w:val="00DB470F"/>
    <w:rsid w:val="00DB489F"/>
    <w:rsid w:val="00DB498B"/>
    <w:rsid w:val="00DB4D67"/>
    <w:rsid w:val="00DB50A7"/>
    <w:rsid w:val="00DB5815"/>
    <w:rsid w:val="00DB5C4B"/>
    <w:rsid w:val="00DB6C8F"/>
    <w:rsid w:val="00DB706E"/>
    <w:rsid w:val="00DB7364"/>
    <w:rsid w:val="00DB748F"/>
    <w:rsid w:val="00DB7882"/>
    <w:rsid w:val="00DB78CA"/>
    <w:rsid w:val="00DB7F92"/>
    <w:rsid w:val="00DC02F1"/>
    <w:rsid w:val="00DC039C"/>
    <w:rsid w:val="00DC0952"/>
    <w:rsid w:val="00DC0ABC"/>
    <w:rsid w:val="00DC0C36"/>
    <w:rsid w:val="00DC101E"/>
    <w:rsid w:val="00DC1981"/>
    <w:rsid w:val="00DC240F"/>
    <w:rsid w:val="00DC287A"/>
    <w:rsid w:val="00DC28A0"/>
    <w:rsid w:val="00DC318B"/>
    <w:rsid w:val="00DC31D2"/>
    <w:rsid w:val="00DC332B"/>
    <w:rsid w:val="00DC35A1"/>
    <w:rsid w:val="00DC3643"/>
    <w:rsid w:val="00DC37D4"/>
    <w:rsid w:val="00DC388E"/>
    <w:rsid w:val="00DC3A05"/>
    <w:rsid w:val="00DC407A"/>
    <w:rsid w:val="00DC4198"/>
    <w:rsid w:val="00DC4671"/>
    <w:rsid w:val="00DC47D1"/>
    <w:rsid w:val="00DC4A3C"/>
    <w:rsid w:val="00DC4DFD"/>
    <w:rsid w:val="00DC4E20"/>
    <w:rsid w:val="00DC5027"/>
    <w:rsid w:val="00DC50EB"/>
    <w:rsid w:val="00DC53EC"/>
    <w:rsid w:val="00DC5680"/>
    <w:rsid w:val="00DC5907"/>
    <w:rsid w:val="00DC5A86"/>
    <w:rsid w:val="00DC5C41"/>
    <w:rsid w:val="00DC5CF1"/>
    <w:rsid w:val="00DC5D03"/>
    <w:rsid w:val="00DC5D9F"/>
    <w:rsid w:val="00DC5DA0"/>
    <w:rsid w:val="00DC5DD5"/>
    <w:rsid w:val="00DC5E55"/>
    <w:rsid w:val="00DC63AA"/>
    <w:rsid w:val="00DC65DC"/>
    <w:rsid w:val="00DC68F1"/>
    <w:rsid w:val="00DC6926"/>
    <w:rsid w:val="00DC6D3C"/>
    <w:rsid w:val="00DC6D95"/>
    <w:rsid w:val="00DC7447"/>
    <w:rsid w:val="00DC7628"/>
    <w:rsid w:val="00DC7680"/>
    <w:rsid w:val="00DC7AB1"/>
    <w:rsid w:val="00DC7CD4"/>
    <w:rsid w:val="00DC7E43"/>
    <w:rsid w:val="00DC7F40"/>
    <w:rsid w:val="00DD003E"/>
    <w:rsid w:val="00DD00BE"/>
    <w:rsid w:val="00DD0322"/>
    <w:rsid w:val="00DD05F0"/>
    <w:rsid w:val="00DD0E90"/>
    <w:rsid w:val="00DD0EB7"/>
    <w:rsid w:val="00DD128B"/>
    <w:rsid w:val="00DD152B"/>
    <w:rsid w:val="00DD16F0"/>
    <w:rsid w:val="00DD19E3"/>
    <w:rsid w:val="00DD1A4B"/>
    <w:rsid w:val="00DD1AA9"/>
    <w:rsid w:val="00DD1BDF"/>
    <w:rsid w:val="00DD1E95"/>
    <w:rsid w:val="00DD2048"/>
    <w:rsid w:val="00DD2108"/>
    <w:rsid w:val="00DD22C9"/>
    <w:rsid w:val="00DD231C"/>
    <w:rsid w:val="00DD2758"/>
    <w:rsid w:val="00DD2851"/>
    <w:rsid w:val="00DD2DE0"/>
    <w:rsid w:val="00DD3013"/>
    <w:rsid w:val="00DD318C"/>
    <w:rsid w:val="00DD34CC"/>
    <w:rsid w:val="00DD3811"/>
    <w:rsid w:val="00DD38D9"/>
    <w:rsid w:val="00DD38DC"/>
    <w:rsid w:val="00DD3FAC"/>
    <w:rsid w:val="00DD4188"/>
    <w:rsid w:val="00DD4635"/>
    <w:rsid w:val="00DD4C9E"/>
    <w:rsid w:val="00DD4E85"/>
    <w:rsid w:val="00DD5163"/>
    <w:rsid w:val="00DD520A"/>
    <w:rsid w:val="00DD54A8"/>
    <w:rsid w:val="00DD57A6"/>
    <w:rsid w:val="00DD594C"/>
    <w:rsid w:val="00DD5AC5"/>
    <w:rsid w:val="00DD5C34"/>
    <w:rsid w:val="00DD5D16"/>
    <w:rsid w:val="00DD6062"/>
    <w:rsid w:val="00DD61EF"/>
    <w:rsid w:val="00DD6224"/>
    <w:rsid w:val="00DD640A"/>
    <w:rsid w:val="00DD6616"/>
    <w:rsid w:val="00DD6B1A"/>
    <w:rsid w:val="00DD6F46"/>
    <w:rsid w:val="00DD75D4"/>
    <w:rsid w:val="00DD7683"/>
    <w:rsid w:val="00DD772E"/>
    <w:rsid w:val="00DD7DB0"/>
    <w:rsid w:val="00DE0354"/>
    <w:rsid w:val="00DE04C7"/>
    <w:rsid w:val="00DE052A"/>
    <w:rsid w:val="00DE0803"/>
    <w:rsid w:val="00DE0BFB"/>
    <w:rsid w:val="00DE0C93"/>
    <w:rsid w:val="00DE10A5"/>
    <w:rsid w:val="00DE1BD6"/>
    <w:rsid w:val="00DE1BFD"/>
    <w:rsid w:val="00DE1DEC"/>
    <w:rsid w:val="00DE1F31"/>
    <w:rsid w:val="00DE1FF8"/>
    <w:rsid w:val="00DE254F"/>
    <w:rsid w:val="00DE2671"/>
    <w:rsid w:val="00DE2798"/>
    <w:rsid w:val="00DE2D05"/>
    <w:rsid w:val="00DE2D0E"/>
    <w:rsid w:val="00DE3341"/>
    <w:rsid w:val="00DE33B0"/>
    <w:rsid w:val="00DE3862"/>
    <w:rsid w:val="00DE3A32"/>
    <w:rsid w:val="00DE3AFB"/>
    <w:rsid w:val="00DE3B6F"/>
    <w:rsid w:val="00DE3FA0"/>
    <w:rsid w:val="00DE4125"/>
    <w:rsid w:val="00DE426D"/>
    <w:rsid w:val="00DE486D"/>
    <w:rsid w:val="00DE4B3B"/>
    <w:rsid w:val="00DE4D66"/>
    <w:rsid w:val="00DE4EDD"/>
    <w:rsid w:val="00DE5A24"/>
    <w:rsid w:val="00DE5D2D"/>
    <w:rsid w:val="00DE5DAF"/>
    <w:rsid w:val="00DE614D"/>
    <w:rsid w:val="00DE616D"/>
    <w:rsid w:val="00DE62C4"/>
    <w:rsid w:val="00DE639C"/>
    <w:rsid w:val="00DE6A36"/>
    <w:rsid w:val="00DE6B0B"/>
    <w:rsid w:val="00DE6D86"/>
    <w:rsid w:val="00DE6FD5"/>
    <w:rsid w:val="00DE7126"/>
    <w:rsid w:val="00DE71CA"/>
    <w:rsid w:val="00DE78A4"/>
    <w:rsid w:val="00DE7C54"/>
    <w:rsid w:val="00DE7DC7"/>
    <w:rsid w:val="00DE7DEB"/>
    <w:rsid w:val="00DE7E27"/>
    <w:rsid w:val="00DE7F26"/>
    <w:rsid w:val="00DF00AF"/>
    <w:rsid w:val="00DF0B2B"/>
    <w:rsid w:val="00DF0FAF"/>
    <w:rsid w:val="00DF1207"/>
    <w:rsid w:val="00DF13CA"/>
    <w:rsid w:val="00DF19CA"/>
    <w:rsid w:val="00DF1CCD"/>
    <w:rsid w:val="00DF252C"/>
    <w:rsid w:val="00DF275E"/>
    <w:rsid w:val="00DF282B"/>
    <w:rsid w:val="00DF2D8B"/>
    <w:rsid w:val="00DF3316"/>
    <w:rsid w:val="00DF37C3"/>
    <w:rsid w:val="00DF3A6A"/>
    <w:rsid w:val="00DF3E0A"/>
    <w:rsid w:val="00DF41E6"/>
    <w:rsid w:val="00DF4B5B"/>
    <w:rsid w:val="00DF4F3F"/>
    <w:rsid w:val="00DF4F6E"/>
    <w:rsid w:val="00DF5044"/>
    <w:rsid w:val="00DF5387"/>
    <w:rsid w:val="00DF549F"/>
    <w:rsid w:val="00DF5B4F"/>
    <w:rsid w:val="00DF5E65"/>
    <w:rsid w:val="00DF614B"/>
    <w:rsid w:val="00DF662E"/>
    <w:rsid w:val="00DF66B1"/>
    <w:rsid w:val="00DF69B7"/>
    <w:rsid w:val="00DF6C31"/>
    <w:rsid w:val="00DF6D0D"/>
    <w:rsid w:val="00DF731C"/>
    <w:rsid w:val="00DF7434"/>
    <w:rsid w:val="00DF79C5"/>
    <w:rsid w:val="00DF79EE"/>
    <w:rsid w:val="00DF7A80"/>
    <w:rsid w:val="00DF7B27"/>
    <w:rsid w:val="00DF7B2C"/>
    <w:rsid w:val="00DF7B3D"/>
    <w:rsid w:val="00DF7EF6"/>
    <w:rsid w:val="00E006A5"/>
    <w:rsid w:val="00E008DD"/>
    <w:rsid w:val="00E00C92"/>
    <w:rsid w:val="00E011C2"/>
    <w:rsid w:val="00E01549"/>
    <w:rsid w:val="00E01552"/>
    <w:rsid w:val="00E01AA4"/>
    <w:rsid w:val="00E01DD5"/>
    <w:rsid w:val="00E01E1E"/>
    <w:rsid w:val="00E01E57"/>
    <w:rsid w:val="00E01EAC"/>
    <w:rsid w:val="00E025B5"/>
    <w:rsid w:val="00E02CA1"/>
    <w:rsid w:val="00E02E8A"/>
    <w:rsid w:val="00E03230"/>
    <w:rsid w:val="00E036B6"/>
    <w:rsid w:val="00E03B12"/>
    <w:rsid w:val="00E0427B"/>
    <w:rsid w:val="00E0436E"/>
    <w:rsid w:val="00E04443"/>
    <w:rsid w:val="00E04C88"/>
    <w:rsid w:val="00E04D02"/>
    <w:rsid w:val="00E053C5"/>
    <w:rsid w:val="00E05521"/>
    <w:rsid w:val="00E05905"/>
    <w:rsid w:val="00E059C0"/>
    <w:rsid w:val="00E05AE3"/>
    <w:rsid w:val="00E0626A"/>
    <w:rsid w:val="00E0648B"/>
    <w:rsid w:val="00E069AD"/>
    <w:rsid w:val="00E06D8A"/>
    <w:rsid w:val="00E06FEA"/>
    <w:rsid w:val="00E0738D"/>
    <w:rsid w:val="00E073A6"/>
    <w:rsid w:val="00E0776E"/>
    <w:rsid w:val="00E10CCC"/>
    <w:rsid w:val="00E11158"/>
    <w:rsid w:val="00E1153E"/>
    <w:rsid w:val="00E119AF"/>
    <w:rsid w:val="00E11B9E"/>
    <w:rsid w:val="00E11D0F"/>
    <w:rsid w:val="00E11D42"/>
    <w:rsid w:val="00E121E3"/>
    <w:rsid w:val="00E12946"/>
    <w:rsid w:val="00E12B02"/>
    <w:rsid w:val="00E13300"/>
    <w:rsid w:val="00E137EA"/>
    <w:rsid w:val="00E137F6"/>
    <w:rsid w:val="00E13A90"/>
    <w:rsid w:val="00E13BE4"/>
    <w:rsid w:val="00E13CC1"/>
    <w:rsid w:val="00E13D8A"/>
    <w:rsid w:val="00E13D8D"/>
    <w:rsid w:val="00E13DD0"/>
    <w:rsid w:val="00E13FE4"/>
    <w:rsid w:val="00E1417C"/>
    <w:rsid w:val="00E141F0"/>
    <w:rsid w:val="00E145A4"/>
    <w:rsid w:val="00E145D0"/>
    <w:rsid w:val="00E14908"/>
    <w:rsid w:val="00E14B41"/>
    <w:rsid w:val="00E14F78"/>
    <w:rsid w:val="00E15980"/>
    <w:rsid w:val="00E15987"/>
    <w:rsid w:val="00E159BD"/>
    <w:rsid w:val="00E16092"/>
    <w:rsid w:val="00E16145"/>
    <w:rsid w:val="00E16752"/>
    <w:rsid w:val="00E167AD"/>
    <w:rsid w:val="00E16BCF"/>
    <w:rsid w:val="00E16C70"/>
    <w:rsid w:val="00E16F49"/>
    <w:rsid w:val="00E17149"/>
    <w:rsid w:val="00E1739D"/>
    <w:rsid w:val="00E1790E"/>
    <w:rsid w:val="00E17BDA"/>
    <w:rsid w:val="00E17CFD"/>
    <w:rsid w:val="00E17E94"/>
    <w:rsid w:val="00E201A8"/>
    <w:rsid w:val="00E202CF"/>
    <w:rsid w:val="00E202DE"/>
    <w:rsid w:val="00E2040D"/>
    <w:rsid w:val="00E205F9"/>
    <w:rsid w:val="00E20AC7"/>
    <w:rsid w:val="00E20E6C"/>
    <w:rsid w:val="00E20F78"/>
    <w:rsid w:val="00E2117B"/>
    <w:rsid w:val="00E21939"/>
    <w:rsid w:val="00E21CFE"/>
    <w:rsid w:val="00E21FFF"/>
    <w:rsid w:val="00E22203"/>
    <w:rsid w:val="00E22A34"/>
    <w:rsid w:val="00E22D7A"/>
    <w:rsid w:val="00E23938"/>
    <w:rsid w:val="00E23C76"/>
    <w:rsid w:val="00E23F89"/>
    <w:rsid w:val="00E24271"/>
    <w:rsid w:val="00E2484F"/>
    <w:rsid w:val="00E24AB7"/>
    <w:rsid w:val="00E24BB6"/>
    <w:rsid w:val="00E25141"/>
    <w:rsid w:val="00E25322"/>
    <w:rsid w:val="00E253D6"/>
    <w:rsid w:val="00E259F7"/>
    <w:rsid w:val="00E25AA4"/>
    <w:rsid w:val="00E25D1F"/>
    <w:rsid w:val="00E25D90"/>
    <w:rsid w:val="00E26031"/>
    <w:rsid w:val="00E262A5"/>
    <w:rsid w:val="00E264E4"/>
    <w:rsid w:val="00E26D30"/>
    <w:rsid w:val="00E27383"/>
    <w:rsid w:val="00E27433"/>
    <w:rsid w:val="00E275B2"/>
    <w:rsid w:val="00E27FF3"/>
    <w:rsid w:val="00E3044A"/>
    <w:rsid w:val="00E304CD"/>
    <w:rsid w:val="00E304DA"/>
    <w:rsid w:val="00E30B06"/>
    <w:rsid w:val="00E30C12"/>
    <w:rsid w:val="00E311CD"/>
    <w:rsid w:val="00E3121F"/>
    <w:rsid w:val="00E31378"/>
    <w:rsid w:val="00E31505"/>
    <w:rsid w:val="00E3178C"/>
    <w:rsid w:val="00E31D97"/>
    <w:rsid w:val="00E31F4B"/>
    <w:rsid w:val="00E320E8"/>
    <w:rsid w:val="00E32610"/>
    <w:rsid w:val="00E32633"/>
    <w:rsid w:val="00E32ACA"/>
    <w:rsid w:val="00E33180"/>
    <w:rsid w:val="00E33FA5"/>
    <w:rsid w:val="00E34190"/>
    <w:rsid w:val="00E3464C"/>
    <w:rsid w:val="00E34C45"/>
    <w:rsid w:val="00E34CEE"/>
    <w:rsid w:val="00E34D24"/>
    <w:rsid w:val="00E351F2"/>
    <w:rsid w:val="00E35230"/>
    <w:rsid w:val="00E35BE4"/>
    <w:rsid w:val="00E35ED9"/>
    <w:rsid w:val="00E35FB1"/>
    <w:rsid w:val="00E36B09"/>
    <w:rsid w:val="00E36CDD"/>
    <w:rsid w:val="00E36D2D"/>
    <w:rsid w:val="00E36F85"/>
    <w:rsid w:val="00E37035"/>
    <w:rsid w:val="00E3712D"/>
    <w:rsid w:val="00E3742F"/>
    <w:rsid w:val="00E37527"/>
    <w:rsid w:val="00E37695"/>
    <w:rsid w:val="00E377FC"/>
    <w:rsid w:val="00E37A4A"/>
    <w:rsid w:val="00E37BE9"/>
    <w:rsid w:val="00E37CE9"/>
    <w:rsid w:val="00E4002E"/>
    <w:rsid w:val="00E4017D"/>
    <w:rsid w:val="00E40287"/>
    <w:rsid w:val="00E4058B"/>
    <w:rsid w:val="00E409A4"/>
    <w:rsid w:val="00E40FE6"/>
    <w:rsid w:val="00E41019"/>
    <w:rsid w:val="00E41081"/>
    <w:rsid w:val="00E411F0"/>
    <w:rsid w:val="00E413AF"/>
    <w:rsid w:val="00E4174E"/>
    <w:rsid w:val="00E41E0A"/>
    <w:rsid w:val="00E42329"/>
    <w:rsid w:val="00E425D2"/>
    <w:rsid w:val="00E42647"/>
    <w:rsid w:val="00E4286A"/>
    <w:rsid w:val="00E436F6"/>
    <w:rsid w:val="00E437E9"/>
    <w:rsid w:val="00E43C90"/>
    <w:rsid w:val="00E43E32"/>
    <w:rsid w:val="00E43F6F"/>
    <w:rsid w:val="00E44A29"/>
    <w:rsid w:val="00E44C02"/>
    <w:rsid w:val="00E44E7F"/>
    <w:rsid w:val="00E452EF"/>
    <w:rsid w:val="00E45B63"/>
    <w:rsid w:val="00E45C2B"/>
    <w:rsid w:val="00E46181"/>
    <w:rsid w:val="00E46A04"/>
    <w:rsid w:val="00E46BC1"/>
    <w:rsid w:val="00E46C80"/>
    <w:rsid w:val="00E46CE9"/>
    <w:rsid w:val="00E46D68"/>
    <w:rsid w:val="00E46F7D"/>
    <w:rsid w:val="00E474C5"/>
    <w:rsid w:val="00E476DC"/>
    <w:rsid w:val="00E47736"/>
    <w:rsid w:val="00E477A7"/>
    <w:rsid w:val="00E47B4D"/>
    <w:rsid w:val="00E47DA3"/>
    <w:rsid w:val="00E50070"/>
    <w:rsid w:val="00E500F0"/>
    <w:rsid w:val="00E50394"/>
    <w:rsid w:val="00E505B7"/>
    <w:rsid w:val="00E50B13"/>
    <w:rsid w:val="00E50DFA"/>
    <w:rsid w:val="00E50E94"/>
    <w:rsid w:val="00E51079"/>
    <w:rsid w:val="00E510E1"/>
    <w:rsid w:val="00E51346"/>
    <w:rsid w:val="00E513B2"/>
    <w:rsid w:val="00E51634"/>
    <w:rsid w:val="00E51648"/>
    <w:rsid w:val="00E51A18"/>
    <w:rsid w:val="00E51CA6"/>
    <w:rsid w:val="00E51CAB"/>
    <w:rsid w:val="00E51D2B"/>
    <w:rsid w:val="00E51E2F"/>
    <w:rsid w:val="00E52736"/>
    <w:rsid w:val="00E5282A"/>
    <w:rsid w:val="00E52938"/>
    <w:rsid w:val="00E52A43"/>
    <w:rsid w:val="00E52D1D"/>
    <w:rsid w:val="00E52EBA"/>
    <w:rsid w:val="00E52F22"/>
    <w:rsid w:val="00E53ADC"/>
    <w:rsid w:val="00E53B01"/>
    <w:rsid w:val="00E54358"/>
    <w:rsid w:val="00E5437D"/>
    <w:rsid w:val="00E547E7"/>
    <w:rsid w:val="00E552F0"/>
    <w:rsid w:val="00E554A1"/>
    <w:rsid w:val="00E558EF"/>
    <w:rsid w:val="00E55A77"/>
    <w:rsid w:val="00E55F4F"/>
    <w:rsid w:val="00E55F6C"/>
    <w:rsid w:val="00E5644E"/>
    <w:rsid w:val="00E566A8"/>
    <w:rsid w:val="00E56C2C"/>
    <w:rsid w:val="00E57246"/>
    <w:rsid w:val="00E574BE"/>
    <w:rsid w:val="00E57781"/>
    <w:rsid w:val="00E57A77"/>
    <w:rsid w:val="00E60287"/>
    <w:rsid w:val="00E603B7"/>
    <w:rsid w:val="00E60541"/>
    <w:rsid w:val="00E60ABB"/>
    <w:rsid w:val="00E60B75"/>
    <w:rsid w:val="00E61447"/>
    <w:rsid w:val="00E618E0"/>
    <w:rsid w:val="00E619A5"/>
    <w:rsid w:val="00E61AF0"/>
    <w:rsid w:val="00E61BAA"/>
    <w:rsid w:val="00E6212F"/>
    <w:rsid w:val="00E622B2"/>
    <w:rsid w:val="00E62913"/>
    <w:rsid w:val="00E62A45"/>
    <w:rsid w:val="00E62BF5"/>
    <w:rsid w:val="00E62E0E"/>
    <w:rsid w:val="00E62EA4"/>
    <w:rsid w:val="00E62FC1"/>
    <w:rsid w:val="00E631CC"/>
    <w:rsid w:val="00E63227"/>
    <w:rsid w:val="00E636B7"/>
    <w:rsid w:val="00E63912"/>
    <w:rsid w:val="00E63D49"/>
    <w:rsid w:val="00E64B0C"/>
    <w:rsid w:val="00E64EDE"/>
    <w:rsid w:val="00E65281"/>
    <w:rsid w:val="00E65BA4"/>
    <w:rsid w:val="00E65CD8"/>
    <w:rsid w:val="00E6632D"/>
    <w:rsid w:val="00E6639C"/>
    <w:rsid w:val="00E66558"/>
    <w:rsid w:val="00E667BA"/>
    <w:rsid w:val="00E66827"/>
    <w:rsid w:val="00E66CC0"/>
    <w:rsid w:val="00E66D2B"/>
    <w:rsid w:val="00E66DB0"/>
    <w:rsid w:val="00E66F27"/>
    <w:rsid w:val="00E67062"/>
    <w:rsid w:val="00E67135"/>
    <w:rsid w:val="00E67703"/>
    <w:rsid w:val="00E6781F"/>
    <w:rsid w:val="00E67D82"/>
    <w:rsid w:val="00E67DC7"/>
    <w:rsid w:val="00E70912"/>
    <w:rsid w:val="00E70A05"/>
    <w:rsid w:val="00E70B71"/>
    <w:rsid w:val="00E71340"/>
    <w:rsid w:val="00E71B0F"/>
    <w:rsid w:val="00E71D23"/>
    <w:rsid w:val="00E721A0"/>
    <w:rsid w:val="00E726BD"/>
    <w:rsid w:val="00E72752"/>
    <w:rsid w:val="00E72812"/>
    <w:rsid w:val="00E729DC"/>
    <w:rsid w:val="00E72E81"/>
    <w:rsid w:val="00E72F12"/>
    <w:rsid w:val="00E736C1"/>
    <w:rsid w:val="00E73E9F"/>
    <w:rsid w:val="00E74432"/>
    <w:rsid w:val="00E755B9"/>
    <w:rsid w:val="00E7588A"/>
    <w:rsid w:val="00E7593D"/>
    <w:rsid w:val="00E759FB"/>
    <w:rsid w:val="00E75D10"/>
    <w:rsid w:val="00E75D25"/>
    <w:rsid w:val="00E75E85"/>
    <w:rsid w:val="00E76263"/>
    <w:rsid w:val="00E7633C"/>
    <w:rsid w:val="00E76662"/>
    <w:rsid w:val="00E76F6C"/>
    <w:rsid w:val="00E77258"/>
    <w:rsid w:val="00E80110"/>
    <w:rsid w:val="00E80211"/>
    <w:rsid w:val="00E8027C"/>
    <w:rsid w:val="00E802C7"/>
    <w:rsid w:val="00E80BA6"/>
    <w:rsid w:val="00E80C1C"/>
    <w:rsid w:val="00E80F9F"/>
    <w:rsid w:val="00E81319"/>
    <w:rsid w:val="00E81593"/>
    <w:rsid w:val="00E8169D"/>
    <w:rsid w:val="00E824F7"/>
    <w:rsid w:val="00E82A76"/>
    <w:rsid w:val="00E82CBE"/>
    <w:rsid w:val="00E83830"/>
    <w:rsid w:val="00E83C66"/>
    <w:rsid w:val="00E83D60"/>
    <w:rsid w:val="00E83DBB"/>
    <w:rsid w:val="00E844FC"/>
    <w:rsid w:val="00E8450D"/>
    <w:rsid w:val="00E84862"/>
    <w:rsid w:val="00E849FF"/>
    <w:rsid w:val="00E84D7D"/>
    <w:rsid w:val="00E84F98"/>
    <w:rsid w:val="00E855D8"/>
    <w:rsid w:val="00E85818"/>
    <w:rsid w:val="00E86C71"/>
    <w:rsid w:val="00E872AB"/>
    <w:rsid w:val="00E87704"/>
    <w:rsid w:val="00E87A99"/>
    <w:rsid w:val="00E87BB1"/>
    <w:rsid w:val="00E87DE7"/>
    <w:rsid w:val="00E9001C"/>
    <w:rsid w:val="00E901DE"/>
    <w:rsid w:val="00E90381"/>
    <w:rsid w:val="00E904A8"/>
    <w:rsid w:val="00E908FE"/>
    <w:rsid w:val="00E90BED"/>
    <w:rsid w:val="00E90DFD"/>
    <w:rsid w:val="00E91201"/>
    <w:rsid w:val="00E91228"/>
    <w:rsid w:val="00E913EA"/>
    <w:rsid w:val="00E91EFE"/>
    <w:rsid w:val="00E92238"/>
    <w:rsid w:val="00E92500"/>
    <w:rsid w:val="00E927BC"/>
    <w:rsid w:val="00E92DE8"/>
    <w:rsid w:val="00E93031"/>
    <w:rsid w:val="00E93EDF"/>
    <w:rsid w:val="00E93FC8"/>
    <w:rsid w:val="00E9445E"/>
    <w:rsid w:val="00E945C3"/>
    <w:rsid w:val="00E947C7"/>
    <w:rsid w:val="00E9492B"/>
    <w:rsid w:val="00E94D5F"/>
    <w:rsid w:val="00E950DD"/>
    <w:rsid w:val="00E95118"/>
    <w:rsid w:val="00E95618"/>
    <w:rsid w:val="00E9568B"/>
    <w:rsid w:val="00E95AD0"/>
    <w:rsid w:val="00E95FFB"/>
    <w:rsid w:val="00E9624C"/>
    <w:rsid w:val="00E964F6"/>
    <w:rsid w:val="00E9672A"/>
    <w:rsid w:val="00E975FC"/>
    <w:rsid w:val="00E97C1F"/>
    <w:rsid w:val="00E97E46"/>
    <w:rsid w:val="00EA0092"/>
    <w:rsid w:val="00EA00B5"/>
    <w:rsid w:val="00EA0356"/>
    <w:rsid w:val="00EA0414"/>
    <w:rsid w:val="00EA06C1"/>
    <w:rsid w:val="00EA0A9D"/>
    <w:rsid w:val="00EA15CD"/>
    <w:rsid w:val="00EA1667"/>
    <w:rsid w:val="00EA19D9"/>
    <w:rsid w:val="00EA1A0A"/>
    <w:rsid w:val="00EA1CD0"/>
    <w:rsid w:val="00EA1D5A"/>
    <w:rsid w:val="00EA1D66"/>
    <w:rsid w:val="00EA1F55"/>
    <w:rsid w:val="00EA21BA"/>
    <w:rsid w:val="00EA2315"/>
    <w:rsid w:val="00EA23AB"/>
    <w:rsid w:val="00EA2583"/>
    <w:rsid w:val="00EA2619"/>
    <w:rsid w:val="00EA2884"/>
    <w:rsid w:val="00EA2A1E"/>
    <w:rsid w:val="00EA2AFD"/>
    <w:rsid w:val="00EA2DF8"/>
    <w:rsid w:val="00EA3078"/>
    <w:rsid w:val="00EA332F"/>
    <w:rsid w:val="00EA3459"/>
    <w:rsid w:val="00EA3902"/>
    <w:rsid w:val="00EA3AF6"/>
    <w:rsid w:val="00EA457F"/>
    <w:rsid w:val="00EA4C71"/>
    <w:rsid w:val="00EA5891"/>
    <w:rsid w:val="00EA599A"/>
    <w:rsid w:val="00EA5E0F"/>
    <w:rsid w:val="00EA690D"/>
    <w:rsid w:val="00EA6994"/>
    <w:rsid w:val="00EA6A1E"/>
    <w:rsid w:val="00EA6D86"/>
    <w:rsid w:val="00EA6D8D"/>
    <w:rsid w:val="00EA7755"/>
    <w:rsid w:val="00EA77C7"/>
    <w:rsid w:val="00EA787C"/>
    <w:rsid w:val="00EA7C93"/>
    <w:rsid w:val="00EA7E09"/>
    <w:rsid w:val="00EB07A4"/>
    <w:rsid w:val="00EB0B3E"/>
    <w:rsid w:val="00EB0C43"/>
    <w:rsid w:val="00EB0FB8"/>
    <w:rsid w:val="00EB1013"/>
    <w:rsid w:val="00EB1026"/>
    <w:rsid w:val="00EB103F"/>
    <w:rsid w:val="00EB115B"/>
    <w:rsid w:val="00EB15DA"/>
    <w:rsid w:val="00EB1660"/>
    <w:rsid w:val="00EB187F"/>
    <w:rsid w:val="00EB1B44"/>
    <w:rsid w:val="00EB1BBD"/>
    <w:rsid w:val="00EB1EE6"/>
    <w:rsid w:val="00EB1F3D"/>
    <w:rsid w:val="00EB2217"/>
    <w:rsid w:val="00EB236F"/>
    <w:rsid w:val="00EB26DF"/>
    <w:rsid w:val="00EB270E"/>
    <w:rsid w:val="00EB274C"/>
    <w:rsid w:val="00EB2BB1"/>
    <w:rsid w:val="00EB2F8D"/>
    <w:rsid w:val="00EB2FCF"/>
    <w:rsid w:val="00EB3345"/>
    <w:rsid w:val="00EB3581"/>
    <w:rsid w:val="00EB365B"/>
    <w:rsid w:val="00EB3E2B"/>
    <w:rsid w:val="00EB41A8"/>
    <w:rsid w:val="00EB429F"/>
    <w:rsid w:val="00EB44D2"/>
    <w:rsid w:val="00EB45D7"/>
    <w:rsid w:val="00EB4789"/>
    <w:rsid w:val="00EB47AA"/>
    <w:rsid w:val="00EB4CFD"/>
    <w:rsid w:val="00EB5382"/>
    <w:rsid w:val="00EB54E7"/>
    <w:rsid w:val="00EB5505"/>
    <w:rsid w:val="00EB57B9"/>
    <w:rsid w:val="00EB6903"/>
    <w:rsid w:val="00EB6A35"/>
    <w:rsid w:val="00EB6EC0"/>
    <w:rsid w:val="00EB6F1C"/>
    <w:rsid w:val="00EB7005"/>
    <w:rsid w:val="00EB7880"/>
    <w:rsid w:val="00EB7C2F"/>
    <w:rsid w:val="00EB7DE0"/>
    <w:rsid w:val="00EB7F6A"/>
    <w:rsid w:val="00EC01BD"/>
    <w:rsid w:val="00EC022D"/>
    <w:rsid w:val="00EC048E"/>
    <w:rsid w:val="00EC0498"/>
    <w:rsid w:val="00EC083E"/>
    <w:rsid w:val="00EC091B"/>
    <w:rsid w:val="00EC0A01"/>
    <w:rsid w:val="00EC0A28"/>
    <w:rsid w:val="00EC0B0E"/>
    <w:rsid w:val="00EC0ED2"/>
    <w:rsid w:val="00EC1208"/>
    <w:rsid w:val="00EC1264"/>
    <w:rsid w:val="00EC1D76"/>
    <w:rsid w:val="00EC20AB"/>
    <w:rsid w:val="00EC2389"/>
    <w:rsid w:val="00EC23F0"/>
    <w:rsid w:val="00EC2595"/>
    <w:rsid w:val="00EC2648"/>
    <w:rsid w:val="00EC27F6"/>
    <w:rsid w:val="00EC2941"/>
    <w:rsid w:val="00EC2D41"/>
    <w:rsid w:val="00EC3254"/>
    <w:rsid w:val="00EC32C6"/>
    <w:rsid w:val="00EC3300"/>
    <w:rsid w:val="00EC3C34"/>
    <w:rsid w:val="00EC3F23"/>
    <w:rsid w:val="00EC4EC1"/>
    <w:rsid w:val="00EC5029"/>
    <w:rsid w:val="00EC5305"/>
    <w:rsid w:val="00EC5DB7"/>
    <w:rsid w:val="00EC5F00"/>
    <w:rsid w:val="00EC6012"/>
    <w:rsid w:val="00EC68CF"/>
    <w:rsid w:val="00EC6956"/>
    <w:rsid w:val="00EC6975"/>
    <w:rsid w:val="00EC6CDA"/>
    <w:rsid w:val="00EC6CDD"/>
    <w:rsid w:val="00EC7ACC"/>
    <w:rsid w:val="00EC7B4C"/>
    <w:rsid w:val="00EC7BA9"/>
    <w:rsid w:val="00EC7DBF"/>
    <w:rsid w:val="00ED0553"/>
    <w:rsid w:val="00ED068F"/>
    <w:rsid w:val="00ED0727"/>
    <w:rsid w:val="00ED0927"/>
    <w:rsid w:val="00ED099A"/>
    <w:rsid w:val="00ED0A44"/>
    <w:rsid w:val="00ED0B4A"/>
    <w:rsid w:val="00ED11C9"/>
    <w:rsid w:val="00ED1220"/>
    <w:rsid w:val="00ED14D6"/>
    <w:rsid w:val="00ED161C"/>
    <w:rsid w:val="00ED190A"/>
    <w:rsid w:val="00ED1E55"/>
    <w:rsid w:val="00ED22FB"/>
    <w:rsid w:val="00ED278C"/>
    <w:rsid w:val="00ED27A6"/>
    <w:rsid w:val="00ED2896"/>
    <w:rsid w:val="00ED2A44"/>
    <w:rsid w:val="00ED2F59"/>
    <w:rsid w:val="00ED3072"/>
    <w:rsid w:val="00ED33AA"/>
    <w:rsid w:val="00ED344A"/>
    <w:rsid w:val="00ED35B9"/>
    <w:rsid w:val="00ED375C"/>
    <w:rsid w:val="00ED3A01"/>
    <w:rsid w:val="00ED3C99"/>
    <w:rsid w:val="00ED3CFC"/>
    <w:rsid w:val="00ED3FF7"/>
    <w:rsid w:val="00ED42C4"/>
    <w:rsid w:val="00ED4628"/>
    <w:rsid w:val="00ED4644"/>
    <w:rsid w:val="00ED4818"/>
    <w:rsid w:val="00ED487C"/>
    <w:rsid w:val="00ED48EE"/>
    <w:rsid w:val="00ED4E8F"/>
    <w:rsid w:val="00ED586D"/>
    <w:rsid w:val="00ED5BB5"/>
    <w:rsid w:val="00ED641D"/>
    <w:rsid w:val="00ED651B"/>
    <w:rsid w:val="00ED67DE"/>
    <w:rsid w:val="00ED6CCF"/>
    <w:rsid w:val="00ED6DE5"/>
    <w:rsid w:val="00ED6FAF"/>
    <w:rsid w:val="00ED7231"/>
    <w:rsid w:val="00ED7348"/>
    <w:rsid w:val="00ED7449"/>
    <w:rsid w:val="00ED771D"/>
    <w:rsid w:val="00EE0642"/>
    <w:rsid w:val="00EE0C05"/>
    <w:rsid w:val="00EE0E02"/>
    <w:rsid w:val="00EE101B"/>
    <w:rsid w:val="00EE15AD"/>
    <w:rsid w:val="00EE1ABE"/>
    <w:rsid w:val="00EE1B06"/>
    <w:rsid w:val="00EE1D14"/>
    <w:rsid w:val="00EE1FDC"/>
    <w:rsid w:val="00EE2474"/>
    <w:rsid w:val="00EE2C2B"/>
    <w:rsid w:val="00EE2EA9"/>
    <w:rsid w:val="00EE2F52"/>
    <w:rsid w:val="00EE33C2"/>
    <w:rsid w:val="00EE39F8"/>
    <w:rsid w:val="00EE3C55"/>
    <w:rsid w:val="00EE3C99"/>
    <w:rsid w:val="00EE3EBC"/>
    <w:rsid w:val="00EE415F"/>
    <w:rsid w:val="00EE45C8"/>
    <w:rsid w:val="00EE4661"/>
    <w:rsid w:val="00EE48A2"/>
    <w:rsid w:val="00EE52D9"/>
    <w:rsid w:val="00EE5649"/>
    <w:rsid w:val="00EE57DC"/>
    <w:rsid w:val="00EE583C"/>
    <w:rsid w:val="00EE681E"/>
    <w:rsid w:val="00EE68E4"/>
    <w:rsid w:val="00EE6B11"/>
    <w:rsid w:val="00EE6C31"/>
    <w:rsid w:val="00EE6EAC"/>
    <w:rsid w:val="00EE75DA"/>
    <w:rsid w:val="00EE78A4"/>
    <w:rsid w:val="00EE79D6"/>
    <w:rsid w:val="00EE7EDF"/>
    <w:rsid w:val="00EF0087"/>
    <w:rsid w:val="00EF0120"/>
    <w:rsid w:val="00EF03BF"/>
    <w:rsid w:val="00EF04CA"/>
    <w:rsid w:val="00EF1009"/>
    <w:rsid w:val="00EF12F5"/>
    <w:rsid w:val="00EF1D89"/>
    <w:rsid w:val="00EF1F94"/>
    <w:rsid w:val="00EF296B"/>
    <w:rsid w:val="00EF2DFC"/>
    <w:rsid w:val="00EF3025"/>
    <w:rsid w:val="00EF32DB"/>
    <w:rsid w:val="00EF33C8"/>
    <w:rsid w:val="00EF3808"/>
    <w:rsid w:val="00EF3AA9"/>
    <w:rsid w:val="00EF3BB8"/>
    <w:rsid w:val="00EF3CDE"/>
    <w:rsid w:val="00EF40C2"/>
    <w:rsid w:val="00EF40DF"/>
    <w:rsid w:val="00EF4255"/>
    <w:rsid w:val="00EF4366"/>
    <w:rsid w:val="00EF481E"/>
    <w:rsid w:val="00EF48C3"/>
    <w:rsid w:val="00EF48CD"/>
    <w:rsid w:val="00EF4B65"/>
    <w:rsid w:val="00EF4C2D"/>
    <w:rsid w:val="00EF4C56"/>
    <w:rsid w:val="00EF51E2"/>
    <w:rsid w:val="00EF5587"/>
    <w:rsid w:val="00EF5892"/>
    <w:rsid w:val="00EF59D9"/>
    <w:rsid w:val="00EF5DE8"/>
    <w:rsid w:val="00EF6266"/>
    <w:rsid w:val="00EF65A5"/>
    <w:rsid w:val="00EF6673"/>
    <w:rsid w:val="00EF6DAB"/>
    <w:rsid w:val="00EF6F60"/>
    <w:rsid w:val="00EF6F7C"/>
    <w:rsid w:val="00EF71B7"/>
    <w:rsid w:val="00EF72CF"/>
    <w:rsid w:val="00EF795C"/>
    <w:rsid w:val="00EF7CB4"/>
    <w:rsid w:val="00EF7F3E"/>
    <w:rsid w:val="00F001D6"/>
    <w:rsid w:val="00F001F1"/>
    <w:rsid w:val="00F002B7"/>
    <w:rsid w:val="00F00720"/>
    <w:rsid w:val="00F009FC"/>
    <w:rsid w:val="00F00AE2"/>
    <w:rsid w:val="00F00D7F"/>
    <w:rsid w:val="00F00ED1"/>
    <w:rsid w:val="00F0130D"/>
    <w:rsid w:val="00F01418"/>
    <w:rsid w:val="00F014C8"/>
    <w:rsid w:val="00F014E0"/>
    <w:rsid w:val="00F01525"/>
    <w:rsid w:val="00F01B86"/>
    <w:rsid w:val="00F01BE8"/>
    <w:rsid w:val="00F021EC"/>
    <w:rsid w:val="00F0252E"/>
    <w:rsid w:val="00F02653"/>
    <w:rsid w:val="00F02A45"/>
    <w:rsid w:val="00F02B6D"/>
    <w:rsid w:val="00F02D80"/>
    <w:rsid w:val="00F03784"/>
    <w:rsid w:val="00F0395A"/>
    <w:rsid w:val="00F03CE9"/>
    <w:rsid w:val="00F04108"/>
    <w:rsid w:val="00F04199"/>
    <w:rsid w:val="00F042B3"/>
    <w:rsid w:val="00F044D4"/>
    <w:rsid w:val="00F04527"/>
    <w:rsid w:val="00F04719"/>
    <w:rsid w:val="00F04F31"/>
    <w:rsid w:val="00F04FC8"/>
    <w:rsid w:val="00F050CB"/>
    <w:rsid w:val="00F058AA"/>
    <w:rsid w:val="00F05AAE"/>
    <w:rsid w:val="00F06121"/>
    <w:rsid w:val="00F0641F"/>
    <w:rsid w:val="00F068C9"/>
    <w:rsid w:val="00F06CD8"/>
    <w:rsid w:val="00F06D00"/>
    <w:rsid w:val="00F06E5E"/>
    <w:rsid w:val="00F073DF"/>
    <w:rsid w:val="00F07837"/>
    <w:rsid w:val="00F07903"/>
    <w:rsid w:val="00F07A25"/>
    <w:rsid w:val="00F07EE8"/>
    <w:rsid w:val="00F10218"/>
    <w:rsid w:val="00F1083D"/>
    <w:rsid w:val="00F10A93"/>
    <w:rsid w:val="00F11098"/>
    <w:rsid w:val="00F110E8"/>
    <w:rsid w:val="00F119C7"/>
    <w:rsid w:val="00F11EBA"/>
    <w:rsid w:val="00F11F73"/>
    <w:rsid w:val="00F120CA"/>
    <w:rsid w:val="00F1281C"/>
    <w:rsid w:val="00F128F0"/>
    <w:rsid w:val="00F12AC6"/>
    <w:rsid w:val="00F12C8E"/>
    <w:rsid w:val="00F12E38"/>
    <w:rsid w:val="00F1393D"/>
    <w:rsid w:val="00F13A8D"/>
    <w:rsid w:val="00F13C24"/>
    <w:rsid w:val="00F140D8"/>
    <w:rsid w:val="00F142AE"/>
    <w:rsid w:val="00F14398"/>
    <w:rsid w:val="00F1439C"/>
    <w:rsid w:val="00F14705"/>
    <w:rsid w:val="00F14D1F"/>
    <w:rsid w:val="00F14EED"/>
    <w:rsid w:val="00F15256"/>
    <w:rsid w:val="00F153A7"/>
    <w:rsid w:val="00F158E5"/>
    <w:rsid w:val="00F15A65"/>
    <w:rsid w:val="00F15A6C"/>
    <w:rsid w:val="00F15AD0"/>
    <w:rsid w:val="00F15FD7"/>
    <w:rsid w:val="00F16590"/>
    <w:rsid w:val="00F167A4"/>
    <w:rsid w:val="00F16EEC"/>
    <w:rsid w:val="00F1733D"/>
    <w:rsid w:val="00F17517"/>
    <w:rsid w:val="00F1797B"/>
    <w:rsid w:val="00F17EFE"/>
    <w:rsid w:val="00F2054A"/>
    <w:rsid w:val="00F20766"/>
    <w:rsid w:val="00F20CFA"/>
    <w:rsid w:val="00F2140B"/>
    <w:rsid w:val="00F215CE"/>
    <w:rsid w:val="00F215F5"/>
    <w:rsid w:val="00F21906"/>
    <w:rsid w:val="00F21CAC"/>
    <w:rsid w:val="00F220D2"/>
    <w:rsid w:val="00F2215A"/>
    <w:rsid w:val="00F23486"/>
    <w:rsid w:val="00F23B33"/>
    <w:rsid w:val="00F23D28"/>
    <w:rsid w:val="00F23EB2"/>
    <w:rsid w:val="00F23EDB"/>
    <w:rsid w:val="00F2469B"/>
    <w:rsid w:val="00F24844"/>
    <w:rsid w:val="00F2489C"/>
    <w:rsid w:val="00F249B1"/>
    <w:rsid w:val="00F24D13"/>
    <w:rsid w:val="00F25146"/>
    <w:rsid w:val="00F257EF"/>
    <w:rsid w:val="00F25B17"/>
    <w:rsid w:val="00F25C13"/>
    <w:rsid w:val="00F25CA5"/>
    <w:rsid w:val="00F25DC5"/>
    <w:rsid w:val="00F25E4A"/>
    <w:rsid w:val="00F2668E"/>
    <w:rsid w:val="00F267B5"/>
    <w:rsid w:val="00F26EAD"/>
    <w:rsid w:val="00F272A5"/>
    <w:rsid w:val="00F27377"/>
    <w:rsid w:val="00F27379"/>
    <w:rsid w:val="00F273E7"/>
    <w:rsid w:val="00F27559"/>
    <w:rsid w:val="00F310CE"/>
    <w:rsid w:val="00F3171F"/>
    <w:rsid w:val="00F3187D"/>
    <w:rsid w:val="00F319D9"/>
    <w:rsid w:val="00F31AF3"/>
    <w:rsid w:val="00F31F25"/>
    <w:rsid w:val="00F320CA"/>
    <w:rsid w:val="00F3286B"/>
    <w:rsid w:val="00F32A89"/>
    <w:rsid w:val="00F32DD7"/>
    <w:rsid w:val="00F32ECD"/>
    <w:rsid w:val="00F331A9"/>
    <w:rsid w:val="00F3375C"/>
    <w:rsid w:val="00F33878"/>
    <w:rsid w:val="00F33AC4"/>
    <w:rsid w:val="00F33B71"/>
    <w:rsid w:val="00F33BA7"/>
    <w:rsid w:val="00F33BFD"/>
    <w:rsid w:val="00F33D2E"/>
    <w:rsid w:val="00F33F75"/>
    <w:rsid w:val="00F342B3"/>
    <w:rsid w:val="00F3445D"/>
    <w:rsid w:val="00F349D7"/>
    <w:rsid w:val="00F34DC7"/>
    <w:rsid w:val="00F34E1C"/>
    <w:rsid w:val="00F34E85"/>
    <w:rsid w:val="00F34EE3"/>
    <w:rsid w:val="00F34F19"/>
    <w:rsid w:val="00F34F22"/>
    <w:rsid w:val="00F34FD8"/>
    <w:rsid w:val="00F35182"/>
    <w:rsid w:val="00F35214"/>
    <w:rsid w:val="00F35316"/>
    <w:rsid w:val="00F3533B"/>
    <w:rsid w:val="00F35464"/>
    <w:rsid w:val="00F354E1"/>
    <w:rsid w:val="00F35596"/>
    <w:rsid w:val="00F3597B"/>
    <w:rsid w:val="00F35C00"/>
    <w:rsid w:val="00F35E10"/>
    <w:rsid w:val="00F35FBC"/>
    <w:rsid w:val="00F3669F"/>
    <w:rsid w:val="00F3684B"/>
    <w:rsid w:val="00F36952"/>
    <w:rsid w:val="00F36C0D"/>
    <w:rsid w:val="00F36C83"/>
    <w:rsid w:val="00F377F9"/>
    <w:rsid w:val="00F37F6D"/>
    <w:rsid w:val="00F37FE5"/>
    <w:rsid w:val="00F40105"/>
    <w:rsid w:val="00F4015E"/>
    <w:rsid w:val="00F40771"/>
    <w:rsid w:val="00F40AA7"/>
    <w:rsid w:val="00F41110"/>
    <w:rsid w:val="00F41A65"/>
    <w:rsid w:val="00F41DE9"/>
    <w:rsid w:val="00F421C7"/>
    <w:rsid w:val="00F422B4"/>
    <w:rsid w:val="00F430EE"/>
    <w:rsid w:val="00F432DA"/>
    <w:rsid w:val="00F432FF"/>
    <w:rsid w:val="00F4398B"/>
    <w:rsid w:val="00F43DA9"/>
    <w:rsid w:val="00F44628"/>
    <w:rsid w:val="00F44632"/>
    <w:rsid w:val="00F44ABB"/>
    <w:rsid w:val="00F44B73"/>
    <w:rsid w:val="00F44E16"/>
    <w:rsid w:val="00F44EBF"/>
    <w:rsid w:val="00F44F17"/>
    <w:rsid w:val="00F455D1"/>
    <w:rsid w:val="00F456BA"/>
    <w:rsid w:val="00F45A67"/>
    <w:rsid w:val="00F45DE8"/>
    <w:rsid w:val="00F45E31"/>
    <w:rsid w:val="00F4613E"/>
    <w:rsid w:val="00F46321"/>
    <w:rsid w:val="00F464C6"/>
    <w:rsid w:val="00F4663E"/>
    <w:rsid w:val="00F4704F"/>
    <w:rsid w:val="00F472BE"/>
    <w:rsid w:val="00F472D8"/>
    <w:rsid w:val="00F47684"/>
    <w:rsid w:val="00F47847"/>
    <w:rsid w:val="00F47BA1"/>
    <w:rsid w:val="00F47F7A"/>
    <w:rsid w:val="00F50188"/>
    <w:rsid w:val="00F50B23"/>
    <w:rsid w:val="00F512C9"/>
    <w:rsid w:val="00F520F7"/>
    <w:rsid w:val="00F523B5"/>
    <w:rsid w:val="00F52564"/>
    <w:rsid w:val="00F5295D"/>
    <w:rsid w:val="00F52A86"/>
    <w:rsid w:val="00F52B9A"/>
    <w:rsid w:val="00F531DD"/>
    <w:rsid w:val="00F5347D"/>
    <w:rsid w:val="00F53582"/>
    <w:rsid w:val="00F53B57"/>
    <w:rsid w:val="00F53E55"/>
    <w:rsid w:val="00F54234"/>
    <w:rsid w:val="00F54672"/>
    <w:rsid w:val="00F5488D"/>
    <w:rsid w:val="00F54D5F"/>
    <w:rsid w:val="00F54EEA"/>
    <w:rsid w:val="00F554ED"/>
    <w:rsid w:val="00F555AC"/>
    <w:rsid w:val="00F555AD"/>
    <w:rsid w:val="00F557C9"/>
    <w:rsid w:val="00F55DF7"/>
    <w:rsid w:val="00F55F3C"/>
    <w:rsid w:val="00F55FD0"/>
    <w:rsid w:val="00F5605D"/>
    <w:rsid w:val="00F560BD"/>
    <w:rsid w:val="00F56260"/>
    <w:rsid w:val="00F569A2"/>
    <w:rsid w:val="00F56D89"/>
    <w:rsid w:val="00F5708F"/>
    <w:rsid w:val="00F57E20"/>
    <w:rsid w:val="00F607B7"/>
    <w:rsid w:val="00F609C8"/>
    <w:rsid w:val="00F60C97"/>
    <w:rsid w:val="00F60FB4"/>
    <w:rsid w:val="00F61022"/>
    <w:rsid w:val="00F6148E"/>
    <w:rsid w:val="00F619CA"/>
    <w:rsid w:val="00F61A23"/>
    <w:rsid w:val="00F61AB7"/>
    <w:rsid w:val="00F61FA3"/>
    <w:rsid w:val="00F62033"/>
    <w:rsid w:val="00F621F6"/>
    <w:rsid w:val="00F625E2"/>
    <w:rsid w:val="00F627A4"/>
    <w:rsid w:val="00F628CB"/>
    <w:rsid w:val="00F62F69"/>
    <w:rsid w:val="00F6326A"/>
    <w:rsid w:val="00F6334D"/>
    <w:rsid w:val="00F638AE"/>
    <w:rsid w:val="00F63FED"/>
    <w:rsid w:val="00F64199"/>
    <w:rsid w:val="00F641E0"/>
    <w:rsid w:val="00F64401"/>
    <w:rsid w:val="00F6466F"/>
    <w:rsid w:val="00F646CA"/>
    <w:rsid w:val="00F6470B"/>
    <w:rsid w:val="00F64B6B"/>
    <w:rsid w:val="00F64EA5"/>
    <w:rsid w:val="00F651B4"/>
    <w:rsid w:val="00F6557E"/>
    <w:rsid w:val="00F65B0F"/>
    <w:rsid w:val="00F65CB5"/>
    <w:rsid w:val="00F6622E"/>
    <w:rsid w:val="00F66428"/>
    <w:rsid w:val="00F670D3"/>
    <w:rsid w:val="00F67286"/>
    <w:rsid w:val="00F67301"/>
    <w:rsid w:val="00F67C08"/>
    <w:rsid w:val="00F67CF9"/>
    <w:rsid w:val="00F67EDD"/>
    <w:rsid w:val="00F67F8B"/>
    <w:rsid w:val="00F70361"/>
    <w:rsid w:val="00F70F3A"/>
    <w:rsid w:val="00F70FB7"/>
    <w:rsid w:val="00F70FD9"/>
    <w:rsid w:val="00F71D4A"/>
    <w:rsid w:val="00F71F04"/>
    <w:rsid w:val="00F720AF"/>
    <w:rsid w:val="00F723AA"/>
    <w:rsid w:val="00F72477"/>
    <w:rsid w:val="00F724EB"/>
    <w:rsid w:val="00F724FC"/>
    <w:rsid w:val="00F7259C"/>
    <w:rsid w:val="00F72E99"/>
    <w:rsid w:val="00F730B2"/>
    <w:rsid w:val="00F7324E"/>
    <w:rsid w:val="00F73566"/>
    <w:rsid w:val="00F73B28"/>
    <w:rsid w:val="00F74576"/>
    <w:rsid w:val="00F745E4"/>
    <w:rsid w:val="00F74FED"/>
    <w:rsid w:val="00F75DA6"/>
    <w:rsid w:val="00F76C00"/>
    <w:rsid w:val="00F776A8"/>
    <w:rsid w:val="00F77E38"/>
    <w:rsid w:val="00F8067A"/>
    <w:rsid w:val="00F808B4"/>
    <w:rsid w:val="00F80998"/>
    <w:rsid w:val="00F80D8F"/>
    <w:rsid w:val="00F80DD2"/>
    <w:rsid w:val="00F815A5"/>
    <w:rsid w:val="00F8177A"/>
    <w:rsid w:val="00F81AE0"/>
    <w:rsid w:val="00F8267C"/>
    <w:rsid w:val="00F82761"/>
    <w:rsid w:val="00F82A19"/>
    <w:rsid w:val="00F82A89"/>
    <w:rsid w:val="00F83031"/>
    <w:rsid w:val="00F8324E"/>
    <w:rsid w:val="00F8356D"/>
    <w:rsid w:val="00F836F7"/>
    <w:rsid w:val="00F83728"/>
    <w:rsid w:val="00F837A5"/>
    <w:rsid w:val="00F83B65"/>
    <w:rsid w:val="00F83CD2"/>
    <w:rsid w:val="00F83CD9"/>
    <w:rsid w:val="00F84305"/>
    <w:rsid w:val="00F85580"/>
    <w:rsid w:val="00F85A42"/>
    <w:rsid w:val="00F860B5"/>
    <w:rsid w:val="00F86511"/>
    <w:rsid w:val="00F8654A"/>
    <w:rsid w:val="00F866AE"/>
    <w:rsid w:val="00F86BA8"/>
    <w:rsid w:val="00F86E10"/>
    <w:rsid w:val="00F86FB1"/>
    <w:rsid w:val="00F87533"/>
    <w:rsid w:val="00F876E3"/>
    <w:rsid w:val="00F878AB"/>
    <w:rsid w:val="00F87945"/>
    <w:rsid w:val="00F87A4A"/>
    <w:rsid w:val="00F87E4F"/>
    <w:rsid w:val="00F90E21"/>
    <w:rsid w:val="00F90E3A"/>
    <w:rsid w:val="00F910DE"/>
    <w:rsid w:val="00F913ED"/>
    <w:rsid w:val="00F915DF"/>
    <w:rsid w:val="00F91764"/>
    <w:rsid w:val="00F91942"/>
    <w:rsid w:val="00F91C71"/>
    <w:rsid w:val="00F91CDA"/>
    <w:rsid w:val="00F91E43"/>
    <w:rsid w:val="00F91F75"/>
    <w:rsid w:val="00F92214"/>
    <w:rsid w:val="00F92565"/>
    <w:rsid w:val="00F92692"/>
    <w:rsid w:val="00F92806"/>
    <w:rsid w:val="00F92C61"/>
    <w:rsid w:val="00F92EBC"/>
    <w:rsid w:val="00F93417"/>
    <w:rsid w:val="00F93699"/>
    <w:rsid w:val="00F93CB0"/>
    <w:rsid w:val="00F94106"/>
    <w:rsid w:val="00F94D9C"/>
    <w:rsid w:val="00F95207"/>
    <w:rsid w:val="00F958F2"/>
    <w:rsid w:val="00F959E0"/>
    <w:rsid w:val="00F96006"/>
    <w:rsid w:val="00F96525"/>
    <w:rsid w:val="00F9699E"/>
    <w:rsid w:val="00F96C19"/>
    <w:rsid w:val="00F96C2D"/>
    <w:rsid w:val="00F96C6D"/>
    <w:rsid w:val="00F97114"/>
    <w:rsid w:val="00F973A4"/>
    <w:rsid w:val="00F974BB"/>
    <w:rsid w:val="00F976F0"/>
    <w:rsid w:val="00F97C42"/>
    <w:rsid w:val="00F97E4A"/>
    <w:rsid w:val="00FA0066"/>
    <w:rsid w:val="00FA0AA2"/>
    <w:rsid w:val="00FA109D"/>
    <w:rsid w:val="00FA10B9"/>
    <w:rsid w:val="00FA1192"/>
    <w:rsid w:val="00FA1C73"/>
    <w:rsid w:val="00FA1E4D"/>
    <w:rsid w:val="00FA2092"/>
    <w:rsid w:val="00FA29D6"/>
    <w:rsid w:val="00FA2EFB"/>
    <w:rsid w:val="00FA304A"/>
    <w:rsid w:val="00FA328D"/>
    <w:rsid w:val="00FA3766"/>
    <w:rsid w:val="00FA3F5A"/>
    <w:rsid w:val="00FA3F85"/>
    <w:rsid w:val="00FA4047"/>
    <w:rsid w:val="00FA41D4"/>
    <w:rsid w:val="00FA48D8"/>
    <w:rsid w:val="00FA4984"/>
    <w:rsid w:val="00FA4A3F"/>
    <w:rsid w:val="00FA4DEB"/>
    <w:rsid w:val="00FA4E84"/>
    <w:rsid w:val="00FA5600"/>
    <w:rsid w:val="00FA57B0"/>
    <w:rsid w:val="00FA5A14"/>
    <w:rsid w:val="00FA5E43"/>
    <w:rsid w:val="00FA6055"/>
    <w:rsid w:val="00FA644D"/>
    <w:rsid w:val="00FA667F"/>
    <w:rsid w:val="00FA6864"/>
    <w:rsid w:val="00FA68F4"/>
    <w:rsid w:val="00FA6EA0"/>
    <w:rsid w:val="00FA72AE"/>
    <w:rsid w:val="00FA72BE"/>
    <w:rsid w:val="00FA72DF"/>
    <w:rsid w:val="00FA7A02"/>
    <w:rsid w:val="00FA7AFA"/>
    <w:rsid w:val="00FA7BBF"/>
    <w:rsid w:val="00FA7C21"/>
    <w:rsid w:val="00FA7D8B"/>
    <w:rsid w:val="00FB02A1"/>
    <w:rsid w:val="00FB04A8"/>
    <w:rsid w:val="00FB0D66"/>
    <w:rsid w:val="00FB0E76"/>
    <w:rsid w:val="00FB0F65"/>
    <w:rsid w:val="00FB1C1F"/>
    <w:rsid w:val="00FB1E5F"/>
    <w:rsid w:val="00FB2213"/>
    <w:rsid w:val="00FB230E"/>
    <w:rsid w:val="00FB27E3"/>
    <w:rsid w:val="00FB28D5"/>
    <w:rsid w:val="00FB2CB6"/>
    <w:rsid w:val="00FB3310"/>
    <w:rsid w:val="00FB37E0"/>
    <w:rsid w:val="00FB3F9C"/>
    <w:rsid w:val="00FB41C0"/>
    <w:rsid w:val="00FB41FB"/>
    <w:rsid w:val="00FB42C4"/>
    <w:rsid w:val="00FB44BA"/>
    <w:rsid w:val="00FB46FF"/>
    <w:rsid w:val="00FB4DBE"/>
    <w:rsid w:val="00FB502E"/>
    <w:rsid w:val="00FB532B"/>
    <w:rsid w:val="00FB559C"/>
    <w:rsid w:val="00FB58B7"/>
    <w:rsid w:val="00FB599C"/>
    <w:rsid w:val="00FB5D7A"/>
    <w:rsid w:val="00FB6082"/>
    <w:rsid w:val="00FB610F"/>
    <w:rsid w:val="00FB63F4"/>
    <w:rsid w:val="00FB6A8F"/>
    <w:rsid w:val="00FB6C38"/>
    <w:rsid w:val="00FB6D50"/>
    <w:rsid w:val="00FB70EB"/>
    <w:rsid w:val="00FB72D1"/>
    <w:rsid w:val="00FB794B"/>
    <w:rsid w:val="00FB7BE9"/>
    <w:rsid w:val="00FC00D9"/>
    <w:rsid w:val="00FC06C3"/>
    <w:rsid w:val="00FC0703"/>
    <w:rsid w:val="00FC0D2F"/>
    <w:rsid w:val="00FC1075"/>
    <w:rsid w:val="00FC110A"/>
    <w:rsid w:val="00FC125E"/>
    <w:rsid w:val="00FC1384"/>
    <w:rsid w:val="00FC1694"/>
    <w:rsid w:val="00FC1759"/>
    <w:rsid w:val="00FC1C17"/>
    <w:rsid w:val="00FC1DE6"/>
    <w:rsid w:val="00FC25F0"/>
    <w:rsid w:val="00FC2639"/>
    <w:rsid w:val="00FC2C90"/>
    <w:rsid w:val="00FC2D77"/>
    <w:rsid w:val="00FC3071"/>
    <w:rsid w:val="00FC3855"/>
    <w:rsid w:val="00FC3C4C"/>
    <w:rsid w:val="00FC40E6"/>
    <w:rsid w:val="00FC428F"/>
    <w:rsid w:val="00FC4809"/>
    <w:rsid w:val="00FC4A95"/>
    <w:rsid w:val="00FC4AD1"/>
    <w:rsid w:val="00FC4BCC"/>
    <w:rsid w:val="00FC4BEC"/>
    <w:rsid w:val="00FC4CA5"/>
    <w:rsid w:val="00FC5147"/>
    <w:rsid w:val="00FC52BA"/>
    <w:rsid w:val="00FC52C0"/>
    <w:rsid w:val="00FC52D6"/>
    <w:rsid w:val="00FC535F"/>
    <w:rsid w:val="00FC5779"/>
    <w:rsid w:val="00FC5856"/>
    <w:rsid w:val="00FC58AD"/>
    <w:rsid w:val="00FC59E4"/>
    <w:rsid w:val="00FC5B1E"/>
    <w:rsid w:val="00FC5DE6"/>
    <w:rsid w:val="00FC61CE"/>
    <w:rsid w:val="00FC631B"/>
    <w:rsid w:val="00FC65D5"/>
    <w:rsid w:val="00FC661E"/>
    <w:rsid w:val="00FC69E4"/>
    <w:rsid w:val="00FC7418"/>
    <w:rsid w:val="00FC77E1"/>
    <w:rsid w:val="00FC7BEC"/>
    <w:rsid w:val="00FD02BF"/>
    <w:rsid w:val="00FD043F"/>
    <w:rsid w:val="00FD05F5"/>
    <w:rsid w:val="00FD062F"/>
    <w:rsid w:val="00FD09BC"/>
    <w:rsid w:val="00FD0A04"/>
    <w:rsid w:val="00FD0ACE"/>
    <w:rsid w:val="00FD0BD4"/>
    <w:rsid w:val="00FD0C31"/>
    <w:rsid w:val="00FD0F36"/>
    <w:rsid w:val="00FD1159"/>
    <w:rsid w:val="00FD1241"/>
    <w:rsid w:val="00FD1243"/>
    <w:rsid w:val="00FD137C"/>
    <w:rsid w:val="00FD14F8"/>
    <w:rsid w:val="00FD16E1"/>
    <w:rsid w:val="00FD1885"/>
    <w:rsid w:val="00FD19EF"/>
    <w:rsid w:val="00FD1AA9"/>
    <w:rsid w:val="00FD1CE6"/>
    <w:rsid w:val="00FD32C2"/>
    <w:rsid w:val="00FD3887"/>
    <w:rsid w:val="00FD3ACD"/>
    <w:rsid w:val="00FD3B33"/>
    <w:rsid w:val="00FD3F99"/>
    <w:rsid w:val="00FD43CB"/>
    <w:rsid w:val="00FD4931"/>
    <w:rsid w:val="00FD4D0F"/>
    <w:rsid w:val="00FD5653"/>
    <w:rsid w:val="00FD5895"/>
    <w:rsid w:val="00FD5B69"/>
    <w:rsid w:val="00FD5C88"/>
    <w:rsid w:val="00FD5DE7"/>
    <w:rsid w:val="00FD5F49"/>
    <w:rsid w:val="00FD6152"/>
    <w:rsid w:val="00FD6AF5"/>
    <w:rsid w:val="00FD6C36"/>
    <w:rsid w:val="00FD741A"/>
    <w:rsid w:val="00FD7592"/>
    <w:rsid w:val="00FD7612"/>
    <w:rsid w:val="00FD7651"/>
    <w:rsid w:val="00FD7973"/>
    <w:rsid w:val="00FE0279"/>
    <w:rsid w:val="00FE02C2"/>
    <w:rsid w:val="00FE0769"/>
    <w:rsid w:val="00FE103B"/>
    <w:rsid w:val="00FE176E"/>
    <w:rsid w:val="00FE17CF"/>
    <w:rsid w:val="00FE1C37"/>
    <w:rsid w:val="00FE1D52"/>
    <w:rsid w:val="00FE21A9"/>
    <w:rsid w:val="00FE21F1"/>
    <w:rsid w:val="00FE2265"/>
    <w:rsid w:val="00FE2533"/>
    <w:rsid w:val="00FE277F"/>
    <w:rsid w:val="00FE2A97"/>
    <w:rsid w:val="00FE2AED"/>
    <w:rsid w:val="00FE2BD5"/>
    <w:rsid w:val="00FE2D9E"/>
    <w:rsid w:val="00FE2F86"/>
    <w:rsid w:val="00FE39B7"/>
    <w:rsid w:val="00FE3A8D"/>
    <w:rsid w:val="00FE3C62"/>
    <w:rsid w:val="00FE3EA6"/>
    <w:rsid w:val="00FE41DA"/>
    <w:rsid w:val="00FE426C"/>
    <w:rsid w:val="00FE4628"/>
    <w:rsid w:val="00FE46DA"/>
    <w:rsid w:val="00FE4B6D"/>
    <w:rsid w:val="00FE4CE8"/>
    <w:rsid w:val="00FE5304"/>
    <w:rsid w:val="00FE55A0"/>
    <w:rsid w:val="00FE59FA"/>
    <w:rsid w:val="00FE5A43"/>
    <w:rsid w:val="00FE5B47"/>
    <w:rsid w:val="00FE5F88"/>
    <w:rsid w:val="00FE67A2"/>
    <w:rsid w:val="00FE6877"/>
    <w:rsid w:val="00FE72E4"/>
    <w:rsid w:val="00FE732A"/>
    <w:rsid w:val="00FE758C"/>
    <w:rsid w:val="00FE7870"/>
    <w:rsid w:val="00FE7AFF"/>
    <w:rsid w:val="00FF0A36"/>
    <w:rsid w:val="00FF0E42"/>
    <w:rsid w:val="00FF0EE0"/>
    <w:rsid w:val="00FF0F95"/>
    <w:rsid w:val="00FF1225"/>
    <w:rsid w:val="00FF13DF"/>
    <w:rsid w:val="00FF19C6"/>
    <w:rsid w:val="00FF1B0C"/>
    <w:rsid w:val="00FF1BC1"/>
    <w:rsid w:val="00FF1D2B"/>
    <w:rsid w:val="00FF1D31"/>
    <w:rsid w:val="00FF1F1C"/>
    <w:rsid w:val="00FF2269"/>
    <w:rsid w:val="00FF2B17"/>
    <w:rsid w:val="00FF2FBC"/>
    <w:rsid w:val="00FF3389"/>
    <w:rsid w:val="00FF3392"/>
    <w:rsid w:val="00FF34C8"/>
    <w:rsid w:val="00FF3943"/>
    <w:rsid w:val="00FF3A61"/>
    <w:rsid w:val="00FF3A66"/>
    <w:rsid w:val="00FF3DE1"/>
    <w:rsid w:val="00FF40A4"/>
    <w:rsid w:val="00FF424D"/>
    <w:rsid w:val="00FF44E4"/>
    <w:rsid w:val="00FF46FA"/>
    <w:rsid w:val="00FF481A"/>
    <w:rsid w:val="00FF48AC"/>
    <w:rsid w:val="00FF48E9"/>
    <w:rsid w:val="00FF4BA8"/>
    <w:rsid w:val="00FF4E9F"/>
    <w:rsid w:val="00FF4F5D"/>
    <w:rsid w:val="00FF5001"/>
    <w:rsid w:val="00FF5415"/>
    <w:rsid w:val="00FF5FB9"/>
    <w:rsid w:val="00FF61E8"/>
    <w:rsid w:val="00FF6539"/>
    <w:rsid w:val="00FF6667"/>
    <w:rsid w:val="00FF66B2"/>
    <w:rsid w:val="00FF68C1"/>
    <w:rsid w:val="00FF6BBB"/>
    <w:rsid w:val="00FF755C"/>
    <w:rsid w:val="00FF7865"/>
    <w:rsid w:val="00FF78C4"/>
    <w:rsid w:val="00FF79A5"/>
    <w:rsid w:val="00FF7E41"/>
    <w:rsid w:val="00FF7F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C04870"/>
  <w15:docId w15:val="{61C32144-A46A-4F33-9260-08ED471A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37A4D"/>
    <w:rPr>
      <w:sz w:val="24"/>
      <w:lang w:val="en-GB" w:eastAsia="en-US"/>
    </w:rPr>
  </w:style>
  <w:style w:type="paragraph" w:styleId="Heading1">
    <w:name w:val="heading 1"/>
    <w:basedOn w:val="Normal"/>
    <w:next w:val="Normal"/>
    <w:link w:val="Heading1Char"/>
    <w:qFormat/>
    <w:pPr>
      <w:keepNext/>
      <w:spacing w:after="260"/>
      <w:outlineLvl w:val="0"/>
    </w:pPr>
    <w:rPr>
      <w:b/>
      <w:sz w:val="28"/>
    </w:rPr>
  </w:style>
  <w:style w:type="paragraph" w:styleId="Heading2">
    <w:name w:val="heading 2"/>
    <w:basedOn w:val="Normal"/>
    <w:next w:val="Normal"/>
    <w:link w:val="Heading2Char"/>
    <w:qFormat/>
    <w:pPr>
      <w:keepNext/>
      <w:tabs>
        <w:tab w:val="right" w:pos="8280"/>
      </w:tabs>
      <w:outlineLvl w:val="1"/>
    </w:pPr>
    <w:rPr>
      <w:i/>
      <w:sz w:val="2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54476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4476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A3B5C"/>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nhideWhenUsed/>
    <w:qFormat/>
    <w:rsid w:val="0054476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54476E"/>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qFormat/>
    <w:rsid w:val="0054476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286"/>
    <w:rPr>
      <w:b/>
      <w:sz w:val="28"/>
      <w:lang w:val="en-US" w:eastAsia="en-US"/>
    </w:rPr>
  </w:style>
  <w:style w:type="character" w:customStyle="1" w:styleId="Heading2Char">
    <w:name w:val="Heading 2 Char"/>
    <w:basedOn w:val="DefaultParagraphFont"/>
    <w:link w:val="Heading2"/>
    <w:rsid w:val="00866286"/>
    <w:rPr>
      <w:i/>
      <w:lang w:val="en-US" w:eastAsia="en-US"/>
    </w:rPr>
  </w:style>
  <w:style w:type="character" w:customStyle="1" w:styleId="Heading3Char">
    <w:name w:val="Heading 3 Char"/>
    <w:basedOn w:val="DefaultParagraphFont"/>
    <w:link w:val="Heading3"/>
    <w:rsid w:val="00866286"/>
    <w:rPr>
      <w:rFonts w:ascii="Arial" w:hAnsi="Arial" w:cs="Arial"/>
      <w:b/>
      <w:bCs/>
      <w:sz w:val="26"/>
      <w:szCs w:val="26"/>
      <w:lang w:val="en-US" w:eastAsia="en-US"/>
    </w:rPr>
  </w:style>
  <w:style w:type="character" w:customStyle="1" w:styleId="Heading4Char">
    <w:name w:val="Heading 4 Char"/>
    <w:basedOn w:val="DefaultParagraphFont"/>
    <w:link w:val="Heading4"/>
    <w:rsid w:val="0054476E"/>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rsid w:val="0054476E"/>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rsid w:val="00866286"/>
    <w:rPr>
      <w:rFonts w:ascii="Times New Roman" w:hAnsi="Times New Roman"/>
      <w:b/>
      <w:bCs/>
      <w:sz w:val="22"/>
      <w:szCs w:val="22"/>
      <w:lang w:val="en-US" w:eastAsia="en-US"/>
    </w:rPr>
  </w:style>
  <w:style w:type="character" w:customStyle="1" w:styleId="Heading7Char">
    <w:name w:val="Heading 7 Char"/>
    <w:basedOn w:val="DefaultParagraphFont"/>
    <w:link w:val="Heading7"/>
    <w:rsid w:val="0054476E"/>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rsid w:val="0054476E"/>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rsid w:val="0054476E"/>
    <w:rPr>
      <w:rFonts w:asciiTheme="majorHAnsi" w:eastAsiaTheme="majorEastAsia" w:hAnsiTheme="majorHAnsi" w:cstheme="majorBidi"/>
      <w:i/>
      <w:iCs/>
      <w:color w:val="404040" w:themeColor="text1" w:themeTint="BF"/>
      <w:lang w:val="en-US" w:eastAsia="en-US"/>
    </w:rPr>
  </w:style>
  <w:style w:type="paragraph" w:customStyle="1" w:styleId="accs">
    <w:name w:val="accs"/>
    <w:basedOn w:val="Normal"/>
    <w:next w:val="2"/>
    <w:pPr>
      <w:tabs>
        <w:tab w:val="right" w:pos="4346"/>
        <w:tab w:val="right" w:pos="6690"/>
      </w:tabs>
      <w:spacing w:line="260" w:lineRule="exact"/>
    </w:pPr>
    <w:rPr>
      <w:sz w:val="18"/>
    </w:rPr>
  </w:style>
  <w:style w:type="paragraph" w:customStyle="1" w:styleId="2">
    <w:name w:val="2"/>
    <w:rPr>
      <w:sz w:val="24"/>
      <w:lang w:val="en-US" w:eastAsia="en-US"/>
    </w:rPr>
  </w:style>
  <w:style w:type="paragraph" w:customStyle="1" w:styleId="accsline">
    <w:name w:val="accs line"/>
    <w:basedOn w:val="Normal"/>
    <w:next w:val="2"/>
    <w:pPr>
      <w:pBdr>
        <w:bottom w:val="single" w:sz="6" w:space="0" w:color="auto"/>
      </w:pBdr>
      <w:tabs>
        <w:tab w:val="right" w:pos="4524"/>
        <w:tab w:val="right" w:pos="6721"/>
        <w:tab w:val="decimal" w:pos="7880"/>
      </w:tabs>
      <w:spacing w:after="170" w:line="260" w:lineRule="exact"/>
    </w:pPr>
    <w:rPr>
      <w:sz w:val="18"/>
    </w:rPr>
  </w:style>
  <w:style w:type="paragraph" w:customStyle="1" w:styleId="subhead">
    <w:name w:val="sub head"/>
    <w:basedOn w:val="Normal"/>
    <w:pPr>
      <w:spacing w:before="170" w:after="113"/>
    </w:pPr>
    <w:rPr>
      <w:rFonts w:ascii="SunSans-Demi" w:hAnsi="SunSans-Demi"/>
      <w:sz w:val="20"/>
    </w:rPr>
  </w:style>
  <w:style w:type="paragraph" w:customStyle="1" w:styleId="body">
    <w:name w:val="body"/>
    <w:basedOn w:val="Normal"/>
    <w:uiPriority w:val="99"/>
    <w:pPr>
      <w:spacing w:line="260" w:lineRule="exact"/>
    </w:pPr>
    <w:rPr>
      <w:sz w:val="18"/>
    </w:rPr>
  </w:style>
  <w:style w:type="paragraph" w:customStyle="1" w:styleId="sd">
    <w:name w:val="sd"/>
    <w:aliases w:val=".fj ng.sldkfgjnsl"/>
    <w:basedOn w:val="Normal"/>
    <w:pPr>
      <w:spacing w:line="285" w:lineRule="exact"/>
    </w:pPr>
    <w:rPr>
      <w:rFonts w:ascii="Formata Medium" w:hAnsi="Formata Medium"/>
      <w:color w:val="0000FF"/>
      <w:spacing w:val="15"/>
      <w:sz w:val="22"/>
    </w:rPr>
  </w:style>
  <w:style w:type="paragraph" w:customStyle="1" w:styleId="newaccs">
    <w:name w:val="new accs"/>
    <w:basedOn w:val="Normal"/>
    <w:pPr>
      <w:tabs>
        <w:tab w:val="right" w:pos="3074"/>
        <w:tab w:val="decimal" w:pos="4320"/>
        <w:tab w:val="decimal" w:pos="5517"/>
        <w:tab w:val="decimal" w:pos="6746"/>
      </w:tabs>
      <w:spacing w:after="170" w:line="230" w:lineRule="exact"/>
    </w:pPr>
    <w:rPr>
      <w:sz w:val="18"/>
    </w:rPr>
  </w:style>
  <w:style w:type="paragraph" w:customStyle="1" w:styleId="newaccsline">
    <w:name w:val="new accs line"/>
    <w:basedOn w:val="Normal"/>
    <w:pPr>
      <w:pBdr>
        <w:bottom w:val="single" w:sz="6" w:space="0" w:color="auto"/>
      </w:pBdr>
      <w:tabs>
        <w:tab w:val="right" w:pos="3074"/>
        <w:tab w:val="decimal" w:pos="4320"/>
        <w:tab w:val="decimal" w:pos="5517"/>
        <w:tab w:val="decimal" w:pos="6746"/>
      </w:tabs>
      <w:spacing w:after="170" w:line="230" w:lineRule="exact"/>
    </w:pPr>
    <w:rPr>
      <w:sz w:val="18"/>
    </w:rPr>
  </w:style>
  <w:style w:type="character" w:styleId="Hyperlink">
    <w:name w:val="Hyperlink"/>
    <w:rPr>
      <w:color w:val="0000FF"/>
      <w:u w:val="single"/>
    </w:rPr>
  </w:style>
  <w:style w:type="paragraph" w:styleId="BodyTextIndent">
    <w:name w:val="Body Text Indent"/>
    <w:basedOn w:val="Normal"/>
    <w:link w:val="BodyTextIndentChar"/>
    <w:pPr>
      <w:ind w:left="426"/>
    </w:pPr>
    <w:rPr>
      <w:sz w:val="20"/>
      <w:lang w:eastAsia="en-IE"/>
    </w:rPr>
  </w:style>
  <w:style w:type="character" w:customStyle="1" w:styleId="BodyTextIndentChar">
    <w:name w:val="Body Text Indent Char"/>
    <w:basedOn w:val="DefaultParagraphFont"/>
    <w:link w:val="BodyTextIndent"/>
    <w:rsid w:val="00866286"/>
    <w:rPr>
      <w:lang w:val="en-US"/>
    </w:rPr>
  </w:style>
  <w:style w:type="paragraph" w:customStyle="1" w:styleId="Subject">
    <w:name w:val="Subject"/>
    <w:basedOn w:val="Normal"/>
    <w:next w:val="Normal"/>
    <w:pPr>
      <w:keepLines/>
      <w:overflowPunct w:val="0"/>
      <w:autoSpaceDE w:val="0"/>
      <w:autoSpaceDN w:val="0"/>
      <w:adjustRightInd w:val="0"/>
      <w:spacing w:after="130" w:line="260" w:lineRule="exact"/>
      <w:jc w:val="both"/>
      <w:textAlignment w:val="baseline"/>
    </w:pPr>
    <w:rPr>
      <w:rFonts w:ascii="Times New Roman" w:hAnsi="Times New Roman"/>
      <w:b/>
      <w:sz w:val="22"/>
    </w:rPr>
  </w:style>
  <w:style w:type="paragraph" w:styleId="BodyText">
    <w:name w:val="Body Text"/>
    <w:basedOn w:val="Normal"/>
    <w:link w:val="BodyTextChar"/>
    <w:uiPriority w:val="99"/>
    <w:pPr>
      <w:spacing w:after="260"/>
    </w:pPr>
    <w:rPr>
      <w:rFonts w:ascii="Times New Roman" w:hAnsi="Times New Roman"/>
      <w:sz w:val="22"/>
      <w:szCs w:val="24"/>
    </w:rPr>
  </w:style>
  <w:style w:type="character" w:customStyle="1" w:styleId="BodyTextChar">
    <w:name w:val="Body Text Char"/>
    <w:basedOn w:val="DefaultParagraphFont"/>
    <w:link w:val="BodyText"/>
    <w:uiPriority w:val="99"/>
    <w:rsid w:val="00C03E62"/>
    <w:rPr>
      <w:rFonts w:ascii="Times New Roman" w:hAnsi="Times New Roman"/>
      <w:sz w:val="22"/>
      <w:szCs w:val="24"/>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5B25C2"/>
    <w:rPr>
      <w:sz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866286"/>
    <w:rPr>
      <w:sz w:val="24"/>
      <w:lang w:val="en-US" w:eastAsia="en-US"/>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rsid w:val="00866286"/>
    <w:rPr>
      <w:rFonts w:ascii="Arial Unicode MS" w:eastAsia="Arial Unicode MS" w:hAnsi="Arial Unicode MS" w:cs="Arial Unicode MS"/>
      <w:lang w:val="en-GB" w:eastAsia="en-US"/>
    </w:rPr>
  </w:style>
  <w:style w:type="character" w:styleId="FollowedHyperlink">
    <w:name w:val="FollowedHyperlink"/>
    <w:rPr>
      <w:color w:val="800080"/>
      <w:u w:val="single"/>
    </w:rPr>
  </w:style>
  <w:style w:type="paragraph" w:styleId="BalloonText">
    <w:name w:val="Balloon Text"/>
    <w:basedOn w:val="Normal"/>
    <w:link w:val="BalloonTextChar"/>
    <w:semiHidden/>
    <w:rsid w:val="00A934F3"/>
    <w:rPr>
      <w:rFonts w:ascii="Tahoma" w:hAnsi="Tahoma" w:cs="Tahoma"/>
      <w:sz w:val="16"/>
      <w:szCs w:val="16"/>
    </w:rPr>
  </w:style>
  <w:style w:type="character" w:customStyle="1" w:styleId="BalloonTextChar">
    <w:name w:val="Balloon Text Char"/>
    <w:basedOn w:val="DefaultParagraphFont"/>
    <w:link w:val="BalloonText"/>
    <w:semiHidden/>
    <w:rsid w:val="00866286"/>
    <w:rPr>
      <w:rFonts w:ascii="Tahoma" w:hAnsi="Tahoma" w:cs="Tahoma"/>
      <w:sz w:val="16"/>
      <w:szCs w:val="16"/>
      <w:lang w:val="en-US" w:eastAsia="en-US"/>
    </w:rPr>
  </w:style>
  <w:style w:type="table" w:styleId="TableGrid">
    <w:name w:val="Table Grid"/>
    <w:basedOn w:val="TableNormal"/>
    <w:uiPriority w:val="39"/>
    <w:rsid w:val="00A75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A3B5C"/>
    <w:rPr>
      <w:rFonts w:ascii="Times New Roman" w:hAnsi="Times New Roman"/>
      <w:color w:val="auto"/>
      <w:sz w:val="18"/>
      <w:vertAlign w:val="superscript"/>
    </w:rPr>
  </w:style>
  <w:style w:type="paragraph" w:styleId="FootnoteText">
    <w:name w:val="footnote text"/>
    <w:aliases w:val="ARM footnote Text,Footnote Text Char2,Footnote Text Char11,Footnote Text Char3,Footnote Text Char4,Footnote Text Char5,Footnote Text Char6,Footnote Text Char12,Footnote Text Char21,Footnote Text Char31,Footnote New, Ch,Ch"/>
    <w:basedOn w:val="Normal"/>
    <w:link w:val="FootnoteTextChar"/>
    <w:rsid w:val="008A3B5C"/>
    <w:rPr>
      <w:rFonts w:ascii="Times New Roman" w:hAnsi="Times New Roman"/>
      <w:sz w:val="20"/>
      <w:szCs w:val="24"/>
    </w:rPr>
  </w:style>
  <w:style w:type="character" w:customStyle="1" w:styleId="FootnoteTextChar">
    <w:name w:val="Footnote Text Char"/>
    <w:aliases w:val="ARM footnote Text Char1,Footnote Text Char2 Char1,Footnote Text Char11 Char1,Footnote Text Char3 Char1,Footnote Text Char4 Char1,Footnote Text Char5 Char1,Footnote Text Char6 Char1,Footnote Text Char12 Char1,Footnote Text Char21 Char"/>
    <w:basedOn w:val="DefaultParagraphFont"/>
    <w:link w:val="FootnoteText"/>
    <w:semiHidden/>
    <w:rsid w:val="00866286"/>
    <w:rPr>
      <w:rFonts w:ascii="Times New Roman" w:hAnsi="Times New Roman"/>
      <w:szCs w:val="24"/>
      <w:lang w:val="en-GB" w:eastAsia="en-US"/>
    </w:rPr>
  </w:style>
  <w:style w:type="paragraph" w:customStyle="1" w:styleId="Text">
    <w:name w:val="Text"/>
    <w:aliases w:val="t1,b"/>
    <w:basedOn w:val="Normal"/>
    <w:link w:val="TextChar"/>
    <w:qFormat/>
    <w:rsid w:val="008A3B5C"/>
    <w:pPr>
      <w:spacing w:after="260"/>
      <w:jc w:val="both"/>
    </w:pPr>
    <w:rPr>
      <w:rFonts w:ascii="Times New Roman" w:hAnsi="Times New Roman"/>
      <w:sz w:val="22"/>
      <w:szCs w:val="24"/>
    </w:rPr>
  </w:style>
  <w:style w:type="character" w:customStyle="1" w:styleId="TextChar">
    <w:name w:val="Text Char"/>
    <w:link w:val="Text"/>
    <w:locked/>
    <w:rsid w:val="003E79CE"/>
    <w:rPr>
      <w:rFonts w:ascii="Times New Roman" w:hAnsi="Times New Roman"/>
      <w:sz w:val="22"/>
      <w:szCs w:val="24"/>
      <w:lang w:val="en-GB" w:eastAsia="en-US"/>
    </w:rPr>
  </w:style>
  <w:style w:type="paragraph" w:styleId="DocumentMap">
    <w:name w:val="Document Map"/>
    <w:basedOn w:val="Normal"/>
    <w:link w:val="DocumentMapChar"/>
    <w:semiHidden/>
    <w:rsid w:val="00C3396B"/>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866286"/>
    <w:rPr>
      <w:rFonts w:ascii="Tahoma" w:hAnsi="Tahoma" w:cs="Tahoma"/>
      <w:shd w:val="clear" w:color="auto" w:fill="000080"/>
      <w:lang w:val="en-US" w:eastAsia="en-US"/>
    </w:rPr>
  </w:style>
  <w:style w:type="paragraph" w:customStyle="1" w:styleId="Default">
    <w:name w:val="Default"/>
    <w:rsid w:val="000D73E0"/>
    <w:pPr>
      <w:autoSpaceDE w:val="0"/>
      <w:autoSpaceDN w:val="0"/>
      <w:adjustRightInd w:val="0"/>
    </w:pPr>
    <w:rPr>
      <w:rFonts w:ascii="Arial" w:hAnsi="Arial" w:cs="Arial"/>
      <w:color w:val="000000"/>
      <w:sz w:val="24"/>
      <w:szCs w:val="24"/>
      <w:lang w:val="en-US" w:eastAsia="en-US"/>
    </w:rPr>
  </w:style>
  <w:style w:type="character" w:customStyle="1" w:styleId="msodel0">
    <w:name w:val="msodel0"/>
    <w:rsid w:val="00775FF2"/>
    <w:rPr>
      <w:strike/>
      <w:color w:val="FF0000"/>
    </w:rPr>
  </w:style>
  <w:style w:type="paragraph" w:customStyle="1" w:styleId="ACSchLv1">
    <w:name w:val="AC Sch Lv 1"/>
    <w:basedOn w:val="Normal"/>
    <w:rsid w:val="00D4692F"/>
    <w:pPr>
      <w:numPr>
        <w:numId w:val="1"/>
      </w:numPr>
      <w:spacing w:after="240"/>
      <w:jc w:val="both"/>
      <w:outlineLvl w:val="0"/>
    </w:pPr>
    <w:rPr>
      <w:rFonts w:ascii="Times New Roman" w:hAnsi="Times New Roman"/>
      <w:szCs w:val="24"/>
      <w:lang w:val="en-IE"/>
    </w:rPr>
  </w:style>
  <w:style w:type="paragraph" w:customStyle="1" w:styleId="ACSchLv2">
    <w:name w:val="AC Sch Lv 2"/>
    <w:basedOn w:val="Normal"/>
    <w:rsid w:val="00D4692F"/>
    <w:pPr>
      <w:numPr>
        <w:ilvl w:val="1"/>
        <w:numId w:val="1"/>
      </w:numPr>
      <w:tabs>
        <w:tab w:val="left" w:pos="1440"/>
      </w:tabs>
      <w:spacing w:after="240"/>
      <w:jc w:val="both"/>
      <w:outlineLvl w:val="1"/>
    </w:pPr>
    <w:rPr>
      <w:rFonts w:ascii="Times New Roman" w:hAnsi="Times New Roman"/>
      <w:szCs w:val="24"/>
      <w:lang w:val="en-IE"/>
    </w:rPr>
  </w:style>
  <w:style w:type="paragraph" w:customStyle="1" w:styleId="ACSchLv3">
    <w:name w:val="AC Sch Lv 3"/>
    <w:basedOn w:val="Normal"/>
    <w:rsid w:val="00D4692F"/>
    <w:pPr>
      <w:numPr>
        <w:ilvl w:val="2"/>
        <w:numId w:val="1"/>
      </w:numPr>
      <w:tabs>
        <w:tab w:val="left" w:pos="2160"/>
      </w:tabs>
      <w:spacing w:after="240"/>
      <w:jc w:val="both"/>
      <w:outlineLvl w:val="2"/>
    </w:pPr>
    <w:rPr>
      <w:rFonts w:ascii="Times New Roman" w:hAnsi="Times New Roman"/>
      <w:szCs w:val="24"/>
      <w:lang w:val="en-IE"/>
    </w:rPr>
  </w:style>
  <w:style w:type="paragraph" w:customStyle="1" w:styleId="ACSchLv4">
    <w:name w:val="AC Sch Lv 4"/>
    <w:basedOn w:val="Normal"/>
    <w:rsid w:val="00D4692F"/>
    <w:pPr>
      <w:numPr>
        <w:ilvl w:val="3"/>
        <w:numId w:val="1"/>
      </w:numPr>
      <w:tabs>
        <w:tab w:val="left" w:pos="2880"/>
      </w:tabs>
      <w:spacing w:after="240"/>
      <w:jc w:val="both"/>
      <w:outlineLvl w:val="3"/>
    </w:pPr>
    <w:rPr>
      <w:rFonts w:ascii="Times New Roman" w:hAnsi="Times New Roman"/>
      <w:szCs w:val="24"/>
      <w:lang w:val="en-IE"/>
    </w:rPr>
  </w:style>
  <w:style w:type="paragraph" w:customStyle="1" w:styleId="ACSchLv5">
    <w:name w:val="AC Sch Lv 5"/>
    <w:basedOn w:val="Normal"/>
    <w:rsid w:val="00D4692F"/>
    <w:pPr>
      <w:numPr>
        <w:ilvl w:val="4"/>
        <w:numId w:val="1"/>
      </w:numPr>
      <w:tabs>
        <w:tab w:val="left" w:pos="3600"/>
      </w:tabs>
      <w:spacing w:after="240"/>
      <w:jc w:val="both"/>
      <w:outlineLvl w:val="4"/>
    </w:pPr>
    <w:rPr>
      <w:rFonts w:ascii="Times New Roman" w:hAnsi="Times New Roman"/>
      <w:szCs w:val="24"/>
      <w:lang w:val="en-IE"/>
    </w:rPr>
  </w:style>
  <w:style w:type="character" w:styleId="Strong">
    <w:name w:val="Strong"/>
    <w:qFormat/>
    <w:rsid w:val="003B537B"/>
    <w:rPr>
      <w:b/>
      <w:bCs/>
    </w:rPr>
  </w:style>
  <w:style w:type="paragraph" w:styleId="NormalWeb">
    <w:name w:val="Normal (Web)"/>
    <w:basedOn w:val="Normal"/>
    <w:link w:val="NormalWebChar"/>
    <w:rsid w:val="003B537B"/>
    <w:pPr>
      <w:spacing w:before="100" w:beforeAutospacing="1" w:after="100" w:afterAutospacing="1"/>
    </w:pPr>
    <w:rPr>
      <w:rFonts w:ascii="Times New Roman" w:hAnsi="Times New Roman"/>
      <w:szCs w:val="24"/>
    </w:rPr>
  </w:style>
  <w:style w:type="character" w:customStyle="1" w:styleId="NormalWebChar">
    <w:name w:val="Normal (Web) Char"/>
    <w:basedOn w:val="DefaultParagraphFont"/>
    <w:link w:val="NormalWeb"/>
    <w:uiPriority w:val="99"/>
    <w:locked/>
    <w:rsid w:val="003E79CE"/>
    <w:rPr>
      <w:rFonts w:ascii="Times New Roman" w:hAnsi="Times New Roman"/>
      <w:sz w:val="24"/>
      <w:szCs w:val="24"/>
      <w:lang w:val="en-GB" w:eastAsia="en-US"/>
    </w:rPr>
  </w:style>
  <w:style w:type="paragraph" w:customStyle="1" w:styleId="Pa0">
    <w:name w:val="Pa0"/>
    <w:basedOn w:val="Default"/>
    <w:next w:val="Default"/>
    <w:rsid w:val="007E4298"/>
    <w:pPr>
      <w:spacing w:line="241" w:lineRule="atLeast"/>
    </w:pPr>
    <w:rPr>
      <w:rFonts w:ascii="Helvetica Neue" w:hAnsi="Helvetica Neue" w:cs="Times New Roman"/>
      <w:color w:val="auto"/>
    </w:rPr>
  </w:style>
  <w:style w:type="character" w:customStyle="1" w:styleId="A6">
    <w:name w:val="A6"/>
    <w:rsid w:val="007E4298"/>
    <w:rPr>
      <w:rFonts w:cs="Helvetica Neue"/>
      <w:color w:val="000000"/>
      <w:sz w:val="17"/>
      <w:szCs w:val="17"/>
    </w:rPr>
  </w:style>
  <w:style w:type="paragraph" w:customStyle="1" w:styleId="c56">
    <w:name w:val="c56"/>
    <w:basedOn w:val="Normal"/>
    <w:rsid w:val="007E4298"/>
    <w:pPr>
      <w:spacing w:before="120"/>
      <w:jc w:val="both"/>
    </w:pPr>
    <w:rPr>
      <w:rFonts w:ascii="Arial" w:hAnsi="Arial" w:cs="Arial"/>
      <w:szCs w:val="24"/>
    </w:rPr>
  </w:style>
  <w:style w:type="character" w:customStyle="1" w:styleId="c55">
    <w:name w:val="c55"/>
    <w:rsid w:val="007E4298"/>
    <w:rPr>
      <w:sz w:val="20"/>
      <w:szCs w:val="20"/>
    </w:rPr>
  </w:style>
  <w:style w:type="character" w:customStyle="1" w:styleId="c1">
    <w:name w:val="c1"/>
    <w:rsid w:val="001809F2"/>
    <w:rPr>
      <w:rFonts w:ascii="Calibri" w:hAnsi="Calibri" w:hint="default"/>
    </w:rPr>
  </w:style>
  <w:style w:type="paragraph" w:styleId="BodyText2">
    <w:name w:val="Body Text 2"/>
    <w:basedOn w:val="Normal"/>
    <w:link w:val="BodyText2Char"/>
    <w:rsid w:val="004B6B68"/>
    <w:pPr>
      <w:spacing w:after="120" w:line="480" w:lineRule="auto"/>
    </w:pPr>
  </w:style>
  <w:style w:type="character" w:customStyle="1" w:styleId="BodyText2Char">
    <w:name w:val="Body Text 2 Char"/>
    <w:basedOn w:val="DefaultParagraphFont"/>
    <w:link w:val="BodyText2"/>
    <w:rsid w:val="00866286"/>
    <w:rPr>
      <w:sz w:val="24"/>
      <w:lang w:val="en-US" w:eastAsia="en-US"/>
    </w:rPr>
  </w:style>
  <w:style w:type="character" w:styleId="PageNumber">
    <w:name w:val="page number"/>
    <w:basedOn w:val="DefaultParagraphFont"/>
    <w:rsid w:val="00BF3E27"/>
  </w:style>
  <w:style w:type="character" w:customStyle="1" w:styleId="PlainTextChar">
    <w:name w:val="Plain Text Char"/>
    <w:link w:val="PlainText"/>
    <w:uiPriority w:val="99"/>
    <w:rsid w:val="00654A6C"/>
    <w:rPr>
      <w:rFonts w:ascii="Consolas" w:hAnsi="Consolas"/>
      <w:lang w:bidi="ar-SA"/>
    </w:rPr>
  </w:style>
  <w:style w:type="paragraph" w:styleId="PlainText">
    <w:name w:val="Plain Text"/>
    <w:basedOn w:val="Normal"/>
    <w:link w:val="PlainTextChar"/>
    <w:uiPriority w:val="99"/>
    <w:rsid w:val="00654A6C"/>
    <w:rPr>
      <w:rFonts w:ascii="Consolas" w:hAnsi="Consolas"/>
      <w:sz w:val="20"/>
      <w:lang w:val="en-IE" w:eastAsia="en-IE"/>
    </w:rPr>
  </w:style>
  <w:style w:type="paragraph" w:customStyle="1" w:styleId="a">
    <w:name w:val="a"/>
    <w:basedOn w:val="Normal"/>
    <w:rsid w:val="00691E5B"/>
    <w:rPr>
      <w:rFonts w:ascii="Times New Roman" w:hAnsi="Times New Roman"/>
      <w:szCs w:val="24"/>
      <w:lang w:eastAsia="en-GB"/>
    </w:rPr>
  </w:style>
  <w:style w:type="character" w:customStyle="1" w:styleId="n">
    <w:name w:val="n"/>
    <w:rsid w:val="00691E5B"/>
    <w:rPr>
      <w:color w:val="000000"/>
    </w:rPr>
  </w:style>
  <w:style w:type="character" w:styleId="Emphasis">
    <w:name w:val="Emphasis"/>
    <w:uiPriority w:val="20"/>
    <w:qFormat/>
    <w:rsid w:val="002E0B10"/>
    <w:rPr>
      <w:b/>
      <w:bCs/>
      <w:i w:val="0"/>
      <w:iCs w:val="0"/>
    </w:rPr>
  </w:style>
  <w:style w:type="character" w:customStyle="1" w:styleId="CharChar">
    <w:name w:val="Char Char"/>
    <w:rsid w:val="006263EF"/>
    <w:rPr>
      <w:rFonts w:ascii="Consolas" w:hAnsi="Consolas"/>
      <w:lang w:bidi="ar-SA"/>
    </w:rPr>
  </w:style>
  <w:style w:type="character" w:customStyle="1" w:styleId="PlainTextChar1">
    <w:name w:val="Plain Text Char1"/>
    <w:basedOn w:val="DefaultParagraphFont"/>
    <w:uiPriority w:val="99"/>
    <w:semiHidden/>
    <w:rsid w:val="00866286"/>
    <w:rPr>
      <w:rFonts w:ascii="Consolas" w:hAnsi="Consolas" w:cs="Consolas"/>
      <w:sz w:val="21"/>
      <w:szCs w:val="21"/>
      <w:lang w:val="en-US" w:eastAsia="en-US"/>
    </w:rPr>
  </w:style>
  <w:style w:type="character" w:customStyle="1" w:styleId="ftr">
    <w:name w:val="ftr"/>
    <w:basedOn w:val="DefaultParagraphFont"/>
    <w:rsid w:val="00866286"/>
  </w:style>
  <w:style w:type="character" w:customStyle="1" w:styleId="EmailStyle74">
    <w:name w:val="EmailStyle74"/>
    <w:semiHidden/>
    <w:rsid w:val="00866286"/>
    <w:rPr>
      <w:rFonts w:ascii="Arial" w:hAnsi="Arial" w:cs="Arial"/>
      <w:color w:val="auto"/>
      <w:sz w:val="20"/>
      <w:szCs w:val="20"/>
    </w:rPr>
  </w:style>
  <w:style w:type="character" w:customStyle="1" w:styleId="EmailStyle75">
    <w:name w:val="EmailStyle75"/>
    <w:semiHidden/>
    <w:rsid w:val="006A29FE"/>
    <w:rPr>
      <w:rFonts w:ascii="Arial" w:hAnsi="Arial" w:cs="Arial"/>
      <w:color w:val="auto"/>
      <w:sz w:val="20"/>
      <w:szCs w:val="20"/>
    </w:rPr>
  </w:style>
  <w:style w:type="paragraph" w:styleId="Bibliography">
    <w:name w:val="Bibliography"/>
    <w:basedOn w:val="Normal"/>
    <w:next w:val="Normal"/>
    <w:uiPriority w:val="37"/>
    <w:semiHidden/>
    <w:unhideWhenUsed/>
    <w:rsid w:val="0054476E"/>
  </w:style>
  <w:style w:type="paragraph" w:styleId="BlockText">
    <w:name w:val="Block Text"/>
    <w:basedOn w:val="Normal"/>
    <w:rsid w:val="0054476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54476E"/>
    <w:pPr>
      <w:spacing w:after="120"/>
    </w:pPr>
    <w:rPr>
      <w:sz w:val="16"/>
      <w:szCs w:val="16"/>
    </w:rPr>
  </w:style>
  <w:style w:type="character" w:customStyle="1" w:styleId="BodyText3Char">
    <w:name w:val="Body Text 3 Char"/>
    <w:basedOn w:val="DefaultParagraphFont"/>
    <w:link w:val="BodyText3"/>
    <w:rsid w:val="0054476E"/>
    <w:rPr>
      <w:sz w:val="16"/>
      <w:szCs w:val="16"/>
      <w:lang w:val="en-US" w:eastAsia="en-US"/>
    </w:rPr>
  </w:style>
  <w:style w:type="paragraph" w:styleId="BodyTextFirstIndent">
    <w:name w:val="Body Text First Indent"/>
    <w:basedOn w:val="BodyText"/>
    <w:link w:val="BodyTextFirstIndentChar"/>
    <w:rsid w:val="0054476E"/>
    <w:pPr>
      <w:spacing w:after="0"/>
      <w:ind w:firstLine="360"/>
    </w:pPr>
    <w:rPr>
      <w:rFonts w:ascii="New York" w:hAnsi="New York"/>
      <w:sz w:val="24"/>
      <w:szCs w:val="20"/>
    </w:rPr>
  </w:style>
  <w:style w:type="character" w:customStyle="1" w:styleId="BodyTextFirstIndentChar">
    <w:name w:val="Body Text First Indent Char"/>
    <w:basedOn w:val="BodyTextChar"/>
    <w:link w:val="BodyTextFirstIndent"/>
    <w:rsid w:val="0054476E"/>
    <w:rPr>
      <w:rFonts w:ascii="Times New Roman" w:hAnsi="Times New Roman"/>
      <w:sz w:val="24"/>
      <w:szCs w:val="24"/>
      <w:lang w:val="en-US" w:eastAsia="en-US"/>
    </w:rPr>
  </w:style>
  <w:style w:type="paragraph" w:styleId="BodyTextFirstIndent2">
    <w:name w:val="Body Text First Indent 2"/>
    <w:basedOn w:val="BodyTextIndent"/>
    <w:link w:val="BodyTextFirstIndent2Char"/>
    <w:rsid w:val="0054476E"/>
    <w:pPr>
      <w:ind w:left="360" w:firstLine="360"/>
    </w:pPr>
    <w:rPr>
      <w:sz w:val="24"/>
      <w:lang w:eastAsia="en-US"/>
    </w:rPr>
  </w:style>
  <w:style w:type="character" w:customStyle="1" w:styleId="BodyTextFirstIndent2Char">
    <w:name w:val="Body Text First Indent 2 Char"/>
    <w:basedOn w:val="BodyTextIndentChar"/>
    <w:link w:val="BodyTextFirstIndent2"/>
    <w:rsid w:val="0054476E"/>
    <w:rPr>
      <w:sz w:val="24"/>
      <w:lang w:val="en-US" w:eastAsia="en-US"/>
    </w:rPr>
  </w:style>
  <w:style w:type="paragraph" w:styleId="BodyTextIndent2">
    <w:name w:val="Body Text Indent 2"/>
    <w:basedOn w:val="Normal"/>
    <w:link w:val="BodyTextIndent2Char"/>
    <w:rsid w:val="0054476E"/>
    <w:pPr>
      <w:spacing w:after="120" w:line="480" w:lineRule="auto"/>
      <w:ind w:left="283"/>
    </w:pPr>
  </w:style>
  <w:style w:type="character" w:customStyle="1" w:styleId="BodyTextIndent2Char">
    <w:name w:val="Body Text Indent 2 Char"/>
    <w:basedOn w:val="DefaultParagraphFont"/>
    <w:link w:val="BodyTextIndent2"/>
    <w:rsid w:val="0054476E"/>
    <w:rPr>
      <w:sz w:val="24"/>
      <w:lang w:val="en-US" w:eastAsia="en-US"/>
    </w:rPr>
  </w:style>
  <w:style w:type="paragraph" w:styleId="BodyTextIndent3">
    <w:name w:val="Body Text Indent 3"/>
    <w:basedOn w:val="Normal"/>
    <w:link w:val="BodyTextIndent3Char"/>
    <w:rsid w:val="0054476E"/>
    <w:pPr>
      <w:spacing w:after="120"/>
      <w:ind w:left="283"/>
    </w:pPr>
    <w:rPr>
      <w:sz w:val="16"/>
      <w:szCs w:val="16"/>
    </w:rPr>
  </w:style>
  <w:style w:type="character" w:customStyle="1" w:styleId="BodyTextIndent3Char">
    <w:name w:val="Body Text Indent 3 Char"/>
    <w:basedOn w:val="DefaultParagraphFont"/>
    <w:link w:val="BodyTextIndent3"/>
    <w:rsid w:val="0054476E"/>
    <w:rPr>
      <w:sz w:val="16"/>
      <w:szCs w:val="16"/>
      <w:lang w:val="en-US" w:eastAsia="en-US"/>
    </w:rPr>
  </w:style>
  <w:style w:type="paragraph" w:styleId="Caption">
    <w:name w:val="caption"/>
    <w:basedOn w:val="Normal"/>
    <w:next w:val="Normal"/>
    <w:semiHidden/>
    <w:unhideWhenUsed/>
    <w:qFormat/>
    <w:rsid w:val="0054476E"/>
    <w:pPr>
      <w:spacing w:after="200"/>
    </w:pPr>
    <w:rPr>
      <w:b/>
      <w:bCs/>
      <w:color w:val="4F81BD" w:themeColor="accent1"/>
      <w:sz w:val="18"/>
      <w:szCs w:val="18"/>
    </w:rPr>
  </w:style>
  <w:style w:type="paragraph" w:styleId="Closing">
    <w:name w:val="Closing"/>
    <w:basedOn w:val="Normal"/>
    <w:link w:val="ClosingChar"/>
    <w:rsid w:val="0054476E"/>
    <w:pPr>
      <w:ind w:left="4252"/>
    </w:pPr>
  </w:style>
  <w:style w:type="character" w:customStyle="1" w:styleId="ClosingChar">
    <w:name w:val="Closing Char"/>
    <w:basedOn w:val="DefaultParagraphFont"/>
    <w:link w:val="Closing"/>
    <w:rsid w:val="0054476E"/>
    <w:rPr>
      <w:sz w:val="24"/>
      <w:lang w:val="en-US" w:eastAsia="en-US"/>
    </w:rPr>
  </w:style>
  <w:style w:type="paragraph" w:styleId="CommentText">
    <w:name w:val="annotation text"/>
    <w:basedOn w:val="Normal"/>
    <w:link w:val="CommentTextChar"/>
    <w:uiPriority w:val="99"/>
    <w:rsid w:val="0054476E"/>
    <w:rPr>
      <w:sz w:val="20"/>
    </w:rPr>
  </w:style>
  <w:style w:type="character" w:customStyle="1" w:styleId="CommentTextChar">
    <w:name w:val="Comment Text Char"/>
    <w:basedOn w:val="DefaultParagraphFont"/>
    <w:link w:val="CommentText"/>
    <w:uiPriority w:val="99"/>
    <w:rsid w:val="0054476E"/>
    <w:rPr>
      <w:lang w:val="en-US" w:eastAsia="en-US"/>
    </w:rPr>
  </w:style>
  <w:style w:type="paragraph" w:styleId="CommentSubject">
    <w:name w:val="annotation subject"/>
    <w:basedOn w:val="CommentText"/>
    <w:next w:val="CommentText"/>
    <w:link w:val="CommentSubjectChar"/>
    <w:rsid w:val="0054476E"/>
    <w:rPr>
      <w:b/>
      <w:bCs/>
    </w:rPr>
  </w:style>
  <w:style w:type="character" w:customStyle="1" w:styleId="CommentSubjectChar">
    <w:name w:val="Comment Subject Char"/>
    <w:basedOn w:val="CommentTextChar"/>
    <w:link w:val="CommentSubject"/>
    <w:rsid w:val="0054476E"/>
    <w:rPr>
      <w:b/>
      <w:bCs/>
      <w:lang w:val="en-US" w:eastAsia="en-US"/>
    </w:rPr>
  </w:style>
  <w:style w:type="paragraph" w:styleId="Date">
    <w:name w:val="Date"/>
    <w:basedOn w:val="Normal"/>
    <w:next w:val="Normal"/>
    <w:link w:val="DateChar"/>
    <w:rsid w:val="0054476E"/>
  </w:style>
  <w:style w:type="character" w:customStyle="1" w:styleId="DateChar">
    <w:name w:val="Date Char"/>
    <w:basedOn w:val="DefaultParagraphFont"/>
    <w:link w:val="Date"/>
    <w:rsid w:val="0054476E"/>
    <w:rPr>
      <w:sz w:val="24"/>
      <w:lang w:val="en-US" w:eastAsia="en-US"/>
    </w:rPr>
  </w:style>
  <w:style w:type="paragraph" w:styleId="E-mailSignature">
    <w:name w:val="E-mail Signature"/>
    <w:basedOn w:val="Normal"/>
    <w:link w:val="E-mailSignatureChar"/>
    <w:rsid w:val="0054476E"/>
  </w:style>
  <w:style w:type="character" w:customStyle="1" w:styleId="E-mailSignatureChar">
    <w:name w:val="E-mail Signature Char"/>
    <w:basedOn w:val="DefaultParagraphFont"/>
    <w:link w:val="E-mailSignature"/>
    <w:rsid w:val="0054476E"/>
    <w:rPr>
      <w:sz w:val="24"/>
      <w:lang w:val="en-US" w:eastAsia="en-US"/>
    </w:rPr>
  </w:style>
  <w:style w:type="paragraph" w:styleId="EndnoteText">
    <w:name w:val="endnote text"/>
    <w:basedOn w:val="Normal"/>
    <w:link w:val="EndnoteTextChar"/>
    <w:rsid w:val="0054476E"/>
    <w:rPr>
      <w:sz w:val="20"/>
    </w:rPr>
  </w:style>
  <w:style w:type="character" w:customStyle="1" w:styleId="EndnoteTextChar">
    <w:name w:val="Endnote Text Char"/>
    <w:basedOn w:val="DefaultParagraphFont"/>
    <w:link w:val="EndnoteText"/>
    <w:rsid w:val="0054476E"/>
    <w:rPr>
      <w:lang w:val="en-US" w:eastAsia="en-US"/>
    </w:rPr>
  </w:style>
  <w:style w:type="paragraph" w:styleId="EnvelopeAddress">
    <w:name w:val="envelope address"/>
    <w:basedOn w:val="Normal"/>
    <w:rsid w:val="0054476E"/>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54476E"/>
    <w:rPr>
      <w:rFonts w:asciiTheme="majorHAnsi" w:eastAsiaTheme="majorEastAsia" w:hAnsiTheme="majorHAnsi" w:cstheme="majorBidi"/>
      <w:sz w:val="20"/>
    </w:rPr>
  </w:style>
  <w:style w:type="paragraph" w:styleId="HTMLAddress">
    <w:name w:val="HTML Address"/>
    <w:basedOn w:val="Normal"/>
    <w:link w:val="HTMLAddressChar"/>
    <w:rsid w:val="0054476E"/>
    <w:rPr>
      <w:i/>
      <w:iCs/>
    </w:rPr>
  </w:style>
  <w:style w:type="character" w:customStyle="1" w:styleId="HTMLAddressChar">
    <w:name w:val="HTML Address Char"/>
    <w:basedOn w:val="DefaultParagraphFont"/>
    <w:link w:val="HTMLAddress"/>
    <w:rsid w:val="0054476E"/>
    <w:rPr>
      <w:i/>
      <w:iCs/>
      <w:sz w:val="24"/>
      <w:lang w:val="en-US" w:eastAsia="en-US"/>
    </w:rPr>
  </w:style>
  <w:style w:type="paragraph" w:styleId="Index1">
    <w:name w:val="index 1"/>
    <w:basedOn w:val="Normal"/>
    <w:next w:val="Normal"/>
    <w:autoRedefine/>
    <w:rsid w:val="0054476E"/>
    <w:pPr>
      <w:ind w:left="240" w:hanging="240"/>
    </w:pPr>
  </w:style>
  <w:style w:type="paragraph" w:styleId="Index2">
    <w:name w:val="index 2"/>
    <w:basedOn w:val="Normal"/>
    <w:next w:val="Normal"/>
    <w:autoRedefine/>
    <w:rsid w:val="0054476E"/>
    <w:pPr>
      <w:ind w:left="480" w:hanging="240"/>
    </w:pPr>
  </w:style>
  <w:style w:type="paragraph" w:styleId="Index3">
    <w:name w:val="index 3"/>
    <w:basedOn w:val="Normal"/>
    <w:next w:val="Normal"/>
    <w:autoRedefine/>
    <w:rsid w:val="0054476E"/>
    <w:pPr>
      <w:ind w:left="720" w:hanging="240"/>
    </w:pPr>
  </w:style>
  <w:style w:type="paragraph" w:styleId="Index4">
    <w:name w:val="index 4"/>
    <w:basedOn w:val="Normal"/>
    <w:next w:val="Normal"/>
    <w:autoRedefine/>
    <w:rsid w:val="0054476E"/>
    <w:pPr>
      <w:ind w:left="960" w:hanging="240"/>
    </w:pPr>
  </w:style>
  <w:style w:type="paragraph" w:styleId="Index5">
    <w:name w:val="index 5"/>
    <w:basedOn w:val="Normal"/>
    <w:next w:val="Normal"/>
    <w:autoRedefine/>
    <w:rsid w:val="0054476E"/>
    <w:pPr>
      <w:ind w:left="1200" w:hanging="240"/>
    </w:pPr>
  </w:style>
  <w:style w:type="paragraph" w:styleId="Index6">
    <w:name w:val="index 6"/>
    <w:basedOn w:val="Normal"/>
    <w:next w:val="Normal"/>
    <w:autoRedefine/>
    <w:rsid w:val="0054476E"/>
    <w:pPr>
      <w:ind w:left="1440" w:hanging="240"/>
    </w:pPr>
  </w:style>
  <w:style w:type="paragraph" w:styleId="Index7">
    <w:name w:val="index 7"/>
    <w:basedOn w:val="Normal"/>
    <w:next w:val="Normal"/>
    <w:autoRedefine/>
    <w:rsid w:val="0054476E"/>
    <w:pPr>
      <w:ind w:left="1680" w:hanging="240"/>
    </w:pPr>
  </w:style>
  <w:style w:type="paragraph" w:styleId="Index8">
    <w:name w:val="index 8"/>
    <w:basedOn w:val="Normal"/>
    <w:next w:val="Normal"/>
    <w:autoRedefine/>
    <w:rsid w:val="0054476E"/>
    <w:pPr>
      <w:ind w:left="1920" w:hanging="240"/>
    </w:pPr>
  </w:style>
  <w:style w:type="paragraph" w:styleId="Index9">
    <w:name w:val="index 9"/>
    <w:basedOn w:val="Normal"/>
    <w:next w:val="Normal"/>
    <w:autoRedefine/>
    <w:rsid w:val="0054476E"/>
    <w:pPr>
      <w:ind w:left="2160" w:hanging="240"/>
    </w:pPr>
  </w:style>
  <w:style w:type="paragraph" w:styleId="IndexHeading">
    <w:name w:val="index heading"/>
    <w:basedOn w:val="Normal"/>
    <w:next w:val="Index1"/>
    <w:rsid w:val="0054476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47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4476E"/>
    <w:rPr>
      <w:b/>
      <w:bCs/>
      <w:i/>
      <w:iCs/>
      <w:color w:val="4F81BD" w:themeColor="accent1"/>
      <w:sz w:val="24"/>
      <w:lang w:val="en-US" w:eastAsia="en-US"/>
    </w:rPr>
  </w:style>
  <w:style w:type="paragraph" w:styleId="List">
    <w:name w:val="List"/>
    <w:basedOn w:val="Normal"/>
    <w:rsid w:val="0054476E"/>
    <w:pPr>
      <w:ind w:left="283" w:hanging="283"/>
      <w:contextualSpacing/>
    </w:pPr>
  </w:style>
  <w:style w:type="paragraph" w:styleId="List2">
    <w:name w:val="List 2"/>
    <w:basedOn w:val="Normal"/>
    <w:rsid w:val="0054476E"/>
    <w:pPr>
      <w:ind w:left="566" w:hanging="283"/>
      <w:contextualSpacing/>
    </w:pPr>
  </w:style>
  <w:style w:type="paragraph" w:styleId="List3">
    <w:name w:val="List 3"/>
    <w:basedOn w:val="Normal"/>
    <w:rsid w:val="0054476E"/>
    <w:pPr>
      <w:ind w:left="849" w:hanging="283"/>
      <w:contextualSpacing/>
    </w:pPr>
  </w:style>
  <w:style w:type="paragraph" w:styleId="List4">
    <w:name w:val="List 4"/>
    <w:basedOn w:val="Normal"/>
    <w:rsid w:val="0054476E"/>
    <w:pPr>
      <w:ind w:left="1132" w:hanging="283"/>
      <w:contextualSpacing/>
    </w:pPr>
  </w:style>
  <w:style w:type="paragraph" w:styleId="List5">
    <w:name w:val="List 5"/>
    <w:basedOn w:val="Normal"/>
    <w:rsid w:val="0054476E"/>
    <w:pPr>
      <w:ind w:left="1415" w:hanging="283"/>
      <w:contextualSpacing/>
    </w:pPr>
  </w:style>
  <w:style w:type="paragraph" w:styleId="ListBullet">
    <w:name w:val="List Bullet"/>
    <w:basedOn w:val="Normal"/>
    <w:rsid w:val="0054476E"/>
    <w:pPr>
      <w:numPr>
        <w:numId w:val="2"/>
      </w:numPr>
      <w:contextualSpacing/>
    </w:pPr>
  </w:style>
  <w:style w:type="paragraph" w:styleId="ListBullet2">
    <w:name w:val="List Bullet 2"/>
    <w:basedOn w:val="Normal"/>
    <w:rsid w:val="0054476E"/>
    <w:pPr>
      <w:numPr>
        <w:numId w:val="3"/>
      </w:numPr>
      <w:contextualSpacing/>
    </w:pPr>
  </w:style>
  <w:style w:type="paragraph" w:styleId="ListBullet3">
    <w:name w:val="List Bullet 3"/>
    <w:basedOn w:val="Normal"/>
    <w:rsid w:val="0054476E"/>
    <w:pPr>
      <w:numPr>
        <w:numId w:val="4"/>
      </w:numPr>
      <w:contextualSpacing/>
    </w:pPr>
  </w:style>
  <w:style w:type="paragraph" w:styleId="ListBullet4">
    <w:name w:val="List Bullet 4"/>
    <w:basedOn w:val="Normal"/>
    <w:rsid w:val="0054476E"/>
    <w:pPr>
      <w:numPr>
        <w:numId w:val="5"/>
      </w:numPr>
      <w:contextualSpacing/>
    </w:pPr>
  </w:style>
  <w:style w:type="paragraph" w:styleId="ListBullet5">
    <w:name w:val="List Bullet 5"/>
    <w:basedOn w:val="Normal"/>
    <w:rsid w:val="0054476E"/>
    <w:pPr>
      <w:numPr>
        <w:numId w:val="6"/>
      </w:numPr>
      <w:contextualSpacing/>
    </w:pPr>
  </w:style>
  <w:style w:type="paragraph" w:styleId="ListContinue">
    <w:name w:val="List Continue"/>
    <w:basedOn w:val="Normal"/>
    <w:rsid w:val="0054476E"/>
    <w:pPr>
      <w:spacing w:after="120"/>
      <w:ind w:left="283"/>
      <w:contextualSpacing/>
    </w:pPr>
  </w:style>
  <w:style w:type="paragraph" w:styleId="ListContinue2">
    <w:name w:val="List Continue 2"/>
    <w:basedOn w:val="Normal"/>
    <w:rsid w:val="0054476E"/>
    <w:pPr>
      <w:spacing w:after="120"/>
      <w:ind w:left="566"/>
      <w:contextualSpacing/>
    </w:pPr>
  </w:style>
  <w:style w:type="paragraph" w:styleId="ListContinue3">
    <w:name w:val="List Continue 3"/>
    <w:basedOn w:val="Normal"/>
    <w:rsid w:val="0054476E"/>
    <w:pPr>
      <w:spacing w:after="120"/>
      <w:ind w:left="849"/>
      <w:contextualSpacing/>
    </w:pPr>
  </w:style>
  <w:style w:type="paragraph" w:styleId="ListContinue4">
    <w:name w:val="List Continue 4"/>
    <w:basedOn w:val="Normal"/>
    <w:rsid w:val="0054476E"/>
    <w:pPr>
      <w:spacing w:after="120"/>
      <w:ind w:left="1132"/>
      <w:contextualSpacing/>
    </w:pPr>
  </w:style>
  <w:style w:type="paragraph" w:styleId="ListContinue5">
    <w:name w:val="List Continue 5"/>
    <w:basedOn w:val="Normal"/>
    <w:rsid w:val="0054476E"/>
    <w:pPr>
      <w:spacing w:after="120"/>
      <w:ind w:left="1415"/>
      <w:contextualSpacing/>
    </w:pPr>
  </w:style>
  <w:style w:type="paragraph" w:styleId="ListNumber">
    <w:name w:val="List Number"/>
    <w:basedOn w:val="Normal"/>
    <w:rsid w:val="0054476E"/>
    <w:pPr>
      <w:numPr>
        <w:numId w:val="7"/>
      </w:numPr>
      <w:contextualSpacing/>
    </w:pPr>
  </w:style>
  <w:style w:type="paragraph" w:styleId="ListNumber2">
    <w:name w:val="List Number 2"/>
    <w:basedOn w:val="Normal"/>
    <w:rsid w:val="0054476E"/>
    <w:pPr>
      <w:numPr>
        <w:numId w:val="8"/>
      </w:numPr>
      <w:contextualSpacing/>
    </w:pPr>
  </w:style>
  <w:style w:type="paragraph" w:styleId="ListNumber3">
    <w:name w:val="List Number 3"/>
    <w:basedOn w:val="Normal"/>
    <w:rsid w:val="0054476E"/>
    <w:pPr>
      <w:numPr>
        <w:numId w:val="9"/>
      </w:numPr>
      <w:contextualSpacing/>
    </w:pPr>
  </w:style>
  <w:style w:type="paragraph" w:styleId="ListNumber4">
    <w:name w:val="List Number 4"/>
    <w:basedOn w:val="Normal"/>
    <w:rsid w:val="0054476E"/>
    <w:pPr>
      <w:numPr>
        <w:numId w:val="10"/>
      </w:numPr>
      <w:contextualSpacing/>
    </w:pPr>
  </w:style>
  <w:style w:type="paragraph" w:styleId="ListNumber5">
    <w:name w:val="List Number 5"/>
    <w:basedOn w:val="Normal"/>
    <w:rsid w:val="0054476E"/>
    <w:pPr>
      <w:numPr>
        <w:numId w:val="11"/>
      </w:numPr>
      <w:contextualSpacing/>
    </w:pPr>
  </w:style>
  <w:style w:type="paragraph" w:styleId="ListParagraph">
    <w:name w:val="List Paragraph"/>
    <w:basedOn w:val="Normal"/>
    <w:link w:val="ListParagraphChar"/>
    <w:uiPriority w:val="34"/>
    <w:qFormat/>
    <w:rsid w:val="0054476E"/>
    <w:pPr>
      <w:ind w:left="720"/>
      <w:contextualSpacing/>
    </w:pPr>
  </w:style>
  <w:style w:type="character" w:customStyle="1" w:styleId="ListParagraphChar">
    <w:name w:val="List Paragraph Char"/>
    <w:basedOn w:val="DefaultParagraphFont"/>
    <w:link w:val="ListParagraph"/>
    <w:uiPriority w:val="34"/>
    <w:locked/>
    <w:rsid w:val="003D7BEA"/>
    <w:rPr>
      <w:sz w:val="24"/>
      <w:lang w:val="en-US" w:eastAsia="en-US"/>
    </w:rPr>
  </w:style>
  <w:style w:type="paragraph" w:styleId="MacroText">
    <w:name w:val="macro"/>
    <w:link w:val="MacroTextChar"/>
    <w:rsid w:val="0054476E"/>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eastAsia="en-US"/>
    </w:rPr>
  </w:style>
  <w:style w:type="character" w:customStyle="1" w:styleId="MacroTextChar">
    <w:name w:val="Macro Text Char"/>
    <w:basedOn w:val="DefaultParagraphFont"/>
    <w:link w:val="MacroText"/>
    <w:rsid w:val="0054476E"/>
    <w:rPr>
      <w:rFonts w:ascii="Consolas" w:hAnsi="Consolas" w:cs="Consolas"/>
      <w:lang w:val="en-US" w:eastAsia="en-US"/>
    </w:rPr>
  </w:style>
  <w:style w:type="paragraph" w:styleId="MessageHeader">
    <w:name w:val="Message Header"/>
    <w:basedOn w:val="Normal"/>
    <w:link w:val="MessageHeaderChar"/>
    <w:rsid w:val="0054476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54476E"/>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54476E"/>
    <w:rPr>
      <w:sz w:val="24"/>
      <w:lang w:val="en-US" w:eastAsia="en-US"/>
    </w:rPr>
  </w:style>
  <w:style w:type="paragraph" w:styleId="NormalIndent">
    <w:name w:val="Normal Indent"/>
    <w:basedOn w:val="Normal"/>
    <w:rsid w:val="0054476E"/>
    <w:pPr>
      <w:ind w:left="720"/>
    </w:pPr>
  </w:style>
  <w:style w:type="paragraph" w:styleId="NoteHeading">
    <w:name w:val="Note Heading"/>
    <w:basedOn w:val="Normal"/>
    <w:next w:val="Normal"/>
    <w:link w:val="NoteHeadingChar"/>
    <w:rsid w:val="0054476E"/>
  </w:style>
  <w:style w:type="character" w:customStyle="1" w:styleId="NoteHeadingChar">
    <w:name w:val="Note Heading Char"/>
    <w:basedOn w:val="DefaultParagraphFont"/>
    <w:link w:val="NoteHeading"/>
    <w:rsid w:val="0054476E"/>
    <w:rPr>
      <w:sz w:val="24"/>
      <w:lang w:val="en-US" w:eastAsia="en-US"/>
    </w:rPr>
  </w:style>
  <w:style w:type="paragraph" w:styleId="Quote">
    <w:name w:val="Quote"/>
    <w:basedOn w:val="Normal"/>
    <w:next w:val="Normal"/>
    <w:link w:val="QuoteChar"/>
    <w:uiPriority w:val="29"/>
    <w:qFormat/>
    <w:rsid w:val="0054476E"/>
    <w:rPr>
      <w:i/>
      <w:iCs/>
      <w:color w:val="000000" w:themeColor="text1"/>
    </w:rPr>
  </w:style>
  <w:style w:type="character" w:customStyle="1" w:styleId="QuoteChar">
    <w:name w:val="Quote Char"/>
    <w:basedOn w:val="DefaultParagraphFont"/>
    <w:link w:val="Quote"/>
    <w:uiPriority w:val="29"/>
    <w:rsid w:val="0054476E"/>
    <w:rPr>
      <w:i/>
      <w:iCs/>
      <w:color w:val="000000" w:themeColor="text1"/>
      <w:sz w:val="24"/>
      <w:lang w:val="en-US" w:eastAsia="en-US"/>
    </w:rPr>
  </w:style>
  <w:style w:type="paragraph" w:styleId="Salutation">
    <w:name w:val="Salutation"/>
    <w:basedOn w:val="Normal"/>
    <w:next w:val="Normal"/>
    <w:link w:val="SalutationChar"/>
    <w:rsid w:val="0054476E"/>
  </w:style>
  <w:style w:type="character" w:customStyle="1" w:styleId="SalutationChar">
    <w:name w:val="Salutation Char"/>
    <w:basedOn w:val="DefaultParagraphFont"/>
    <w:link w:val="Salutation"/>
    <w:rsid w:val="0054476E"/>
    <w:rPr>
      <w:sz w:val="24"/>
      <w:lang w:val="en-US" w:eastAsia="en-US"/>
    </w:rPr>
  </w:style>
  <w:style w:type="paragraph" w:styleId="Signature">
    <w:name w:val="Signature"/>
    <w:basedOn w:val="Normal"/>
    <w:link w:val="SignatureChar"/>
    <w:rsid w:val="0054476E"/>
    <w:pPr>
      <w:ind w:left="4252"/>
    </w:pPr>
  </w:style>
  <w:style w:type="character" w:customStyle="1" w:styleId="SignatureChar">
    <w:name w:val="Signature Char"/>
    <w:basedOn w:val="DefaultParagraphFont"/>
    <w:link w:val="Signature"/>
    <w:rsid w:val="0054476E"/>
    <w:rPr>
      <w:sz w:val="24"/>
      <w:lang w:val="en-US" w:eastAsia="en-US"/>
    </w:rPr>
  </w:style>
  <w:style w:type="paragraph" w:styleId="Subtitle">
    <w:name w:val="Subtitle"/>
    <w:basedOn w:val="Normal"/>
    <w:next w:val="Normal"/>
    <w:link w:val="SubtitleChar"/>
    <w:qFormat/>
    <w:rsid w:val="0054476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54476E"/>
    <w:rPr>
      <w:rFonts w:asciiTheme="majorHAnsi" w:eastAsiaTheme="majorEastAsia" w:hAnsiTheme="majorHAnsi" w:cstheme="majorBidi"/>
      <w:i/>
      <w:iCs/>
      <w:color w:val="4F81BD" w:themeColor="accent1"/>
      <w:spacing w:val="15"/>
      <w:sz w:val="24"/>
      <w:szCs w:val="24"/>
      <w:lang w:val="en-US" w:eastAsia="en-US"/>
    </w:rPr>
  </w:style>
  <w:style w:type="paragraph" w:styleId="TableofAuthorities">
    <w:name w:val="table of authorities"/>
    <w:basedOn w:val="Normal"/>
    <w:next w:val="Normal"/>
    <w:rsid w:val="0054476E"/>
    <w:pPr>
      <w:ind w:left="240" w:hanging="240"/>
    </w:pPr>
  </w:style>
  <w:style w:type="paragraph" w:styleId="TableofFigures">
    <w:name w:val="table of figures"/>
    <w:basedOn w:val="Normal"/>
    <w:next w:val="Normal"/>
    <w:rsid w:val="0054476E"/>
  </w:style>
  <w:style w:type="paragraph" w:styleId="Title">
    <w:name w:val="Title"/>
    <w:basedOn w:val="Normal"/>
    <w:next w:val="Normal"/>
    <w:link w:val="TitleChar"/>
    <w:qFormat/>
    <w:rsid w:val="0054476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4476E"/>
    <w:rPr>
      <w:rFonts w:asciiTheme="majorHAnsi" w:eastAsiaTheme="majorEastAsia" w:hAnsiTheme="majorHAnsi" w:cstheme="majorBidi"/>
      <w:color w:val="17365D" w:themeColor="text2" w:themeShade="BF"/>
      <w:spacing w:val="5"/>
      <w:kern w:val="28"/>
      <w:sz w:val="52"/>
      <w:szCs w:val="52"/>
      <w:lang w:val="en-US" w:eastAsia="en-US"/>
    </w:rPr>
  </w:style>
  <w:style w:type="paragraph" w:styleId="TOAHeading">
    <w:name w:val="toa heading"/>
    <w:basedOn w:val="Normal"/>
    <w:next w:val="Normal"/>
    <w:rsid w:val="0054476E"/>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54476E"/>
    <w:pPr>
      <w:spacing w:after="100"/>
    </w:pPr>
  </w:style>
  <w:style w:type="paragraph" w:styleId="TOC2">
    <w:name w:val="toc 2"/>
    <w:basedOn w:val="Normal"/>
    <w:next w:val="Normal"/>
    <w:autoRedefine/>
    <w:rsid w:val="0054476E"/>
    <w:pPr>
      <w:spacing w:after="100"/>
      <w:ind w:left="240"/>
    </w:pPr>
  </w:style>
  <w:style w:type="paragraph" w:styleId="TOC3">
    <w:name w:val="toc 3"/>
    <w:basedOn w:val="Normal"/>
    <w:next w:val="Normal"/>
    <w:autoRedefine/>
    <w:rsid w:val="0054476E"/>
    <w:pPr>
      <w:spacing w:after="100"/>
      <w:ind w:left="480"/>
    </w:pPr>
  </w:style>
  <w:style w:type="paragraph" w:styleId="TOC4">
    <w:name w:val="toc 4"/>
    <w:basedOn w:val="Normal"/>
    <w:next w:val="Normal"/>
    <w:autoRedefine/>
    <w:rsid w:val="0054476E"/>
    <w:pPr>
      <w:spacing w:after="100"/>
      <w:ind w:left="720"/>
    </w:pPr>
  </w:style>
  <w:style w:type="paragraph" w:styleId="TOC5">
    <w:name w:val="toc 5"/>
    <w:basedOn w:val="Normal"/>
    <w:next w:val="Normal"/>
    <w:autoRedefine/>
    <w:rsid w:val="0054476E"/>
    <w:pPr>
      <w:spacing w:after="100"/>
      <w:ind w:left="960"/>
    </w:pPr>
  </w:style>
  <w:style w:type="paragraph" w:styleId="TOC6">
    <w:name w:val="toc 6"/>
    <w:basedOn w:val="Normal"/>
    <w:next w:val="Normal"/>
    <w:autoRedefine/>
    <w:rsid w:val="0054476E"/>
    <w:pPr>
      <w:spacing w:after="100"/>
      <w:ind w:left="1200"/>
    </w:pPr>
  </w:style>
  <w:style w:type="paragraph" w:styleId="TOC7">
    <w:name w:val="toc 7"/>
    <w:basedOn w:val="Normal"/>
    <w:next w:val="Normal"/>
    <w:autoRedefine/>
    <w:rsid w:val="0054476E"/>
    <w:pPr>
      <w:spacing w:after="100"/>
      <w:ind w:left="1440"/>
    </w:pPr>
  </w:style>
  <w:style w:type="paragraph" w:styleId="TOC8">
    <w:name w:val="toc 8"/>
    <w:basedOn w:val="Normal"/>
    <w:next w:val="Normal"/>
    <w:autoRedefine/>
    <w:rsid w:val="0054476E"/>
    <w:pPr>
      <w:spacing w:after="100"/>
      <w:ind w:left="1680"/>
    </w:pPr>
  </w:style>
  <w:style w:type="paragraph" w:styleId="TOC9">
    <w:name w:val="toc 9"/>
    <w:basedOn w:val="Normal"/>
    <w:next w:val="Normal"/>
    <w:autoRedefine/>
    <w:rsid w:val="0054476E"/>
    <w:pPr>
      <w:spacing w:after="100"/>
      <w:ind w:left="1920"/>
    </w:pPr>
  </w:style>
  <w:style w:type="paragraph" w:styleId="TOCHeading">
    <w:name w:val="TOC Heading"/>
    <w:basedOn w:val="Heading1"/>
    <w:next w:val="Normal"/>
    <w:uiPriority w:val="39"/>
    <w:semiHidden/>
    <w:unhideWhenUsed/>
    <w:qFormat/>
    <w:rsid w:val="0054476E"/>
    <w:pPr>
      <w:keepLines/>
      <w:spacing w:before="480" w:after="0"/>
      <w:outlineLvl w:val="9"/>
    </w:pPr>
    <w:rPr>
      <w:rFonts w:asciiTheme="majorHAnsi" w:eastAsiaTheme="majorEastAsia" w:hAnsiTheme="majorHAnsi" w:cstheme="majorBidi"/>
      <w:bCs/>
      <w:color w:val="365F91" w:themeColor="accent1" w:themeShade="BF"/>
      <w:szCs w:val="28"/>
    </w:rPr>
  </w:style>
  <w:style w:type="paragraph" w:customStyle="1" w:styleId="1">
    <w:name w:val="1"/>
    <w:rsid w:val="0032163D"/>
    <w:rPr>
      <w:sz w:val="24"/>
      <w:lang w:val="en-US" w:eastAsia="en-US"/>
    </w:rPr>
  </w:style>
  <w:style w:type="character" w:customStyle="1" w:styleId="EmailStyle59">
    <w:name w:val="EmailStyle59"/>
    <w:semiHidden/>
    <w:rsid w:val="0032163D"/>
    <w:rPr>
      <w:rFonts w:ascii="Arial" w:hAnsi="Arial" w:cs="Arial"/>
      <w:color w:val="auto"/>
      <w:sz w:val="20"/>
      <w:szCs w:val="20"/>
    </w:rPr>
  </w:style>
  <w:style w:type="character" w:customStyle="1" w:styleId="st1">
    <w:name w:val="st1"/>
    <w:basedOn w:val="DefaultParagraphFont"/>
    <w:rsid w:val="0032163D"/>
  </w:style>
  <w:style w:type="character" w:styleId="CommentReference">
    <w:name w:val="annotation reference"/>
    <w:basedOn w:val="DefaultParagraphFont"/>
    <w:uiPriority w:val="99"/>
    <w:rsid w:val="0032163D"/>
    <w:rPr>
      <w:sz w:val="16"/>
      <w:szCs w:val="16"/>
    </w:rPr>
  </w:style>
  <w:style w:type="paragraph" w:styleId="Revision">
    <w:name w:val="Revision"/>
    <w:hidden/>
    <w:uiPriority w:val="99"/>
    <w:semiHidden/>
    <w:rsid w:val="0032163D"/>
    <w:rPr>
      <w:sz w:val="24"/>
      <w:lang w:val="en-US" w:eastAsia="en-US"/>
    </w:rPr>
  </w:style>
  <w:style w:type="character" w:styleId="SubtleEmphasis">
    <w:name w:val="Subtle Emphasis"/>
    <w:basedOn w:val="DefaultParagraphFont"/>
    <w:uiPriority w:val="19"/>
    <w:qFormat/>
    <w:rsid w:val="005313C0"/>
    <w:rPr>
      <w:i/>
      <w:iCs/>
      <w:color w:val="808080" w:themeColor="text1" w:themeTint="7F"/>
    </w:rPr>
  </w:style>
  <w:style w:type="character" w:styleId="EndnoteReference">
    <w:name w:val="endnote reference"/>
    <w:basedOn w:val="DefaultParagraphFont"/>
    <w:unhideWhenUsed/>
    <w:rsid w:val="00537093"/>
    <w:rPr>
      <w:vertAlign w:val="superscript"/>
    </w:rPr>
  </w:style>
  <w:style w:type="paragraph" w:customStyle="1" w:styleId="msolistparagraph0">
    <w:name w:val="msolistparagraph"/>
    <w:basedOn w:val="Normal"/>
    <w:rsid w:val="003D7BEA"/>
    <w:pPr>
      <w:ind w:left="720"/>
    </w:pPr>
    <w:rPr>
      <w:rFonts w:ascii="Times New Roman" w:hAnsi="Times New Roman"/>
      <w:szCs w:val="24"/>
      <w:lang w:eastAsia="en-GB"/>
    </w:rPr>
  </w:style>
  <w:style w:type="paragraph" w:customStyle="1" w:styleId="o">
    <w:name w:val="o"/>
    <w:basedOn w:val="Normal"/>
    <w:rsid w:val="003D7BEA"/>
    <w:pPr>
      <w:jc w:val="both"/>
    </w:pPr>
    <w:rPr>
      <w:rFonts w:ascii="Courier New" w:hAnsi="Courier New" w:cs="Courier New"/>
      <w:b/>
      <w:bCs/>
      <w:sz w:val="20"/>
      <w:lang w:val="en-IE" w:eastAsia="en-IE"/>
    </w:rPr>
  </w:style>
  <w:style w:type="paragraph" w:customStyle="1" w:styleId="p">
    <w:name w:val="p"/>
    <w:basedOn w:val="Normal"/>
    <w:rsid w:val="003D7BEA"/>
    <w:pPr>
      <w:jc w:val="both"/>
    </w:pPr>
    <w:rPr>
      <w:rFonts w:ascii="Courier New" w:hAnsi="Courier New" w:cs="Courier New"/>
      <w:sz w:val="20"/>
      <w:lang w:val="en-IE" w:eastAsia="en-IE"/>
    </w:rPr>
  </w:style>
  <w:style w:type="character" w:customStyle="1" w:styleId="m">
    <w:name w:val="m"/>
    <w:basedOn w:val="DefaultParagraphFont"/>
    <w:rsid w:val="003D7BEA"/>
    <w:rPr>
      <w:rFonts w:ascii="Calibri" w:hAnsi="Calibri" w:cs="Calibri" w:hint="default"/>
      <w:sz w:val="23"/>
      <w:szCs w:val="23"/>
    </w:rPr>
  </w:style>
  <w:style w:type="paragraph" w:customStyle="1" w:styleId="jh">
    <w:name w:val="jh"/>
    <w:basedOn w:val="Normal"/>
    <w:rsid w:val="003D7BEA"/>
    <w:pPr>
      <w:spacing w:before="100" w:beforeAutospacing="1" w:after="100" w:afterAutospacing="1"/>
    </w:pPr>
    <w:rPr>
      <w:rFonts w:ascii="Times New Roman" w:hAnsi="Times New Roman"/>
      <w:szCs w:val="24"/>
      <w:lang w:val="en-IE" w:eastAsia="en-IE"/>
    </w:rPr>
  </w:style>
  <w:style w:type="paragraph" w:customStyle="1" w:styleId="Bullet">
    <w:name w:val="Bullet"/>
    <w:basedOn w:val="Normal"/>
    <w:link w:val="BulletChar"/>
    <w:qFormat/>
    <w:rsid w:val="003E79CE"/>
    <w:pPr>
      <w:numPr>
        <w:numId w:val="12"/>
      </w:numPr>
      <w:tabs>
        <w:tab w:val="left" w:pos="284"/>
      </w:tabs>
      <w:spacing w:after="130"/>
      <w:jc w:val="both"/>
    </w:pPr>
    <w:rPr>
      <w:rFonts w:ascii="Bliss-ExtraBold" w:hAnsi="Bliss-ExtraBold" w:cs="Bliss-ExtraBold"/>
      <w:sz w:val="22"/>
      <w:szCs w:val="22"/>
    </w:rPr>
  </w:style>
  <w:style w:type="character" w:customStyle="1" w:styleId="BulletChar">
    <w:name w:val="Bullet Char"/>
    <w:basedOn w:val="DefaultParagraphFont"/>
    <w:link w:val="Bullet"/>
    <w:locked/>
    <w:rsid w:val="003E79CE"/>
    <w:rPr>
      <w:rFonts w:ascii="Bliss-ExtraBold" w:hAnsi="Bliss-ExtraBold" w:cs="Bliss-ExtraBold"/>
      <w:sz w:val="22"/>
      <w:szCs w:val="22"/>
      <w:lang w:val="en-GB" w:eastAsia="en-US"/>
    </w:rPr>
  </w:style>
  <w:style w:type="paragraph" w:customStyle="1" w:styleId="Body0">
    <w:name w:val="Body"/>
    <w:basedOn w:val="Normal"/>
    <w:uiPriority w:val="99"/>
    <w:rsid w:val="003E79CE"/>
    <w:pPr>
      <w:spacing w:after="240"/>
      <w:jc w:val="both"/>
    </w:pPr>
    <w:rPr>
      <w:rFonts w:ascii="Times New Roman" w:hAnsi="Times New Roman"/>
      <w:szCs w:val="24"/>
      <w:lang w:val="en-IE"/>
    </w:rPr>
  </w:style>
  <w:style w:type="character" w:customStyle="1" w:styleId="storybody1">
    <w:name w:val="storybody1"/>
    <w:rsid w:val="003E79CE"/>
    <w:rPr>
      <w:rFonts w:ascii="Verdana" w:hAnsi="Verdana" w:hint="default"/>
      <w:color w:val="000066"/>
      <w:sz w:val="20"/>
      <w:szCs w:val="20"/>
    </w:rPr>
  </w:style>
  <w:style w:type="paragraph" w:customStyle="1" w:styleId="c3">
    <w:name w:val="c3"/>
    <w:basedOn w:val="Normal"/>
    <w:uiPriority w:val="99"/>
    <w:rsid w:val="003E79CE"/>
    <w:rPr>
      <w:rFonts w:ascii="Times New Roman" w:hAnsi="Times New Roman"/>
      <w:szCs w:val="24"/>
      <w:lang w:eastAsia="en-GB"/>
    </w:rPr>
  </w:style>
  <w:style w:type="character" w:customStyle="1" w:styleId="c4">
    <w:name w:val="c4"/>
    <w:rsid w:val="003E79CE"/>
    <w:rPr>
      <w:color w:val="000000"/>
    </w:rPr>
  </w:style>
  <w:style w:type="character" w:customStyle="1" w:styleId="s">
    <w:name w:val="s"/>
    <w:rsid w:val="003E79CE"/>
    <w:rPr>
      <w:rFonts w:ascii="Calibri" w:hAnsi="Calibri" w:hint="default"/>
    </w:rPr>
  </w:style>
  <w:style w:type="character" w:customStyle="1" w:styleId="A0">
    <w:name w:val="A0"/>
    <w:rsid w:val="003E79CE"/>
    <w:rPr>
      <w:color w:val="000000"/>
      <w:sz w:val="20"/>
      <w:szCs w:val="20"/>
    </w:rPr>
  </w:style>
  <w:style w:type="character" w:customStyle="1" w:styleId="A2">
    <w:name w:val="A2"/>
    <w:rsid w:val="003E79CE"/>
    <w:rPr>
      <w:color w:val="000000"/>
      <w:sz w:val="20"/>
      <w:szCs w:val="20"/>
      <w:u w:val="single"/>
    </w:rPr>
  </w:style>
  <w:style w:type="paragraph" w:customStyle="1" w:styleId="u">
    <w:name w:val="u"/>
    <w:basedOn w:val="Normal"/>
    <w:uiPriority w:val="99"/>
    <w:rsid w:val="003E79CE"/>
    <w:pPr>
      <w:jc w:val="both"/>
    </w:pPr>
    <w:rPr>
      <w:rFonts w:ascii="Times New Roman" w:hAnsi="Times New Roman"/>
      <w:szCs w:val="24"/>
      <w:lang w:eastAsia="en-GB"/>
    </w:rPr>
  </w:style>
  <w:style w:type="character" w:customStyle="1" w:styleId="q">
    <w:name w:val="q"/>
    <w:rsid w:val="003E79CE"/>
    <w:rPr>
      <w:color w:val="000000"/>
    </w:rPr>
  </w:style>
  <w:style w:type="character" w:customStyle="1" w:styleId="ac">
    <w:name w:val="ac"/>
    <w:basedOn w:val="DefaultParagraphFont"/>
    <w:rsid w:val="003E79CE"/>
  </w:style>
  <w:style w:type="character" w:customStyle="1" w:styleId="searchword">
    <w:name w:val="searchword"/>
    <w:basedOn w:val="DefaultParagraphFont"/>
    <w:rsid w:val="003E79CE"/>
  </w:style>
  <w:style w:type="character" w:customStyle="1" w:styleId="st">
    <w:name w:val="st"/>
    <w:rsid w:val="003E79CE"/>
    <w:rPr>
      <w:rFonts w:cs="Times New Roman"/>
    </w:rPr>
  </w:style>
  <w:style w:type="paragraph" w:customStyle="1" w:styleId="t">
    <w:name w:val="t"/>
    <w:basedOn w:val="Normal"/>
    <w:uiPriority w:val="99"/>
    <w:rsid w:val="003E79CE"/>
    <w:pPr>
      <w:jc w:val="both"/>
    </w:pPr>
    <w:rPr>
      <w:rFonts w:ascii="Arial" w:hAnsi="Arial" w:cs="Arial"/>
      <w:sz w:val="22"/>
      <w:szCs w:val="22"/>
      <w:lang w:eastAsia="en-GB"/>
    </w:rPr>
  </w:style>
  <w:style w:type="character" w:customStyle="1" w:styleId="d">
    <w:name w:val="d"/>
    <w:basedOn w:val="DefaultParagraphFont"/>
    <w:rsid w:val="003E79CE"/>
  </w:style>
  <w:style w:type="paragraph" w:customStyle="1" w:styleId="Accountstext">
    <w:name w:val="Accounts text"/>
    <w:basedOn w:val="Normal"/>
    <w:uiPriority w:val="99"/>
    <w:rsid w:val="003E79CE"/>
    <w:pPr>
      <w:overflowPunct w:val="0"/>
      <w:autoSpaceDE w:val="0"/>
      <w:autoSpaceDN w:val="0"/>
      <w:adjustRightInd w:val="0"/>
      <w:textAlignment w:val="baseline"/>
    </w:pPr>
    <w:rPr>
      <w:rFonts w:ascii="Times" w:hAnsi="Times"/>
      <w:sz w:val="22"/>
    </w:rPr>
  </w:style>
  <w:style w:type="character" w:styleId="HTMLTypewriter">
    <w:name w:val="HTML Typewriter"/>
    <w:uiPriority w:val="99"/>
    <w:unhideWhenUsed/>
    <w:rsid w:val="003E79CE"/>
    <w:rPr>
      <w:rFonts w:ascii="Courier New" w:eastAsia="Calibri" w:hAnsi="Courier New" w:cs="Courier New" w:hint="default"/>
      <w:sz w:val="20"/>
      <w:szCs w:val="20"/>
    </w:rPr>
  </w:style>
  <w:style w:type="character" w:customStyle="1" w:styleId="apple-converted-space">
    <w:name w:val="apple-converted-space"/>
    <w:rsid w:val="003E79CE"/>
  </w:style>
  <w:style w:type="paragraph" w:customStyle="1" w:styleId="f">
    <w:name w:val="f"/>
    <w:basedOn w:val="Normal"/>
    <w:uiPriority w:val="99"/>
    <w:rsid w:val="003E79CE"/>
    <w:pPr>
      <w:spacing w:before="100" w:beforeAutospacing="1" w:after="100" w:afterAutospacing="1"/>
    </w:pPr>
    <w:rPr>
      <w:rFonts w:ascii="Times New Roman" w:hAnsi="Times New Roman"/>
      <w:szCs w:val="24"/>
      <w:lang w:val="en-IE" w:eastAsia="en-IE"/>
    </w:rPr>
  </w:style>
  <w:style w:type="character" w:customStyle="1" w:styleId="ao">
    <w:name w:val="ao"/>
    <w:rsid w:val="003E79CE"/>
  </w:style>
  <w:style w:type="paragraph" w:customStyle="1" w:styleId="at">
    <w:name w:val="at"/>
    <w:basedOn w:val="Normal"/>
    <w:uiPriority w:val="99"/>
    <w:rsid w:val="003E79CE"/>
    <w:pPr>
      <w:spacing w:before="100" w:beforeAutospacing="1" w:after="100" w:afterAutospacing="1"/>
    </w:pPr>
    <w:rPr>
      <w:rFonts w:ascii="Times New Roman" w:hAnsi="Times New Roman"/>
      <w:szCs w:val="24"/>
      <w:lang w:val="en-IE" w:eastAsia="en-IE"/>
    </w:rPr>
  </w:style>
  <w:style w:type="paragraph" w:customStyle="1" w:styleId="ACText">
    <w:name w:val="AC Text"/>
    <w:basedOn w:val="Normal"/>
    <w:link w:val="ACTextChar"/>
    <w:rsid w:val="003E79CE"/>
    <w:pPr>
      <w:tabs>
        <w:tab w:val="left" w:pos="0"/>
      </w:tabs>
      <w:suppressAutoHyphens/>
      <w:overflowPunct w:val="0"/>
      <w:autoSpaceDE w:val="0"/>
      <w:autoSpaceDN w:val="0"/>
      <w:adjustRightInd w:val="0"/>
      <w:spacing w:before="130"/>
      <w:jc w:val="both"/>
      <w:textAlignment w:val="baseline"/>
    </w:pPr>
    <w:rPr>
      <w:rFonts w:ascii="Times New Roman" w:hAnsi="Times New Roman"/>
      <w:sz w:val="20"/>
    </w:rPr>
  </w:style>
  <w:style w:type="character" w:customStyle="1" w:styleId="ACTextChar">
    <w:name w:val="AC Text Char"/>
    <w:link w:val="ACText"/>
    <w:rsid w:val="003E79CE"/>
    <w:rPr>
      <w:rFonts w:ascii="Times New Roman" w:hAnsi="Times New Roman"/>
      <w:lang w:val="en-GB" w:eastAsia="en-US"/>
    </w:rPr>
  </w:style>
  <w:style w:type="paragraph" w:customStyle="1" w:styleId="Double">
    <w:name w:val="Double"/>
    <w:basedOn w:val="Normal"/>
    <w:uiPriority w:val="99"/>
    <w:rsid w:val="003E79CE"/>
    <w:pPr>
      <w:overflowPunct w:val="0"/>
      <w:autoSpaceDE w:val="0"/>
      <w:autoSpaceDN w:val="0"/>
      <w:adjustRightInd w:val="0"/>
      <w:spacing w:after="130"/>
      <w:jc w:val="both"/>
      <w:textAlignment w:val="baseline"/>
    </w:pPr>
    <w:rPr>
      <w:rFonts w:ascii="Times New Roman" w:hAnsi="Times New Roman"/>
      <w:sz w:val="18"/>
      <w:u w:val="double"/>
    </w:rPr>
  </w:style>
  <w:style w:type="paragraph" w:customStyle="1" w:styleId="NoDecAlign">
    <w:name w:val="NoDecAlign"/>
    <w:basedOn w:val="Normal"/>
    <w:uiPriority w:val="99"/>
    <w:rsid w:val="003E79CE"/>
    <w:pPr>
      <w:tabs>
        <w:tab w:val="decimal" w:pos="1021"/>
      </w:tabs>
      <w:overflowPunct w:val="0"/>
      <w:autoSpaceDE w:val="0"/>
      <w:autoSpaceDN w:val="0"/>
      <w:adjustRightInd w:val="0"/>
      <w:jc w:val="both"/>
      <w:textAlignment w:val="baseline"/>
    </w:pPr>
    <w:rPr>
      <w:rFonts w:ascii="Times New Roman" w:hAnsi="Times New Roman"/>
      <w:sz w:val="18"/>
    </w:rPr>
  </w:style>
  <w:style w:type="paragraph" w:customStyle="1" w:styleId="Single">
    <w:name w:val="Single"/>
    <w:basedOn w:val="Normal"/>
    <w:uiPriority w:val="99"/>
    <w:rsid w:val="003E79CE"/>
    <w:pPr>
      <w:overflowPunct w:val="0"/>
      <w:autoSpaceDE w:val="0"/>
      <w:autoSpaceDN w:val="0"/>
      <w:adjustRightInd w:val="0"/>
      <w:spacing w:after="130"/>
      <w:jc w:val="both"/>
      <w:textAlignment w:val="baseline"/>
    </w:pPr>
    <w:rPr>
      <w:rFonts w:ascii="Times New Roman" w:hAnsi="Times New Roman"/>
      <w:sz w:val="18"/>
      <w:u w:val="single"/>
    </w:rPr>
  </w:style>
  <w:style w:type="paragraph" w:customStyle="1" w:styleId="ColumnHeading">
    <w:name w:val="Column Heading"/>
    <w:basedOn w:val="Normal"/>
    <w:link w:val="ColumnHeadingChar"/>
    <w:rsid w:val="003E79CE"/>
    <w:pPr>
      <w:tabs>
        <w:tab w:val="decimal" w:pos="737"/>
      </w:tabs>
      <w:autoSpaceDE w:val="0"/>
      <w:autoSpaceDN w:val="0"/>
      <w:adjustRightInd w:val="0"/>
      <w:spacing w:line="240" w:lineRule="exact"/>
    </w:pPr>
    <w:rPr>
      <w:rFonts w:ascii="Univers 45 Light" w:hAnsi="Univers 45 Light" w:cs="Univers 45 Light"/>
      <w:b/>
      <w:bCs/>
      <w:color w:val="000000"/>
      <w:spacing w:val="-6"/>
      <w:sz w:val="16"/>
      <w:szCs w:val="16"/>
      <w:lang w:val="en-NZ" w:eastAsia="en-NZ"/>
    </w:rPr>
  </w:style>
  <w:style w:type="character" w:customStyle="1" w:styleId="ColumnHeadingChar">
    <w:name w:val="Column Heading Char"/>
    <w:link w:val="ColumnHeading"/>
    <w:rsid w:val="003E79CE"/>
    <w:rPr>
      <w:rFonts w:ascii="Univers 45 Light" w:hAnsi="Univers 45 Light" w:cs="Univers 45 Light"/>
      <w:b/>
      <w:bCs/>
      <w:color w:val="000000"/>
      <w:spacing w:val="-6"/>
      <w:sz w:val="16"/>
      <w:szCs w:val="16"/>
      <w:lang w:val="en-NZ" w:eastAsia="en-NZ"/>
    </w:rPr>
  </w:style>
  <w:style w:type="character" w:customStyle="1" w:styleId="aw">
    <w:name w:val="aw"/>
    <w:rsid w:val="003E79CE"/>
    <w:rPr>
      <w:rFonts w:ascii="Times New Roman" w:hAnsi="Times New Roman" w:cs="Times New Roman" w:hint="default"/>
    </w:rPr>
  </w:style>
  <w:style w:type="paragraph" w:customStyle="1" w:styleId="cu">
    <w:name w:val="cu"/>
    <w:basedOn w:val="Normal"/>
    <w:rsid w:val="003E79CE"/>
    <w:pPr>
      <w:spacing w:before="100" w:beforeAutospacing="1" w:after="100" w:afterAutospacing="1"/>
    </w:pPr>
    <w:rPr>
      <w:rFonts w:ascii="Times New Roman" w:hAnsi="Times New Roman"/>
      <w:szCs w:val="24"/>
      <w:lang w:eastAsia="en-GB"/>
    </w:rPr>
  </w:style>
  <w:style w:type="character" w:customStyle="1" w:styleId="cs">
    <w:name w:val="cs"/>
    <w:rsid w:val="003E79CE"/>
  </w:style>
  <w:style w:type="paragraph" w:customStyle="1" w:styleId="Subhead1">
    <w:name w:val="Subhead1"/>
    <w:basedOn w:val="Normal"/>
    <w:uiPriority w:val="99"/>
    <w:rsid w:val="003E79CE"/>
    <w:pPr>
      <w:pBdr>
        <w:bottom w:val="single" w:sz="4" w:space="5" w:color="auto"/>
      </w:pBdr>
      <w:suppressAutoHyphens/>
      <w:autoSpaceDE w:val="0"/>
      <w:autoSpaceDN w:val="0"/>
      <w:adjustRightInd w:val="0"/>
      <w:spacing w:before="100" w:after="120" w:line="200" w:lineRule="atLeast"/>
      <w:textAlignment w:val="center"/>
    </w:pPr>
    <w:rPr>
      <w:rFonts w:ascii="Arial" w:eastAsia="Calibri" w:hAnsi="Arial" w:cs="Humanst521 BT"/>
      <w:b/>
      <w:bCs/>
      <w:caps/>
      <w:color w:val="001163"/>
      <w:sz w:val="16"/>
      <w:szCs w:val="16"/>
    </w:rPr>
  </w:style>
  <w:style w:type="paragraph" w:customStyle="1" w:styleId="BodybulletsGrey">
    <w:name w:val="Body bullets Grey"/>
    <w:basedOn w:val="Normal"/>
    <w:uiPriority w:val="99"/>
    <w:rsid w:val="003E79CE"/>
    <w:pPr>
      <w:tabs>
        <w:tab w:val="left" w:pos="170"/>
        <w:tab w:val="left" w:pos="227"/>
        <w:tab w:val="left" w:pos="340"/>
      </w:tabs>
      <w:suppressAutoHyphens/>
      <w:autoSpaceDE w:val="0"/>
      <w:autoSpaceDN w:val="0"/>
      <w:adjustRightInd w:val="0"/>
      <w:spacing w:after="100" w:line="200" w:lineRule="atLeast"/>
      <w:textAlignment w:val="center"/>
    </w:pPr>
    <w:rPr>
      <w:rFonts w:ascii="Humanst521 Lt BT" w:eastAsia="Calibri" w:hAnsi="Humanst521 Lt BT" w:cs="Humanst521 Lt BT"/>
      <w:color w:val="000000"/>
      <w:sz w:val="16"/>
      <w:szCs w:val="16"/>
    </w:rPr>
  </w:style>
  <w:style w:type="paragraph" w:customStyle="1" w:styleId="Signoff">
    <w:name w:val="Sign off"/>
    <w:basedOn w:val="BodyText"/>
    <w:uiPriority w:val="99"/>
    <w:rsid w:val="003E79CE"/>
    <w:pPr>
      <w:tabs>
        <w:tab w:val="left" w:pos="170"/>
        <w:tab w:val="left" w:pos="2268"/>
      </w:tabs>
      <w:suppressAutoHyphens/>
      <w:autoSpaceDE w:val="0"/>
      <w:autoSpaceDN w:val="0"/>
      <w:adjustRightInd w:val="0"/>
      <w:spacing w:before="700" w:after="0" w:line="200" w:lineRule="atLeast"/>
      <w:textAlignment w:val="center"/>
    </w:pPr>
    <w:rPr>
      <w:rFonts w:ascii="Arial" w:eastAsia="Calibri" w:hAnsi="Arial" w:cs="Humanst521 BT"/>
      <w:b/>
      <w:bCs/>
      <w:caps/>
      <w:color w:val="001163"/>
      <w:sz w:val="15"/>
      <w:szCs w:val="16"/>
    </w:rPr>
  </w:style>
  <w:style w:type="paragraph" w:customStyle="1" w:styleId="Signoff2">
    <w:name w:val="Sign off 2"/>
    <w:basedOn w:val="BodyText"/>
    <w:uiPriority w:val="99"/>
    <w:rsid w:val="003E79CE"/>
    <w:pPr>
      <w:tabs>
        <w:tab w:val="left" w:pos="170"/>
        <w:tab w:val="left" w:pos="2268"/>
      </w:tabs>
      <w:suppressAutoHyphens/>
      <w:autoSpaceDE w:val="0"/>
      <w:autoSpaceDN w:val="0"/>
      <w:adjustRightInd w:val="0"/>
      <w:spacing w:after="100" w:line="200" w:lineRule="atLeast"/>
      <w:textAlignment w:val="center"/>
    </w:pPr>
    <w:rPr>
      <w:rFonts w:ascii="Arial" w:eastAsia="Calibri" w:hAnsi="Arial" w:cs="Humanst521 Lt BT"/>
      <w:color w:val="000000"/>
      <w:sz w:val="15"/>
      <w:szCs w:val="16"/>
    </w:rPr>
  </w:style>
  <w:style w:type="paragraph" w:customStyle="1" w:styleId="Subhead2">
    <w:name w:val="Subhead 2"/>
    <w:basedOn w:val="Normal"/>
    <w:uiPriority w:val="99"/>
    <w:rsid w:val="003E79CE"/>
    <w:pPr>
      <w:pBdr>
        <w:bottom w:val="single" w:sz="4" w:space="5" w:color="000000"/>
      </w:pBdr>
      <w:suppressAutoHyphens/>
      <w:autoSpaceDE w:val="0"/>
      <w:autoSpaceDN w:val="0"/>
      <w:adjustRightInd w:val="0"/>
      <w:spacing w:after="120" w:line="200" w:lineRule="atLeast"/>
      <w:textAlignment w:val="center"/>
    </w:pPr>
    <w:rPr>
      <w:rFonts w:ascii="Arial" w:eastAsia="Calibri" w:hAnsi="Arial" w:cs="Humanst521 BT"/>
      <w:b/>
      <w:bCs/>
      <w:caps/>
      <w:color w:val="000000"/>
      <w:sz w:val="16"/>
      <w:szCs w:val="16"/>
    </w:rPr>
  </w:style>
  <w:style w:type="paragraph" w:customStyle="1" w:styleId="tabletext">
    <w:name w:val="table text"/>
    <w:basedOn w:val="BodyText"/>
    <w:uiPriority w:val="99"/>
    <w:rsid w:val="003E79CE"/>
    <w:pPr>
      <w:tabs>
        <w:tab w:val="left" w:pos="170"/>
        <w:tab w:val="left" w:pos="1134"/>
      </w:tabs>
      <w:suppressAutoHyphens/>
      <w:autoSpaceDE w:val="0"/>
      <w:autoSpaceDN w:val="0"/>
      <w:adjustRightInd w:val="0"/>
      <w:spacing w:after="0" w:line="200" w:lineRule="atLeast"/>
      <w:textAlignment w:val="center"/>
    </w:pPr>
    <w:rPr>
      <w:rFonts w:ascii="Arial" w:eastAsia="Calibri" w:hAnsi="Arial" w:cs="Humanst521 Lt BT"/>
      <w:color w:val="000000"/>
      <w:sz w:val="15"/>
      <w:szCs w:val="16"/>
    </w:rPr>
  </w:style>
  <w:style w:type="paragraph" w:customStyle="1" w:styleId="tableheader">
    <w:name w:val="table header"/>
    <w:basedOn w:val="Normal"/>
    <w:uiPriority w:val="99"/>
    <w:rsid w:val="003E79CE"/>
    <w:pPr>
      <w:tabs>
        <w:tab w:val="left" w:pos="170"/>
        <w:tab w:val="left" w:pos="1134"/>
      </w:tabs>
      <w:suppressAutoHyphens/>
      <w:autoSpaceDE w:val="0"/>
      <w:autoSpaceDN w:val="0"/>
      <w:adjustRightInd w:val="0"/>
      <w:spacing w:line="200" w:lineRule="atLeast"/>
      <w:textAlignment w:val="center"/>
    </w:pPr>
    <w:rPr>
      <w:rFonts w:ascii="Arial" w:eastAsia="Calibri" w:hAnsi="Arial" w:cs="Humanst521 BT"/>
      <w:b/>
      <w:bCs/>
      <w:color w:val="FFFFFF"/>
      <w:sz w:val="16"/>
      <w:szCs w:val="16"/>
    </w:rPr>
  </w:style>
  <w:style w:type="paragraph" w:customStyle="1" w:styleId="bullettext">
    <w:name w:val="bullet text"/>
    <w:basedOn w:val="BodyText"/>
    <w:uiPriority w:val="99"/>
    <w:rsid w:val="003E79CE"/>
    <w:pPr>
      <w:numPr>
        <w:numId w:val="13"/>
      </w:numPr>
      <w:tabs>
        <w:tab w:val="left" w:pos="170"/>
        <w:tab w:val="left" w:pos="1134"/>
      </w:tabs>
      <w:suppressAutoHyphens/>
      <w:autoSpaceDE w:val="0"/>
      <w:autoSpaceDN w:val="0"/>
      <w:adjustRightInd w:val="0"/>
      <w:spacing w:after="100" w:line="200" w:lineRule="atLeast"/>
      <w:textAlignment w:val="center"/>
    </w:pPr>
    <w:rPr>
      <w:rFonts w:ascii="Arial" w:eastAsia="Calibri" w:hAnsi="Arial" w:cs="Humanst521 Lt BT"/>
      <w:color w:val="000000"/>
      <w:sz w:val="15"/>
      <w:szCs w:val="16"/>
    </w:rPr>
  </w:style>
  <w:style w:type="paragraph" w:customStyle="1" w:styleId="PageTitle">
    <w:name w:val="Page Title"/>
    <w:basedOn w:val="Normal"/>
    <w:next w:val="Normal"/>
    <w:uiPriority w:val="99"/>
    <w:rsid w:val="003E79CE"/>
    <w:pPr>
      <w:tabs>
        <w:tab w:val="left" w:pos="170"/>
        <w:tab w:val="left" w:pos="340"/>
      </w:tabs>
      <w:suppressAutoHyphens/>
      <w:autoSpaceDE w:val="0"/>
      <w:autoSpaceDN w:val="0"/>
      <w:adjustRightInd w:val="0"/>
      <w:spacing w:line="320" w:lineRule="atLeast"/>
      <w:textAlignment w:val="center"/>
    </w:pPr>
    <w:rPr>
      <w:rFonts w:ascii="Humanst521 BT" w:eastAsia="Calibri" w:hAnsi="Humanst521 BT" w:cs="Humanst521 BT"/>
      <w:caps/>
      <w:color w:val="001163"/>
      <w:sz w:val="30"/>
      <w:szCs w:val="30"/>
    </w:rPr>
  </w:style>
  <w:style w:type="paragraph" w:customStyle="1" w:styleId="REMsub">
    <w:name w:val="REM sub"/>
    <w:basedOn w:val="Normal"/>
    <w:uiPriority w:val="99"/>
    <w:rsid w:val="003E79CE"/>
    <w:pPr>
      <w:tabs>
        <w:tab w:val="left" w:pos="170"/>
        <w:tab w:val="left" w:pos="340"/>
      </w:tabs>
      <w:suppressAutoHyphens/>
      <w:autoSpaceDE w:val="0"/>
      <w:autoSpaceDN w:val="0"/>
      <w:adjustRightInd w:val="0"/>
      <w:spacing w:line="320" w:lineRule="atLeast"/>
      <w:textAlignment w:val="center"/>
    </w:pPr>
    <w:rPr>
      <w:rFonts w:ascii="Humanst521 BT" w:eastAsia="Calibri" w:hAnsi="Humanst521 BT" w:cs="Humanst521 BT"/>
      <w:caps/>
      <w:color w:val="000000"/>
      <w:sz w:val="22"/>
      <w:szCs w:val="22"/>
    </w:rPr>
  </w:style>
  <w:style w:type="paragraph" w:customStyle="1" w:styleId="Headingsubtitle">
    <w:name w:val="Heading subtitle"/>
    <w:basedOn w:val="Normal"/>
    <w:uiPriority w:val="99"/>
    <w:rsid w:val="003E79CE"/>
    <w:pPr>
      <w:tabs>
        <w:tab w:val="left" w:pos="170"/>
        <w:tab w:val="left" w:pos="340"/>
      </w:tabs>
      <w:suppressAutoHyphens/>
      <w:autoSpaceDE w:val="0"/>
      <w:autoSpaceDN w:val="0"/>
      <w:adjustRightInd w:val="0"/>
      <w:spacing w:line="320" w:lineRule="atLeast"/>
      <w:textAlignment w:val="center"/>
    </w:pPr>
    <w:rPr>
      <w:rFonts w:ascii="Humanst521 BT" w:eastAsia="Calibri" w:hAnsi="Humanst521 BT" w:cs="Humanst521 BT"/>
      <w:color w:val="000000"/>
      <w:sz w:val="26"/>
      <w:szCs w:val="26"/>
    </w:rPr>
  </w:style>
  <w:style w:type="character" w:customStyle="1" w:styleId="Continued">
    <w:name w:val="Continued"/>
    <w:uiPriority w:val="99"/>
    <w:rsid w:val="003E79CE"/>
    <w:rPr>
      <w:rFonts w:ascii="Humanst521 Lt BT" w:hAnsi="Humanst521 Lt BT"/>
    </w:rPr>
  </w:style>
  <w:style w:type="character" w:customStyle="1" w:styleId="ap">
    <w:name w:val="ap"/>
    <w:uiPriority w:val="99"/>
    <w:rsid w:val="003E79CE"/>
    <w:rPr>
      <w:rFonts w:cs="Times New Roman"/>
    </w:rPr>
  </w:style>
  <w:style w:type="character" w:customStyle="1" w:styleId="ai">
    <w:name w:val="ai"/>
    <w:uiPriority w:val="99"/>
    <w:rsid w:val="003E79CE"/>
    <w:rPr>
      <w:rFonts w:cs="Times New Roman"/>
    </w:rPr>
  </w:style>
  <w:style w:type="paragraph" w:customStyle="1" w:styleId="00Bodynospace">
    <w:name w:val="**00_Body (no space)"/>
    <w:basedOn w:val="Normal"/>
    <w:uiPriority w:val="99"/>
    <w:rsid w:val="003E79CE"/>
    <w:pPr>
      <w:tabs>
        <w:tab w:val="left" w:pos="360"/>
      </w:tabs>
    </w:pPr>
    <w:rPr>
      <w:rFonts w:ascii="Arial" w:hAnsi="Arial"/>
      <w:sz w:val="18"/>
      <w:szCs w:val="24"/>
    </w:rPr>
  </w:style>
  <w:style w:type="paragraph" w:customStyle="1" w:styleId="ACBody1">
    <w:name w:val="AC Body 1"/>
    <w:basedOn w:val="Body0"/>
    <w:uiPriority w:val="99"/>
    <w:rsid w:val="003E79CE"/>
    <w:pPr>
      <w:ind w:left="720"/>
    </w:pPr>
  </w:style>
  <w:style w:type="paragraph" w:customStyle="1" w:styleId="ACLevel1">
    <w:name w:val="AC Level 1"/>
    <w:basedOn w:val="ACBody1"/>
    <w:rsid w:val="003E79CE"/>
    <w:pPr>
      <w:numPr>
        <w:numId w:val="14"/>
      </w:numPr>
      <w:outlineLvl w:val="0"/>
    </w:pPr>
  </w:style>
  <w:style w:type="character" w:customStyle="1" w:styleId="ACLevel1asheadingtext">
    <w:name w:val="AC Level 1 as heading (text)"/>
    <w:rsid w:val="003E79CE"/>
    <w:rPr>
      <w:b/>
    </w:rPr>
  </w:style>
  <w:style w:type="paragraph" w:customStyle="1" w:styleId="ACBody2">
    <w:name w:val="AC Body 2"/>
    <w:basedOn w:val="Body0"/>
    <w:rsid w:val="003E79CE"/>
    <w:pPr>
      <w:ind w:left="1440"/>
    </w:pPr>
  </w:style>
  <w:style w:type="paragraph" w:customStyle="1" w:styleId="ACLevel2">
    <w:name w:val="AC Level 2"/>
    <w:basedOn w:val="ACBody2"/>
    <w:rsid w:val="003E79CE"/>
    <w:pPr>
      <w:tabs>
        <w:tab w:val="num" w:pos="1440"/>
      </w:tabs>
      <w:ind w:hanging="720"/>
      <w:outlineLvl w:val="1"/>
    </w:pPr>
  </w:style>
  <w:style w:type="paragraph" w:customStyle="1" w:styleId="ACLevel3">
    <w:name w:val="AC Level 3"/>
    <w:basedOn w:val="Normal"/>
    <w:rsid w:val="003E79CE"/>
    <w:pPr>
      <w:tabs>
        <w:tab w:val="num" w:pos="2160"/>
      </w:tabs>
      <w:spacing w:after="240"/>
      <w:ind w:left="2160" w:hanging="720"/>
      <w:jc w:val="both"/>
      <w:outlineLvl w:val="2"/>
    </w:pPr>
    <w:rPr>
      <w:rFonts w:ascii="Times New Roman" w:hAnsi="Times New Roman"/>
      <w:szCs w:val="24"/>
      <w:lang w:val="en-IE"/>
    </w:rPr>
  </w:style>
  <w:style w:type="paragraph" w:customStyle="1" w:styleId="ACLevel4">
    <w:name w:val="AC Level 4"/>
    <w:basedOn w:val="Normal"/>
    <w:rsid w:val="003E79CE"/>
    <w:pPr>
      <w:numPr>
        <w:ilvl w:val="3"/>
        <w:numId w:val="14"/>
      </w:numPr>
      <w:spacing w:after="240"/>
      <w:jc w:val="both"/>
      <w:outlineLvl w:val="3"/>
    </w:pPr>
    <w:rPr>
      <w:rFonts w:ascii="Times New Roman" w:hAnsi="Times New Roman"/>
      <w:szCs w:val="24"/>
      <w:lang w:val="en-IE"/>
    </w:rPr>
  </w:style>
  <w:style w:type="paragraph" w:customStyle="1" w:styleId="ACLevel5">
    <w:name w:val="AC Level 5"/>
    <w:basedOn w:val="Normal"/>
    <w:rsid w:val="003E79CE"/>
    <w:pPr>
      <w:numPr>
        <w:ilvl w:val="4"/>
        <w:numId w:val="14"/>
      </w:numPr>
      <w:spacing w:after="240"/>
      <w:jc w:val="both"/>
      <w:outlineLvl w:val="4"/>
    </w:pPr>
    <w:rPr>
      <w:rFonts w:ascii="Times New Roman" w:hAnsi="Times New Roman"/>
      <w:szCs w:val="24"/>
      <w:lang w:val="en-IE"/>
    </w:rPr>
  </w:style>
  <w:style w:type="paragraph" w:customStyle="1" w:styleId="TableTop-2012-Right">
    <w:name w:val="Table Top-2012-Right"/>
    <w:basedOn w:val="Normal"/>
    <w:qFormat/>
    <w:rsid w:val="003E79CE"/>
    <w:pPr>
      <w:spacing w:after="20" w:line="220" w:lineRule="exact"/>
      <w:ind w:right="91"/>
      <w:jc w:val="right"/>
    </w:pPr>
    <w:rPr>
      <w:rFonts w:ascii="Informa Pro Light" w:hAnsi="Informa Pro Light"/>
      <w:color w:val="000000" w:themeColor="text1"/>
      <w:spacing w:val="-2"/>
      <w:sz w:val="18"/>
      <w:szCs w:val="24"/>
    </w:rPr>
  </w:style>
  <w:style w:type="paragraph" w:customStyle="1" w:styleId="Table-Text">
    <w:name w:val="Table-Text"/>
    <w:basedOn w:val="Normal"/>
    <w:qFormat/>
    <w:rsid w:val="003E79CE"/>
    <w:pPr>
      <w:spacing w:after="20" w:line="220" w:lineRule="exact"/>
      <w:ind w:left="113" w:hanging="113"/>
    </w:pPr>
    <w:rPr>
      <w:rFonts w:ascii="Informa Pro Light" w:hAnsi="Informa Pro Light"/>
      <w:color w:val="000000" w:themeColor="text1"/>
      <w:spacing w:val="-4"/>
      <w:sz w:val="18"/>
      <w:szCs w:val="24"/>
    </w:rPr>
  </w:style>
  <w:style w:type="paragraph" w:customStyle="1" w:styleId="TableTop-2013-Left">
    <w:name w:val="Table Top-2013-Left"/>
    <w:basedOn w:val="Normal"/>
    <w:qFormat/>
    <w:rsid w:val="003E79CE"/>
    <w:pPr>
      <w:spacing w:after="20" w:line="220" w:lineRule="exact"/>
      <w:ind w:right="91"/>
    </w:pPr>
    <w:rPr>
      <w:rFonts w:ascii="Informa Pro Bold" w:hAnsi="Informa Pro Bold"/>
      <w:color w:val="808080" w:themeColor="background1" w:themeShade="80"/>
      <w:spacing w:val="-2"/>
      <w:sz w:val="18"/>
      <w:szCs w:val="24"/>
    </w:rPr>
  </w:style>
  <w:style w:type="paragraph" w:customStyle="1" w:styleId="Table-Figures">
    <w:name w:val="Table-Figures"/>
    <w:basedOn w:val="Normal"/>
    <w:qFormat/>
    <w:rsid w:val="003E79CE"/>
    <w:pPr>
      <w:spacing w:after="20" w:line="220" w:lineRule="exact"/>
      <w:ind w:right="91"/>
      <w:jc w:val="right"/>
    </w:pPr>
    <w:rPr>
      <w:rFonts w:ascii="Informa Pro Light" w:hAnsi="Informa Pro Light"/>
      <w:color w:val="000000" w:themeColor="text1"/>
      <w:spacing w:val="-2"/>
      <w:sz w:val="18"/>
      <w:szCs w:val="24"/>
    </w:rPr>
  </w:style>
  <w:style w:type="character" w:customStyle="1" w:styleId="block1">
    <w:name w:val="block1"/>
    <w:basedOn w:val="DefaultParagraphFont"/>
    <w:rsid w:val="003E79CE"/>
    <w:rPr>
      <w:rFonts w:ascii="Arial" w:hAnsi="Arial" w:cs="Arial" w:hint="default"/>
      <w:vanish w:val="0"/>
      <w:webHidden w:val="0"/>
      <w:sz w:val="20"/>
      <w:szCs w:val="20"/>
      <w:specVanish w:val="0"/>
    </w:rPr>
  </w:style>
  <w:style w:type="character" w:customStyle="1" w:styleId="jmassey">
    <w:name w:val="jmassey"/>
    <w:semiHidden/>
    <w:rsid w:val="00BD640F"/>
  </w:style>
  <w:style w:type="character" w:customStyle="1" w:styleId="emailstyle17">
    <w:name w:val="emailstyle17"/>
    <w:semiHidden/>
    <w:rsid w:val="00BD640F"/>
    <w:rPr>
      <w:rFonts w:ascii="Arial" w:hAnsi="Arial" w:cs="Arial" w:hint="default"/>
      <w:color w:val="auto"/>
      <w:sz w:val="20"/>
      <w:szCs w:val="20"/>
    </w:rPr>
  </w:style>
  <w:style w:type="character" w:customStyle="1" w:styleId="EmailStyle51">
    <w:name w:val="EmailStyle51"/>
    <w:semiHidden/>
    <w:rsid w:val="00BD640F"/>
    <w:rPr>
      <w:rFonts w:ascii="Arial" w:hAnsi="Arial" w:cs="Arial"/>
      <w:color w:val="auto"/>
      <w:sz w:val="20"/>
      <w:szCs w:val="20"/>
    </w:rPr>
  </w:style>
  <w:style w:type="table" w:customStyle="1" w:styleId="TableGrid1">
    <w:name w:val="Table Grid1"/>
    <w:basedOn w:val="TableNormal"/>
    <w:uiPriority w:val="99"/>
    <w:rsid w:val="00BD640F"/>
    <w:pPr>
      <w:overflowPunct w:val="0"/>
      <w:autoSpaceDE w:val="0"/>
      <w:autoSpaceDN w:val="0"/>
      <w:adjustRightInd w:val="0"/>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00CEF"/>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387DAE"/>
    <w:rPr>
      <w:color w:val="808080"/>
    </w:rPr>
  </w:style>
  <w:style w:type="character" w:customStyle="1" w:styleId="FootnoteTextChar1">
    <w:name w:val="Footnote Text Char1"/>
    <w:aliases w:val="Footnote Text Char Char,ARM footnote Text Char,Footnote Text Char2 Char,Footnote Text Char11 Char,Footnote Text Char3 Char,Footnote Text Char4 Char,Footnote Text Char5 Char,Footnote Text Char6 Char,Footnote Text Char12 Char, Ch Char"/>
    <w:basedOn w:val="DefaultParagraphFont"/>
    <w:locked/>
    <w:rsid w:val="0051523B"/>
    <w:rPr>
      <w:lang w:eastAsia="en-US"/>
    </w:rPr>
  </w:style>
  <w:style w:type="character" w:customStyle="1" w:styleId="UnresolvedMention1">
    <w:name w:val="Unresolved Mention1"/>
    <w:basedOn w:val="DefaultParagraphFont"/>
    <w:uiPriority w:val="99"/>
    <w:semiHidden/>
    <w:unhideWhenUsed/>
    <w:rsid w:val="004D12C0"/>
    <w:rPr>
      <w:color w:val="808080"/>
      <w:shd w:val="clear" w:color="auto" w:fill="E6E6E6"/>
    </w:rPr>
  </w:style>
  <w:style w:type="paragraph" w:customStyle="1" w:styleId="io">
    <w:name w:val="io"/>
    <w:basedOn w:val="Normal"/>
    <w:rsid w:val="007A4B24"/>
    <w:pPr>
      <w:autoSpaceDE w:val="0"/>
      <w:autoSpaceDN w:val="0"/>
      <w:jc w:val="both"/>
    </w:pPr>
    <w:rPr>
      <w:rFonts w:ascii="Arial" w:eastAsiaTheme="minorHAnsi" w:hAnsi="Arial" w:cs="Arial"/>
      <w:sz w:val="22"/>
      <w:szCs w:val="22"/>
      <w:lang w:val="en-IE" w:eastAsia="en-IE"/>
    </w:rPr>
  </w:style>
  <w:style w:type="character" w:customStyle="1" w:styleId="it">
    <w:name w:val="it"/>
    <w:basedOn w:val="DefaultParagraphFont"/>
    <w:rsid w:val="007A4B24"/>
    <w:rPr>
      <w:rFonts w:ascii="Arial" w:hAnsi="Arial" w:cs="Arial" w:hint="default"/>
      <w:b/>
      <w:bCs/>
      <w:sz w:val="23"/>
      <w:szCs w:val="23"/>
    </w:rPr>
  </w:style>
  <w:style w:type="character" w:customStyle="1" w:styleId="iu">
    <w:name w:val="iu"/>
    <w:basedOn w:val="DefaultParagraphFont"/>
    <w:rsid w:val="007A4B24"/>
    <w:rPr>
      <w:rFonts w:ascii="Arial" w:hAnsi="Arial" w:cs="Arial" w:hint="default"/>
      <w:sz w:val="23"/>
      <w:szCs w:val="23"/>
    </w:rPr>
  </w:style>
  <w:style w:type="character" w:customStyle="1" w:styleId="ix">
    <w:name w:val="ix"/>
    <w:basedOn w:val="DefaultParagraphFont"/>
    <w:rsid w:val="007A4B24"/>
    <w:rPr>
      <w:rFonts w:ascii="Arial" w:hAnsi="Arial" w:cs="Arial" w:hint="default"/>
      <w:color w:val="000000"/>
      <w:sz w:val="23"/>
      <w:szCs w:val="23"/>
    </w:rPr>
  </w:style>
  <w:style w:type="paragraph" w:customStyle="1" w:styleId="msonormal0">
    <w:name w:val="msonormal"/>
    <w:basedOn w:val="Normal"/>
    <w:rsid w:val="00942D68"/>
    <w:pPr>
      <w:spacing w:before="100" w:beforeAutospacing="1" w:after="100" w:afterAutospacing="1"/>
    </w:pPr>
    <w:rPr>
      <w:rFonts w:ascii="Times New Roman" w:hAnsi="Times New Roman"/>
      <w:szCs w:val="24"/>
    </w:rPr>
  </w:style>
  <w:style w:type="character" w:customStyle="1" w:styleId="UnresolvedMention2">
    <w:name w:val="Unresolved Mention2"/>
    <w:basedOn w:val="DefaultParagraphFont"/>
    <w:uiPriority w:val="99"/>
    <w:semiHidden/>
    <w:unhideWhenUsed/>
    <w:rsid w:val="002549A6"/>
    <w:rPr>
      <w:color w:val="605E5C"/>
      <w:shd w:val="clear" w:color="auto" w:fill="E1DFDD"/>
    </w:rPr>
  </w:style>
  <w:style w:type="paragraph" w:customStyle="1" w:styleId="dp">
    <w:name w:val="dp"/>
    <w:basedOn w:val="Normal"/>
    <w:rsid w:val="00323BB2"/>
    <w:pPr>
      <w:spacing w:after="120"/>
      <w:jc w:val="both"/>
    </w:pPr>
    <w:rPr>
      <w:rFonts w:ascii="Times New Roman" w:hAnsi="Times New Roman"/>
      <w:sz w:val="20"/>
      <w:lang w:val="en-IE" w:eastAsia="en-IE"/>
    </w:rPr>
  </w:style>
  <w:style w:type="character" w:customStyle="1" w:styleId="cr">
    <w:name w:val="cr"/>
    <w:basedOn w:val="DefaultParagraphFont"/>
    <w:rsid w:val="00323BB2"/>
    <w:rPr>
      <w:color w:val="231F20"/>
    </w:rPr>
  </w:style>
  <w:style w:type="character" w:customStyle="1" w:styleId="cq">
    <w:name w:val="cq"/>
    <w:basedOn w:val="DefaultParagraphFont"/>
    <w:rsid w:val="00323BB2"/>
    <w:rPr>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63">
      <w:bodyDiv w:val="1"/>
      <w:marLeft w:val="0"/>
      <w:marRight w:val="0"/>
      <w:marTop w:val="0"/>
      <w:marBottom w:val="0"/>
      <w:divBdr>
        <w:top w:val="none" w:sz="0" w:space="0" w:color="auto"/>
        <w:left w:val="none" w:sz="0" w:space="0" w:color="auto"/>
        <w:bottom w:val="none" w:sz="0" w:space="0" w:color="auto"/>
        <w:right w:val="none" w:sz="0" w:space="0" w:color="auto"/>
      </w:divBdr>
    </w:div>
    <w:div w:id="5331645">
      <w:bodyDiv w:val="1"/>
      <w:marLeft w:val="0"/>
      <w:marRight w:val="0"/>
      <w:marTop w:val="0"/>
      <w:marBottom w:val="0"/>
      <w:divBdr>
        <w:top w:val="none" w:sz="0" w:space="0" w:color="auto"/>
        <w:left w:val="none" w:sz="0" w:space="0" w:color="auto"/>
        <w:bottom w:val="none" w:sz="0" w:space="0" w:color="auto"/>
        <w:right w:val="none" w:sz="0" w:space="0" w:color="auto"/>
      </w:divBdr>
    </w:div>
    <w:div w:id="22099730">
      <w:bodyDiv w:val="1"/>
      <w:marLeft w:val="0"/>
      <w:marRight w:val="0"/>
      <w:marTop w:val="0"/>
      <w:marBottom w:val="0"/>
      <w:divBdr>
        <w:top w:val="none" w:sz="0" w:space="0" w:color="auto"/>
        <w:left w:val="none" w:sz="0" w:space="0" w:color="auto"/>
        <w:bottom w:val="none" w:sz="0" w:space="0" w:color="auto"/>
        <w:right w:val="none" w:sz="0" w:space="0" w:color="auto"/>
      </w:divBdr>
    </w:div>
    <w:div w:id="30889647">
      <w:bodyDiv w:val="1"/>
      <w:marLeft w:val="0"/>
      <w:marRight w:val="0"/>
      <w:marTop w:val="0"/>
      <w:marBottom w:val="0"/>
      <w:divBdr>
        <w:top w:val="none" w:sz="0" w:space="0" w:color="auto"/>
        <w:left w:val="none" w:sz="0" w:space="0" w:color="auto"/>
        <w:bottom w:val="none" w:sz="0" w:space="0" w:color="auto"/>
        <w:right w:val="none" w:sz="0" w:space="0" w:color="auto"/>
      </w:divBdr>
    </w:div>
    <w:div w:id="63799228">
      <w:bodyDiv w:val="1"/>
      <w:marLeft w:val="0"/>
      <w:marRight w:val="0"/>
      <w:marTop w:val="0"/>
      <w:marBottom w:val="0"/>
      <w:divBdr>
        <w:top w:val="none" w:sz="0" w:space="0" w:color="auto"/>
        <w:left w:val="none" w:sz="0" w:space="0" w:color="auto"/>
        <w:bottom w:val="none" w:sz="0" w:space="0" w:color="auto"/>
        <w:right w:val="none" w:sz="0" w:space="0" w:color="auto"/>
      </w:divBdr>
    </w:div>
    <w:div w:id="65954814">
      <w:bodyDiv w:val="1"/>
      <w:marLeft w:val="0"/>
      <w:marRight w:val="0"/>
      <w:marTop w:val="0"/>
      <w:marBottom w:val="0"/>
      <w:divBdr>
        <w:top w:val="none" w:sz="0" w:space="0" w:color="auto"/>
        <w:left w:val="none" w:sz="0" w:space="0" w:color="auto"/>
        <w:bottom w:val="none" w:sz="0" w:space="0" w:color="auto"/>
        <w:right w:val="none" w:sz="0" w:space="0" w:color="auto"/>
      </w:divBdr>
    </w:div>
    <w:div w:id="88888871">
      <w:bodyDiv w:val="1"/>
      <w:marLeft w:val="0"/>
      <w:marRight w:val="0"/>
      <w:marTop w:val="0"/>
      <w:marBottom w:val="0"/>
      <w:divBdr>
        <w:top w:val="none" w:sz="0" w:space="0" w:color="auto"/>
        <w:left w:val="none" w:sz="0" w:space="0" w:color="auto"/>
        <w:bottom w:val="none" w:sz="0" w:space="0" w:color="auto"/>
        <w:right w:val="none" w:sz="0" w:space="0" w:color="auto"/>
      </w:divBdr>
    </w:div>
    <w:div w:id="98187487">
      <w:bodyDiv w:val="1"/>
      <w:marLeft w:val="0"/>
      <w:marRight w:val="0"/>
      <w:marTop w:val="0"/>
      <w:marBottom w:val="0"/>
      <w:divBdr>
        <w:top w:val="none" w:sz="0" w:space="0" w:color="auto"/>
        <w:left w:val="none" w:sz="0" w:space="0" w:color="auto"/>
        <w:bottom w:val="none" w:sz="0" w:space="0" w:color="auto"/>
        <w:right w:val="none" w:sz="0" w:space="0" w:color="auto"/>
      </w:divBdr>
    </w:div>
    <w:div w:id="100224647">
      <w:bodyDiv w:val="1"/>
      <w:marLeft w:val="0"/>
      <w:marRight w:val="0"/>
      <w:marTop w:val="0"/>
      <w:marBottom w:val="0"/>
      <w:divBdr>
        <w:top w:val="none" w:sz="0" w:space="0" w:color="auto"/>
        <w:left w:val="none" w:sz="0" w:space="0" w:color="auto"/>
        <w:bottom w:val="none" w:sz="0" w:space="0" w:color="auto"/>
        <w:right w:val="none" w:sz="0" w:space="0" w:color="auto"/>
      </w:divBdr>
    </w:div>
    <w:div w:id="109934754">
      <w:bodyDiv w:val="1"/>
      <w:marLeft w:val="0"/>
      <w:marRight w:val="0"/>
      <w:marTop w:val="0"/>
      <w:marBottom w:val="0"/>
      <w:divBdr>
        <w:top w:val="none" w:sz="0" w:space="0" w:color="auto"/>
        <w:left w:val="none" w:sz="0" w:space="0" w:color="auto"/>
        <w:bottom w:val="none" w:sz="0" w:space="0" w:color="auto"/>
        <w:right w:val="none" w:sz="0" w:space="0" w:color="auto"/>
      </w:divBdr>
    </w:div>
    <w:div w:id="112989845">
      <w:bodyDiv w:val="1"/>
      <w:marLeft w:val="0"/>
      <w:marRight w:val="0"/>
      <w:marTop w:val="0"/>
      <w:marBottom w:val="0"/>
      <w:divBdr>
        <w:top w:val="none" w:sz="0" w:space="0" w:color="auto"/>
        <w:left w:val="none" w:sz="0" w:space="0" w:color="auto"/>
        <w:bottom w:val="none" w:sz="0" w:space="0" w:color="auto"/>
        <w:right w:val="none" w:sz="0" w:space="0" w:color="auto"/>
      </w:divBdr>
    </w:div>
    <w:div w:id="126244674">
      <w:bodyDiv w:val="1"/>
      <w:marLeft w:val="0"/>
      <w:marRight w:val="0"/>
      <w:marTop w:val="0"/>
      <w:marBottom w:val="0"/>
      <w:divBdr>
        <w:top w:val="none" w:sz="0" w:space="0" w:color="auto"/>
        <w:left w:val="none" w:sz="0" w:space="0" w:color="auto"/>
        <w:bottom w:val="none" w:sz="0" w:space="0" w:color="auto"/>
        <w:right w:val="none" w:sz="0" w:space="0" w:color="auto"/>
      </w:divBdr>
    </w:div>
    <w:div w:id="134180231">
      <w:bodyDiv w:val="1"/>
      <w:marLeft w:val="0"/>
      <w:marRight w:val="0"/>
      <w:marTop w:val="0"/>
      <w:marBottom w:val="0"/>
      <w:divBdr>
        <w:top w:val="none" w:sz="0" w:space="0" w:color="auto"/>
        <w:left w:val="none" w:sz="0" w:space="0" w:color="auto"/>
        <w:bottom w:val="none" w:sz="0" w:space="0" w:color="auto"/>
        <w:right w:val="none" w:sz="0" w:space="0" w:color="auto"/>
      </w:divBdr>
    </w:div>
    <w:div w:id="180555296">
      <w:bodyDiv w:val="1"/>
      <w:marLeft w:val="0"/>
      <w:marRight w:val="0"/>
      <w:marTop w:val="0"/>
      <w:marBottom w:val="0"/>
      <w:divBdr>
        <w:top w:val="none" w:sz="0" w:space="0" w:color="auto"/>
        <w:left w:val="none" w:sz="0" w:space="0" w:color="auto"/>
        <w:bottom w:val="none" w:sz="0" w:space="0" w:color="auto"/>
        <w:right w:val="none" w:sz="0" w:space="0" w:color="auto"/>
      </w:divBdr>
    </w:div>
    <w:div w:id="185365161">
      <w:bodyDiv w:val="1"/>
      <w:marLeft w:val="0"/>
      <w:marRight w:val="0"/>
      <w:marTop w:val="0"/>
      <w:marBottom w:val="0"/>
      <w:divBdr>
        <w:top w:val="none" w:sz="0" w:space="0" w:color="auto"/>
        <w:left w:val="none" w:sz="0" w:space="0" w:color="auto"/>
        <w:bottom w:val="none" w:sz="0" w:space="0" w:color="auto"/>
        <w:right w:val="none" w:sz="0" w:space="0" w:color="auto"/>
      </w:divBdr>
    </w:div>
    <w:div w:id="186991998">
      <w:bodyDiv w:val="1"/>
      <w:marLeft w:val="0"/>
      <w:marRight w:val="0"/>
      <w:marTop w:val="0"/>
      <w:marBottom w:val="0"/>
      <w:divBdr>
        <w:top w:val="none" w:sz="0" w:space="0" w:color="auto"/>
        <w:left w:val="none" w:sz="0" w:space="0" w:color="auto"/>
        <w:bottom w:val="none" w:sz="0" w:space="0" w:color="auto"/>
        <w:right w:val="none" w:sz="0" w:space="0" w:color="auto"/>
      </w:divBdr>
    </w:div>
    <w:div w:id="198591478">
      <w:bodyDiv w:val="1"/>
      <w:marLeft w:val="0"/>
      <w:marRight w:val="0"/>
      <w:marTop w:val="0"/>
      <w:marBottom w:val="0"/>
      <w:divBdr>
        <w:top w:val="none" w:sz="0" w:space="0" w:color="auto"/>
        <w:left w:val="none" w:sz="0" w:space="0" w:color="auto"/>
        <w:bottom w:val="none" w:sz="0" w:space="0" w:color="auto"/>
        <w:right w:val="none" w:sz="0" w:space="0" w:color="auto"/>
      </w:divBdr>
    </w:div>
    <w:div w:id="200017543">
      <w:bodyDiv w:val="1"/>
      <w:marLeft w:val="0"/>
      <w:marRight w:val="0"/>
      <w:marTop w:val="0"/>
      <w:marBottom w:val="0"/>
      <w:divBdr>
        <w:top w:val="none" w:sz="0" w:space="0" w:color="auto"/>
        <w:left w:val="none" w:sz="0" w:space="0" w:color="auto"/>
        <w:bottom w:val="none" w:sz="0" w:space="0" w:color="auto"/>
        <w:right w:val="none" w:sz="0" w:space="0" w:color="auto"/>
      </w:divBdr>
    </w:div>
    <w:div w:id="212621330">
      <w:bodyDiv w:val="1"/>
      <w:marLeft w:val="0"/>
      <w:marRight w:val="0"/>
      <w:marTop w:val="0"/>
      <w:marBottom w:val="0"/>
      <w:divBdr>
        <w:top w:val="none" w:sz="0" w:space="0" w:color="auto"/>
        <w:left w:val="none" w:sz="0" w:space="0" w:color="auto"/>
        <w:bottom w:val="none" w:sz="0" w:space="0" w:color="auto"/>
        <w:right w:val="none" w:sz="0" w:space="0" w:color="auto"/>
      </w:divBdr>
      <w:divsChild>
        <w:div w:id="969017872">
          <w:marLeft w:val="274"/>
          <w:marRight w:val="0"/>
          <w:marTop w:val="0"/>
          <w:marBottom w:val="240"/>
          <w:divBdr>
            <w:top w:val="none" w:sz="0" w:space="0" w:color="auto"/>
            <w:left w:val="none" w:sz="0" w:space="0" w:color="auto"/>
            <w:bottom w:val="none" w:sz="0" w:space="0" w:color="auto"/>
            <w:right w:val="none" w:sz="0" w:space="0" w:color="auto"/>
          </w:divBdr>
        </w:div>
        <w:div w:id="1791775370">
          <w:marLeft w:val="274"/>
          <w:marRight w:val="0"/>
          <w:marTop w:val="0"/>
          <w:marBottom w:val="240"/>
          <w:divBdr>
            <w:top w:val="none" w:sz="0" w:space="0" w:color="auto"/>
            <w:left w:val="none" w:sz="0" w:space="0" w:color="auto"/>
            <w:bottom w:val="none" w:sz="0" w:space="0" w:color="auto"/>
            <w:right w:val="none" w:sz="0" w:space="0" w:color="auto"/>
          </w:divBdr>
        </w:div>
      </w:divsChild>
    </w:div>
    <w:div w:id="213780027">
      <w:bodyDiv w:val="1"/>
      <w:marLeft w:val="0"/>
      <w:marRight w:val="0"/>
      <w:marTop w:val="0"/>
      <w:marBottom w:val="0"/>
      <w:divBdr>
        <w:top w:val="none" w:sz="0" w:space="0" w:color="auto"/>
        <w:left w:val="none" w:sz="0" w:space="0" w:color="auto"/>
        <w:bottom w:val="none" w:sz="0" w:space="0" w:color="auto"/>
        <w:right w:val="none" w:sz="0" w:space="0" w:color="auto"/>
      </w:divBdr>
    </w:div>
    <w:div w:id="224724410">
      <w:bodyDiv w:val="1"/>
      <w:marLeft w:val="0"/>
      <w:marRight w:val="0"/>
      <w:marTop w:val="0"/>
      <w:marBottom w:val="0"/>
      <w:divBdr>
        <w:top w:val="none" w:sz="0" w:space="0" w:color="auto"/>
        <w:left w:val="none" w:sz="0" w:space="0" w:color="auto"/>
        <w:bottom w:val="none" w:sz="0" w:space="0" w:color="auto"/>
        <w:right w:val="none" w:sz="0" w:space="0" w:color="auto"/>
      </w:divBdr>
    </w:div>
    <w:div w:id="225335616">
      <w:bodyDiv w:val="1"/>
      <w:marLeft w:val="0"/>
      <w:marRight w:val="0"/>
      <w:marTop w:val="0"/>
      <w:marBottom w:val="0"/>
      <w:divBdr>
        <w:top w:val="none" w:sz="0" w:space="0" w:color="auto"/>
        <w:left w:val="none" w:sz="0" w:space="0" w:color="auto"/>
        <w:bottom w:val="none" w:sz="0" w:space="0" w:color="auto"/>
        <w:right w:val="none" w:sz="0" w:space="0" w:color="auto"/>
      </w:divBdr>
    </w:div>
    <w:div w:id="226500078">
      <w:bodyDiv w:val="1"/>
      <w:marLeft w:val="0"/>
      <w:marRight w:val="0"/>
      <w:marTop w:val="0"/>
      <w:marBottom w:val="0"/>
      <w:divBdr>
        <w:top w:val="none" w:sz="0" w:space="0" w:color="auto"/>
        <w:left w:val="none" w:sz="0" w:space="0" w:color="auto"/>
        <w:bottom w:val="none" w:sz="0" w:space="0" w:color="auto"/>
        <w:right w:val="none" w:sz="0" w:space="0" w:color="auto"/>
      </w:divBdr>
    </w:div>
    <w:div w:id="254242535">
      <w:bodyDiv w:val="1"/>
      <w:marLeft w:val="0"/>
      <w:marRight w:val="0"/>
      <w:marTop w:val="0"/>
      <w:marBottom w:val="0"/>
      <w:divBdr>
        <w:top w:val="none" w:sz="0" w:space="0" w:color="auto"/>
        <w:left w:val="none" w:sz="0" w:space="0" w:color="auto"/>
        <w:bottom w:val="none" w:sz="0" w:space="0" w:color="auto"/>
        <w:right w:val="none" w:sz="0" w:space="0" w:color="auto"/>
      </w:divBdr>
    </w:div>
    <w:div w:id="262568424">
      <w:bodyDiv w:val="1"/>
      <w:marLeft w:val="0"/>
      <w:marRight w:val="0"/>
      <w:marTop w:val="0"/>
      <w:marBottom w:val="0"/>
      <w:divBdr>
        <w:top w:val="none" w:sz="0" w:space="0" w:color="auto"/>
        <w:left w:val="none" w:sz="0" w:space="0" w:color="auto"/>
        <w:bottom w:val="none" w:sz="0" w:space="0" w:color="auto"/>
        <w:right w:val="none" w:sz="0" w:space="0" w:color="auto"/>
      </w:divBdr>
    </w:div>
    <w:div w:id="283661360">
      <w:bodyDiv w:val="1"/>
      <w:marLeft w:val="0"/>
      <w:marRight w:val="0"/>
      <w:marTop w:val="0"/>
      <w:marBottom w:val="0"/>
      <w:divBdr>
        <w:top w:val="none" w:sz="0" w:space="0" w:color="auto"/>
        <w:left w:val="none" w:sz="0" w:space="0" w:color="auto"/>
        <w:bottom w:val="none" w:sz="0" w:space="0" w:color="auto"/>
        <w:right w:val="none" w:sz="0" w:space="0" w:color="auto"/>
      </w:divBdr>
    </w:div>
    <w:div w:id="292910986">
      <w:bodyDiv w:val="1"/>
      <w:marLeft w:val="0"/>
      <w:marRight w:val="0"/>
      <w:marTop w:val="0"/>
      <w:marBottom w:val="0"/>
      <w:divBdr>
        <w:top w:val="none" w:sz="0" w:space="0" w:color="auto"/>
        <w:left w:val="none" w:sz="0" w:space="0" w:color="auto"/>
        <w:bottom w:val="none" w:sz="0" w:space="0" w:color="auto"/>
        <w:right w:val="none" w:sz="0" w:space="0" w:color="auto"/>
      </w:divBdr>
    </w:div>
    <w:div w:id="319844827">
      <w:bodyDiv w:val="1"/>
      <w:marLeft w:val="0"/>
      <w:marRight w:val="0"/>
      <w:marTop w:val="0"/>
      <w:marBottom w:val="0"/>
      <w:divBdr>
        <w:top w:val="none" w:sz="0" w:space="0" w:color="auto"/>
        <w:left w:val="none" w:sz="0" w:space="0" w:color="auto"/>
        <w:bottom w:val="none" w:sz="0" w:space="0" w:color="auto"/>
        <w:right w:val="none" w:sz="0" w:space="0" w:color="auto"/>
      </w:divBdr>
    </w:div>
    <w:div w:id="320694417">
      <w:bodyDiv w:val="1"/>
      <w:marLeft w:val="0"/>
      <w:marRight w:val="0"/>
      <w:marTop w:val="0"/>
      <w:marBottom w:val="0"/>
      <w:divBdr>
        <w:top w:val="none" w:sz="0" w:space="0" w:color="auto"/>
        <w:left w:val="none" w:sz="0" w:space="0" w:color="auto"/>
        <w:bottom w:val="none" w:sz="0" w:space="0" w:color="auto"/>
        <w:right w:val="none" w:sz="0" w:space="0" w:color="auto"/>
      </w:divBdr>
    </w:div>
    <w:div w:id="335806566">
      <w:bodyDiv w:val="1"/>
      <w:marLeft w:val="0"/>
      <w:marRight w:val="0"/>
      <w:marTop w:val="0"/>
      <w:marBottom w:val="0"/>
      <w:divBdr>
        <w:top w:val="none" w:sz="0" w:space="0" w:color="auto"/>
        <w:left w:val="none" w:sz="0" w:space="0" w:color="auto"/>
        <w:bottom w:val="none" w:sz="0" w:space="0" w:color="auto"/>
        <w:right w:val="none" w:sz="0" w:space="0" w:color="auto"/>
      </w:divBdr>
    </w:div>
    <w:div w:id="337661118">
      <w:bodyDiv w:val="1"/>
      <w:marLeft w:val="0"/>
      <w:marRight w:val="0"/>
      <w:marTop w:val="0"/>
      <w:marBottom w:val="0"/>
      <w:divBdr>
        <w:top w:val="none" w:sz="0" w:space="0" w:color="auto"/>
        <w:left w:val="none" w:sz="0" w:space="0" w:color="auto"/>
        <w:bottom w:val="none" w:sz="0" w:space="0" w:color="auto"/>
        <w:right w:val="none" w:sz="0" w:space="0" w:color="auto"/>
      </w:divBdr>
    </w:div>
    <w:div w:id="366299004">
      <w:bodyDiv w:val="1"/>
      <w:marLeft w:val="0"/>
      <w:marRight w:val="0"/>
      <w:marTop w:val="0"/>
      <w:marBottom w:val="0"/>
      <w:divBdr>
        <w:top w:val="none" w:sz="0" w:space="0" w:color="auto"/>
        <w:left w:val="none" w:sz="0" w:space="0" w:color="auto"/>
        <w:bottom w:val="none" w:sz="0" w:space="0" w:color="auto"/>
        <w:right w:val="none" w:sz="0" w:space="0" w:color="auto"/>
      </w:divBdr>
    </w:div>
    <w:div w:id="388923062">
      <w:bodyDiv w:val="1"/>
      <w:marLeft w:val="0"/>
      <w:marRight w:val="0"/>
      <w:marTop w:val="0"/>
      <w:marBottom w:val="0"/>
      <w:divBdr>
        <w:top w:val="none" w:sz="0" w:space="0" w:color="auto"/>
        <w:left w:val="none" w:sz="0" w:space="0" w:color="auto"/>
        <w:bottom w:val="none" w:sz="0" w:space="0" w:color="auto"/>
        <w:right w:val="none" w:sz="0" w:space="0" w:color="auto"/>
      </w:divBdr>
    </w:div>
    <w:div w:id="408112821">
      <w:bodyDiv w:val="1"/>
      <w:marLeft w:val="0"/>
      <w:marRight w:val="0"/>
      <w:marTop w:val="0"/>
      <w:marBottom w:val="0"/>
      <w:divBdr>
        <w:top w:val="none" w:sz="0" w:space="0" w:color="auto"/>
        <w:left w:val="none" w:sz="0" w:space="0" w:color="auto"/>
        <w:bottom w:val="none" w:sz="0" w:space="0" w:color="auto"/>
        <w:right w:val="none" w:sz="0" w:space="0" w:color="auto"/>
      </w:divBdr>
    </w:div>
    <w:div w:id="410926185">
      <w:bodyDiv w:val="1"/>
      <w:marLeft w:val="0"/>
      <w:marRight w:val="0"/>
      <w:marTop w:val="0"/>
      <w:marBottom w:val="0"/>
      <w:divBdr>
        <w:top w:val="none" w:sz="0" w:space="0" w:color="auto"/>
        <w:left w:val="none" w:sz="0" w:space="0" w:color="auto"/>
        <w:bottom w:val="none" w:sz="0" w:space="0" w:color="auto"/>
        <w:right w:val="none" w:sz="0" w:space="0" w:color="auto"/>
      </w:divBdr>
    </w:div>
    <w:div w:id="421339415">
      <w:bodyDiv w:val="1"/>
      <w:marLeft w:val="0"/>
      <w:marRight w:val="0"/>
      <w:marTop w:val="0"/>
      <w:marBottom w:val="0"/>
      <w:divBdr>
        <w:top w:val="none" w:sz="0" w:space="0" w:color="auto"/>
        <w:left w:val="none" w:sz="0" w:space="0" w:color="auto"/>
        <w:bottom w:val="none" w:sz="0" w:space="0" w:color="auto"/>
        <w:right w:val="none" w:sz="0" w:space="0" w:color="auto"/>
      </w:divBdr>
    </w:div>
    <w:div w:id="422991658">
      <w:bodyDiv w:val="1"/>
      <w:marLeft w:val="0"/>
      <w:marRight w:val="0"/>
      <w:marTop w:val="0"/>
      <w:marBottom w:val="0"/>
      <w:divBdr>
        <w:top w:val="none" w:sz="0" w:space="0" w:color="auto"/>
        <w:left w:val="none" w:sz="0" w:space="0" w:color="auto"/>
        <w:bottom w:val="none" w:sz="0" w:space="0" w:color="auto"/>
        <w:right w:val="none" w:sz="0" w:space="0" w:color="auto"/>
      </w:divBdr>
    </w:div>
    <w:div w:id="423573342">
      <w:bodyDiv w:val="1"/>
      <w:marLeft w:val="0"/>
      <w:marRight w:val="0"/>
      <w:marTop w:val="0"/>
      <w:marBottom w:val="0"/>
      <w:divBdr>
        <w:top w:val="none" w:sz="0" w:space="0" w:color="auto"/>
        <w:left w:val="none" w:sz="0" w:space="0" w:color="auto"/>
        <w:bottom w:val="none" w:sz="0" w:space="0" w:color="auto"/>
        <w:right w:val="none" w:sz="0" w:space="0" w:color="auto"/>
      </w:divBdr>
    </w:div>
    <w:div w:id="433939494">
      <w:bodyDiv w:val="1"/>
      <w:marLeft w:val="0"/>
      <w:marRight w:val="0"/>
      <w:marTop w:val="0"/>
      <w:marBottom w:val="0"/>
      <w:divBdr>
        <w:top w:val="none" w:sz="0" w:space="0" w:color="auto"/>
        <w:left w:val="none" w:sz="0" w:space="0" w:color="auto"/>
        <w:bottom w:val="none" w:sz="0" w:space="0" w:color="auto"/>
        <w:right w:val="none" w:sz="0" w:space="0" w:color="auto"/>
      </w:divBdr>
    </w:div>
    <w:div w:id="443963853">
      <w:bodyDiv w:val="1"/>
      <w:marLeft w:val="0"/>
      <w:marRight w:val="0"/>
      <w:marTop w:val="0"/>
      <w:marBottom w:val="0"/>
      <w:divBdr>
        <w:top w:val="none" w:sz="0" w:space="0" w:color="auto"/>
        <w:left w:val="none" w:sz="0" w:space="0" w:color="auto"/>
        <w:bottom w:val="none" w:sz="0" w:space="0" w:color="auto"/>
        <w:right w:val="none" w:sz="0" w:space="0" w:color="auto"/>
      </w:divBdr>
    </w:div>
    <w:div w:id="446044435">
      <w:bodyDiv w:val="1"/>
      <w:marLeft w:val="0"/>
      <w:marRight w:val="0"/>
      <w:marTop w:val="0"/>
      <w:marBottom w:val="0"/>
      <w:divBdr>
        <w:top w:val="none" w:sz="0" w:space="0" w:color="auto"/>
        <w:left w:val="none" w:sz="0" w:space="0" w:color="auto"/>
        <w:bottom w:val="none" w:sz="0" w:space="0" w:color="auto"/>
        <w:right w:val="none" w:sz="0" w:space="0" w:color="auto"/>
      </w:divBdr>
    </w:div>
    <w:div w:id="458382102">
      <w:bodyDiv w:val="1"/>
      <w:marLeft w:val="0"/>
      <w:marRight w:val="0"/>
      <w:marTop w:val="0"/>
      <w:marBottom w:val="0"/>
      <w:divBdr>
        <w:top w:val="none" w:sz="0" w:space="0" w:color="auto"/>
        <w:left w:val="none" w:sz="0" w:space="0" w:color="auto"/>
        <w:bottom w:val="none" w:sz="0" w:space="0" w:color="auto"/>
        <w:right w:val="none" w:sz="0" w:space="0" w:color="auto"/>
      </w:divBdr>
    </w:div>
    <w:div w:id="462235154">
      <w:bodyDiv w:val="1"/>
      <w:marLeft w:val="0"/>
      <w:marRight w:val="0"/>
      <w:marTop w:val="0"/>
      <w:marBottom w:val="0"/>
      <w:divBdr>
        <w:top w:val="none" w:sz="0" w:space="0" w:color="auto"/>
        <w:left w:val="none" w:sz="0" w:space="0" w:color="auto"/>
        <w:bottom w:val="none" w:sz="0" w:space="0" w:color="auto"/>
        <w:right w:val="none" w:sz="0" w:space="0" w:color="auto"/>
      </w:divBdr>
    </w:div>
    <w:div w:id="480578498">
      <w:bodyDiv w:val="1"/>
      <w:marLeft w:val="0"/>
      <w:marRight w:val="0"/>
      <w:marTop w:val="0"/>
      <w:marBottom w:val="0"/>
      <w:divBdr>
        <w:top w:val="none" w:sz="0" w:space="0" w:color="auto"/>
        <w:left w:val="none" w:sz="0" w:space="0" w:color="auto"/>
        <w:bottom w:val="none" w:sz="0" w:space="0" w:color="auto"/>
        <w:right w:val="none" w:sz="0" w:space="0" w:color="auto"/>
      </w:divBdr>
    </w:div>
    <w:div w:id="482087013">
      <w:bodyDiv w:val="1"/>
      <w:marLeft w:val="0"/>
      <w:marRight w:val="0"/>
      <w:marTop w:val="0"/>
      <w:marBottom w:val="0"/>
      <w:divBdr>
        <w:top w:val="none" w:sz="0" w:space="0" w:color="auto"/>
        <w:left w:val="none" w:sz="0" w:space="0" w:color="auto"/>
        <w:bottom w:val="none" w:sz="0" w:space="0" w:color="auto"/>
        <w:right w:val="none" w:sz="0" w:space="0" w:color="auto"/>
      </w:divBdr>
    </w:div>
    <w:div w:id="486871358">
      <w:bodyDiv w:val="1"/>
      <w:marLeft w:val="0"/>
      <w:marRight w:val="0"/>
      <w:marTop w:val="0"/>
      <w:marBottom w:val="0"/>
      <w:divBdr>
        <w:top w:val="none" w:sz="0" w:space="0" w:color="auto"/>
        <w:left w:val="none" w:sz="0" w:space="0" w:color="auto"/>
        <w:bottom w:val="none" w:sz="0" w:space="0" w:color="auto"/>
        <w:right w:val="none" w:sz="0" w:space="0" w:color="auto"/>
      </w:divBdr>
    </w:div>
    <w:div w:id="528959637">
      <w:bodyDiv w:val="1"/>
      <w:marLeft w:val="0"/>
      <w:marRight w:val="0"/>
      <w:marTop w:val="0"/>
      <w:marBottom w:val="0"/>
      <w:divBdr>
        <w:top w:val="none" w:sz="0" w:space="0" w:color="auto"/>
        <w:left w:val="none" w:sz="0" w:space="0" w:color="auto"/>
        <w:bottom w:val="none" w:sz="0" w:space="0" w:color="auto"/>
        <w:right w:val="none" w:sz="0" w:space="0" w:color="auto"/>
      </w:divBdr>
    </w:div>
    <w:div w:id="530731778">
      <w:bodyDiv w:val="1"/>
      <w:marLeft w:val="0"/>
      <w:marRight w:val="0"/>
      <w:marTop w:val="0"/>
      <w:marBottom w:val="0"/>
      <w:divBdr>
        <w:top w:val="none" w:sz="0" w:space="0" w:color="auto"/>
        <w:left w:val="none" w:sz="0" w:space="0" w:color="auto"/>
        <w:bottom w:val="none" w:sz="0" w:space="0" w:color="auto"/>
        <w:right w:val="none" w:sz="0" w:space="0" w:color="auto"/>
      </w:divBdr>
    </w:div>
    <w:div w:id="577908662">
      <w:bodyDiv w:val="1"/>
      <w:marLeft w:val="0"/>
      <w:marRight w:val="0"/>
      <w:marTop w:val="0"/>
      <w:marBottom w:val="0"/>
      <w:divBdr>
        <w:top w:val="none" w:sz="0" w:space="0" w:color="auto"/>
        <w:left w:val="none" w:sz="0" w:space="0" w:color="auto"/>
        <w:bottom w:val="none" w:sz="0" w:space="0" w:color="auto"/>
        <w:right w:val="none" w:sz="0" w:space="0" w:color="auto"/>
      </w:divBdr>
    </w:div>
    <w:div w:id="604073609">
      <w:bodyDiv w:val="1"/>
      <w:marLeft w:val="0"/>
      <w:marRight w:val="0"/>
      <w:marTop w:val="0"/>
      <w:marBottom w:val="0"/>
      <w:divBdr>
        <w:top w:val="none" w:sz="0" w:space="0" w:color="auto"/>
        <w:left w:val="none" w:sz="0" w:space="0" w:color="auto"/>
        <w:bottom w:val="none" w:sz="0" w:space="0" w:color="auto"/>
        <w:right w:val="none" w:sz="0" w:space="0" w:color="auto"/>
      </w:divBdr>
    </w:div>
    <w:div w:id="612519464">
      <w:bodyDiv w:val="1"/>
      <w:marLeft w:val="0"/>
      <w:marRight w:val="0"/>
      <w:marTop w:val="0"/>
      <w:marBottom w:val="0"/>
      <w:divBdr>
        <w:top w:val="none" w:sz="0" w:space="0" w:color="auto"/>
        <w:left w:val="none" w:sz="0" w:space="0" w:color="auto"/>
        <w:bottom w:val="none" w:sz="0" w:space="0" w:color="auto"/>
        <w:right w:val="none" w:sz="0" w:space="0" w:color="auto"/>
      </w:divBdr>
    </w:div>
    <w:div w:id="614483839">
      <w:bodyDiv w:val="1"/>
      <w:marLeft w:val="0"/>
      <w:marRight w:val="0"/>
      <w:marTop w:val="0"/>
      <w:marBottom w:val="0"/>
      <w:divBdr>
        <w:top w:val="none" w:sz="0" w:space="0" w:color="auto"/>
        <w:left w:val="none" w:sz="0" w:space="0" w:color="auto"/>
        <w:bottom w:val="none" w:sz="0" w:space="0" w:color="auto"/>
        <w:right w:val="none" w:sz="0" w:space="0" w:color="auto"/>
      </w:divBdr>
    </w:div>
    <w:div w:id="619871817">
      <w:bodyDiv w:val="1"/>
      <w:marLeft w:val="0"/>
      <w:marRight w:val="0"/>
      <w:marTop w:val="0"/>
      <w:marBottom w:val="0"/>
      <w:divBdr>
        <w:top w:val="none" w:sz="0" w:space="0" w:color="auto"/>
        <w:left w:val="none" w:sz="0" w:space="0" w:color="auto"/>
        <w:bottom w:val="none" w:sz="0" w:space="0" w:color="auto"/>
        <w:right w:val="none" w:sz="0" w:space="0" w:color="auto"/>
      </w:divBdr>
    </w:div>
    <w:div w:id="623120249">
      <w:bodyDiv w:val="1"/>
      <w:marLeft w:val="0"/>
      <w:marRight w:val="0"/>
      <w:marTop w:val="0"/>
      <w:marBottom w:val="0"/>
      <w:divBdr>
        <w:top w:val="none" w:sz="0" w:space="0" w:color="auto"/>
        <w:left w:val="none" w:sz="0" w:space="0" w:color="auto"/>
        <w:bottom w:val="none" w:sz="0" w:space="0" w:color="auto"/>
        <w:right w:val="none" w:sz="0" w:space="0" w:color="auto"/>
      </w:divBdr>
    </w:div>
    <w:div w:id="645167715">
      <w:bodyDiv w:val="1"/>
      <w:marLeft w:val="0"/>
      <w:marRight w:val="0"/>
      <w:marTop w:val="0"/>
      <w:marBottom w:val="0"/>
      <w:divBdr>
        <w:top w:val="none" w:sz="0" w:space="0" w:color="auto"/>
        <w:left w:val="none" w:sz="0" w:space="0" w:color="auto"/>
        <w:bottom w:val="none" w:sz="0" w:space="0" w:color="auto"/>
        <w:right w:val="none" w:sz="0" w:space="0" w:color="auto"/>
      </w:divBdr>
    </w:div>
    <w:div w:id="658191610">
      <w:bodyDiv w:val="1"/>
      <w:marLeft w:val="0"/>
      <w:marRight w:val="0"/>
      <w:marTop w:val="0"/>
      <w:marBottom w:val="0"/>
      <w:divBdr>
        <w:top w:val="none" w:sz="0" w:space="0" w:color="auto"/>
        <w:left w:val="none" w:sz="0" w:space="0" w:color="auto"/>
        <w:bottom w:val="none" w:sz="0" w:space="0" w:color="auto"/>
        <w:right w:val="none" w:sz="0" w:space="0" w:color="auto"/>
      </w:divBdr>
    </w:div>
    <w:div w:id="674652395">
      <w:bodyDiv w:val="1"/>
      <w:marLeft w:val="0"/>
      <w:marRight w:val="0"/>
      <w:marTop w:val="0"/>
      <w:marBottom w:val="0"/>
      <w:divBdr>
        <w:top w:val="none" w:sz="0" w:space="0" w:color="auto"/>
        <w:left w:val="none" w:sz="0" w:space="0" w:color="auto"/>
        <w:bottom w:val="none" w:sz="0" w:space="0" w:color="auto"/>
        <w:right w:val="none" w:sz="0" w:space="0" w:color="auto"/>
      </w:divBdr>
    </w:div>
    <w:div w:id="682320413">
      <w:bodyDiv w:val="1"/>
      <w:marLeft w:val="0"/>
      <w:marRight w:val="0"/>
      <w:marTop w:val="0"/>
      <w:marBottom w:val="0"/>
      <w:divBdr>
        <w:top w:val="none" w:sz="0" w:space="0" w:color="auto"/>
        <w:left w:val="none" w:sz="0" w:space="0" w:color="auto"/>
        <w:bottom w:val="none" w:sz="0" w:space="0" w:color="auto"/>
        <w:right w:val="none" w:sz="0" w:space="0" w:color="auto"/>
      </w:divBdr>
    </w:div>
    <w:div w:id="685525987">
      <w:bodyDiv w:val="1"/>
      <w:marLeft w:val="0"/>
      <w:marRight w:val="0"/>
      <w:marTop w:val="0"/>
      <w:marBottom w:val="0"/>
      <w:divBdr>
        <w:top w:val="none" w:sz="0" w:space="0" w:color="auto"/>
        <w:left w:val="none" w:sz="0" w:space="0" w:color="auto"/>
        <w:bottom w:val="none" w:sz="0" w:space="0" w:color="auto"/>
        <w:right w:val="none" w:sz="0" w:space="0" w:color="auto"/>
      </w:divBdr>
    </w:div>
    <w:div w:id="687023887">
      <w:bodyDiv w:val="1"/>
      <w:marLeft w:val="0"/>
      <w:marRight w:val="0"/>
      <w:marTop w:val="0"/>
      <w:marBottom w:val="0"/>
      <w:divBdr>
        <w:top w:val="none" w:sz="0" w:space="0" w:color="auto"/>
        <w:left w:val="none" w:sz="0" w:space="0" w:color="auto"/>
        <w:bottom w:val="none" w:sz="0" w:space="0" w:color="auto"/>
        <w:right w:val="none" w:sz="0" w:space="0" w:color="auto"/>
      </w:divBdr>
    </w:div>
    <w:div w:id="700663390">
      <w:bodyDiv w:val="1"/>
      <w:marLeft w:val="0"/>
      <w:marRight w:val="0"/>
      <w:marTop w:val="0"/>
      <w:marBottom w:val="0"/>
      <w:divBdr>
        <w:top w:val="none" w:sz="0" w:space="0" w:color="auto"/>
        <w:left w:val="none" w:sz="0" w:space="0" w:color="auto"/>
        <w:bottom w:val="none" w:sz="0" w:space="0" w:color="auto"/>
        <w:right w:val="none" w:sz="0" w:space="0" w:color="auto"/>
      </w:divBdr>
    </w:div>
    <w:div w:id="709383398">
      <w:bodyDiv w:val="1"/>
      <w:marLeft w:val="0"/>
      <w:marRight w:val="0"/>
      <w:marTop w:val="0"/>
      <w:marBottom w:val="0"/>
      <w:divBdr>
        <w:top w:val="none" w:sz="0" w:space="0" w:color="auto"/>
        <w:left w:val="none" w:sz="0" w:space="0" w:color="auto"/>
        <w:bottom w:val="none" w:sz="0" w:space="0" w:color="auto"/>
        <w:right w:val="none" w:sz="0" w:space="0" w:color="auto"/>
      </w:divBdr>
    </w:div>
    <w:div w:id="723680572">
      <w:bodyDiv w:val="1"/>
      <w:marLeft w:val="0"/>
      <w:marRight w:val="0"/>
      <w:marTop w:val="0"/>
      <w:marBottom w:val="0"/>
      <w:divBdr>
        <w:top w:val="none" w:sz="0" w:space="0" w:color="auto"/>
        <w:left w:val="none" w:sz="0" w:space="0" w:color="auto"/>
        <w:bottom w:val="none" w:sz="0" w:space="0" w:color="auto"/>
        <w:right w:val="none" w:sz="0" w:space="0" w:color="auto"/>
      </w:divBdr>
    </w:div>
    <w:div w:id="740717902">
      <w:bodyDiv w:val="1"/>
      <w:marLeft w:val="0"/>
      <w:marRight w:val="0"/>
      <w:marTop w:val="0"/>
      <w:marBottom w:val="0"/>
      <w:divBdr>
        <w:top w:val="none" w:sz="0" w:space="0" w:color="auto"/>
        <w:left w:val="none" w:sz="0" w:space="0" w:color="auto"/>
        <w:bottom w:val="none" w:sz="0" w:space="0" w:color="auto"/>
        <w:right w:val="none" w:sz="0" w:space="0" w:color="auto"/>
      </w:divBdr>
    </w:div>
    <w:div w:id="742410204">
      <w:bodyDiv w:val="1"/>
      <w:marLeft w:val="0"/>
      <w:marRight w:val="0"/>
      <w:marTop w:val="0"/>
      <w:marBottom w:val="0"/>
      <w:divBdr>
        <w:top w:val="none" w:sz="0" w:space="0" w:color="auto"/>
        <w:left w:val="none" w:sz="0" w:space="0" w:color="auto"/>
        <w:bottom w:val="none" w:sz="0" w:space="0" w:color="auto"/>
        <w:right w:val="none" w:sz="0" w:space="0" w:color="auto"/>
      </w:divBdr>
    </w:div>
    <w:div w:id="765468802">
      <w:bodyDiv w:val="1"/>
      <w:marLeft w:val="0"/>
      <w:marRight w:val="0"/>
      <w:marTop w:val="0"/>
      <w:marBottom w:val="0"/>
      <w:divBdr>
        <w:top w:val="none" w:sz="0" w:space="0" w:color="auto"/>
        <w:left w:val="none" w:sz="0" w:space="0" w:color="auto"/>
        <w:bottom w:val="none" w:sz="0" w:space="0" w:color="auto"/>
        <w:right w:val="none" w:sz="0" w:space="0" w:color="auto"/>
      </w:divBdr>
    </w:div>
    <w:div w:id="776371176">
      <w:bodyDiv w:val="1"/>
      <w:marLeft w:val="0"/>
      <w:marRight w:val="0"/>
      <w:marTop w:val="0"/>
      <w:marBottom w:val="0"/>
      <w:divBdr>
        <w:top w:val="none" w:sz="0" w:space="0" w:color="auto"/>
        <w:left w:val="none" w:sz="0" w:space="0" w:color="auto"/>
        <w:bottom w:val="none" w:sz="0" w:space="0" w:color="auto"/>
        <w:right w:val="none" w:sz="0" w:space="0" w:color="auto"/>
      </w:divBdr>
      <w:divsChild>
        <w:div w:id="3360816">
          <w:marLeft w:val="274"/>
          <w:marRight w:val="0"/>
          <w:marTop w:val="0"/>
          <w:marBottom w:val="240"/>
          <w:divBdr>
            <w:top w:val="none" w:sz="0" w:space="0" w:color="auto"/>
            <w:left w:val="none" w:sz="0" w:space="0" w:color="auto"/>
            <w:bottom w:val="none" w:sz="0" w:space="0" w:color="auto"/>
            <w:right w:val="none" w:sz="0" w:space="0" w:color="auto"/>
          </w:divBdr>
        </w:div>
        <w:div w:id="672224269">
          <w:marLeft w:val="274"/>
          <w:marRight w:val="0"/>
          <w:marTop w:val="0"/>
          <w:marBottom w:val="240"/>
          <w:divBdr>
            <w:top w:val="none" w:sz="0" w:space="0" w:color="auto"/>
            <w:left w:val="none" w:sz="0" w:space="0" w:color="auto"/>
            <w:bottom w:val="none" w:sz="0" w:space="0" w:color="auto"/>
            <w:right w:val="none" w:sz="0" w:space="0" w:color="auto"/>
          </w:divBdr>
        </w:div>
        <w:div w:id="1237516392">
          <w:marLeft w:val="274"/>
          <w:marRight w:val="0"/>
          <w:marTop w:val="0"/>
          <w:marBottom w:val="240"/>
          <w:divBdr>
            <w:top w:val="none" w:sz="0" w:space="0" w:color="auto"/>
            <w:left w:val="none" w:sz="0" w:space="0" w:color="auto"/>
            <w:bottom w:val="none" w:sz="0" w:space="0" w:color="auto"/>
            <w:right w:val="none" w:sz="0" w:space="0" w:color="auto"/>
          </w:divBdr>
        </w:div>
        <w:div w:id="1675911434">
          <w:marLeft w:val="274"/>
          <w:marRight w:val="0"/>
          <w:marTop w:val="0"/>
          <w:marBottom w:val="240"/>
          <w:divBdr>
            <w:top w:val="none" w:sz="0" w:space="0" w:color="auto"/>
            <w:left w:val="none" w:sz="0" w:space="0" w:color="auto"/>
            <w:bottom w:val="none" w:sz="0" w:space="0" w:color="auto"/>
            <w:right w:val="none" w:sz="0" w:space="0" w:color="auto"/>
          </w:divBdr>
        </w:div>
      </w:divsChild>
    </w:div>
    <w:div w:id="781920264">
      <w:bodyDiv w:val="1"/>
      <w:marLeft w:val="0"/>
      <w:marRight w:val="0"/>
      <w:marTop w:val="0"/>
      <w:marBottom w:val="0"/>
      <w:divBdr>
        <w:top w:val="none" w:sz="0" w:space="0" w:color="auto"/>
        <w:left w:val="none" w:sz="0" w:space="0" w:color="auto"/>
        <w:bottom w:val="none" w:sz="0" w:space="0" w:color="auto"/>
        <w:right w:val="none" w:sz="0" w:space="0" w:color="auto"/>
      </w:divBdr>
    </w:div>
    <w:div w:id="803232646">
      <w:bodyDiv w:val="1"/>
      <w:marLeft w:val="0"/>
      <w:marRight w:val="0"/>
      <w:marTop w:val="0"/>
      <w:marBottom w:val="0"/>
      <w:divBdr>
        <w:top w:val="none" w:sz="0" w:space="0" w:color="auto"/>
        <w:left w:val="none" w:sz="0" w:space="0" w:color="auto"/>
        <w:bottom w:val="none" w:sz="0" w:space="0" w:color="auto"/>
        <w:right w:val="none" w:sz="0" w:space="0" w:color="auto"/>
      </w:divBdr>
    </w:div>
    <w:div w:id="837309788">
      <w:bodyDiv w:val="1"/>
      <w:marLeft w:val="0"/>
      <w:marRight w:val="0"/>
      <w:marTop w:val="0"/>
      <w:marBottom w:val="0"/>
      <w:divBdr>
        <w:top w:val="none" w:sz="0" w:space="0" w:color="auto"/>
        <w:left w:val="none" w:sz="0" w:space="0" w:color="auto"/>
        <w:bottom w:val="none" w:sz="0" w:space="0" w:color="auto"/>
        <w:right w:val="none" w:sz="0" w:space="0" w:color="auto"/>
      </w:divBdr>
    </w:div>
    <w:div w:id="838084397">
      <w:bodyDiv w:val="1"/>
      <w:marLeft w:val="0"/>
      <w:marRight w:val="0"/>
      <w:marTop w:val="0"/>
      <w:marBottom w:val="0"/>
      <w:divBdr>
        <w:top w:val="none" w:sz="0" w:space="0" w:color="auto"/>
        <w:left w:val="none" w:sz="0" w:space="0" w:color="auto"/>
        <w:bottom w:val="none" w:sz="0" w:space="0" w:color="auto"/>
        <w:right w:val="none" w:sz="0" w:space="0" w:color="auto"/>
      </w:divBdr>
    </w:div>
    <w:div w:id="842090911">
      <w:bodyDiv w:val="1"/>
      <w:marLeft w:val="0"/>
      <w:marRight w:val="0"/>
      <w:marTop w:val="0"/>
      <w:marBottom w:val="0"/>
      <w:divBdr>
        <w:top w:val="none" w:sz="0" w:space="0" w:color="auto"/>
        <w:left w:val="none" w:sz="0" w:space="0" w:color="auto"/>
        <w:bottom w:val="none" w:sz="0" w:space="0" w:color="auto"/>
        <w:right w:val="none" w:sz="0" w:space="0" w:color="auto"/>
      </w:divBdr>
    </w:div>
    <w:div w:id="844904811">
      <w:bodyDiv w:val="1"/>
      <w:marLeft w:val="0"/>
      <w:marRight w:val="0"/>
      <w:marTop w:val="0"/>
      <w:marBottom w:val="0"/>
      <w:divBdr>
        <w:top w:val="none" w:sz="0" w:space="0" w:color="auto"/>
        <w:left w:val="none" w:sz="0" w:space="0" w:color="auto"/>
        <w:bottom w:val="none" w:sz="0" w:space="0" w:color="auto"/>
        <w:right w:val="none" w:sz="0" w:space="0" w:color="auto"/>
      </w:divBdr>
      <w:divsChild>
        <w:div w:id="108815186">
          <w:marLeft w:val="245"/>
          <w:marRight w:val="0"/>
          <w:marTop w:val="0"/>
          <w:marBottom w:val="0"/>
          <w:divBdr>
            <w:top w:val="none" w:sz="0" w:space="0" w:color="auto"/>
            <w:left w:val="none" w:sz="0" w:space="0" w:color="auto"/>
            <w:bottom w:val="none" w:sz="0" w:space="0" w:color="auto"/>
            <w:right w:val="none" w:sz="0" w:space="0" w:color="auto"/>
          </w:divBdr>
        </w:div>
        <w:div w:id="294604292">
          <w:marLeft w:val="245"/>
          <w:marRight w:val="0"/>
          <w:marTop w:val="0"/>
          <w:marBottom w:val="0"/>
          <w:divBdr>
            <w:top w:val="none" w:sz="0" w:space="0" w:color="auto"/>
            <w:left w:val="none" w:sz="0" w:space="0" w:color="auto"/>
            <w:bottom w:val="none" w:sz="0" w:space="0" w:color="auto"/>
            <w:right w:val="none" w:sz="0" w:space="0" w:color="auto"/>
          </w:divBdr>
        </w:div>
        <w:div w:id="1527792771">
          <w:marLeft w:val="245"/>
          <w:marRight w:val="0"/>
          <w:marTop w:val="0"/>
          <w:marBottom w:val="0"/>
          <w:divBdr>
            <w:top w:val="none" w:sz="0" w:space="0" w:color="auto"/>
            <w:left w:val="none" w:sz="0" w:space="0" w:color="auto"/>
            <w:bottom w:val="none" w:sz="0" w:space="0" w:color="auto"/>
            <w:right w:val="none" w:sz="0" w:space="0" w:color="auto"/>
          </w:divBdr>
        </w:div>
        <w:div w:id="1756436670">
          <w:marLeft w:val="245"/>
          <w:marRight w:val="0"/>
          <w:marTop w:val="0"/>
          <w:marBottom w:val="0"/>
          <w:divBdr>
            <w:top w:val="none" w:sz="0" w:space="0" w:color="auto"/>
            <w:left w:val="none" w:sz="0" w:space="0" w:color="auto"/>
            <w:bottom w:val="none" w:sz="0" w:space="0" w:color="auto"/>
            <w:right w:val="none" w:sz="0" w:space="0" w:color="auto"/>
          </w:divBdr>
        </w:div>
      </w:divsChild>
    </w:div>
    <w:div w:id="864901223">
      <w:bodyDiv w:val="1"/>
      <w:marLeft w:val="0"/>
      <w:marRight w:val="0"/>
      <w:marTop w:val="0"/>
      <w:marBottom w:val="0"/>
      <w:divBdr>
        <w:top w:val="none" w:sz="0" w:space="0" w:color="auto"/>
        <w:left w:val="none" w:sz="0" w:space="0" w:color="auto"/>
        <w:bottom w:val="none" w:sz="0" w:space="0" w:color="auto"/>
        <w:right w:val="none" w:sz="0" w:space="0" w:color="auto"/>
      </w:divBdr>
    </w:div>
    <w:div w:id="893470454">
      <w:bodyDiv w:val="1"/>
      <w:marLeft w:val="0"/>
      <w:marRight w:val="0"/>
      <w:marTop w:val="0"/>
      <w:marBottom w:val="0"/>
      <w:divBdr>
        <w:top w:val="none" w:sz="0" w:space="0" w:color="auto"/>
        <w:left w:val="none" w:sz="0" w:space="0" w:color="auto"/>
        <w:bottom w:val="none" w:sz="0" w:space="0" w:color="auto"/>
        <w:right w:val="none" w:sz="0" w:space="0" w:color="auto"/>
      </w:divBdr>
    </w:div>
    <w:div w:id="922497131">
      <w:bodyDiv w:val="1"/>
      <w:marLeft w:val="0"/>
      <w:marRight w:val="0"/>
      <w:marTop w:val="0"/>
      <w:marBottom w:val="0"/>
      <w:divBdr>
        <w:top w:val="none" w:sz="0" w:space="0" w:color="auto"/>
        <w:left w:val="none" w:sz="0" w:space="0" w:color="auto"/>
        <w:bottom w:val="none" w:sz="0" w:space="0" w:color="auto"/>
        <w:right w:val="none" w:sz="0" w:space="0" w:color="auto"/>
      </w:divBdr>
    </w:div>
    <w:div w:id="926351695">
      <w:bodyDiv w:val="1"/>
      <w:marLeft w:val="0"/>
      <w:marRight w:val="0"/>
      <w:marTop w:val="0"/>
      <w:marBottom w:val="0"/>
      <w:divBdr>
        <w:top w:val="none" w:sz="0" w:space="0" w:color="auto"/>
        <w:left w:val="none" w:sz="0" w:space="0" w:color="auto"/>
        <w:bottom w:val="none" w:sz="0" w:space="0" w:color="auto"/>
        <w:right w:val="none" w:sz="0" w:space="0" w:color="auto"/>
      </w:divBdr>
    </w:div>
    <w:div w:id="931208208">
      <w:bodyDiv w:val="1"/>
      <w:marLeft w:val="0"/>
      <w:marRight w:val="0"/>
      <w:marTop w:val="0"/>
      <w:marBottom w:val="0"/>
      <w:divBdr>
        <w:top w:val="none" w:sz="0" w:space="0" w:color="auto"/>
        <w:left w:val="none" w:sz="0" w:space="0" w:color="auto"/>
        <w:bottom w:val="none" w:sz="0" w:space="0" w:color="auto"/>
        <w:right w:val="none" w:sz="0" w:space="0" w:color="auto"/>
      </w:divBdr>
    </w:div>
    <w:div w:id="935870055">
      <w:bodyDiv w:val="1"/>
      <w:marLeft w:val="0"/>
      <w:marRight w:val="0"/>
      <w:marTop w:val="0"/>
      <w:marBottom w:val="0"/>
      <w:divBdr>
        <w:top w:val="none" w:sz="0" w:space="0" w:color="auto"/>
        <w:left w:val="none" w:sz="0" w:space="0" w:color="auto"/>
        <w:bottom w:val="none" w:sz="0" w:space="0" w:color="auto"/>
        <w:right w:val="none" w:sz="0" w:space="0" w:color="auto"/>
      </w:divBdr>
    </w:div>
    <w:div w:id="943342278">
      <w:bodyDiv w:val="1"/>
      <w:marLeft w:val="0"/>
      <w:marRight w:val="0"/>
      <w:marTop w:val="0"/>
      <w:marBottom w:val="0"/>
      <w:divBdr>
        <w:top w:val="none" w:sz="0" w:space="0" w:color="auto"/>
        <w:left w:val="none" w:sz="0" w:space="0" w:color="auto"/>
        <w:bottom w:val="none" w:sz="0" w:space="0" w:color="auto"/>
        <w:right w:val="none" w:sz="0" w:space="0" w:color="auto"/>
      </w:divBdr>
    </w:div>
    <w:div w:id="943731988">
      <w:bodyDiv w:val="1"/>
      <w:marLeft w:val="0"/>
      <w:marRight w:val="0"/>
      <w:marTop w:val="0"/>
      <w:marBottom w:val="0"/>
      <w:divBdr>
        <w:top w:val="none" w:sz="0" w:space="0" w:color="auto"/>
        <w:left w:val="none" w:sz="0" w:space="0" w:color="auto"/>
        <w:bottom w:val="none" w:sz="0" w:space="0" w:color="auto"/>
        <w:right w:val="none" w:sz="0" w:space="0" w:color="auto"/>
      </w:divBdr>
    </w:div>
    <w:div w:id="946888209">
      <w:bodyDiv w:val="1"/>
      <w:marLeft w:val="0"/>
      <w:marRight w:val="0"/>
      <w:marTop w:val="0"/>
      <w:marBottom w:val="0"/>
      <w:divBdr>
        <w:top w:val="none" w:sz="0" w:space="0" w:color="auto"/>
        <w:left w:val="none" w:sz="0" w:space="0" w:color="auto"/>
        <w:bottom w:val="none" w:sz="0" w:space="0" w:color="auto"/>
        <w:right w:val="none" w:sz="0" w:space="0" w:color="auto"/>
      </w:divBdr>
    </w:div>
    <w:div w:id="991526907">
      <w:bodyDiv w:val="1"/>
      <w:marLeft w:val="0"/>
      <w:marRight w:val="0"/>
      <w:marTop w:val="0"/>
      <w:marBottom w:val="0"/>
      <w:divBdr>
        <w:top w:val="none" w:sz="0" w:space="0" w:color="auto"/>
        <w:left w:val="none" w:sz="0" w:space="0" w:color="auto"/>
        <w:bottom w:val="none" w:sz="0" w:space="0" w:color="auto"/>
        <w:right w:val="none" w:sz="0" w:space="0" w:color="auto"/>
      </w:divBdr>
    </w:div>
    <w:div w:id="1004355933">
      <w:bodyDiv w:val="1"/>
      <w:marLeft w:val="0"/>
      <w:marRight w:val="0"/>
      <w:marTop w:val="0"/>
      <w:marBottom w:val="0"/>
      <w:divBdr>
        <w:top w:val="none" w:sz="0" w:space="0" w:color="auto"/>
        <w:left w:val="none" w:sz="0" w:space="0" w:color="auto"/>
        <w:bottom w:val="none" w:sz="0" w:space="0" w:color="auto"/>
        <w:right w:val="none" w:sz="0" w:space="0" w:color="auto"/>
      </w:divBdr>
    </w:div>
    <w:div w:id="1012492853">
      <w:bodyDiv w:val="1"/>
      <w:marLeft w:val="0"/>
      <w:marRight w:val="0"/>
      <w:marTop w:val="0"/>
      <w:marBottom w:val="0"/>
      <w:divBdr>
        <w:top w:val="none" w:sz="0" w:space="0" w:color="auto"/>
        <w:left w:val="none" w:sz="0" w:space="0" w:color="auto"/>
        <w:bottom w:val="none" w:sz="0" w:space="0" w:color="auto"/>
        <w:right w:val="none" w:sz="0" w:space="0" w:color="auto"/>
      </w:divBdr>
    </w:div>
    <w:div w:id="1033068248">
      <w:bodyDiv w:val="1"/>
      <w:marLeft w:val="0"/>
      <w:marRight w:val="0"/>
      <w:marTop w:val="0"/>
      <w:marBottom w:val="0"/>
      <w:divBdr>
        <w:top w:val="none" w:sz="0" w:space="0" w:color="auto"/>
        <w:left w:val="none" w:sz="0" w:space="0" w:color="auto"/>
        <w:bottom w:val="none" w:sz="0" w:space="0" w:color="auto"/>
        <w:right w:val="none" w:sz="0" w:space="0" w:color="auto"/>
      </w:divBdr>
    </w:div>
    <w:div w:id="1034312369">
      <w:bodyDiv w:val="1"/>
      <w:marLeft w:val="0"/>
      <w:marRight w:val="0"/>
      <w:marTop w:val="0"/>
      <w:marBottom w:val="0"/>
      <w:divBdr>
        <w:top w:val="none" w:sz="0" w:space="0" w:color="auto"/>
        <w:left w:val="none" w:sz="0" w:space="0" w:color="auto"/>
        <w:bottom w:val="none" w:sz="0" w:space="0" w:color="auto"/>
        <w:right w:val="none" w:sz="0" w:space="0" w:color="auto"/>
      </w:divBdr>
    </w:div>
    <w:div w:id="1039816547">
      <w:bodyDiv w:val="1"/>
      <w:marLeft w:val="0"/>
      <w:marRight w:val="0"/>
      <w:marTop w:val="0"/>
      <w:marBottom w:val="0"/>
      <w:divBdr>
        <w:top w:val="none" w:sz="0" w:space="0" w:color="auto"/>
        <w:left w:val="none" w:sz="0" w:space="0" w:color="auto"/>
        <w:bottom w:val="none" w:sz="0" w:space="0" w:color="auto"/>
        <w:right w:val="none" w:sz="0" w:space="0" w:color="auto"/>
      </w:divBdr>
    </w:div>
    <w:div w:id="1047491927">
      <w:bodyDiv w:val="1"/>
      <w:marLeft w:val="0"/>
      <w:marRight w:val="0"/>
      <w:marTop w:val="0"/>
      <w:marBottom w:val="0"/>
      <w:divBdr>
        <w:top w:val="none" w:sz="0" w:space="0" w:color="auto"/>
        <w:left w:val="none" w:sz="0" w:space="0" w:color="auto"/>
        <w:bottom w:val="none" w:sz="0" w:space="0" w:color="auto"/>
        <w:right w:val="none" w:sz="0" w:space="0" w:color="auto"/>
      </w:divBdr>
    </w:div>
    <w:div w:id="1050500578">
      <w:bodyDiv w:val="1"/>
      <w:marLeft w:val="0"/>
      <w:marRight w:val="0"/>
      <w:marTop w:val="0"/>
      <w:marBottom w:val="0"/>
      <w:divBdr>
        <w:top w:val="none" w:sz="0" w:space="0" w:color="auto"/>
        <w:left w:val="none" w:sz="0" w:space="0" w:color="auto"/>
        <w:bottom w:val="none" w:sz="0" w:space="0" w:color="auto"/>
        <w:right w:val="none" w:sz="0" w:space="0" w:color="auto"/>
      </w:divBdr>
    </w:div>
    <w:div w:id="1072196304">
      <w:bodyDiv w:val="1"/>
      <w:marLeft w:val="0"/>
      <w:marRight w:val="0"/>
      <w:marTop w:val="0"/>
      <w:marBottom w:val="0"/>
      <w:divBdr>
        <w:top w:val="none" w:sz="0" w:space="0" w:color="auto"/>
        <w:left w:val="none" w:sz="0" w:space="0" w:color="auto"/>
        <w:bottom w:val="none" w:sz="0" w:space="0" w:color="auto"/>
        <w:right w:val="none" w:sz="0" w:space="0" w:color="auto"/>
      </w:divBdr>
    </w:div>
    <w:div w:id="1075398881">
      <w:bodyDiv w:val="1"/>
      <w:marLeft w:val="0"/>
      <w:marRight w:val="0"/>
      <w:marTop w:val="0"/>
      <w:marBottom w:val="0"/>
      <w:divBdr>
        <w:top w:val="none" w:sz="0" w:space="0" w:color="auto"/>
        <w:left w:val="none" w:sz="0" w:space="0" w:color="auto"/>
        <w:bottom w:val="none" w:sz="0" w:space="0" w:color="auto"/>
        <w:right w:val="none" w:sz="0" w:space="0" w:color="auto"/>
      </w:divBdr>
    </w:div>
    <w:div w:id="1075736833">
      <w:bodyDiv w:val="1"/>
      <w:marLeft w:val="0"/>
      <w:marRight w:val="0"/>
      <w:marTop w:val="0"/>
      <w:marBottom w:val="0"/>
      <w:divBdr>
        <w:top w:val="none" w:sz="0" w:space="0" w:color="auto"/>
        <w:left w:val="none" w:sz="0" w:space="0" w:color="auto"/>
        <w:bottom w:val="none" w:sz="0" w:space="0" w:color="auto"/>
        <w:right w:val="none" w:sz="0" w:space="0" w:color="auto"/>
      </w:divBdr>
    </w:div>
    <w:div w:id="1089473058">
      <w:bodyDiv w:val="1"/>
      <w:marLeft w:val="0"/>
      <w:marRight w:val="0"/>
      <w:marTop w:val="0"/>
      <w:marBottom w:val="0"/>
      <w:divBdr>
        <w:top w:val="none" w:sz="0" w:space="0" w:color="auto"/>
        <w:left w:val="none" w:sz="0" w:space="0" w:color="auto"/>
        <w:bottom w:val="none" w:sz="0" w:space="0" w:color="auto"/>
        <w:right w:val="none" w:sz="0" w:space="0" w:color="auto"/>
      </w:divBdr>
    </w:div>
    <w:div w:id="1090736242">
      <w:bodyDiv w:val="1"/>
      <w:marLeft w:val="0"/>
      <w:marRight w:val="0"/>
      <w:marTop w:val="0"/>
      <w:marBottom w:val="0"/>
      <w:divBdr>
        <w:top w:val="none" w:sz="0" w:space="0" w:color="auto"/>
        <w:left w:val="none" w:sz="0" w:space="0" w:color="auto"/>
        <w:bottom w:val="none" w:sz="0" w:space="0" w:color="auto"/>
        <w:right w:val="none" w:sz="0" w:space="0" w:color="auto"/>
      </w:divBdr>
    </w:div>
    <w:div w:id="1108694822">
      <w:bodyDiv w:val="1"/>
      <w:marLeft w:val="0"/>
      <w:marRight w:val="0"/>
      <w:marTop w:val="0"/>
      <w:marBottom w:val="0"/>
      <w:divBdr>
        <w:top w:val="none" w:sz="0" w:space="0" w:color="auto"/>
        <w:left w:val="none" w:sz="0" w:space="0" w:color="auto"/>
        <w:bottom w:val="none" w:sz="0" w:space="0" w:color="auto"/>
        <w:right w:val="none" w:sz="0" w:space="0" w:color="auto"/>
      </w:divBdr>
    </w:div>
    <w:div w:id="1123110472">
      <w:bodyDiv w:val="1"/>
      <w:marLeft w:val="0"/>
      <w:marRight w:val="0"/>
      <w:marTop w:val="0"/>
      <w:marBottom w:val="0"/>
      <w:divBdr>
        <w:top w:val="none" w:sz="0" w:space="0" w:color="auto"/>
        <w:left w:val="none" w:sz="0" w:space="0" w:color="auto"/>
        <w:bottom w:val="none" w:sz="0" w:space="0" w:color="auto"/>
        <w:right w:val="none" w:sz="0" w:space="0" w:color="auto"/>
      </w:divBdr>
    </w:div>
    <w:div w:id="1131283235">
      <w:bodyDiv w:val="1"/>
      <w:marLeft w:val="0"/>
      <w:marRight w:val="0"/>
      <w:marTop w:val="0"/>
      <w:marBottom w:val="0"/>
      <w:divBdr>
        <w:top w:val="none" w:sz="0" w:space="0" w:color="auto"/>
        <w:left w:val="none" w:sz="0" w:space="0" w:color="auto"/>
        <w:bottom w:val="none" w:sz="0" w:space="0" w:color="auto"/>
        <w:right w:val="none" w:sz="0" w:space="0" w:color="auto"/>
      </w:divBdr>
    </w:div>
    <w:div w:id="1148326203">
      <w:bodyDiv w:val="1"/>
      <w:marLeft w:val="0"/>
      <w:marRight w:val="0"/>
      <w:marTop w:val="0"/>
      <w:marBottom w:val="0"/>
      <w:divBdr>
        <w:top w:val="none" w:sz="0" w:space="0" w:color="auto"/>
        <w:left w:val="none" w:sz="0" w:space="0" w:color="auto"/>
        <w:bottom w:val="none" w:sz="0" w:space="0" w:color="auto"/>
        <w:right w:val="none" w:sz="0" w:space="0" w:color="auto"/>
      </w:divBdr>
    </w:div>
    <w:div w:id="1150902505">
      <w:bodyDiv w:val="1"/>
      <w:marLeft w:val="0"/>
      <w:marRight w:val="0"/>
      <w:marTop w:val="0"/>
      <w:marBottom w:val="0"/>
      <w:divBdr>
        <w:top w:val="none" w:sz="0" w:space="0" w:color="auto"/>
        <w:left w:val="none" w:sz="0" w:space="0" w:color="auto"/>
        <w:bottom w:val="none" w:sz="0" w:space="0" w:color="auto"/>
        <w:right w:val="none" w:sz="0" w:space="0" w:color="auto"/>
      </w:divBdr>
    </w:div>
    <w:div w:id="1151169765">
      <w:bodyDiv w:val="1"/>
      <w:marLeft w:val="0"/>
      <w:marRight w:val="0"/>
      <w:marTop w:val="0"/>
      <w:marBottom w:val="0"/>
      <w:divBdr>
        <w:top w:val="none" w:sz="0" w:space="0" w:color="auto"/>
        <w:left w:val="none" w:sz="0" w:space="0" w:color="auto"/>
        <w:bottom w:val="none" w:sz="0" w:space="0" w:color="auto"/>
        <w:right w:val="none" w:sz="0" w:space="0" w:color="auto"/>
      </w:divBdr>
    </w:div>
    <w:div w:id="1164278307">
      <w:bodyDiv w:val="1"/>
      <w:marLeft w:val="0"/>
      <w:marRight w:val="0"/>
      <w:marTop w:val="0"/>
      <w:marBottom w:val="0"/>
      <w:divBdr>
        <w:top w:val="none" w:sz="0" w:space="0" w:color="auto"/>
        <w:left w:val="none" w:sz="0" w:space="0" w:color="auto"/>
        <w:bottom w:val="none" w:sz="0" w:space="0" w:color="auto"/>
        <w:right w:val="none" w:sz="0" w:space="0" w:color="auto"/>
      </w:divBdr>
    </w:div>
    <w:div w:id="1165392771">
      <w:bodyDiv w:val="1"/>
      <w:marLeft w:val="0"/>
      <w:marRight w:val="0"/>
      <w:marTop w:val="0"/>
      <w:marBottom w:val="0"/>
      <w:divBdr>
        <w:top w:val="none" w:sz="0" w:space="0" w:color="auto"/>
        <w:left w:val="none" w:sz="0" w:space="0" w:color="auto"/>
        <w:bottom w:val="none" w:sz="0" w:space="0" w:color="auto"/>
        <w:right w:val="none" w:sz="0" w:space="0" w:color="auto"/>
      </w:divBdr>
    </w:div>
    <w:div w:id="1190681424">
      <w:bodyDiv w:val="1"/>
      <w:marLeft w:val="0"/>
      <w:marRight w:val="0"/>
      <w:marTop w:val="0"/>
      <w:marBottom w:val="0"/>
      <w:divBdr>
        <w:top w:val="none" w:sz="0" w:space="0" w:color="auto"/>
        <w:left w:val="none" w:sz="0" w:space="0" w:color="auto"/>
        <w:bottom w:val="none" w:sz="0" w:space="0" w:color="auto"/>
        <w:right w:val="none" w:sz="0" w:space="0" w:color="auto"/>
      </w:divBdr>
    </w:div>
    <w:div w:id="1209760554">
      <w:bodyDiv w:val="1"/>
      <w:marLeft w:val="0"/>
      <w:marRight w:val="0"/>
      <w:marTop w:val="0"/>
      <w:marBottom w:val="0"/>
      <w:divBdr>
        <w:top w:val="none" w:sz="0" w:space="0" w:color="auto"/>
        <w:left w:val="none" w:sz="0" w:space="0" w:color="auto"/>
        <w:bottom w:val="none" w:sz="0" w:space="0" w:color="auto"/>
        <w:right w:val="none" w:sz="0" w:space="0" w:color="auto"/>
      </w:divBdr>
    </w:div>
    <w:div w:id="1212426733">
      <w:bodyDiv w:val="1"/>
      <w:marLeft w:val="0"/>
      <w:marRight w:val="0"/>
      <w:marTop w:val="0"/>
      <w:marBottom w:val="0"/>
      <w:divBdr>
        <w:top w:val="none" w:sz="0" w:space="0" w:color="auto"/>
        <w:left w:val="none" w:sz="0" w:space="0" w:color="auto"/>
        <w:bottom w:val="none" w:sz="0" w:space="0" w:color="auto"/>
        <w:right w:val="none" w:sz="0" w:space="0" w:color="auto"/>
      </w:divBdr>
      <w:divsChild>
        <w:div w:id="343358251">
          <w:marLeft w:val="1166"/>
          <w:marRight w:val="0"/>
          <w:marTop w:val="0"/>
          <w:marBottom w:val="120"/>
          <w:divBdr>
            <w:top w:val="none" w:sz="0" w:space="0" w:color="auto"/>
            <w:left w:val="none" w:sz="0" w:space="0" w:color="auto"/>
            <w:bottom w:val="none" w:sz="0" w:space="0" w:color="auto"/>
            <w:right w:val="none" w:sz="0" w:space="0" w:color="auto"/>
          </w:divBdr>
        </w:div>
        <w:div w:id="603925256">
          <w:marLeft w:val="1166"/>
          <w:marRight w:val="0"/>
          <w:marTop w:val="0"/>
          <w:marBottom w:val="120"/>
          <w:divBdr>
            <w:top w:val="none" w:sz="0" w:space="0" w:color="auto"/>
            <w:left w:val="none" w:sz="0" w:space="0" w:color="auto"/>
            <w:bottom w:val="none" w:sz="0" w:space="0" w:color="auto"/>
            <w:right w:val="none" w:sz="0" w:space="0" w:color="auto"/>
          </w:divBdr>
        </w:div>
        <w:div w:id="1404791618">
          <w:marLeft w:val="1166"/>
          <w:marRight w:val="0"/>
          <w:marTop w:val="0"/>
          <w:marBottom w:val="120"/>
          <w:divBdr>
            <w:top w:val="none" w:sz="0" w:space="0" w:color="auto"/>
            <w:left w:val="none" w:sz="0" w:space="0" w:color="auto"/>
            <w:bottom w:val="none" w:sz="0" w:space="0" w:color="auto"/>
            <w:right w:val="none" w:sz="0" w:space="0" w:color="auto"/>
          </w:divBdr>
        </w:div>
        <w:div w:id="1602765197">
          <w:marLeft w:val="1166"/>
          <w:marRight w:val="0"/>
          <w:marTop w:val="0"/>
          <w:marBottom w:val="120"/>
          <w:divBdr>
            <w:top w:val="none" w:sz="0" w:space="0" w:color="auto"/>
            <w:left w:val="none" w:sz="0" w:space="0" w:color="auto"/>
            <w:bottom w:val="none" w:sz="0" w:space="0" w:color="auto"/>
            <w:right w:val="none" w:sz="0" w:space="0" w:color="auto"/>
          </w:divBdr>
        </w:div>
      </w:divsChild>
    </w:div>
    <w:div w:id="1228757631">
      <w:bodyDiv w:val="1"/>
      <w:marLeft w:val="0"/>
      <w:marRight w:val="0"/>
      <w:marTop w:val="0"/>
      <w:marBottom w:val="0"/>
      <w:divBdr>
        <w:top w:val="none" w:sz="0" w:space="0" w:color="auto"/>
        <w:left w:val="none" w:sz="0" w:space="0" w:color="auto"/>
        <w:bottom w:val="none" w:sz="0" w:space="0" w:color="auto"/>
        <w:right w:val="none" w:sz="0" w:space="0" w:color="auto"/>
      </w:divBdr>
    </w:div>
    <w:div w:id="1246574892">
      <w:bodyDiv w:val="1"/>
      <w:marLeft w:val="0"/>
      <w:marRight w:val="0"/>
      <w:marTop w:val="0"/>
      <w:marBottom w:val="0"/>
      <w:divBdr>
        <w:top w:val="none" w:sz="0" w:space="0" w:color="auto"/>
        <w:left w:val="none" w:sz="0" w:space="0" w:color="auto"/>
        <w:bottom w:val="none" w:sz="0" w:space="0" w:color="auto"/>
        <w:right w:val="none" w:sz="0" w:space="0" w:color="auto"/>
      </w:divBdr>
    </w:div>
    <w:div w:id="1251695377">
      <w:bodyDiv w:val="1"/>
      <w:marLeft w:val="0"/>
      <w:marRight w:val="0"/>
      <w:marTop w:val="0"/>
      <w:marBottom w:val="0"/>
      <w:divBdr>
        <w:top w:val="none" w:sz="0" w:space="0" w:color="auto"/>
        <w:left w:val="none" w:sz="0" w:space="0" w:color="auto"/>
        <w:bottom w:val="none" w:sz="0" w:space="0" w:color="auto"/>
        <w:right w:val="none" w:sz="0" w:space="0" w:color="auto"/>
      </w:divBdr>
    </w:div>
    <w:div w:id="1255673720">
      <w:bodyDiv w:val="1"/>
      <w:marLeft w:val="0"/>
      <w:marRight w:val="0"/>
      <w:marTop w:val="0"/>
      <w:marBottom w:val="0"/>
      <w:divBdr>
        <w:top w:val="none" w:sz="0" w:space="0" w:color="auto"/>
        <w:left w:val="none" w:sz="0" w:space="0" w:color="auto"/>
        <w:bottom w:val="none" w:sz="0" w:space="0" w:color="auto"/>
        <w:right w:val="none" w:sz="0" w:space="0" w:color="auto"/>
      </w:divBdr>
    </w:div>
    <w:div w:id="1284994304">
      <w:bodyDiv w:val="1"/>
      <w:marLeft w:val="0"/>
      <w:marRight w:val="0"/>
      <w:marTop w:val="0"/>
      <w:marBottom w:val="0"/>
      <w:divBdr>
        <w:top w:val="none" w:sz="0" w:space="0" w:color="auto"/>
        <w:left w:val="none" w:sz="0" w:space="0" w:color="auto"/>
        <w:bottom w:val="none" w:sz="0" w:space="0" w:color="auto"/>
        <w:right w:val="none" w:sz="0" w:space="0" w:color="auto"/>
      </w:divBdr>
    </w:div>
    <w:div w:id="1285694067">
      <w:bodyDiv w:val="1"/>
      <w:marLeft w:val="0"/>
      <w:marRight w:val="0"/>
      <w:marTop w:val="0"/>
      <w:marBottom w:val="0"/>
      <w:divBdr>
        <w:top w:val="none" w:sz="0" w:space="0" w:color="auto"/>
        <w:left w:val="none" w:sz="0" w:space="0" w:color="auto"/>
        <w:bottom w:val="none" w:sz="0" w:space="0" w:color="auto"/>
        <w:right w:val="none" w:sz="0" w:space="0" w:color="auto"/>
      </w:divBdr>
    </w:div>
    <w:div w:id="1288002090">
      <w:bodyDiv w:val="1"/>
      <w:marLeft w:val="0"/>
      <w:marRight w:val="0"/>
      <w:marTop w:val="0"/>
      <w:marBottom w:val="0"/>
      <w:divBdr>
        <w:top w:val="none" w:sz="0" w:space="0" w:color="auto"/>
        <w:left w:val="none" w:sz="0" w:space="0" w:color="auto"/>
        <w:bottom w:val="none" w:sz="0" w:space="0" w:color="auto"/>
        <w:right w:val="none" w:sz="0" w:space="0" w:color="auto"/>
      </w:divBdr>
    </w:div>
    <w:div w:id="1288202162">
      <w:bodyDiv w:val="1"/>
      <w:marLeft w:val="0"/>
      <w:marRight w:val="0"/>
      <w:marTop w:val="0"/>
      <w:marBottom w:val="0"/>
      <w:divBdr>
        <w:top w:val="none" w:sz="0" w:space="0" w:color="auto"/>
        <w:left w:val="none" w:sz="0" w:space="0" w:color="auto"/>
        <w:bottom w:val="none" w:sz="0" w:space="0" w:color="auto"/>
        <w:right w:val="none" w:sz="0" w:space="0" w:color="auto"/>
      </w:divBdr>
    </w:div>
    <w:div w:id="1300962752">
      <w:bodyDiv w:val="1"/>
      <w:marLeft w:val="0"/>
      <w:marRight w:val="0"/>
      <w:marTop w:val="0"/>
      <w:marBottom w:val="0"/>
      <w:divBdr>
        <w:top w:val="none" w:sz="0" w:space="0" w:color="auto"/>
        <w:left w:val="none" w:sz="0" w:space="0" w:color="auto"/>
        <w:bottom w:val="none" w:sz="0" w:space="0" w:color="auto"/>
        <w:right w:val="none" w:sz="0" w:space="0" w:color="auto"/>
      </w:divBdr>
    </w:div>
    <w:div w:id="1302077645">
      <w:bodyDiv w:val="1"/>
      <w:marLeft w:val="0"/>
      <w:marRight w:val="0"/>
      <w:marTop w:val="0"/>
      <w:marBottom w:val="0"/>
      <w:divBdr>
        <w:top w:val="none" w:sz="0" w:space="0" w:color="auto"/>
        <w:left w:val="none" w:sz="0" w:space="0" w:color="auto"/>
        <w:bottom w:val="none" w:sz="0" w:space="0" w:color="auto"/>
        <w:right w:val="none" w:sz="0" w:space="0" w:color="auto"/>
      </w:divBdr>
    </w:div>
    <w:div w:id="1304652842">
      <w:bodyDiv w:val="1"/>
      <w:marLeft w:val="0"/>
      <w:marRight w:val="0"/>
      <w:marTop w:val="0"/>
      <w:marBottom w:val="0"/>
      <w:divBdr>
        <w:top w:val="none" w:sz="0" w:space="0" w:color="auto"/>
        <w:left w:val="none" w:sz="0" w:space="0" w:color="auto"/>
        <w:bottom w:val="none" w:sz="0" w:space="0" w:color="auto"/>
        <w:right w:val="none" w:sz="0" w:space="0" w:color="auto"/>
      </w:divBdr>
    </w:div>
    <w:div w:id="1316764924">
      <w:bodyDiv w:val="1"/>
      <w:marLeft w:val="0"/>
      <w:marRight w:val="0"/>
      <w:marTop w:val="0"/>
      <w:marBottom w:val="0"/>
      <w:divBdr>
        <w:top w:val="none" w:sz="0" w:space="0" w:color="auto"/>
        <w:left w:val="none" w:sz="0" w:space="0" w:color="auto"/>
        <w:bottom w:val="none" w:sz="0" w:space="0" w:color="auto"/>
        <w:right w:val="none" w:sz="0" w:space="0" w:color="auto"/>
      </w:divBdr>
    </w:div>
    <w:div w:id="1317222858">
      <w:bodyDiv w:val="1"/>
      <w:marLeft w:val="0"/>
      <w:marRight w:val="0"/>
      <w:marTop w:val="0"/>
      <w:marBottom w:val="0"/>
      <w:divBdr>
        <w:top w:val="none" w:sz="0" w:space="0" w:color="auto"/>
        <w:left w:val="none" w:sz="0" w:space="0" w:color="auto"/>
        <w:bottom w:val="none" w:sz="0" w:space="0" w:color="auto"/>
        <w:right w:val="none" w:sz="0" w:space="0" w:color="auto"/>
      </w:divBdr>
    </w:div>
    <w:div w:id="1319503877">
      <w:bodyDiv w:val="1"/>
      <w:marLeft w:val="0"/>
      <w:marRight w:val="0"/>
      <w:marTop w:val="0"/>
      <w:marBottom w:val="0"/>
      <w:divBdr>
        <w:top w:val="none" w:sz="0" w:space="0" w:color="auto"/>
        <w:left w:val="none" w:sz="0" w:space="0" w:color="auto"/>
        <w:bottom w:val="none" w:sz="0" w:space="0" w:color="auto"/>
        <w:right w:val="none" w:sz="0" w:space="0" w:color="auto"/>
      </w:divBdr>
    </w:div>
    <w:div w:id="1348630819">
      <w:bodyDiv w:val="1"/>
      <w:marLeft w:val="0"/>
      <w:marRight w:val="0"/>
      <w:marTop w:val="0"/>
      <w:marBottom w:val="0"/>
      <w:divBdr>
        <w:top w:val="none" w:sz="0" w:space="0" w:color="auto"/>
        <w:left w:val="none" w:sz="0" w:space="0" w:color="auto"/>
        <w:bottom w:val="none" w:sz="0" w:space="0" w:color="auto"/>
        <w:right w:val="none" w:sz="0" w:space="0" w:color="auto"/>
      </w:divBdr>
    </w:div>
    <w:div w:id="1351418147">
      <w:bodyDiv w:val="1"/>
      <w:marLeft w:val="0"/>
      <w:marRight w:val="0"/>
      <w:marTop w:val="0"/>
      <w:marBottom w:val="0"/>
      <w:divBdr>
        <w:top w:val="none" w:sz="0" w:space="0" w:color="auto"/>
        <w:left w:val="none" w:sz="0" w:space="0" w:color="auto"/>
        <w:bottom w:val="none" w:sz="0" w:space="0" w:color="auto"/>
        <w:right w:val="none" w:sz="0" w:space="0" w:color="auto"/>
      </w:divBdr>
      <w:divsChild>
        <w:div w:id="91315867">
          <w:marLeft w:val="562"/>
          <w:marRight w:val="0"/>
          <w:marTop w:val="0"/>
          <w:marBottom w:val="40"/>
          <w:divBdr>
            <w:top w:val="none" w:sz="0" w:space="0" w:color="auto"/>
            <w:left w:val="none" w:sz="0" w:space="0" w:color="auto"/>
            <w:bottom w:val="none" w:sz="0" w:space="0" w:color="auto"/>
            <w:right w:val="none" w:sz="0" w:space="0" w:color="auto"/>
          </w:divBdr>
        </w:div>
        <w:div w:id="783572849">
          <w:marLeft w:val="562"/>
          <w:marRight w:val="0"/>
          <w:marTop w:val="0"/>
          <w:marBottom w:val="40"/>
          <w:divBdr>
            <w:top w:val="none" w:sz="0" w:space="0" w:color="auto"/>
            <w:left w:val="none" w:sz="0" w:space="0" w:color="auto"/>
            <w:bottom w:val="none" w:sz="0" w:space="0" w:color="auto"/>
            <w:right w:val="none" w:sz="0" w:space="0" w:color="auto"/>
          </w:divBdr>
        </w:div>
        <w:div w:id="1545479082">
          <w:marLeft w:val="562"/>
          <w:marRight w:val="0"/>
          <w:marTop w:val="0"/>
          <w:marBottom w:val="120"/>
          <w:divBdr>
            <w:top w:val="none" w:sz="0" w:space="0" w:color="auto"/>
            <w:left w:val="none" w:sz="0" w:space="0" w:color="auto"/>
            <w:bottom w:val="none" w:sz="0" w:space="0" w:color="auto"/>
            <w:right w:val="none" w:sz="0" w:space="0" w:color="auto"/>
          </w:divBdr>
        </w:div>
      </w:divsChild>
    </w:div>
    <w:div w:id="1355500536">
      <w:bodyDiv w:val="1"/>
      <w:marLeft w:val="0"/>
      <w:marRight w:val="0"/>
      <w:marTop w:val="0"/>
      <w:marBottom w:val="0"/>
      <w:divBdr>
        <w:top w:val="none" w:sz="0" w:space="0" w:color="auto"/>
        <w:left w:val="none" w:sz="0" w:space="0" w:color="auto"/>
        <w:bottom w:val="none" w:sz="0" w:space="0" w:color="auto"/>
        <w:right w:val="none" w:sz="0" w:space="0" w:color="auto"/>
      </w:divBdr>
      <w:divsChild>
        <w:div w:id="1907835685">
          <w:marLeft w:val="288"/>
          <w:marRight w:val="0"/>
          <w:marTop w:val="200"/>
          <w:marBottom w:val="120"/>
          <w:divBdr>
            <w:top w:val="none" w:sz="0" w:space="0" w:color="auto"/>
            <w:left w:val="none" w:sz="0" w:space="0" w:color="auto"/>
            <w:bottom w:val="none" w:sz="0" w:space="0" w:color="auto"/>
            <w:right w:val="none" w:sz="0" w:space="0" w:color="auto"/>
          </w:divBdr>
        </w:div>
        <w:div w:id="362024723">
          <w:marLeft w:val="1166"/>
          <w:marRight w:val="0"/>
          <w:marTop w:val="120"/>
          <w:marBottom w:val="120"/>
          <w:divBdr>
            <w:top w:val="none" w:sz="0" w:space="0" w:color="auto"/>
            <w:left w:val="none" w:sz="0" w:space="0" w:color="auto"/>
            <w:bottom w:val="none" w:sz="0" w:space="0" w:color="auto"/>
            <w:right w:val="none" w:sz="0" w:space="0" w:color="auto"/>
          </w:divBdr>
        </w:div>
        <w:div w:id="412777082">
          <w:marLeft w:val="1166"/>
          <w:marRight w:val="0"/>
          <w:marTop w:val="120"/>
          <w:marBottom w:val="120"/>
          <w:divBdr>
            <w:top w:val="none" w:sz="0" w:space="0" w:color="auto"/>
            <w:left w:val="none" w:sz="0" w:space="0" w:color="auto"/>
            <w:bottom w:val="none" w:sz="0" w:space="0" w:color="auto"/>
            <w:right w:val="none" w:sz="0" w:space="0" w:color="auto"/>
          </w:divBdr>
        </w:div>
        <w:div w:id="1665890092">
          <w:marLeft w:val="288"/>
          <w:marRight w:val="0"/>
          <w:marTop w:val="200"/>
          <w:marBottom w:val="0"/>
          <w:divBdr>
            <w:top w:val="none" w:sz="0" w:space="0" w:color="auto"/>
            <w:left w:val="none" w:sz="0" w:space="0" w:color="auto"/>
            <w:bottom w:val="none" w:sz="0" w:space="0" w:color="auto"/>
            <w:right w:val="none" w:sz="0" w:space="0" w:color="auto"/>
          </w:divBdr>
        </w:div>
        <w:div w:id="1349024080">
          <w:marLeft w:val="1166"/>
          <w:marRight w:val="0"/>
          <w:marTop w:val="120"/>
          <w:marBottom w:val="0"/>
          <w:divBdr>
            <w:top w:val="none" w:sz="0" w:space="0" w:color="auto"/>
            <w:left w:val="none" w:sz="0" w:space="0" w:color="auto"/>
            <w:bottom w:val="none" w:sz="0" w:space="0" w:color="auto"/>
            <w:right w:val="none" w:sz="0" w:space="0" w:color="auto"/>
          </w:divBdr>
        </w:div>
        <w:div w:id="666983046">
          <w:marLeft w:val="1166"/>
          <w:marRight w:val="0"/>
          <w:marTop w:val="120"/>
          <w:marBottom w:val="0"/>
          <w:divBdr>
            <w:top w:val="none" w:sz="0" w:space="0" w:color="auto"/>
            <w:left w:val="none" w:sz="0" w:space="0" w:color="auto"/>
            <w:bottom w:val="none" w:sz="0" w:space="0" w:color="auto"/>
            <w:right w:val="none" w:sz="0" w:space="0" w:color="auto"/>
          </w:divBdr>
        </w:div>
        <w:div w:id="948241383">
          <w:marLeft w:val="288"/>
          <w:marRight w:val="0"/>
          <w:marTop w:val="200"/>
          <w:marBottom w:val="120"/>
          <w:divBdr>
            <w:top w:val="none" w:sz="0" w:space="0" w:color="auto"/>
            <w:left w:val="none" w:sz="0" w:space="0" w:color="auto"/>
            <w:bottom w:val="none" w:sz="0" w:space="0" w:color="auto"/>
            <w:right w:val="none" w:sz="0" w:space="0" w:color="auto"/>
          </w:divBdr>
        </w:div>
        <w:div w:id="1514569172">
          <w:marLeft w:val="288"/>
          <w:marRight w:val="0"/>
          <w:marTop w:val="200"/>
          <w:marBottom w:val="120"/>
          <w:divBdr>
            <w:top w:val="none" w:sz="0" w:space="0" w:color="auto"/>
            <w:left w:val="none" w:sz="0" w:space="0" w:color="auto"/>
            <w:bottom w:val="none" w:sz="0" w:space="0" w:color="auto"/>
            <w:right w:val="none" w:sz="0" w:space="0" w:color="auto"/>
          </w:divBdr>
        </w:div>
        <w:div w:id="74596785">
          <w:marLeft w:val="288"/>
          <w:marRight w:val="0"/>
          <w:marTop w:val="200"/>
          <w:marBottom w:val="120"/>
          <w:divBdr>
            <w:top w:val="none" w:sz="0" w:space="0" w:color="auto"/>
            <w:left w:val="none" w:sz="0" w:space="0" w:color="auto"/>
            <w:bottom w:val="none" w:sz="0" w:space="0" w:color="auto"/>
            <w:right w:val="none" w:sz="0" w:space="0" w:color="auto"/>
          </w:divBdr>
        </w:div>
      </w:divsChild>
    </w:div>
    <w:div w:id="1371145771">
      <w:bodyDiv w:val="1"/>
      <w:marLeft w:val="0"/>
      <w:marRight w:val="0"/>
      <w:marTop w:val="0"/>
      <w:marBottom w:val="0"/>
      <w:divBdr>
        <w:top w:val="none" w:sz="0" w:space="0" w:color="auto"/>
        <w:left w:val="none" w:sz="0" w:space="0" w:color="auto"/>
        <w:bottom w:val="none" w:sz="0" w:space="0" w:color="auto"/>
        <w:right w:val="none" w:sz="0" w:space="0" w:color="auto"/>
      </w:divBdr>
    </w:div>
    <w:div w:id="1374234891">
      <w:bodyDiv w:val="1"/>
      <w:marLeft w:val="0"/>
      <w:marRight w:val="0"/>
      <w:marTop w:val="0"/>
      <w:marBottom w:val="0"/>
      <w:divBdr>
        <w:top w:val="none" w:sz="0" w:space="0" w:color="auto"/>
        <w:left w:val="none" w:sz="0" w:space="0" w:color="auto"/>
        <w:bottom w:val="none" w:sz="0" w:space="0" w:color="auto"/>
        <w:right w:val="none" w:sz="0" w:space="0" w:color="auto"/>
      </w:divBdr>
    </w:div>
    <w:div w:id="1385986709">
      <w:bodyDiv w:val="1"/>
      <w:marLeft w:val="0"/>
      <w:marRight w:val="0"/>
      <w:marTop w:val="0"/>
      <w:marBottom w:val="0"/>
      <w:divBdr>
        <w:top w:val="none" w:sz="0" w:space="0" w:color="auto"/>
        <w:left w:val="none" w:sz="0" w:space="0" w:color="auto"/>
        <w:bottom w:val="none" w:sz="0" w:space="0" w:color="auto"/>
        <w:right w:val="none" w:sz="0" w:space="0" w:color="auto"/>
      </w:divBdr>
    </w:div>
    <w:div w:id="1392727417">
      <w:bodyDiv w:val="1"/>
      <w:marLeft w:val="0"/>
      <w:marRight w:val="0"/>
      <w:marTop w:val="0"/>
      <w:marBottom w:val="0"/>
      <w:divBdr>
        <w:top w:val="none" w:sz="0" w:space="0" w:color="auto"/>
        <w:left w:val="none" w:sz="0" w:space="0" w:color="auto"/>
        <w:bottom w:val="none" w:sz="0" w:space="0" w:color="auto"/>
        <w:right w:val="none" w:sz="0" w:space="0" w:color="auto"/>
      </w:divBdr>
    </w:div>
    <w:div w:id="1405570977">
      <w:bodyDiv w:val="1"/>
      <w:marLeft w:val="0"/>
      <w:marRight w:val="0"/>
      <w:marTop w:val="0"/>
      <w:marBottom w:val="0"/>
      <w:divBdr>
        <w:top w:val="none" w:sz="0" w:space="0" w:color="auto"/>
        <w:left w:val="none" w:sz="0" w:space="0" w:color="auto"/>
        <w:bottom w:val="none" w:sz="0" w:space="0" w:color="auto"/>
        <w:right w:val="none" w:sz="0" w:space="0" w:color="auto"/>
      </w:divBdr>
    </w:div>
    <w:div w:id="1424304865">
      <w:bodyDiv w:val="1"/>
      <w:marLeft w:val="0"/>
      <w:marRight w:val="0"/>
      <w:marTop w:val="0"/>
      <w:marBottom w:val="0"/>
      <w:divBdr>
        <w:top w:val="none" w:sz="0" w:space="0" w:color="auto"/>
        <w:left w:val="none" w:sz="0" w:space="0" w:color="auto"/>
        <w:bottom w:val="none" w:sz="0" w:space="0" w:color="auto"/>
        <w:right w:val="none" w:sz="0" w:space="0" w:color="auto"/>
      </w:divBdr>
      <w:divsChild>
        <w:div w:id="337853402">
          <w:marLeft w:val="245"/>
          <w:marRight w:val="0"/>
          <w:marTop w:val="0"/>
          <w:marBottom w:val="0"/>
          <w:divBdr>
            <w:top w:val="none" w:sz="0" w:space="0" w:color="auto"/>
            <w:left w:val="none" w:sz="0" w:space="0" w:color="auto"/>
            <w:bottom w:val="none" w:sz="0" w:space="0" w:color="auto"/>
            <w:right w:val="none" w:sz="0" w:space="0" w:color="auto"/>
          </w:divBdr>
        </w:div>
        <w:div w:id="422457979">
          <w:marLeft w:val="245"/>
          <w:marRight w:val="0"/>
          <w:marTop w:val="0"/>
          <w:marBottom w:val="0"/>
          <w:divBdr>
            <w:top w:val="none" w:sz="0" w:space="0" w:color="auto"/>
            <w:left w:val="none" w:sz="0" w:space="0" w:color="auto"/>
            <w:bottom w:val="none" w:sz="0" w:space="0" w:color="auto"/>
            <w:right w:val="none" w:sz="0" w:space="0" w:color="auto"/>
          </w:divBdr>
        </w:div>
        <w:div w:id="1110005993">
          <w:marLeft w:val="245"/>
          <w:marRight w:val="0"/>
          <w:marTop w:val="0"/>
          <w:marBottom w:val="0"/>
          <w:divBdr>
            <w:top w:val="none" w:sz="0" w:space="0" w:color="auto"/>
            <w:left w:val="none" w:sz="0" w:space="0" w:color="auto"/>
            <w:bottom w:val="none" w:sz="0" w:space="0" w:color="auto"/>
            <w:right w:val="none" w:sz="0" w:space="0" w:color="auto"/>
          </w:divBdr>
        </w:div>
        <w:div w:id="1288272039">
          <w:marLeft w:val="245"/>
          <w:marRight w:val="0"/>
          <w:marTop w:val="0"/>
          <w:marBottom w:val="0"/>
          <w:divBdr>
            <w:top w:val="none" w:sz="0" w:space="0" w:color="auto"/>
            <w:left w:val="none" w:sz="0" w:space="0" w:color="auto"/>
            <w:bottom w:val="none" w:sz="0" w:space="0" w:color="auto"/>
            <w:right w:val="none" w:sz="0" w:space="0" w:color="auto"/>
          </w:divBdr>
        </w:div>
        <w:div w:id="2034915386">
          <w:marLeft w:val="245"/>
          <w:marRight w:val="0"/>
          <w:marTop w:val="0"/>
          <w:marBottom w:val="0"/>
          <w:divBdr>
            <w:top w:val="none" w:sz="0" w:space="0" w:color="auto"/>
            <w:left w:val="none" w:sz="0" w:space="0" w:color="auto"/>
            <w:bottom w:val="none" w:sz="0" w:space="0" w:color="auto"/>
            <w:right w:val="none" w:sz="0" w:space="0" w:color="auto"/>
          </w:divBdr>
        </w:div>
      </w:divsChild>
    </w:div>
    <w:div w:id="1429543897">
      <w:bodyDiv w:val="1"/>
      <w:marLeft w:val="0"/>
      <w:marRight w:val="0"/>
      <w:marTop w:val="0"/>
      <w:marBottom w:val="0"/>
      <w:divBdr>
        <w:top w:val="none" w:sz="0" w:space="0" w:color="auto"/>
        <w:left w:val="none" w:sz="0" w:space="0" w:color="auto"/>
        <w:bottom w:val="none" w:sz="0" w:space="0" w:color="auto"/>
        <w:right w:val="none" w:sz="0" w:space="0" w:color="auto"/>
      </w:divBdr>
    </w:div>
    <w:div w:id="1476295572">
      <w:bodyDiv w:val="1"/>
      <w:marLeft w:val="0"/>
      <w:marRight w:val="0"/>
      <w:marTop w:val="0"/>
      <w:marBottom w:val="0"/>
      <w:divBdr>
        <w:top w:val="none" w:sz="0" w:space="0" w:color="auto"/>
        <w:left w:val="none" w:sz="0" w:space="0" w:color="auto"/>
        <w:bottom w:val="none" w:sz="0" w:space="0" w:color="auto"/>
        <w:right w:val="none" w:sz="0" w:space="0" w:color="auto"/>
      </w:divBdr>
    </w:div>
    <w:div w:id="1476995961">
      <w:bodyDiv w:val="1"/>
      <w:marLeft w:val="0"/>
      <w:marRight w:val="0"/>
      <w:marTop w:val="0"/>
      <w:marBottom w:val="0"/>
      <w:divBdr>
        <w:top w:val="none" w:sz="0" w:space="0" w:color="auto"/>
        <w:left w:val="none" w:sz="0" w:space="0" w:color="auto"/>
        <w:bottom w:val="none" w:sz="0" w:space="0" w:color="auto"/>
        <w:right w:val="none" w:sz="0" w:space="0" w:color="auto"/>
      </w:divBdr>
    </w:div>
    <w:div w:id="1492210430">
      <w:bodyDiv w:val="1"/>
      <w:marLeft w:val="0"/>
      <w:marRight w:val="0"/>
      <w:marTop w:val="0"/>
      <w:marBottom w:val="0"/>
      <w:divBdr>
        <w:top w:val="none" w:sz="0" w:space="0" w:color="auto"/>
        <w:left w:val="none" w:sz="0" w:space="0" w:color="auto"/>
        <w:bottom w:val="none" w:sz="0" w:space="0" w:color="auto"/>
        <w:right w:val="none" w:sz="0" w:space="0" w:color="auto"/>
      </w:divBdr>
    </w:div>
    <w:div w:id="1496144145">
      <w:bodyDiv w:val="1"/>
      <w:marLeft w:val="0"/>
      <w:marRight w:val="0"/>
      <w:marTop w:val="0"/>
      <w:marBottom w:val="0"/>
      <w:divBdr>
        <w:top w:val="none" w:sz="0" w:space="0" w:color="auto"/>
        <w:left w:val="none" w:sz="0" w:space="0" w:color="auto"/>
        <w:bottom w:val="none" w:sz="0" w:space="0" w:color="auto"/>
        <w:right w:val="none" w:sz="0" w:space="0" w:color="auto"/>
      </w:divBdr>
    </w:div>
    <w:div w:id="1501233298">
      <w:bodyDiv w:val="1"/>
      <w:marLeft w:val="0"/>
      <w:marRight w:val="0"/>
      <w:marTop w:val="0"/>
      <w:marBottom w:val="0"/>
      <w:divBdr>
        <w:top w:val="none" w:sz="0" w:space="0" w:color="auto"/>
        <w:left w:val="none" w:sz="0" w:space="0" w:color="auto"/>
        <w:bottom w:val="none" w:sz="0" w:space="0" w:color="auto"/>
        <w:right w:val="none" w:sz="0" w:space="0" w:color="auto"/>
      </w:divBdr>
    </w:div>
    <w:div w:id="1503544628">
      <w:bodyDiv w:val="1"/>
      <w:marLeft w:val="0"/>
      <w:marRight w:val="0"/>
      <w:marTop w:val="0"/>
      <w:marBottom w:val="0"/>
      <w:divBdr>
        <w:top w:val="none" w:sz="0" w:space="0" w:color="auto"/>
        <w:left w:val="none" w:sz="0" w:space="0" w:color="auto"/>
        <w:bottom w:val="none" w:sz="0" w:space="0" w:color="auto"/>
        <w:right w:val="none" w:sz="0" w:space="0" w:color="auto"/>
      </w:divBdr>
    </w:div>
    <w:div w:id="1507474281">
      <w:bodyDiv w:val="1"/>
      <w:marLeft w:val="0"/>
      <w:marRight w:val="0"/>
      <w:marTop w:val="0"/>
      <w:marBottom w:val="0"/>
      <w:divBdr>
        <w:top w:val="none" w:sz="0" w:space="0" w:color="auto"/>
        <w:left w:val="none" w:sz="0" w:space="0" w:color="auto"/>
        <w:bottom w:val="none" w:sz="0" w:space="0" w:color="auto"/>
        <w:right w:val="none" w:sz="0" w:space="0" w:color="auto"/>
      </w:divBdr>
    </w:div>
    <w:div w:id="1549998486">
      <w:bodyDiv w:val="1"/>
      <w:marLeft w:val="0"/>
      <w:marRight w:val="0"/>
      <w:marTop w:val="0"/>
      <w:marBottom w:val="0"/>
      <w:divBdr>
        <w:top w:val="none" w:sz="0" w:space="0" w:color="auto"/>
        <w:left w:val="none" w:sz="0" w:space="0" w:color="auto"/>
        <w:bottom w:val="none" w:sz="0" w:space="0" w:color="auto"/>
        <w:right w:val="none" w:sz="0" w:space="0" w:color="auto"/>
      </w:divBdr>
    </w:div>
    <w:div w:id="1550919497">
      <w:bodyDiv w:val="1"/>
      <w:marLeft w:val="0"/>
      <w:marRight w:val="0"/>
      <w:marTop w:val="0"/>
      <w:marBottom w:val="0"/>
      <w:divBdr>
        <w:top w:val="none" w:sz="0" w:space="0" w:color="auto"/>
        <w:left w:val="none" w:sz="0" w:space="0" w:color="auto"/>
        <w:bottom w:val="none" w:sz="0" w:space="0" w:color="auto"/>
        <w:right w:val="none" w:sz="0" w:space="0" w:color="auto"/>
      </w:divBdr>
    </w:div>
    <w:div w:id="1558854990">
      <w:bodyDiv w:val="1"/>
      <w:marLeft w:val="0"/>
      <w:marRight w:val="0"/>
      <w:marTop w:val="0"/>
      <w:marBottom w:val="0"/>
      <w:divBdr>
        <w:top w:val="none" w:sz="0" w:space="0" w:color="auto"/>
        <w:left w:val="none" w:sz="0" w:space="0" w:color="auto"/>
        <w:bottom w:val="none" w:sz="0" w:space="0" w:color="auto"/>
        <w:right w:val="none" w:sz="0" w:space="0" w:color="auto"/>
      </w:divBdr>
    </w:div>
    <w:div w:id="1566719696">
      <w:bodyDiv w:val="1"/>
      <w:marLeft w:val="0"/>
      <w:marRight w:val="0"/>
      <w:marTop w:val="0"/>
      <w:marBottom w:val="0"/>
      <w:divBdr>
        <w:top w:val="none" w:sz="0" w:space="0" w:color="auto"/>
        <w:left w:val="none" w:sz="0" w:space="0" w:color="auto"/>
        <w:bottom w:val="none" w:sz="0" w:space="0" w:color="auto"/>
        <w:right w:val="none" w:sz="0" w:space="0" w:color="auto"/>
      </w:divBdr>
    </w:div>
    <w:div w:id="1611358422">
      <w:bodyDiv w:val="1"/>
      <w:marLeft w:val="0"/>
      <w:marRight w:val="0"/>
      <w:marTop w:val="0"/>
      <w:marBottom w:val="0"/>
      <w:divBdr>
        <w:top w:val="none" w:sz="0" w:space="0" w:color="auto"/>
        <w:left w:val="none" w:sz="0" w:space="0" w:color="auto"/>
        <w:bottom w:val="none" w:sz="0" w:space="0" w:color="auto"/>
        <w:right w:val="none" w:sz="0" w:space="0" w:color="auto"/>
      </w:divBdr>
    </w:div>
    <w:div w:id="1615406358">
      <w:bodyDiv w:val="1"/>
      <w:marLeft w:val="0"/>
      <w:marRight w:val="0"/>
      <w:marTop w:val="0"/>
      <w:marBottom w:val="0"/>
      <w:divBdr>
        <w:top w:val="none" w:sz="0" w:space="0" w:color="auto"/>
        <w:left w:val="none" w:sz="0" w:space="0" w:color="auto"/>
        <w:bottom w:val="none" w:sz="0" w:space="0" w:color="auto"/>
        <w:right w:val="none" w:sz="0" w:space="0" w:color="auto"/>
      </w:divBdr>
    </w:div>
    <w:div w:id="1622957781">
      <w:bodyDiv w:val="1"/>
      <w:marLeft w:val="0"/>
      <w:marRight w:val="0"/>
      <w:marTop w:val="0"/>
      <w:marBottom w:val="0"/>
      <w:divBdr>
        <w:top w:val="none" w:sz="0" w:space="0" w:color="auto"/>
        <w:left w:val="none" w:sz="0" w:space="0" w:color="auto"/>
        <w:bottom w:val="none" w:sz="0" w:space="0" w:color="auto"/>
        <w:right w:val="none" w:sz="0" w:space="0" w:color="auto"/>
      </w:divBdr>
    </w:div>
    <w:div w:id="1632247476">
      <w:bodyDiv w:val="1"/>
      <w:marLeft w:val="0"/>
      <w:marRight w:val="0"/>
      <w:marTop w:val="0"/>
      <w:marBottom w:val="0"/>
      <w:divBdr>
        <w:top w:val="none" w:sz="0" w:space="0" w:color="auto"/>
        <w:left w:val="none" w:sz="0" w:space="0" w:color="auto"/>
        <w:bottom w:val="none" w:sz="0" w:space="0" w:color="auto"/>
        <w:right w:val="none" w:sz="0" w:space="0" w:color="auto"/>
      </w:divBdr>
    </w:div>
    <w:div w:id="1644918937">
      <w:bodyDiv w:val="1"/>
      <w:marLeft w:val="0"/>
      <w:marRight w:val="0"/>
      <w:marTop w:val="0"/>
      <w:marBottom w:val="0"/>
      <w:divBdr>
        <w:top w:val="none" w:sz="0" w:space="0" w:color="auto"/>
        <w:left w:val="none" w:sz="0" w:space="0" w:color="auto"/>
        <w:bottom w:val="none" w:sz="0" w:space="0" w:color="auto"/>
        <w:right w:val="none" w:sz="0" w:space="0" w:color="auto"/>
      </w:divBdr>
    </w:div>
    <w:div w:id="1669867289">
      <w:bodyDiv w:val="1"/>
      <w:marLeft w:val="0"/>
      <w:marRight w:val="0"/>
      <w:marTop w:val="0"/>
      <w:marBottom w:val="0"/>
      <w:divBdr>
        <w:top w:val="none" w:sz="0" w:space="0" w:color="auto"/>
        <w:left w:val="none" w:sz="0" w:space="0" w:color="auto"/>
        <w:bottom w:val="none" w:sz="0" w:space="0" w:color="auto"/>
        <w:right w:val="none" w:sz="0" w:space="0" w:color="auto"/>
      </w:divBdr>
    </w:div>
    <w:div w:id="1672248695">
      <w:bodyDiv w:val="1"/>
      <w:marLeft w:val="0"/>
      <w:marRight w:val="0"/>
      <w:marTop w:val="0"/>
      <w:marBottom w:val="0"/>
      <w:divBdr>
        <w:top w:val="none" w:sz="0" w:space="0" w:color="auto"/>
        <w:left w:val="none" w:sz="0" w:space="0" w:color="auto"/>
        <w:bottom w:val="none" w:sz="0" w:space="0" w:color="auto"/>
        <w:right w:val="none" w:sz="0" w:space="0" w:color="auto"/>
      </w:divBdr>
    </w:div>
    <w:div w:id="1672953527">
      <w:bodyDiv w:val="1"/>
      <w:marLeft w:val="0"/>
      <w:marRight w:val="0"/>
      <w:marTop w:val="0"/>
      <w:marBottom w:val="0"/>
      <w:divBdr>
        <w:top w:val="none" w:sz="0" w:space="0" w:color="auto"/>
        <w:left w:val="none" w:sz="0" w:space="0" w:color="auto"/>
        <w:bottom w:val="none" w:sz="0" w:space="0" w:color="auto"/>
        <w:right w:val="none" w:sz="0" w:space="0" w:color="auto"/>
      </w:divBdr>
    </w:div>
    <w:div w:id="1674339533">
      <w:bodyDiv w:val="1"/>
      <w:marLeft w:val="0"/>
      <w:marRight w:val="0"/>
      <w:marTop w:val="0"/>
      <w:marBottom w:val="0"/>
      <w:divBdr>
        <w:top w:val="none" w:sz="0" w:space="0" w:color="auto"/>
        <w:left w:val="none" w:sz="0" w:space="0" w:color="auto"/>
        <w:bottom w:val="none" w:sz="0" w:space="0" w:color="auto"/>
        <w:right w:val="none" w:sz="0" w:space="0" w:color="auto"/>
      </w:divBdr>
    </w:div>
    <w:div w:id="1681466331">
      <w:bodyDiv w:val="1"/>
      <w:marLeft w:val="0"/>
      <w:marRight w:val="0"/>
      <w:marTop w:val="0"/>
      <w:marBottom w:val="0"/>
      <w:divBdr>
        <w:top w:val="none" w:sz="0" w:space="0" w:color="auto"/>
        <w:left w:val="none" w:sz="0" w:space="0" w:color="auto"/>
        <w:bottom w:val="none" w:sz="0" w:space="0" w:color="auto"/>
        <w:right w:val="none" w:sz="0" w:space="0" w:color="auto"/>
      </w:divBdr>
    </w:div>
    <w:div w:id="1685664391">
      <w:bodyDiv w:val="1"/>
      <w:marLeft w:val="0"/>
      <w:marRight w:val="0"/>
      <w:marTop w:val="0"/>
      <w:marBottom w:val="0"/>
      <w:divBdr>
        <w:top w:val="none" w:sz="0" w:space="0" w:color="auto"/>
        <w:left w:val="none" w:sz="0" w:space="0" w:color="auto"/>
        <w:bottom w:val="none" w:sz="0" w:space="0" w:color="auto"/>
        <w:right w:val="none" w:sz="0" w:space="0" w:color="auto"/>
      </w:divBdr>
    </w:div>
    <w:div w:id="1687831267">
      <w:bodyDiv w:val="1"/>
      <w:marLeft w:val="0"/>
      <w:marRight w:val="0"/>
      <w:marTop w:val="0"/>
      <w:marBottom w:val="0"/>
      <w:divBdr>
        <w:top w:val="none" w:sz="0" w:space="0" w:color="auto"/>
        <w:left w:val="none" w:sz="0" w:space="0" w:color="auto"/>
        <w:bottom w:val="none" w:sz="0" w:space="0" w:color="auto"/>
        <w:right w:val="none" w:sz="0" w:space="0" w:color="auto"/>
      </w:divBdr>
    </w:div>
    <w:div w:id="1693917322">
      <w:bodyDiv w:val="1"/>
      <w:marLeft w:val="0"/>
      <w:marRight w:val="0"/>
      <w:marTop w:val="0"/>
      <w:marBottom w:val="0"/>
      <w:divBdr>
        <w:top w:val="none" w:sz="0" w:space="0" w:color="auto"/>
        <w:left w:val="none" w:sz="0" w:space="0" w:color="auto"/>
        <w:bottom w:val="none" w:sz="0" w:space="0" w:color="auto"/>
        <w:right w:val="none" w:sz="0" w:space="0" w:color="auto"/>
      </w:divBdr>
    </w:div>
    <w:div w:id="1702824297">
      <w:bodyDiv w:val="1"/>
      <w:marLeft w:val="0"/>
      <w:marRight w:val="0"/>
      <w:marTop w:val="0"/>
      <w:marBottom w:val="0"/>
      <w:divBdr>
        <w:top w:val="none" w:sz="0" w:space="0" w:color="auto"/>
        <w:left w:val="none" w:sz="0" w:space="0" w:color="auto"/>
        <w:bottom w:val="none" w:sz="0" w:space="0" w:color="auto"/>
        <w:right w:val="none" w:sz="0" w:space="0" w:color="auto"/>
      </w:divBdr>
    </w:div>
    <w:div w:id="1721200983">
      <w:bodyDiv w:val="1"/>
      <w:marLeft w:val="0"/>
      <w:marRight w:val="0"/>
      <w:marTop w:val="0"/>
      <w:marBottom w:val="0"/>
      <w:divBdr>
        <w:top w:val="none" w:sz="0" w:space="0" w:color="auto"/>
        <w:left w:val="none" w:sz="0" w:space="0" w:color="auto"/>
        <w:bottom w:val="none" w:sz="0" w:space="0" w:color="auto"/>
        <w:right w:val="none" w:sz="0" w:space="0" w:color="auto"/>
      </w:divBdr>
    </w:div>
    <w:div w:id="1722946637">
      <w:bodyDiv w:val="1"/>
      <w:marLeft w:val="0"/>
      <w:marRight w:val="0"/>
      <w:marTop w:val="0"/>
      <w:marBottom w:val="0"/>
      <w:divBdr>
        <w:top w:val="none" w:sz="0" w:space="0" w:color="auto"/>
        <w:left w:val="none" w:sz="0" w:space="0" w:color="auto"/>
        <w:bottom w:val="none" w:sz="0" w:space="0" w:color="auto"/>
        <w:right w:val="none" w:sz="0" w:space="0" w:color="auto"/>
      </w:divBdr>
    </w:div>
    <w:div w:id="1724524088">
      <w:bodyDiv w:val="1"/>
      <w:marLeft w:val="0"/>
      <w:marRight w:val="0"/>
      <w:marTop w:val="0"/>
      <w:marBottom w:val="0"/>
      <w:divBdr>
        <w:top w:val="none" w:sz="0" w:space="0" w:color="auto"/>
        <w:left w:val="none" w:sz="0" w:space="0" w:color="auto"/>
        <w:bottom w:val="none" w:sz="0" w:space="0" w:color="auto"/>
        <w:right w:val="none" w:sz="0" w:space="0" w:color="auto"/>
      </w:divBdr>
    </w:div>
    <w:div w:id="1754279916">
      <w:bodyDiv w:val="1"/>
      <w:marLeft w:val="0"/>
      <w:marRight w:val="0"/>
      <w:marTop w:val="0"/>
      <w:marBottom w:val="0"/>
      <w:divBdr>
        <w:top w:val="none" w:sz="0" w:space="0" w:color="auto"/>
        <w:left w:val="none" w:sz="0" w:space="0" w:color="auto"/>
        <w:bottom w:val="none" w:sz="0" w:space="0" w:color="auto"/>
        <w:right w:val="none" w:sz="0" w:space="0" w:color="auto"/>
      </w:divBdr>
    </w:div>
    <w:div w:id="1782799983">
      <w:bodyDiv w:val="1"/>
      <w:marLeft w:val="0"/>
      <w:marRight w:val="0"/>
      <w:marTop w:val="0"/>
      <w:marBottom w:val="0"/>
      <w:divBdr>
        <w:top w:val="none" w:sz="0" w:space="0" w:color="auto"/>
        <w:left w:val="none" w:sz="0" w:space="0" w:color="auto"/>
        <w:bottom w:val="none" w:sz="0" w:space="0" w:color="auto"/>
        <w:right w:val="none" w:sz="0" w:space="0" w:color="auto"/>
      </w:divBdr>
    </w:div>
    <w:div w:id="1787650650">
      <w:bodyDiv w:val="1"/>
      <w:marLeft w:val="0"/>
      <w:marRight w:val="0"/>
      <w:marTop w:val="0"/>
      <w:marBottom w:val="0"/>
      <w:divBdr>
        <w:top w:val="none" w:sz="0" w:space="0" w:color="auto"/>
        <w:left w:val="none" w:sz="0" w:space="0" w:color="auto"/>
        <w:bottom w:val="none" w:sz="0" w:space="0" w:color="auto"/>
        <w:right w:val="none" w:sz="0" w:space="0" w:color="auto"/>
      </w:divBdr>
    </w:div>
    <w:div w:id="1788307374">
      <w:bodyDiv w:val="1"/>
      <w:marLeft w:val="0"/>
      <w:marRight w:val="0"/>
      <w:marTop w:val="0"/>
      <w:marBottom w:val="0"/>
      <w:divBdr>
        <w:top w:val="none" w:sz="0" w:space="0" w:color="auto"/>
        <w:left w:val="none" w:sz="0" w:space="0" w:color="auto"/>
        <w:bottom w:val="none" w:sz="0" w:space="0" w:color="auto"/>
        <w:right w:val="none" w:sz="0" w:space="0" w:color="auto"/>
      </w:divBdr>
    </w:div>
    <w:div w:id="1789203357">
      <w:bodyDiv w:val="1"/>
      <w:marLeft w:val="0"/>
      <w:marRight w:val="0"/>
      <w:marTop w:val="0"/>
      <w:marBottom w:val="0"/>
      <w:divBdr>
        <w:top w:val="none" w:sz="0" w:space="0" w:color="auto"/>
        <w:left w:val="none" w:sz="0" w:space="0" w:color="auto"/>
        <w:bottom w:val="none" w:sz="0" w:space="0" w:color="auto"/>
        <w:right w:val="none" w:sz="0" w:space="0" w:color="auto"/>
      </w:divBdr>
    </w:div>
    <w:div w:id="1797796643">
      <w:bodyDiv w:val="1"/>
      <w:marLeft w:val="0"/>
      <w:marRight w:val="0"/>
      <w:marTop w:val="0"/>
      <w:marBottom w:val="0"/>
      <w:divBdr>
        <w:top w:val="none" w:sz="0" w:space="0" w:color="auto"/>
        <w:left w:val="none" w:sz="0" w:space="0" w:color="auto"/>
        <w:bottom w:val="none" w:sz="0" w:space="0" w:color="auto"/>
        <w:right w:val="none" w:sz="0" w:space="0" w:color="auto"/>
      </w:divBdr>
    </w:div>
    <w:div w:id="1817800583">
      <w:bodyDiv w:val="1"/>
      <w:marLeft w:val="0"/>
      <w:marRight w:val="0"/>
      <w:marTop w:val="0"/>
      <w:marBottom w:val="0"/>
      <w:divBdr>
        <w:top w:val="none" w:sz="0" w:space="0" w:color="auto"/>
        <w:left w:val="none" w:sz="0" w:space="0" w:color="auto"/>
        <w:bottom w:val="none" w:sz="0" w:space="0" w:color="auto"/>
        <w:right w:val="none" w:sz="0" w:space="0" w:color="auto"/>
      </w:divBdr>
    </w:div>
    <w:div w:id="1863591753">
      <w:bodyDiv w:val="1"/>
      <w:marLeft w:val="0"/>
      <w:marRight w:val="0"/>
      <w:marTop w:val="0"/>
      <w:marBottom w:val="0"/>
      <w:divBdr>
        <w:top w:val="none" w:sz="0" w:space="0" w:color="auto"/>
        <w:left w:val="none" w:sz="0" w:space="0" w:color="auto"/>
        <w:bottom w:val="none" w:sz="0" w:space="0" w:color="auto"/>
        <w:right w:val="none" w:sz="0" w:space="0" w:color="auto"/>
      </w:divBdr>
    </w:div>
    <w:div w:id="1884751984">
      <w:bodyDiv w:val="1"/>
      <w:marLeft w:val="0"/>
      <w:marRight w:val="0"/>
      <w:marTop w:val="0"/>
      <w:marBottom w:val="0"/>
      <w:divBdr>
        <w:top w:val="none" w:sz="0" w:space="0" w:color="auto"/>
        <w:left w:val="none" w:sz="0" w:space="0" w:color="auto"/>
        <w:bottom w:val="none" w:sz="0" w:space="0" w:color="auto"/>
        <w:right w:val="none" w:sz="0" w:space="0" w:color="auto"/>
      </w:divBdr>
    </w:div>
    <w:div w:id="1927962295">
      <w:bodyDiv w:val="1"/>
      <w:marLeft w:val="0"/>
      <w:marRight w:val="0"/>
      <w:marTop w:val="0"/>
      <w:marBottom w:val="0"/>
      <w:divBdr>
        <w:top w:val="none" w:sz="0" w:space="0" w:color="auto"/>
        <w:left w:val="none" w:sz="0" w:space="0" w:color="auto"/>
        <w:bottom w:val="none" w:sz="0" w:space="0" w:color="auto"/>
        <w:right w:val="none" w:sz="0" w:space="0" w:color="auto"/>
      </w:divBdr>
      <w:divsChild>
        <w:div w:id="317611148">
          <w:marLeft w:val="720"/>
          <w:marRight w:val="0"/>
          <w:marTop w:val="0"/>
          <w:marBottom w:val="240"/>
          <w:divBdr>
            <w:top w:val="none" w:sz="0" w:space="0" w:color="auto"/>
            <w:left w:val="none" w:sz="0" w:space="0" w:color="auto"/>
            <w:bottom w:val="none" w:sz="0" w:space="0" w:color="auto"/>
            <w:right w:val="none" w:sz="0" w:space="0" w:color="auto"/>
          </w:divBdr>
        </w:div>
        <w:div w:id="496920621">
          <w:marLeft w:val="720"/>
          <w:marRight w:val="0"/>
          <w:marTop w:val="0"/>
          <w:marBottom w:val="240"/>
          <w:divBdr>
            <w:top w:val="none" w:sz="0" w:space="0" w:color="auto"/>
            <w:left w:val="none" w:sz="0" w:space="0" w:color="auto"/>
            <w:bottom w:val="none" w:sz="0" w:space="0" w:color="auto"/>
            <w:right w:val="none" w:sz="0" w:space="0" w:color="auto"/>
          </w:divBdr>
        </w:div>
        <w:div w:id="1282569278">
          <w:marLeft w:val="720"/>
          <w:marRight w:val="0"/>
          <w:marTop w:val="0"/>
          <w:marBottom w:val="240"/>
          <w:divBdr>
            <w:top w:val="none" w:sz="0" w:space="0" w:color="auto"/>
            <w:left w:val="none" w:sz="0" w:space="0" w:color="auto"/>
            <w:bottom w:val="none" w:sz="0" w:space="0" w:color="auto"/>
            <w:right w:val="none" w:sz="0" w:space="0" w:color="auto"/>
          </w:divBdr>
        </w:div>
        <w:div w:id="1482698348">
          <w:marLeft w:val="720"/>
          <w:marRight w:val="0"/>
          <w:marTop w:val="0"/>
          <w:marBottom w:val="240"/>
          <w:divBdr>
            <w:top w:val="none" w:sz="0" w:space="0" w:color="auto"/>
            <w:left w:val="none" w:sz="0" w:space="0" w:color="auto"/>
            <w:bottom w:val="none" w:sz="0" w:space="0" w:color="auto"/>
            <w:right w:val="none" w:sz="0" w:space="0" w:color="auto"/>
          </w:divBdr>
        </w:div>
        <w:div w:id="1971209630">
          <w:marLeft w:val="720"/>
          <w:marRight w:val="0"/>
          <w:marTop w:val="0"/>
          <w:marBottom w:val="240"/>
          <w:divBdr>
            <w:top w:val="none" w:sz="0" w:space="0" w:color="auto"/>
            <w:left w:val="none" w:sz="0" w:space="0" w:color="auto"/>
            <w:bottom w:val="none" w:sz="0" w:space="0" w:color="auto"/>
            <w:right w:val="none" w:sz="0" w:space="0" w:color="auto"/>
          </w:divBdr>
        </w:div>
        <w:div w:id="2047679039">
          <w:marLeft w:val="720"/>
          <w:marRight w:val="0"/>
          <w:marTop w:val="0"/>
          <w:marBottom w:val="240"/>
          <w:divBdr>
            <w:top w:val="none" w:sz="0" w:space="0" w:color="auto"/>
            <w:left w:val="none" w:sz="0" w:space="0" w:color="auto"/>
            <w:bottom w:val="none" w:sz="0" w:space="0" w:color="auto"/>
            <w:right w:val="none" w:sz="0" w:space="0" w:color="auto"/>
          </w:divBdr>
        </w:div>
      </w:divsChild>
    </w:div>
    <w:div w:id="1958440689">
      <w:bodyDiv w:val="1"/>
      <w:marLeft w:val="0"/>
      <w:marRight w:val="0"/>
      <w:marTop w:val="0"/>
      <w:marBottom w:val="0"/>
      <w:divBdr>
        <w:top w:val="none" w:sz="0" w:space="0" w:color="auto"/>
        <w:left w:val="none" w:sz="0" w:space="0" w:color="auto"/>
        <w:bottom w:val="none" w:sz="0" w:space="0" w:color="auto"/>
        <w:right w:val="none" w:sz="0" w:space="0" w:color="auto"/>
      </w:divBdr>
    </w:div>
    <w:div w:id="1960456216">
      <w:bodyDiv w:val="1"/>
      <w:marLeft w:val="0"/>
      <w:marRight w:val="0"/>
      <w:marTop w:val="0"/>
      <w:marBottom w:val="0"/>
      <w:divBdr>
        <w:top w:val="none" w:sz="0" w:space="0" w:color="auto"/>
        <w:left w:val="none" w:sz="0" w:space="0" w:color="auto"/>
        <w:bottom w:val="none" w:sz="0" w:space="0" w:color="auto"/>
        <w:right w:val="none" w:sz="0" w:space="0" w:color="auto"/>
      </w:divBdr>
    </w:div>
    <w:div w:id="1965426643">
      <w:bodyDiv w:val="1"/>
      <w:marLeft w:val="0"/>
      <w:marRight w:val="0"/>
      <w:marTop w:val="0"/>
      <w:marBottom w:val="0"/>
      <w:divBdr>
        <w:top w:val="none" w:sz="0" w:space="0" w:color="auto"/>
        <w:left w:val="none" w:sz="0" w:space="0" w:color="auto"/>
        <w:bottom w:val="none" w:sz="0" w:space="0" w:color="auto"/>
        <w:right w:val="none" w:sz="0" w:space="0" w:color="auto"/>
      </w:divBdr>
    </w:div>
    <w:div w:id="1995797402">
      <w:bodyDiv w:val="1"/>
      <w:marLeft w:val="0"/>
      <w:marRight w:val="0"/>
      <w:marTop w:val="0"/>
      <w:marBottom w:val="0"/>
      <w:divBdr>
        <w:top w:val="none" w:sz="0" w:space="0" w:color="auto"/>
        <w:left w:val="none" w:sz="0" w:space="0" w:color="auto"/>
        <w:bottom w:val="none" w:sz="0" w:space="0" w:color="auto"/>
        <w:right w:val="none" w:sz="0" w:space="0" w:color="auto"/>
      </w:divBdr>
    </w:div>
    <w:div w:id="2049916899">
      <w:bodyDiv w:val="1"/>
      <w:marLeft w:val="0"/>
      <w:marRight w:val="0"/>
      <w:marTop w:val="0"/>
      <w:marBottom w:val="0"/>
      <w:divBdr>
        <w:top w:val="none" w:sz="0" w:space="0" w:color="auto"/>
        <w:left w:val="none" w:sz="0" w:space="0" w:color="auto"/>
        <w:bottom w:val="none" w:sz="0" w:space="0" w:color="auto"/>
        <w:right w:val="none" w:sz="0" w:space="0" w:color="auto"/>
      </w:divBdr>
    </w:div>
    <w:div w:id="2061898780">
      <w:bodyDiv w:val="1"/>
      <w:marLeft w:val="0"/>
      <w:marRight w:val="0"/>
      <w:marTop w:val="0"/>
      <w:marBottom w:val="0"/>
      <w:divBdr>
        <w:top w:val="none" w:sz="0" w:space="0" w:color="auto"/>
        <w:left w:val="none" w:sz="0" w:space="0" w:color="auto"/>
        <w:bottom w:val="none" w:sz="0" w:space="0" w:color="auto"/>
        <w:right w:val="none" w:sz="0" w:space="0" w:color="auto"/>
      </w:divBdr>
    </w:div>
    <w:div w:id="2066299017">
      <w:bodyDiv w:val="1"/>
      <w:marLeft w:val="0"/>
      <w:marRight w:val="0"/>
      <w:marTop w:val="0"/>
      <w:marBottom w:val="0"/>
      <w:divBdr>
        <w:top w:val="none" w:sz="0" w:space="0" w:color="auto"/>
        <w:left w:val="none" w:sz="0" w:space="0" w:color="auto"/>
        <w:bottom w:val="none" w:sz="0" w:space="0" w:color="auto"/>
        <w:right w:val="none" w:sz="0" w:space="0" w:color="auto"/>
      </w:divBdr>
    </w:div>
    <w:div w:id="2071271742">
      <w:bodyDiv w:val="1"/>
      <w:marLeft w:val="0"/>
      <w:marRight w:val="0"/>
      <w:marTop w:val="0"/>
      <w:marBottom w:val="0"/>
      <w:divBdr>
        <w:top w:val="none" w:sz="0" w:space="0" w:color="auto"/>
        <w:left w:val="none" w:sz="0" w:space="0" w:color="auto"/>
        <w:bottom w:val="none" w:sz="0" w:space="0" w:color="auto"/>
        <w:right w:val="none" w:sz="0" w:space="0" w:color="auto"/>
      </w:divBdr>
    </w:div>
    <w:div w:id="2095591543">
      <w:bodyDiv w:val="1"/>
      <w:marLeft w:val="0"/>
      <w:marRight w:val="0"/>
      <w:marTop w:val="0"/>
      <w:marBottom w:val="0"/>
      <w:divBdr>
        <w:top w:val="none" w:sz="0" w:space="0" w:color="auto"/>
        <w:left w:val="none" w:sz="0" w:space="0" w:color="auto"/>
        <w:bottom w:val="none" w:sz="0" w:space="0" w:color="auto"/>
        <w:right w:val="none" w:sz="0" w:space="0" w:color="auto"/>
      </w:divBdr>
    </w:div>
    <w:div w:id="2112815210">
      <w:bodyDiv w:val="1"/>
      <w:marLeft w:val="0"/>
      <w:marRight w:val="0"/>
      <w:marTop w:val="0"/>
      <w:marBottom w:val="0"/>
      <w:divBdr>
        <w:top w:val="none" w:sz="0" w:space="0" w:color="auto"/>
        <w:left w:val="none" w:sz="0" w:space="0" w:color="auto"/>
        <w:bottom w:val="none" w:sz="0" w:space="0" w:color="auto"/>
        <w:right w:val="none" w:sz="0" w:space="0" w:color="auto"/>
      </w:divBdr>
    </w:div>
    <w:div w:id="2118863134">
      <w:bodyDiv w:val="1"/>
      <w:marLeft w:val="0"/>
      <w:marRight w:val="0"/>
      <w:marTop w:val="0"/>
      <w:marBottom w:val="0"/>
      <w:divBdr>
        <w:top w:val="none" w:sz="0" w:space="0" w:color="auto"/>
        <w:left w:val="none" w:sz="0" w:space="0" w:color="auto"/>
        <w:bottom w:val="none" w:sz="0" w:space="0" w:color="auto"/>
        <w:right w:val="none" w:sz="0" w:space="0" w:color="auto"/>
      </w:divBdr>
    </w:div>
    <w:div w:id="213066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ssprereg.btci.com/prereg/key.process?key=PU4DAXQJL"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flutter.com"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lutter.com/investors"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http://schemas.microsoft.com/sharepoint/v3/fields">2020-08-27T08:54:09+00:00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1E311-38BA-4372-A801-F3F402A57032}"/>
</file>

<file path=customXml/itemProps2.xml><?xml version="1.0" encoding="utf-8"?>
<ds:datastoreItem xmlns:ds="http://schemas.openxmlformats.org/officeDocument/2006/customXml" ds:itemID="{3D06CEC2-F23C-44FA-8194-51273C8FC050}"/>
</file>

<file path=customXml/itemProps3.xml><?xml version="1.0" encoding="utf-8"?>
<ds:datastoreItem xmlns:ds="http://schemas.openxmlformats.org/officeDocument/2006/customXml" ds:itemID="{858AF1DB-AE44-416B-9C8B-E291C00C360F}"/>
</file>

<file path=customXml/itemProps4.xml><?xml version="1.0" encoding="utf-8"?>
<ds:datastoreItem xmlns:ds="http://schemas.openxmlformats.org/officeDocument/2006/customXml" ds:itemID="{60170261-27EC-475E-8B1C-55DF070C78B0}"/>
</file>

<file path=docProps/app.xml><?xml version="1.0" encoding="utf-8"?>
<Properties xmlns="http://schemas.openxmlformats.org/officeDocument/2006/extended-properties" xmlns:vt="http://schemas.openxmlformats.org/officeDocument/2006/docPropsVTypes">
  <Template>Normal</Template>
  <TotalTime>2</TotalTime>
  <Pages>73</Pages>
  <Words>34843</Words>
  <Characters>189463</Characters>
  <Application>Microsoft Office Word</Application>
  <DocSecurity>0</DocSecurity>
  <Lines>1578</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Jennings</dc:creator>
  <cp:lastModifiedBy>Jonathan Seeley</cp:lastModifiedBy>
  <cp:revision>3</cp:revision>
  <cp:lastPrinted>2020-08-26T09:50:00Z</cp:lastPrinted>
  <dcterms:created xsi:type="dcterms:W3CDTF">2020-08-26T17:57:00Z</dcterms:created>
  <dcterms:modified xsi:type="dcterms:W3CDTF">2020-08-26T17:58:00Z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DocType_MarketServicesEquity">
    <vt:lpwstr>Miscellaneous</vt:lpwstr>
  </property>
  <property fmtid="{D5CDD505-2E9C-101B-9397-08002B2CF9AE}" pid="4" name="IssuerName">
    <vt:lpwstr/>
  </property>
  <property fmtid="{D5CDD505-2E9C-101B-9397-08002B2CF9AE}" pid="5" name="MigrateFolderIssueDetected">
    <vt:bool>false</vt:bool>
  </property>
  <property fmtid="{D5CDD505-2E9C-101B-9397-08002B2CF9AE}" pid="6" name="Order">
    <vt:r8>167916300</vt:r8>
  </property>
  <property fmtid="{D5CDD505-2E9C-101B-9397-08002B2CF9AE}" pid="7" name="JobType">
    <vt:lpwstr/>
  </property>
  <property fmtid="{D5CDD505-2E9C-101B-9397-08002B2CF9AE}" pid="8" name="IssuerID">
    <vt:lpwstr/>
  </property>
  <property fmtid="{D5CDD505-2E9C-101B-9397-08002B2CF9AE}" pid="9" name="SendToWeb">
    <vt:bool>false</vt:bool>
  </property>
  <property fmtid="{D5CDD505-2E9C-101B-9397-08002B2CF9AE}" pid="10" name="JobContentType">
    <vt:lpwstr/>
  </property>
  <property fmtid="{D5CDD505-2E9C-101B-9397-08002B2CF9AE}" pid="11" name="Organisation">
    <vt:lpwstr/>
  </property>
  <property fmtid="{D5CDD505-2E9C-101B-9397-08002B2CF9AE}" pid="12" name="Contact">
    <vt:lpwstr/>
  </property>
  <property fmtid="{D5CDD505-2E9C-101B-9397-08002B2CF9AE}" pid="13" name="MigrateFolderIssueDetected0">
    <vt:bool>false</vt:bool>
  </property>
</Properties>
</file>