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B7A0" w14:textId="46123F41" w:rsidR="00FC3366" w:rsidRPr="00035AE3" w:rsidRDefault="003662A0" w:rsidP="00FC3366">
      <w:pPr>
        <w:jc w:val="right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10</w:t>
      </w:r>
      <w:r w:rsidR="00FC336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7C59B9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June</w:t>
      </w:r>
      <w:r w:rsidR="00FC3366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2020</w:t>
      </w:r>
    </w:p>
    <w:p w14:paraId="53B83E67" w14:textId="77777777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Flutter Entertainment plc (the “Company”)</w:t>
      </w:r>
    </w:p>
    <w:p w14:paraId="5E3EE7FB" w14:textId="77777777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Director/PDMR Shareholding</w:t>
      </w:r>
    </w:p>
    <w:p w14:paraId="2E567DF9" w14:textId="77777777" w:rsidR="00FC3366" w:rsidRDefault="00FC3366" w:rsidP="00FC3366">
      <w:pPr>
        <w:jc w:val="center"/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</w:pPr>
      <w:r w:rsidRPr="00035AE3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Notification and public disclosure of transactions by persons discharging managerial responsibilities and persons closely associated with them</w:t>
      </w:r>
    </w:p>
    <w:tbl>
      <w:tblPr>
        <w:tblStyle w:val="LightList-Accent1"/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143"/>
        <w:gridCol w:w="2582"/>
        <w:gridCol w:w="3887"/>
      </w:tblGrid>
      <w:tr w:rsidR="00FC3366" w:rsidRPr="00035AE3" w14:paraId="1B94B15A" w14:textId="77777777" w:rsidTr="00633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shd w:val="clear" w:color="auto" w:fill="auto"/>
          </w:tcPr>
          <w:p w14:paraId="472B819D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4699" w:type="pct"/>
            <w:gridSpan w:val="3"/>
            <w:shd w:val="clear" w:color="auto" w:fill="auto"/>
          </w:tcPr>
          <w:p w14:paraId="6B183ACD" w14:textId="77777777" w:rsidR="00FC3366" w:rsidRPr="00035AE3" w:rsidRDefault="00FC3366" w:rsidP="0063300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Details of the person discharging managerial responsibilities/person closely associated</w:t>
            </w:r>
          </w:p>
        </w:tc>
      </w:tr>
      <w:tr w:rsidR="00FC3366" w:rsidRPr="00035AE3" w14:paraId="2969566C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2648C4F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56677888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Name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A87DE55" w14:textId="771A1219" w:rsidR="00FC3366" w:rsidRPr="00035AE3" w:rsidRDefault="000F1C39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F1C39">
              <w:rPr>
                <w:rFonts w:ascii="Tahoma" w:hAnsi="Tahoma" w:cs="Tahoma"/>
                <w:color w:val="auto"/>
                <w:sz w:val="20"/>
                <w:szCs w:val="20"/>
              </w:rPr>
              <w:t>David Lazzarato</w:t>
            </w:r>
          </w:p>
        </w:tc>
      </w:tr>
      <w:tr w:rsidR="00FC3366" w:rsidRPr="00035AE3" w14:paraId="7392A0BD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49252428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4699" w:type="pct"/>
            <w:gridSpan w:val="3"/>
          </w:tcPr>
          <w:p w14:paraId="30E8F1D7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Reason for the notification</w:t>
            </w:r>
          </w:p>
        </w:tc>
      </w:tr>
      <w:tr w:rsidR="00FC3366" w:rsidRPr="00035AE3" w14:paraId="7BDC750D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B2D787B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7A73F067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Position/status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CDAAAEF" w14:textId="77777777" w:rsidR="00FC3366" w:rsidRPr="00562104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Non-Executive Director</w:t>
            </w:r>
          </w:p>
        </w:tc>
      </w:tr>
      <w:tr w:rsidR="00FC3366" w:rsidRPr="00035AE3" w14:paraId="0C2C78C0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38378F2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</w:tcPr>
          <w:p w14:paraId="75C3B440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Initial notification /Amendment</w:t>
            </w:r>
          </w:p>
        </w:tc>
        <w:tc>
          <w:tcPr>
            <w:tcW w:w="3530" w:type="pct"/>
            <w:gridSpan w:val="2"/>
          </w:tcPr>
          <w:p w14:paraId="6FE7015E" w14:textId="77777777" w:rsidR="00FC3366" w:rsidRPr="00562104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62104">
              <w:rPr>
                <w:rFonts w:ascii="Tahoma" w:hAnsi="Tahoma" w:cs="Tahoma"/>
                <w:color w:val="auto"/>
                <w:sz w:val="20"/>
                <w:szCs w:val="20"/>
              </w:rPr>
              <w:t>Initial Notification</w:t>
            </w:r>
          </w:p>
        </w:tc>
      </w:tr>
      <w:tr w:rsidR="00FC3366" w:rsidRPr="00035AE3" w14:paraId="7414C4D8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210C22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4699" w:type="pct"/>
            <w:gridSpan w:val="3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BDB388A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FC3366" w:rsidRPr="00035AE3" w14:paraId="3FABCC8F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5BD093F2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a)</w:t>
            </w:r>
          </w:p>
        </w:tc>
        <w:tc>
          <w:tcPr>
            <w:tcW w:w="1169" w:type="pct"/>
          </w:tcPr>
          <w:p w14:paraId="6BC87FF5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Name </w:t>
            </w:r>
          </w:p>
        </w:tc>
        <w:tc>
          <w:tcPr>
            <w:tcW w:w="3530" w:type="pct"/>
            <w:gridSpan w:val="2"/>
          </w:tcPr>
          <w:p w14:paraId="05E1BA11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lc</w:t>
            </w:r>
          </w:p>
        </w:tc>
      </w:tr>
      <w:tr w:rsidR="00FC3366" w:rsidRPr="00035AE3" w14:paraId="2A9B73F3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CD34E22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b)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1169536F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LEI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0B27E14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i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635400EG4YIJLJMZJ782</w:t>
            </w:r>
          </w:p>
        </w:tc>
      </w:tr>
      <w:tr w:rsidR="00FC3366" w:rsidRPr="00035AE3" w14:paraId="3B10FA56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28BBEAF9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4699" w:type="pct"/>
            <w:gridSpan w:val="3"/>
          </w:tcPr>
          <w:p w14:paraId="4C32270D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Details of the transaction(s): section to be repeated for (</w:t>
            </w:r>
            <w:proofErr w:type="spellStart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i</w:t>
            </w:r>
            <w:proofErr w:type="spellEnd"/>
            <w:r w:rsidRPr="00035AE3">
              <w:rPr>
                <w:rFonts w:ascii="Tahoma" w:hAnsi="Tahoma" w:cs="Tahoma"/>
                <w:b/>
                <w:color w:val="auto"/>
                <w:sz w:val="20"/>
                <w:szCs w:val="20"/>
              </w:rPr>
              <w:t>) each type of instrument; (ii) each type of transaction; (iii) each date; and (iv) each place where transactions have been conducted</w:t>
            </w:r>
          </w:p>
        </w:tc>
      </w:tr>
      <w:tr w:rsidR="00FC3366" w:rsidRPr="00035AE3" w14:paraId="1FFDEA60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5607C34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a) </w:t>
            </w:r>
          </w:p>
        </w:tc>
        <w:tc>
          <w:tcPr>
            <w:tcW w:w="1169" w:type="pct"/>
            <w:tcBorders>
              <w:top w:val="none" w:sz="0" w:space="0" w:color="auto"/>
              <w:bottom w:val="none" w:sz="0" w:space="0" w:color="auto"/>
            </w:tcBorders>
          </w:tcPr>
          <w:p w14:paraId="31898AE4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Description of the financial instrument, type of instrument</w:t>
            </w:r>
          </w:p>
          <w:p w14:paraId="04A228EB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Identification code</w:t>
            </w:r>
          </w:p>
        </w:tc>
        <w:tc>
          <w:tcPr>
            <w:tcW w:w="3530" w:type="pct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087BE9" w14:textId="77777777" w:rsidR="00FC3366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102FC">
              <w:rPr>
                <w:rFonts w:ascii="Tahoma" w:hAnsi="Tahoma" w:cs="Tahoma"/>
                <w:color w:val="auto"/>
                <w:sz w:val="20"/>
                <w:szCs w:val="20"/>
              </w:rPr>
              <w:t xml:space="preserve">Flutter Entertainment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plc ordinary shares of EUR0.09 each</w:t>
            </w: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(“</w:t>
            </w:r>
            <w:r w:rsidRPr="00FC3366">
              <w:rPr>
                <w:rFonts w:ascii="Tahoma" w:hAnsi="Tahoma" w:cs="Tahoma"/>
                <w:b/>
                <w:color w:val="auto"/>
                <w:sz w:val="20"/>
                <w:szCs w:val="20"/>
              </w:rPr>
              <w:t>Flutter Shares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”)</w:t>
            </w:r>
          </w:p>
          <w:p w14:paraId="4C8690DB" w14:textId="77777777" w:rsidR="00FC3366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16FFB05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IE00BWT6H894</w:t>
            </w:r>
          </w:p>
        </w:tc>
      </w:tr>
      <w:tr w:rsidR="00FC3366" w:rsidRPr="00035AE3" w14:paraId="29FE2BC6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</w:tcPr>
          <w:p w14:paraId="6B152C81" w14:textId="77777777" w:rsidR="00FC3366" w:rsidRPr="00035AE3" w:rsidRDefault="00FC3366" w:rsidP="00633003">
            <w:pPr>
              <w:pStyle w:val="BodyText"/>
              <w:keepNext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b) </w:t>
            </w:r>
          </w:p>
        </w:tc>
        <w:tc>
          <w:tcPr>
            <w:tcW w:w="1169" w:type="pct"/>
          </w:tcPr>
          <w:p w14:paraId="26594395" w14:textId="77777777" w:rsidR="00FC3366" w:rsidRPr="00035AE3" w:rsidRDefault="00FC3366" w:rsidP="00633003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Nature of the transaction</w:t>
            </w:r>
          </w:p>
        </w:tc>
        <w:tc>
          <w:tcPr>
            <w:tcW w:w="3530" w:type="pct"/>
            <w:gridSpan w:val="2"/>
          </w:tcPr>
          <w:p w14:paraId="7551855B" w14:textId="5E73596B" w:rsidR="00BF2234" w:rsidRDefault="002F550C" w:rsidP="00C46711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Following completion </w:t>
            </w:r>
            <w:r w:rsidRPr="00FA1DD7">
              <w:rPr>
                <w:rFonts w:ascii="Tahoma" w:hAnsi="Tahoma" w:cs="Tahoma"/>
                <w:color w:val="auto"/>
                <w:sz w:val="20"/>
                <w:szCs w:val="20"/>
              </w:rPr>
              <w:t xml:space="preserve">of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the</w:t>
            </w:r>
            <w:r w:rsidRPr="00FA1DD7">
              <w:rPr>
                <w:rFonts w:ascii="Tahoma" w:hAnsi="Tahoma" w:cs="Tahoma"/>
                <w:color w:val="auto"/>
                <w:sz w:val="20"/>
                <w:szCs w:val="20"/>
              </w:rPr>
              <w:t xml:space="preserve"> all-share combination between Flutter Entertainment plc and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T</w:t>
            </w:r>
            <w:r w:rsidR="008F504B">
              <w:rPr>
                <w:rFonts w:ascii="Tahoma" w:hAnsi="Tahoma" w:cs="Tahoma"/>
                <w:color w:val="auto"/>
                <w:sz w:val="20"/>
                <w:szCs w:val="20"/>
              </w:rPr>
              <w:t xml:space="preserve">he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S</w:t>
            </w:r>
            <w:r w:rsidR="008F504B">
              <w:rPr>
                <w:rFonts w:ascii="Tahoma" w:hAnsi="Tahoma" w:cs="Tahoma"/>
                <w:color w:val="auto"/>
                <w:sz w:val="20"/>
                <w:szCs w:val="20"/>
              </w:rPr>
              <w:t xml:space="preserve">tars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G</w:t>
            </w:r>
            <w:r w:rsidR="008F504B">
              <w:rPr>
                <w:rFonts w:ascii="Tahoma" w:hAnsi="Tahoma" w:cs="Tahoma"/>
                <w:color w:val="auto"/>
                <w:sz w:val="20"/>
                <w:szCs w:val="20"/>
              </w:rPr>
              <w:t>roup Inc.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on 5 May 2020</w:t>
            </w:r>
            <w:r w:rsidR="001563D0">
              <w:rPr>
                <w:rFonts w:ascii="Tahoma" w:hAnsi="Tahoma" w:cs="Tahoma"/>
                <w:color w:val="auto"/>
                <w:sz w:val="20"/>
                <w:szCs w:val="20"/>
              </w:rPr>
              <w:t xml:space="preserve">, awards grated under the </w:t>
            </w:r>
            <w:r w:rsidR="00DD0CF6" w:rsidRPr="00C76D15">
              <w:rPr>
                <w:rFonts w:ascii="Tahoma" w:hAnsi="Tahoma" w:cs="Tahoma"/>
                <w:color w:val="auto"/>
                <w:sz w:val="20"/>
                <w:szCs w:val="20"/>
              </w:rPr>
              <w:t>201</w:t>
            </w:r>
            <w:r w:rsidR="00DD0CF6">
              <w:rPr>
                <w:rFonts w:ascii="Tahoma" w:hAnsi="Tahoma" w:cs="Tahoma"/>
                <w:color w:val="auto"/>
                <w:sz w:val="20"/>
                <w:szCs w:val="20"/>
              </w:rPr>
              <w:t xml:space="preserve">9 Restricted Share Unit </w:t>
            </w:r>
            <w:r w:rsidR="00707F3C">
              <w:rPr>
                <w:rFonts w:ascii="Tahoma" w:hAnsi="Tahoma" w:cs="Tahoma"/>
                <w:color w:val="auto"/>
                <w:sz w:val="20"/>
                <w:szCs w:val="20"/>
              </w:rPr>
              <w:t>vested and were exercised</w:t>
            </w:r>
            <w:r w:rsidR="008440F4">
              <w:rPr>
                <w:rFonts w:ascii="Tahoma" w:hAnsi="Tahoma" w:cs="Tahoma"/>
                <w:color w:val="auto"/>
                <w:sz w:val="20"/>
                <w:szCs w:val="20"/>
              </w:rPr>
              <w:t>. T</w:t>
            </w:r>
            <w:r w:rsidR="00BF2234">
              <w:rPr>
                <w:rFonts w:ascii="Tahoma" w:hAnsi="Tahoma" w:cs="Tahoma"/>
                <w:color w:val="auto"/>
                <w:sz w:val="20"/>
                <w:szCs w:val="20"/>
              </w:rPr>
              <w:t xml:space="preserve">his is the sale of shares to cover the tax due on </w:t>
            </w:r>
            <w:r w:rsidR="003561A8">
              <w:rPr>
                <w:rFonts w:ascii="Tahoma" w:hAnsi="Tahoma" w:cs="Tahoma"/>
                <w:color w:val="auto"/>
                <w:sz w:val="20"/>
                <w:szCs w:val="20"/>
              </w:rPr>
              <w:t xml:space="preserve">vesting and exercising of these awards. </w:t>
            </w:r>
          </w:p>
          <w:p w14:paraId="49826233" w14:textId="7A66741E" w:rsidR="00B24B0D" w:rsidRPr="00941E04" w:rsidRDefault="00B24B0D" w:rsidP="00C46711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FC3366" w:rsidRPr="00035AE3" w14:paraId="04DA1CBF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6E21E54" w14:textId="77777777" w:rsidR="00FC3366" w:rsidRPr="00035AE3" w:rsidRDefault="00FC3366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 xml:space="preserve">c) </w:t>
            </w:r>
          </w:p>
        </w:tc>
        <w:tc>
          <w:tcPr>
            <w:tcW w:w="1169" w:type="pct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14:paraId="7BB2365B" w14:textId="77777777" w:rsidR="00FC3366" w:rsidRPr="00035AE3" w:rsidRDefault="00FC3366" w:rsidP="00633003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Price(s) and volume(s)</w:t>
            </w:r>
          </w:p>
        </w:tc>
        <w:tc>
          <w:tcPr>
            <w:tcW w:w="1409" w:type="pct"/>
            <w:tcBorders>
              <w:top w:val="none" w:sz="0" w:space="0" w:color="auto"/>
              <w:bottom w:val="none" w:sz="0" w:space="0" w:color="auto"/>
            </w:tcBorders>
          </w:tcPr>
          <w:p w14:paraId="7EDC49F3" w14:textId="77777777" w:rsidR="00FC3366" w:rsidRPr="00941E04" w:rsidRDefault="00FC3366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Price(s)</w:t>
            </w:r>
          </w:p>
        </w:tc>
        <w:tc>
          <w:tcPr>
            <w:tcW w:w="212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0DEA15" w14:textId="77777777" w:rsidR="00FC3366" w:rsidRPr="00941E04" w:rsidRDefault="00FC3366" w:rsidP="00633003">
            <w:pPr>
              <w:pStyle w:val="BodyText"/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/>
                <w:color w:val="auto"/>
                <w:sz w:val="20"/>
                <w:szCs w:val="20"/>
              </w:rPr>
              <w:t>Volume(s)</w:t>
            </w:r>
          </w:p>
        </w:tc>
      </w:tr>
      <w:tr w:rsidR="00FC3366" w:rsidRPr="00035AE3" w14:paraId="5D3A930B" w14:textId="77777777" w:rsidTr="00633003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vMerge/>
            <w:tcBorders>
              <w:bottom w:val="single" w:sz="4" w:space="0" w:color="auto"/>
            </w:tcBorders>
          </w:tcPr>
          <w:p w14:paraId="3E8D7B31" w14:textId="77777777" w:rsidR="00FC3366" w:rsidRPr="00035AE3" w:rsidRDefault="00FC3366" w:rsidP="00633003">
            <w:pPr>
              <w:pStyle w:val="BodyText"/>
              <w:spacing w:after="0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bottom w:val="single" w:sz="4" w:space="0" w:color="auto"/>
            </w:tcBorders>
          </w:tcPr>
          <w:p w14:paraId="54BBDC4B" w14:textId="77777777" w:rsidR="00FC3366" w:rsidRPr="00035AE3" w:rsidRDefault="00FC3366" w:rsidP="0063300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409" w:type="pct"/>
            <w:tcBorders>
              <w:bottom w:val="single" w:sz="4" w:space="0" w:color="auto"/>
            </w:tcBorders>
          </w:tcPr>
          <w:p w14:paraId="45FF0CC0" w14:textId="6C2DEA74" w:rsidR="00FC3366" w:rsidRPr="0050141D" w:rsidRDefault="003662A0" w:rsidP="00FC3366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£114.00</w:t>
            </w:r>
          </w:p>
        </w:tc>
        <w:tc>
          <w:tcPr>
            <w:tcW w:w="2121" w:type="pct"/>
            <w:tcBorders>
              <w:bottom w:val="single" w:sz="4" w:space="0" w:color="auto"/>
            </w:tcBorders>
          </w:tcPr>
          <w:p w14:paraId="649903FB" w14:textId="7536FA18" w:rsidR="00FC3366" w:rsidRPr="00941E04" w:rsidRDefault="003662A0" w:rsidP="00EA52AF">
            <w:pPr>
              <w:pStyle w:val="BodyText"/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668</w:t>
            </w:r>
            <w:bookmarkStart w:id="0" w:name="_GoBack"/>
            <w:bookmarkEnd w:id="0"/>
          </w:p>
        </w:tc>
      </w:tr>
      <w:tr w:rsidR="00FC3366" w:rsidRPr="00035AE3" w14:paraId="4F51C175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7E530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d)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34903443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Aggregated information</w:t>
            </w:r>
          </w:p>
          <w:p w14:paraId="1B31AF4E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Aggregated volume</w:t>
            </w:r>
          </w:p>
          <w:p w14:paraId="5C1F0951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- Price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5B4B" w14:textId="77777777" w:rsidR="00FC3366" w:rsidRPr="00941E04" w:rsidRDefault="00FC3366" w:rsidP="00FC3366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217C112F" w14:textId="77777777" w:rsidR="00FC3366" w:rsidRDefault="00FC3366" w:rsidP="00FC336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72194AA6" w14:textId="4BCB048E" w:rsidR="004E03CB" w:rsidRPr="00941E04" w:rsidRDefault="005764C4" w:rsidP="00FC336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N/A</w:t>
            </w:r>
          </w:p>
        </w:tc>
      </w:tr>
      <w:tr w:rsidR="00FC3366" w:rsidRPr="00035AE3" w14:paraId="2F16F1DE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788CA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e)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1AC75459" w14:textId="77777777" w:rsidR="00FC3366" w:rsidRPr="00035AE3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Date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9F30" w14:textId="7312347F" w:rsidR="00FC3366" w:rsidRPr="009E68FA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2020-0</w:t>
            </w:r>
            <w:r w:rsidR="00EA52AF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-05</w:t>
            </w:r>
          </w:p>
        </w:tc>
      </w:tr>
      <w:tr w:rsidR="00FC3366" w:rsidRPr="00035AE3" w14:paraId="26598458" w14:textId="77777777" w:rsidTr="00633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9AE30" w14:textId="77777777" w:rsidR="00FC3366" w:rsidRPr="00035AE3" w:rsidRDefault="00FC3366" w:rsidP="00633003">
            <w:pPr>
              <w:pStyle w:val="BodyText"/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f)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0BAC276E" w14:textId="77777777" w:rsidR="00FC3366" w:rsidRPr="00035AE3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35AE3">
              <w:rPr>
                <w:rFonts w:ascii="Tahoma" w:hAnsi="Tahoma" w:cs="Tahoma"/>
                <w:color w:val="auto"/>
                <w:sz w:val="20"/>
                <w:szCs w:val="20"/>
              </w:rPr>
              <w:t>Place of the transaction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F15" w14:textId="77777777" w:rsidR="00FC3366" w:rsidRPr="009E68FA" w:rsidRDefault="00FC3366" w:rsidP="00633003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B4D64">
              <w:rPr>
                <w:rFonts w:ascii="Tahoma" w:hAnsi="Tahoma" w:cs="Tahoma"/>
                <w:color w:val="auto"/>
                <w:sz w:val="20"/>
                <w:szCs w:val="20"/>
              </w:rPr>
              <w:t>Outside a trading venue</w:t>
            </w:r>
          </w:p>
        </w:tc>
      </w:tr>
      <w:tr w:rsidR="00FC3366" w:rsidRPr="00035AE3" w14:paraId="519946B4" w14:textId="77777777" w:rsidTr="006330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6E408" w14:textId="77777777" w:rsidR="00FC3366" w:rsidRPr="00941E04" w:rsidRDefault="00FC3366" w:rsidP="00633003">
            <w:pPr>
              <w:pStyle w:val="BodyTex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b w:val="0"/>
                <w:color w:val="auto"/>
                <w:sz w:val="20"/>
                <w:szCs w:val="20"/>
              </w:rPr>
              <w:t>g)</w:t>
            </w:r>
          </w:p>
        </w:tc>
        <w:tc>
          <w:tcPr>
            <w:tcW w:w="1169" w:type="pct"/>
            <w:tcBorders>
              <w:top w:val="single" w:sz="4" w:space="0" w:color="auto"/>
              <w:bottom w:val="single" w:sz="4" w:space="0" w:color="auto"/>
            </w:tcBorders>
          </w:tcPr>
          <w:p w14:paraId="7BD6EC5B" w14:textId="77777777" w:rsidR="00FC3366" w:rsidRPr="00941E04" w:rsidRDefault="00FC3366" w:rsidP="0063300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41E04">
              <w:rPr>
                <w:rFonts w:ascii="Tahoma" w:hAnsi="Tahoma" w:cs="Tahoma"/>
                <w:color w:val="auto"/>
                <w:sz w:val="20"/>
                <w:szCs w:val="20"/>
              </w:rPr>
              <w:t>Additional information</w:t>
            </w:r>
          </w:p>
        </w:tc>
        <w:tc>
          <w:tcPr>
            <w:tcW w:w="353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22F7" w14:textId="77777777" w:rsidR="00FC3366" w:rsidRPr="00941E04" w:rsidRDefault="00FC3366" w:rsidP="00017C7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14:paraId="003A5397" w14:textId="77777777" w:rsidR="00FC3366" w:rsidRDefault="00FC3366" w:rsidP="00FC3366">
      <w:pPr>
        <w:spacing w:after="160" w:line="259" w:lineRule="auto"/>
        <w:rPr>
          <w:rFonts w:ascii="Tahoma" w:hAnsi="Tahoma" w:cs="Tahoma"/>
          <w:b/>
          <w:color w:val="auto"/>
          <w:sz w:val="20"/>
          <w:szCs w:val="20"/>
          <w:u w:val="single"/>
        </w:rPr>
      </w:pPr>
    </w:p>
    <w:p w14:paraId="58A5866B" w14:textId="77777777" w:rsidR="000B1437" w:rsidRDefault="000B1437"/>
    <w:sectPr w:rsidR="000B1437" w:rsidSect="00486CEC">
      <w:pgSz w:w="11906" w:h="16838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752"/>
    <w:multiLevelType w:val="hybridMultilevel"/>
    <w:tmpl w:val="35E4C0C2"/>
    <w:lvl w:ilvl="0" w:tplc="4C34B8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5D6B"/>
    <w:multiLevelType w:val="hybridMultilevel"/>
    <w:tmpl w:val="E5C09210"/>
    <w:lvl w:ilvl="0" w:tplc="BFF6D5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73B8B"/>
    <w:multiLevelType w:val="hybridMultilevel"/>
    <w:tmpl w:val="9C82C95A"/>
    <w:lvl w:ilvl="0" w:tplc="FAC27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62537"/>
    <w:multiLevelType w:val="hybridMultilevel"/>
    <w:tmpl w:val="D9C26F52"/>
    <w:lvl w:ilvl="0" w:tplc="504A8A3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66"/>
    <w:rsid w:val="00017C72"/>
    <w:rsid w:val="000A0128"/>
    <w:rsid w:val="000B1437"/>
    <w:rsid w:val="000F1C39"/>
    <w:rsid w:val="001563D0"/>
    <w:rsid w:val="002200C9"/>
    <w:rsid w:val="002C4F5C"/>
    <w:rsid w:val="002F550C"/>
    <w:rsid w:val="003561A8"/>
    <w:rsid w:val="003662A0"/>
    <w:rsid w:val="00375D8B"/>
    <w:rsid w:val="00386730"/>
    <w:rsid w:val="003B4592"/>
    <w:rsid w:val="004233D8"/>
    <w:rsid w:val="004E03CB"/>
    <w:rsid w:val="005764C4"/>
    <w:rsid w:val="005A7AE1"/>
    <w:rsid w:val="00616D48"/>
    <w:rsid w:val="006E551E"/>
    <w:rsid w:val="00707F3C"/>
    <w:rsid w:val="007C59B9"/>
    <w:rsid w:val="00830422"/>
    <w:rsid w:val="008440F4"/>
    <w:rsid w:val="00871863"/>
    <w:rsid w:val="008748BF"/>
    <w:rsid w:val="008A4D4C"/>
    <w:rsid w:val="008F504B"/>
    <w:rsid w:val="009C1002"/>
    <w:rsid w:val="00A17CB0"/>
    <w:rsid w:val="00A91C81"/>
    <w:rsid w:val="00AA027D"/>
    <w:rsid w:val="00B24B0D"/>
    <w:rsid w:val="00BC50A0"/>
    <w:rsid w:val="00BF2234"/>
    <w:rsid w:val="00C15924"/>
    <w:rsid w:val="00C3551C"/>
    <w:rsid w:val="00C46711"/>
    <w:rsid w:val="00C76D15"/>
    <w:rsid w:val="00CD7934"/>
    <w:rsid w:val="00DA2F93"/>
    <w:rsid w:val="00DD0CF6"/>
    <w:rsid w:val="00E83DAE"/>
    <w:rsid w:val="00E9306C"/>
    <w:rsid w:val="00EA52AF"/>
    <w:rsid w:val="00F469C0"/>
    <w:rsid w:val="00F73BC0"/>
    <w:rsid w:val="00FA1DD7"/>
    <w:rsid w:val="00FA45C3"/>
    <w:rsid w:val="00FC3366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5AF7"/>
  <w15:chartTrackingRefBased/>
  <w15:docId w15:val="{7978501C-49B7-4051-BA1E-F5985ACE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366"/>
    <w:pPr>
      <w:spacing w:after="120" w:line="240" w:lineRule="exact"/>
    </w:pPr>
    <w:rPr>
      <w:rFonts w:ascii="Georgia" w:hAnsi="Georgia"/>
      <w:color w:val="4472C4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FC3366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FC3366"/>
    <w:rPr>
      <w:rFonts w:ascii="Georgia" w:hAnsi="Georgia"/>
      <w:color w:val="4472C4" w:themeColor="accent1"/>
      <w:sz w:val="18"/>
    </w:rPr>
  </w:style>
  <w:style w:type="table" w:styleId="LightList-Accent1">
    <w:name w:val="Light List Accent 1"/>
    <w:basedOn w:val="TableNormal"/>
    <w:uiPriority w:val="61"/>
    <w:rsid w:val="00FC336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C5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0A0"/>
    <w:rPr>
      <w:rFonts w:ascii="Georgia" w:hAnsi="Georgia"/>
      <w:color w:val="4472C4" w:themeColor="accen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0A0"/>
    <w:rPr>
      <w:rFonts w:ascii="Georgia" w:hAnsi="Georgia"/>
      <w:b/>
      <w:bCs/>
      <w:color w:val="4472C4" w:themeColor="accen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0A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A0"/>
    <w:rPr>
      <w:rFonts w:ascii="Segoe UI" w:hAnsi="Segoe UI" w:cs="Segoe UI"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Received xmlns="http://schemas.microsoft.com/sharepoint/v3/fields">2020-06-10T09:25:33+00:00</DateReceived>
    <JobId xmlns="http://schemas.microsoft.com/sharepoint/v3/fields" xsi:nil="true"/>
    <SendToFR xmlns="http://schemas.microsoft.com/sharepoint/v3/fields">false</SendToFR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62D2F7D-F3EF-4F30-8B27-B6B14720A8FC}"/>
</file>

<file path=customXml/itemProps2.xml><?xml version="1.0" encoding="utf-8"?>
<ds:datastoreItem xmlns:ds="http://schemas.openxmlformats.org/officeDocument/2006/customXml" ds:itemID="{27EAAD98-5500-4B24-9C47-7D85A6D80AC2}"/>
</file>

<file path=customXml/itemProps3.xml><?xml version="1.0" encoding="utf-8"?>
<ds:datastoreItem xmlns:ds="http://schemas.openxmlformats.org/officeDocument/2006/customXml" ds:itemID="{97D73DB3-7AE9-4C76-B9B0-BE7B96296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Seeley</dc:creator>
  <cp:keywords/>
  <dc:description/>
  <cp:lastModifiedBy>Fiona Gildea</cp:lastModifiedBy>
  <cp:revision>4</cp:revision>
  <dcterms:created xsi:type="dcterms:W3CDTF">2020-06-03T19:54:00Z</dcterms:created>
  <dcterms:modified xsi:type="dcterms:W3CDTF">2020-06-10T08:26:00Z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MarketServicesEquity">
    <vt:lpwstr>Miscellaneous</vt:lpwstr>
  </property>
  <property fmtid="{D5CDD505-2E9C-101B-9397-08002B2CF9AE}" pid="4" name="IssuerName">
    <vt:lpwstr/>
  </property>
  <property fmtid="{D5CDD505-2E9C-101B-9397-08002B2CF9AE}" pid="5" name="MigrateFolderIssueDetected">
    <vt:bool>false</vt:bool>
  </property>
  <property fmtid="{D5CDD505-2E9C-101B-9397-08002B2CF9AE}" pid="6" name="Order">
    <vt:r8>63874100</vt:r8>
  </property>
  <property fmtid="{D5CDD505-2E9C-101B-9397-08002B2CF9AE}" pid="7" name="JobType">
    <vt:lpwstr/>
  </property>
  <property fmtid="{D5CDD505-2E9C-101B-9397-08002B2CF9AE}" pid="8" name="IssuerID">
    <vt:lpwstr/>
  </property>
  <property fmtid="{D5CDD505-2E9C-101B-9397-08002B2CF9AE}" pid="9" name="SendToWeb">
    <vt:bool>false</vt:bool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Contact">
    <vt:lpwstr/>
  </property>
  <property fmtid="{D5CDD505-2E9C-101B-9397-08002B2CF9AE}" pid="13" name="MigrateFolderIssueDetected0">
    <vt:bool>false</vt:bool>
  </property>
</Properties>
</file>