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89555" w14:textId="77777777" w:rsidR="00BD7A0A" w:rsidRDefault="00C7590C" w:rsidP="00D650E0">
      <w:pPr>
        <w:pStyle w:val="Heading2"/>
        <w:spacing w:before="80" w:after="40"/>
        <w:ind w:left="102" w:right="99"/>
        <w:jc w:val="center"/>
        <w:rPr>
          <w:sz w:val="24"/>
        </w:rPr>
      </w:pPr>
      <w:bookmarkStart w:id="0" w:name="_GoBack"/>
      <w:bookmarkEnd w:id="0"/>
      <w:r>
        <w:rPr>
          <w:noProof/>
          <w:lang w:val="en-IE" w:eastAsia="en-IE"/>
        </w:rPr>
        <w:drawing>
          <wp:inline distT="0" distB="0" distL="0" distR="0" wp14:anchorId="6252B0DD" wp14:editId="19580832">
            <wp:extent cx="1543050" cy="4953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050" cy="495300"/>
                    </a:xfrm>
                    <a:prstGeom prst="rect">
                      <a:avLst/>
                    </a:prstGeom>
                    <a:noFill/>
                    <a:ln>
                      <a:noFill/>
                    </a:ln>
                  </pic:spPr>
                </pic:pic>
              </a:graphicData>
            </a:graphic>
          </wp:inline>
        </w:drawing>
      </w:r>
    </w:p>
    <w:p w14:paraId="0D15B0D4" w14:textId="77777777" w:rsidR="00BD7A0A" w:rsidRDefault="00BD7A0A" w:rsidP="00BD7A0A">
      <w:pPr>
        <w:spacing w:before="97"/>
        <w:ind w:left="2678"/>
        <w:jc w:val="both"/>
        <w:rPr>
          <w:rFonts w:ascii="Calibri" w:eastAsia="Calibri" w:hAnsi="Calibri" w:cs="Calibri"/>
          <w:sz w:val="24"/>
          <w:szCs w:val="24"/>
        </w:rPr>
      </w:pPr>
      <w:r>
        <w:rPr>
          <w:noProof/>
          <w:lang w:eastAsia="en-GB"/>
        </w:rPr>
        <w:t xml:space="preserve">      </w:t>
      </w:r>
      <w:r>
        <w:rPr>
          <w:rFonts w:ascii="Times New Roman" w:eastAsia="Times New Roman" w:hAnsi="Times New Roman" w:cs="Times New Roman"/>
          <w:sz w:val="20"/>
          <w:szCs w:val="20"/>
        </w:rPr>
        <w:t xml:space="preserve">                                                                                                      </w:t>
      </w:r>
      <w:r w:rsidR="00FF55B3">
        <w:rPr>
          <w:rFonts w:ascii="Calibri" w:eastAsia="Calibri" w:hAnsi="Calibri" w:cs="Calibri"/>
          <w:b/>
          <w:bCs/>
          <w:spacing w:val="-4"/>
          <w:sz w:val="24"/>
          <w:szCs w:val="24"/>
        </w:rPr>
        <w:t>17 April 2020</w:t>
      </w:r>
    </w:p>
    <w:p w14:paraId="142D6B6B" w14:textId="77777777" w:rsidR="00923ABD" w:rsidRDefault="00BD7A0A" w:rsidP="008410FC">
      <w:pPr>
        <w:pStyle w:val="Heading2"/>
        <w:spacing w:before="80" w:after="40"/>
        <w:ind w:left="102" w:right="99"/>
        <w:jc w:val="center"/>
        <w:rPr>
          <w:sz w:val="24"/>
        </w:rPr>
      </w:pPr>
      <w:r w:rsidRPr="00D650E0">
        <w:rPr>
          <w:sz w:val="24"/>
        </w:rPr>
        <w:t>Q</w:t>
      </w:r>
      <w:r w:rsidR="001E1542">
        <w:rPr>
          <w:sz w:val="24"/>
        </w:rPr>
        <w:t>1</w:t>
      </w:r>
      <w:r w:rsidRPr="00D650E0">
        <w:rPr>
          <w:sz w:val="24"/>
        </w:rPr>
        <w:t xml:space="preserve"> 20</w:t>
      </w:r>
      <w:r w:rsidR="001E1542">
        <w:rPr>
          <w:sz w:val="24"/>
        </w:rPr>
        <w:t xml:space="preserve">20 </w:t>
      </w:r>
      <w:r w:rsidRPr="00934BEC">
        <w:rPr>
          <w:sz w:val="24"/>
        </w:rPr>
        <w:t>Tr</w:t>
      </w:r>
      <w:r w:rsidRPr="00D650E0">
        <w:rPr>
          <w:sz w:val="24"/>
        </w:rPr>
        <w:t>ad</w:t>
      </w:r>
      <w:r w:rsidRPr="00934BEC">
        <w:rPr>
          <w:sz w:val="24"/>
        </w:rPr>
        <w:t>i</w:t>
      </w:r>
      <w:r w:rsidRPr="00D650E0">
        <w:rPr>
          <w:sz w:val="24"/>
        </w:rPr>
        <w:t>n</w:t>
      </w:r>
      <w:r w:rsidRPr="00934BEC">
        <w:rPr>
          <w:sz w:val="24"/>
        </w:rPr>
        <w:t>g Up</w:t>
      </w:r>
      <w:r w:rsidRPr="00D650E0">
        <w:rPr>
          <w:sz w:val="24"/>
        </w:rPr>
        <w:t>da</w:t>
      </w:r>
      <w:r w:rsidRPr="00934BEC">
        <w:rPr>
          <w:sz w:val="24"/>
        </w:rPr>
        <w:t>te</w:t>
      </w:r>
      <w:r w:rsidR="00AC1769">
        <w:rPr>
          <w:sz w:val="24"/>
        </w:rPr>
        <w:t xml:space="preserve"> </w:t>
      </w:r>
    </w:p>
    <w:p w14:paraId="2D7E9667" w14:textId="0834A298" w:rsidR="00BD7A0A" w:rsidRPr="000D1B85" w:rsidRDefault="00B9658F" w:rsidP="008410FC">
      <w:pPr>
        <w:pStyle w:val="Heading2"/>
        <w:spacing w:before="80" w:after="40"/>
        <w:ind w:left="102" w:right="99"/>
        <w:jc w:val="center"/>
        <w:rPr>
          <w:sz w:val="23"/>
          <w:szCs w:val="23"/>
        </w:rPr>
      </w:pPr>
      <w:r>
        <w:rPr>
          <w:sz w:val="23"/>
          <w:szCs w:val="23"/>
        </w:rPr>
        <w:t>R</w:t>
      </w:r>
      <w:r w:rsidR="001A3B17" w:rsidRPr="000D1B85">
        <w:rPr>
          <w:sz w:val="23"/>
          <w:szCs w:val="23"/>
        </w:rPr>
        <w:t>evenue</w:t>
      </w:r>
      <w:r w:rsidR="00925AB2" w:rsidRPr="000D1B85">
        <w:rPr>
          <w:sz w:val="23"/>
          <w:szCs w:val="23"/>
        </w:rPr>
        <w:t xml:space="preserve"> growth of </w:t>
      </w:r>
      <w:r w:rsidR="00481F7C">
        <w:rPr>
          <w:sz w:val="23"/>
          <w:szCs w:val="23"/>
        </w:rPr>
        <w:t>29%</w:t>
      </w:r>
      <w:r>
        <w:rPr>
          <w:sz w:val="23"/>
          <w:szCs w:val="23"/>
        </w:rPr>
        <w:t xml:space="preserve"> </w:t>
      </w:r>
      <w:r w:rsidR="001D11D3">
        <w:rPr>
          <w:sz w:val="23"/>
          <w:szCs w:val="23"/>
        </w:rPr>
        <w:t>pre sport</w:t>
      </w:r>
      <w:r w:rsidR="00C13F4B">
        <w:rPr>
          <w:sz w:val="23"/>
          <w:szCs w:val="23"/>
        </w:rPr>
        <w:t>s</w:t>
      </w:r>
      <w:r w:rsidR="001D11D3">
        <w:rPr>
          <w:sz w:val="23"/>
          <w:szCs w:val="23"/>
        </w:rPr>
        <w:t xml:space="preserve"> disruption</w:t>
      </w:r>
      <w:r w:rsidR="000B785F" w:rsidRPr="000D1B85">
        <w:rPr>
          <w:sz w:val="23"/>
          <w:szCs w:val="23"/>
        </w:rPr>
        <w:t>;</w:t>
      </w:r>
      <w:r>
        <w:rPr>
          <w:sz w:val="23"/>
          <w:szCs w:val="23"/>
        </w:rPr>
        <w:t xml:space="preserve"> </w:t>
      </w:r>
      <w:r w:rsidR="00555B65">
        <w:rPr>
          <w:sz w:val="23"/>
          <w:szCs w:val="23"/>
        </w:rPr>
        <w:t xml:space="preserve">subsequent </w:t>
      </w:r>
      <w:r w:rsidR="009531DE">
        <w:rPr>
          <w:sz w:val="23"/>
          <w:szCs w:val="23"/>
        </w:rPr>
        <w:t xml:space="preserve">trading </w:t>
      </w:r>
      <w:r w:rsidR="00C13F4B">
        <w:rPr>
          <w:sz w:val="23"/>
          <w:szCs w:val="23"/>
        </w:rPr>
        <w:t>ahead of</w:t>
      </w:r>
      <w:r w:rsidR="009531DE">
        <w:rPr>
          <w:sz w:val="23"/>
          <w:szCs w:val="23"/>
        </w:rPr>
        <w:t xml:space="preserve"> </w:t>
      </w:r>
      <w:r w:rsidR="002252CC">
        <w:rPr>
          <w:sz w:val="23"/>
          <w:szCs w:val="23"/>
        </w:rPr>
        <w:t xml:space="preserve">revised </w:t>
      </w:r>
      <w:r w:rsidR="009531DE">
        <w:rPr>
          <w:sz w:val="23"/>
          <w:szCs w:val="23"/>
        </w:rPr>
        <w:t>expect</w:t>
      </w:r>
      <w:r w:rsidR="00C13F4B">
        <w:rPr>
          <w:sz w:val="23"/>
          <w:szCs w:val="23"/>
        </w:rPr>
        <w:t>ations</w:t>
      </w:r>
    </w:p>
    <w:p w14:paraId="6C5CBF89" w14:textId="77777777" w:rsidR="0029010D" w:rsidRDefault="009C07B9" w:rsidP="00BF0D88">
      <w:pPr>
        <w:pStyle w:val="BodyText"/>
        <w:spacing w:after="120" w:line="266" w:lineRule="exact"/>
        <w:ind w:left="142" w:right="113"/>
        <w:jc w:val="both"/>
        <w:rPr>
          <w:rFonts w:cs="Calibri"/>
          <w:sz w:val="21"/>
          <w:szCs w:val="21"/>
        </w:rPr>
      </w:pPr>
      <w:r>
        <w:rPr>
          <w:sz w:val="21"/>
          <w:szCs w:val="21"/>
        </w:rPr>
        <w:t xml:space="preserve">Flutter </w:t>
      </w:r>
      <w:r w:rsidR="00F10DB5">
        <w:rPr>
          <w:sz w:val="21"/>
          <w:szCs w:val="21"/>
        </w:rPr>
        <w:t xml:space="preserve">Entertainment plc </w:t>
      </w:r>
      <w:r w:rsidR="00AC3FE7" w:rsidRPr="00763F71">
        <w:rPr>
          <w:spacing w:val="-3"/>
          <w:sz w:val="21"/>
          <w:szCs w:val="21"/>
        </w:rPr>
        <w:t>(</w:t>
      </w:r>
      <w:r w:rsidR="00AC3FE7" w:rsidRPr="00763F71">
        <w:rPr>
          <w:sz w:val="21"/>
          <w:szCs w:val="21"/>
        </w:rPr>
        <w:t>the</w:t>
      </w:r>
      <w:r w:rsidR="00AC3FE7" w:rsidRPr="00763F71">
        <w:rPr>
          <w:spacing w:val="-7"/>
          <w:sz w:val="21"/>
          <w:szCs w:val="21"/>
        </w:rPr>
        <w:t xml:space="preserve"> </w:t>
      </w:r>
      <w:r w:rsidR="00AC3FE7" w:rsidRPr="00763F71">
        <w:rPr>
          <w:rFonts w:cs="Calibri"/>
          <w:spacing w:val="1"/>
          <w:sz w:val="21"/>
          <w:szCs w:val="21"/>
        </w:rPr>
        <w:t>“</w:t>
      </w:r>
      <w:r w:rsidR="00AC3FE7" w:rsidRPr="00763F71">
        <w:rPr>
          <w:rFonts w:cs="Calibri"/>
          <w:sz w:val="21"/>
          <w:szCs w:val="21"/>
        </w:rPr>
        <w:t>G</w:t>
      </w:r>
      <w:r w:rsidR="00AC3FE7" w:rsidRPr="00763F71">
        <w:rPr>
          <w:rFonts w:cs="Calibri"/>
          <w:spacing w:val="-3"/>
          <w:sz w:val="21"/>
          <w:szCs w:val="21"/>
        </w:rPr>
        <w:t>r</w:t>
      </w:r>
      <w:r w:rsidR="00AC3FE7" w:rsidRPr="00763F71">
        <w:rPr>
          <w:rFonts w:cs="Calibri"/>
          <w:spacing w:val="1"/>
          <w:sz w:val="21"/>
          <w:szCs w:val="21"/>
        </w:rPr>
        <w:t>o</w:t>
      </w:r>
      <w:r w:rsidR="00AC3FE7" w:rsidRPr="00763F71">
        <w:rPr>
          <w:rFonts w:cs="Calibri"/>
          <w:spacing w:val="-1"/>
          <w:sz w:val="21"/>
          <w:szCs w:val="21"/>
        </w:rPr>
        <w:t>up</w:t>
      </w:r>
      <w:r w:rsidR="00AC3FE7" w:rsidRPr="00763F71">
        <w:rPr>
          <w:rFonts w:cs="Calibri"/>
          <w:spacing w:val="1"/>
          <w:sz w:val="21"/>
          <w:szCs w:val="21"/>
        </w:rPr>
        <w:t>”</w:t>
      </w:r>
      <w:r w:rsidR="00AC3FE7" w:rsidRPr="00763F71">
        <w:rPr>
          <w:rFonts w:cs="Calibri"/>
          <w:sz w:val="21"/>
          <w:szCs w:val="21"/>
        </w:rPr>
        <w:t>)</w:t>
      </w:r>
      <w:r w:rsidR="00AC3FE7" w:rsidRPr="00763F71">
        <w:rPr>
          <w:rFonts w:cs="Calibri"/>
          <w:spacing w:val="-6"/>
          <w:sz w:val="21"/>
          <w:szCs w:val="21"/>
        </w:rPr>
        <w:t xml:space="preserve"> </w:t>
      </w:r>
      <w:r w:rsidR="00AC3FE7" w:rsidRPr="00763F71">
        <w:rPr>
          <w:sz w:val="21"/>
          <w:szCs w:val="21"/>
        </w:rPr>
        <w:t>a</w:t>
      </w:r>
      <w:r w:rsidR="00AC3FE7" w:rsidRPr="00763F71">
        <w:rPr>
          <w:spacing w:val="-1"/>
          <w:sz w:val="21"/>
          <w:szCs w:val="21"/>
        </w:rPr>
        <w:t>nn</w:t>
      </w:r>
      <w:r w:rsidR="00AC3FE7" w:rsidRPr="00763F71">
        <w:rPr>
          <w:spacing w:val="1"/>
          <w:sz w:val="21"/>
          <w:szCs w:val="21"/>
        </w:rPr>
        <w:t>o</w:t>
      </w:r>
      <w:r w:rsidR="00AC3FE7" w:rsidRPr="00763F71">
        <w:rPr>
          <w:spacing w:val="-1"/>
          <w:sz w:val="21"/>
          <w:szCs w:val="21"/>
        </w:rPr>
        <w:t>un</w:t>
      </w:r>
      <w:r w:rsidR="00AC3FE7" w:rsidRPr="00763F71">
        <w:rPr>
          <w:spacing w:val="-3"/>
          <w:sz w:val="21"/>
          <w:szCs w:val="21"/>
        </w:rPr>
        <w:t>c</w:t>
      </w:r>
      <w:r w:rsidR="00AC3FE7" w:rsidRPr="00763F71">
        <w:rPr>
          <w:spacing w:val="-2"/>
          <w:sz w:val="21"/>
          <w:szCs w:val="21"/>
        </w:rPr>
        <w:t>e</w:t>
      </w:r>
      <w:r w:rsidR="00AC3FE7" w:rsidRPr="00763F71">
        <w:rPr>
          <w:sz w:val="21"/>
          <w:szCs w:val="21"/>
        </w:rPr>
        <w:t>s</w:t>
      </w:r>
      <w:r w:rsidR="00AC3FE7" w:rsidRPr="00763F71">
        <w:rPr>
          <w:spacing w:val="-5"/>
          <w:sz w:val="21"/>
          <w:szCs w:val="21"/>
        </w:rPr>
        <w:t xml:space="preserve"> </w:t>
      </w:r>
      <w:r w:rsidR="00AC3FE7" w:rsidRPr="00763F71">
        <w:rPr>
          <w:sz w:val="21"/>
          <w:szCs w:val="21"/>
        </w:rPr>
        <w:t>a</w:t>
      </w:r>
      <w:r w:rsidR="00AC3FE7" w:rsidRPr="00763F71">
        <w:rPr>
          <w:spacing w:val="-7"/>
          <w:sz w:val="21"/>
          <w:szCs w:val="21"/>
        </w:rPr>
        <w:t xml:space="preserve"> </w:t>
      </w:r>
      <w:r w:rsidR="00AC3FE7" w:rsidRPr="00763F71">
        <w:rPr>
          <w:sz w:val="21"/>
          <w:szCs w:val="21"/>
        </w:rPr>
        <w:t>tra</w:t>
      </w:r>
      <w:r w:rsidR="00AC3FE7" w:rsidRPr="00763F71">
        <w:rPr>
          <w:spacing w:val="-1"/>
          <w:sz w:val="21"/>
          <w:szCs w:val="21"/>
        </w:rPr>
        <w:t>d</w:t>
      </w:r>
      <w:r w:rsidR="00AC3FE7" w:rsidRPr="00763F71">
        <w:rPr>
          <w:sz w:val="21"/>
          <w:szCs w:val="21"/>
        </w:rPr>
        <w:t>i</w:t>
      </w:r>
      <w:r w:rsidR="00AC3FE7" w:rsidRPr="00763F71">
        <w:rPr>
          <w:spacing w:val="-2"/>
          <w:sz w:val="21"/>
          <w:szCs w:val="21"/>
        </w:rPr>
        <w:t>n</w:t>
      </w:r>
      <w:r w:rsidR="00AC3FE7" w:rsidRPr="00763F71">
        <w:rPr>
          <w:sz w:val="21"/>
          <w:szCs w:val="21"/>
        </w:rPr>
        <w:t>g</w:t>
      </w:r>
      <w:r w:rsidR="00AC3FE7" w:rsidRPr="00763F71">
        <w:rPr>
          <w:spacing w:val="-5"/>
          <w:sz w:val="21"/>
          <w:szCs w:val="21"/>
        </w:rPr>
        <w:t xml:space="preserve"> </w:t>
      </w:r>
      <w:r w:rsidR="00AC3FE7" w:rsidRPr="00763F71">
        <w:rPr>
          <w:spacing w:val="-1"/>
          <w:sz w:val="21"/>
          <w:szCs w:val="21"/>
        </w:rPr>
        <w:t>upd</w:t>
      </w:r>
      <w:r w:rsidR="00AC3FE7" w:rsidRPr="00763F71">
        <w:rPr>
          <w:sz w:val="21"/>
          <w:szCs w:val="21"/>
        </w:rPr>
        <w:t>a</w:t>
      </w:r>
      <w:r w:rsidR="00AC3FE7" w:rsidRPr="00763F71">
        <w:rPr>
          <w:spacing w:val="-3"/>
          <w:sz w:val="21"/>
          <w:szCs w:val="21"/>
        </w:rPr>
        <w:t>t</w:t>
      </w:r>
      <w:r w:rsidR="00AC3FE7" w:rsidRPr="00763F71">
        <w:rPr>
          <w:sz w:val="21"/>
          <w:szCs w:val="21"/>
        </w:rPr>
        <w:t>e</w:t>
      </w:r>
      <w:r w:rsidR="00AC3FE7" w:rsidRPr="00763F71">
        <w:rPr>
          <w:spacing w:val="-4"/>
          <w:sz w:val="21"/>
          <w:szCs w:val="21"/>
        </w:rPr>
        <w:t xml:space="preserve"> </w:t>
      </w:r>
      <w:r w:rsidR="00AC3FE7" w:rsidRPr="00763F71">
        <w:rPr>
          <w:spacing w:val="-3"/>
          <w:sz w:val="21"/>
          <w:szCs w:val="21"/>
        </w:rPr>
        <w:t>f</w:t>
      </w:r>
      <w:r w:rsidR="00AC3FE7" w:rsidRPr="00763F71">
        <w:rPr>
          <w:spacing w:val="1"/>
          <w:sz w:val="21"/>
          <w:szCs w:val="21"/>
        </w:rPr>
        <w:t>o</w:t>
      </w:r>
      <w:r w:rsidR="00AC3FE7" w:rsidRPr="00763F71">
        <w:rPr>
          <w:sz w:val="21"/>
          <w:szCs w:val="21"/>
        </w:rPr>
        <w:t>r</w:t>
      </w:r>
      <w:r w:rsidR="00AC3FE7" w:rsidRPr="00763F71">
        <w:rPr>
          <w:spacing w:val="-7"/>
          <w:sz w:val="21"/>
          <w:szCs w:val="21"/>
        </w:rPr>
        <w:t xml:space="preserve"> </w:t>
      </w:r>
      <w:r w:rsidR="00AC3FE7" w:rsidRPr="00763F71">
        <w:rPr>
          <w:sz w:val="21"/>
          <w:szCs w:val="21"/>
        </w:rPr>
        <w:t>the</w:t>
      </w:r>
      <w:r w:rsidR="00AC3FE7" w:rsidRPr="00763F71">
        <w:rPr>
          <w:spacing w:val="-7"/>
          <w:sz w:val="21"/>
          <w:szCs w:val="21"/>
        </w:rPr>
        <w:t xml:space="preserve"> </w:t>
      </w:r>
      <w:r w:rsidR="00AC3FE7" w:rsidRPr="00763F71">
        <w:rPr>
          <w:spacing w:val="-2"/>
          <w:sz w:val="21"/>
          <w:szCs w:val="21"/>
        </w:rPr>
        <w:t>t</w:t>
      </w:r>
      <w:r w:rsidR="00AC3FE7" w:rsidRPr="00763F71">
        <w:rPr>
          <w:spacing w:val="-1"/>
          <w:sz w:val="21"/>
          <w:szCs w:val="21"/>
        </w:rPr>
        <w:t>h</w:t>
      </w:r>
      <w:r w:rsidR="00AC3FE7" w:rsidRPr="00763F71">
        <w:rPr>
          <w:sz w:val="21"/>
          <w:szCs w:val="21"/>
        </w:rPr>
        <w:t>ree</w:t>
      </w:r>
      <w:r w:rsidR="00A5291F" w:rsidRPr="00763F71">
        <w:rPr>
          <w:spacing w:val="-6"/>
          <w:sz w:val="21"/>
          <w:szCs w:val="21"/>
        </w:rPr>
        <w:t xml:space="preserve"> </w:t>
      </w:r>
      <w:r w:rsidR="00AC3FE7" w:rsidRPr="00763F71">
        <w:rPr>
          <w:spacing w:val="-2"/>
          <w:sz w:val="21"/>
          <w:szCs w:val="21"/>
        </w:rPr>
        <w:t>m</w:t>
      </w:r>
      <w:r w:rsidR="00AC3FE7" w:rsidRPr="00763F71">
        <w:rPr>
          <w:spacing w:val="1"/>
          <w:sz w:val="21"/>
          <w:szCs w:val="21"/>
        </w:rPr>
        <w:t>o</w:t>
      </w:r>
      <w:r w:rsidR="00AC3FE7" w:rsidRPr="00763F71">
        <w:rPr>
          <w:spacing w:val="-1"/>
          <w:sz w:val="21"/>
          <w:szCs w:val="21"/>
        </w:rPr>
        <w:t>n</w:t>
      </w:r>
      <w:r w:rsidR="00AC3FE7" w:rsidRPr="00763F71">
        <w:rPr>
          <w:sz w:val="21"/>
          <w:szCs w:val="21"/>
        </w:rPr>
        <w:t>th</w:t>
      </w:r>
      <w:r w:rsidR="00A5291F" w:rsidRPr="00763F71">
        <w:rPr>
          <w:sz w:val="21"/>
          <w:szCs w:val="21"/>
        </w:rPr>
        <w:t>s</w:t>
      </w:r>
      <w:r w:rsidR="00AC3FE7" w:rsidRPr="00763F71">
        <w:rPr>
          <w:spacing w:val="-8"/>
          <w:sz w:val="21"/>
          <w:szCs w:val="21"/>
        </w:rPr>
        <w:t xml:space="preserve"> </w:t>
      </w:r>
      <w:r w:rsidR="00AC3FE7" w:rsidRPr="00763F71">
        <w:rPr>
          <w:sz w:val="21"/>
          <w:szCs w:val="21"/>
        </w:rPr>
        <w:t>en</w:t>
      </w:r>
      <w:r w:rsidR="00AC3FE7" w:rsidRPr="00763F71">
        <w:rPr>
          <w:spacing w:val="-2"/>
          <w:sz w:val="21"/>
          <w:szCs w:val="21"/>
        </w:rPr>
        <w:t>de</w:t>
      </w:r>
      <w:r w:rsidR="00AC3FE7" w:rsidRPr="00763F71">
        <w:rPr>
          <w:sz w:val="21"/>
          <w:szCs w:val="21"/>
        </w:rPr>
        <w:t xml:space="preserve">d </w:t>
      </w:r>
      <w:r w:rsidR="001E1542">
        <w:rPr>
          <w:rFonts w:cs="Calibri"/>
          <w:sz w:val="21"/>
          <w:szCs w:val="21"/>
        </w:rPr>
        <w:t>31 March 2020</w:t>
      </w:r>
      <w:r w:rsidR="00A5291F" w:rsidRPr="00A5291F">
        <w:rPr>
          <w:rFonts w:cs="Calibri"/>
          <w:sz w:val="21"/>
          <w:szCs w:val="21"/>
        </w:rPr>
        <w:t>.</w:t>
      </w:r>
    </w:p>
    <w:tbl>
      <w:tblPr>
        <w:tblpPr w:leftFromText="180" w:rightFromText="180" w:vertAnchor="text" w:horzAnchor="margin" w:tblpX="83" w:tblpY="88"/>
        <w:tblW w:w="977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3256"/>
        <w:gridCol w:w="1559"/>
        <w:gridCol w:w="1559"/>
        <w:gridCol w:w="1418"/>
        <w:gridCol w:w="1984"/>
      </w:tblGrid>
      <w:tr w:rsidR="0011120D" w14:paraId="1C009DF2" w14:textId="77777777" w:rsidTr="004F0FC6">
        <w:trPr>
          <w:trHeight w:hRule="exact" w:val="573"/>
        </w:trPr>
        <w:tc>
          <w:tcPr>
            <w:tcW w:w="3256" w:type="dxa"/>
            <w:vAlign w:val="center"/>
          </w:tcPr>
          <w:p w14:paraId="3D2CEDF8" w14:textId="77777777" w:rsidR="0011120D" w:rsidRPr="00B53FDB" w:rsidRDefault="0011120D" w:rsidP="004F1B46">
            <w:pPr>
              <w:pStyle w:val="TableParagraph"/>
              <w:spacing w:line="204" w:lineRule="exact"/>
              <w:ind w:left="1134" w:hanging="1083"/>
              <w:rPr>
                <w:rFonts w:ascii="Calibri" w:eastAsia="Calibri" w:hAnsi="Calibri" w:cs="Calibri"/>
                <w:sz w:val="19"/>
                <w:szCs w:val="19"/>
              </w:rPr>
            </w:pPr>
            <w:r w:rsidRPr="00DA70ED">
              <w:rPr>
                <w:rFonts w:ascii="Calibri" w:eastAsia="Calibri" w:hAnsi="Calibri" w:cs="Calibri"/>
                <w:bCs/>
                <w:i/>
                <w:sz w:val="19"/>
                <w:szCs w:val="19"/>
              </w:rPr>
              <w:t>Unaudited</w:t>
            </w:r>
            <w:r>
              <w:rPr>
                <w:rFonts w:ascii="Calibri" w:eastAsia="Calibri" w:hAnsi="Calibri" w:cs="Calibri"/>
                <w:bCs/>
                <w:i/>
                <w:sz w:val="19"/>
                <w:szCs w:val="19"/>
              </w:rPr>
              <w:t xml:space="preserve"> £m</w:t>
            </w:r>
            <w:r w:rsidRPr="00DA70ED">
              <w:rPr>
                <w:rFonts w:ascii="Calibri" w:eastAsia="Calibri" w:hAnsi="Calibri" w:cs="Calibri"/>
                <w:bCs/>
                <w:i/>
                <w:sz w:val="19"/>
                <w:szCs w:val="19"/>
              </w:rPr>
              <w:t xml:space="preserve">   </w:t>
            </w:r>
          </w:p>
        </w:tc>
        <w:tc>
          <w:tcPr>
            <w:tcW w:w="1559" w:type="dxa"/>
            <w:tcMar>
              <w:top w:w="28" w:type="dxa"/>
              <w:left w:w="28" w:type="dxa"/>
              <w:bottom w:w="28" w:type="dxa"/>
              <w:right w:w="28" w:type="dxa"/>
            </w:tcMar>
            <w:vAlign w:val="center"/>
          </w:tcPr>
          <w:p w14:paraId="7FB21F07" w14:textId="77777777" w:rsidR="0011120D" w:rsidRPr="00B53FDB" w:rsidRDefault="0011120D" w:rsidP="0011120D">
            <w:pPr>
              <w:pStyle w:val="TableParagraph"/>
              <w:spacing w:before="1" w:line="238" w:lineRule="auto"/>
              <w:ind w:left="1134" w:right="41" w:hanging="1083"/>
              <w:jc w:val="center"/>
              <w:rPr>
                <w:rFonts w:ascii="Calibri" w:eastAsia="Calibri" w:hAnsi="Calibri" w:cs="Calibri"/>
                <w:b/>
                <w:bCs/>
                <w:sz w:val="19"/>
                <w:szCs w:val="19"/>
              </w:rPr>
            </w:pPr>
            <w:r>
              <w:rPr>
                <w:rFonts w:ascii="Calibri" w:eastAsia="Calibri" w:hAnsi="Calibri" w:cs="Calibri"/>
                <w:b/>
                <w:bCs/>
                <w:sz w:val="19"/>
                <w:szCs w:val="19"/>
              </w:rPr>
              <w:t>Q1 2020</w:t>
            </w:r>
          </w:p>
        </w:tc>
        <w:tc>
          <w:tcPr>
            <w:tcW w:w="1559" w:type="dxa"/>
            <w:tcMar>
              <w:top w:w="28" w:type="dxa"/>
              <w:left w:w="28" w:type="dxa"/>
              <w:bottom w:w="28" w:type="dxa"/>
              <w:right w:w="28" w:type="dxa"/>
            </w:tcMar>
            <w:vAlign w:val="center"/>
          </w:tcPr>
          <w:p w14:paraId="6F5D4ADF" w14:textId="77777777" w:rsidR="0011120D" w:rsidRPr="00B53FDB" w:rsidRDefault="0011120D" w:rsidP="0011120D">
            <w:pPr>
              <w:pStyle w:val="TableParagraph"/>
              <w:spacing w:before="1" w:line="238" w:lineRule="auto"/>
              <w:ind w:left="1134" w:right="41" w:hanging="1083"/>
              <w:jc w:val="center"/>
              <w:rPr>
                <w:rFonts w:ascii="Calibri" w:eastAsia="Calibri" w:hAnsi="Calibri" w:cs="Calibri"/>
                <w:b/>
                <w:bCs/>
                <w:sz w:val="19"/>
                <w:szCs w:val="19"/>
              </w:rPr>
            </w:pPr>
            <w:r>
              <w:rPr>
                <w:rFonts w:ascii="Calibri" w:eastAsia="Calibri" w:hAnsi="Calibri" w:cs="Calibri"/>
                <w:b/>
                <w:bCs/>
                <w:sz w:val="19"/>
                <w:szCs w:val="19"/>
              </w:rPr>
              <w:t>Q1 2019</w:t>
            </w:r>
          </w:p>
        </w:tc>
        <w:tc>
          <w:tcPr>
            <w:tcW w:w="1418" w:type="dxa"/>
            <w:vAlign w:val="center"/>
          </w:tcPr>
          <w:p w14:paraId="690E4C9D" w14:textId="77777777" w:rsidR="0011120D" w:rsidRPr="00DA70ED" w:rsidRDefault="0011120D" w:rsidP="0011120D">
            <w:pPr>
              <w:pStyle w:val="TableParagraph"/>
              <w:spacing w:before="1" w:line="238" w:lineRule="auto"/>
              <w:ind w:left="1134" w:right="41" w:hanging="1083"/>
              <w:jc w:val="center"/>
              <w:rPr>
                <w:rFonts w:ascii="Calibri" w:eastAsia="Calibri" w:hAnsi="Calibri" w:cs="Calibri"/>
                <w:b/>
                <w:bCs/>
                <w:sz w:val="19"/>
                <w:szCs w:val="19"/>
              </w:rPr>
            </w:pPr>
            <w:r>
              <w:rPr>
                <w:rFonts w:ascii="Calibri" w:eastAsia="Calibri" w:hAnsi="Calibri" w:cs="Calibri"/>
                <w:b/>
                <w:bCs/>
                <w:sz w:val="19"/>
                <w:szCs w:val="19"/>
              </w:rPr>
              <w:t>YoY %</w:t>
            </w:r>
            <w:r w:rsidR="004F1B46">
              <w:rPr>
                <w:rFonts w:ascii="Calibri" w:eastAsia="Calibri" w:hAnsi="Calibri" w:cs="Calibri"/>
                <w:b/>
                <w:bCs/>
                <w:sz w:val="19"/>
                <w:szCs w:val="19"/>
                <w:vertAlign w:val="superscript"/>
              </w:rPr>
              <w:t>1</w:t>
            </w:r>
          </w:p>
        </w:tc>
        <w:tc>
          <w:tcPr>
            <w:tcW w:w="1984" w:type="dxa"/>
            <w:tcMar>
              <w:top w:w="28" w:type="dxa"/>
              <w:left w:w="28" w:type="dxa"/>
              <w:bottom w:w="28" w:type="dxa"/>
              <w:right w:w="28" w:type="dxa"/>
            </w:tcMar>
            <w:vAlign w:val="center"/>
          </w:tcPr>
          <w:p w14:paraId="649E09C3" w14:textId="77777777" w:rsidR="0011120D" w:rsidRDefault="0011120D" w:rsidP="0011120D">
            <w:pPr>
              <w:pStyle w:val="TableParagraph"/>
              <w:spacing w:before="1" w:line="238" w:lineRule="auto"/>
              <w:ind w:left="1134" w:right="41" w:hanging="1083"/>
              <w:jc w:val="center"/>
              <w:rPr>
                <w:rFonts w:ascii="Calibri" w:eastAsia="Calibri" w:hAnsi="Calibri" w:cs="Calibri"/>
                <w:b/>
                <w:bCs/>
                <w:sz w:val="19"/>
                <w:szCs w:val="19"/>
              </w:rPr>
            </w:pPr>
            <w:r>
              <w:rPr>
                <w:rFonts w:ascii="Calibri" w:eastAsia="Calibri" w:hAnsi="Calibri" w:cs="Calibri"/>
                <w:b/>
                <w:bCs/>
                <w:sz w:val="19"/>
                <w:szCs w:val="19"/>
              </w:rPr>
              <w:t>Pre-</w:t>
            </w:r>
            <w:r w:rsidR="00D562E5">
              <w:rPr>
                <w:rFonts w:ascii="Calibri" w:eastAsia="Calibri" w:hAnsi="Calibri" w:cs="Calibri"/>
                <w:b/>
                <w:bCs/>
                <w:sz w:val="19"/>
                <w:szCs w:val="19"/>
              </w:rPr>
              <w:t>March 15</w:t>
            </w:r>
            <w:r w:rsidR="004F1B46">
              <w:rPr>
                <w:rFonts w:ascii="Calibri" w:eastAsia="Calibri" w:hAnsi="Calibri" w:cs="Calibri"/>
                <w:b/>
                <w:bCs/>
                <w:sz w:val="19"/>
                <w:szCs w:val="19"/>
                <w:vertAlign w:val="superscript"/>
              </w:rPr>
              <w:t>2</w:t>
            </w:r>
          </w:p>
          <w:p w14:paraId="1DE958CE" w14:textId="77777777" w:rsidR="0011120D" w:rsidRPr="00DA70ED" w:rsidRDefault="0011120D" w:rsidP="0011120D">
            <w:pPr>
              <w:pStyle w:val="TableParagraph"/>
              <w:spacing w:before="1" w:line="238" w:lineRule="auto"/>
              <w:ind w:left="1134" w:right="41" w:hanging="1083"/>
              <w:jc w:val="center"/>
              <w:rPr>
                <w:rFonts w:ascii="Calibri" w:eastAsia="Calibri" w:hAnsi="Calibri" w:cs="Calibri"/>
                <w:b/>
                <w:bCs/>
                <w:sz w:val="19"/>
                <w:szCs w:val="19"/>
              </w:rPr>
            </w:pPr>
            <w:r>
              <w:rPr>
                <w:rFonts w:ascii="Calibri" w:eastAsia="Calibri" w:hAnsi="Calibri" w:cs="Calibri"/>
                <w:b/>
                <w:bCs/>
                <w:sz w:val="19"/>
                <w:szCs w:val="19"/>
              </w:rPr>
              <w:t>YoY %</w:t>
            </w:r>
            <w:r w:rsidR="004F1B46" w:rsidRPr="004F1B46">
              <w:rPr>
                <w:rFonts w:ascii="Calibri" w:eastAsia="Calibri" w:hAnsi="Calibri" w:cs="Calibri"/>
                <w:b/>
                <w:bCs/>
                <w:sz w:val="19"/>
                <w:szCs w:val="19"/>
                <w:vertAlign w:val="superscript"/>
              </w:rPr>
              <w:t>1</w:t>
            </w:r>
          </w:p>
        </w:tc>
      </w:tr>
      <w:tr w:rsidR="0011120D" w:rsidRPr="005B4924" w14:paraId="6B111278" w14:textId="77777777" w:rsidTr="004F0FC6">
        <w:trPr>
          <w:trHeight w:val="255"/>
        </w:trPr>
        <w:tc>
          <w:tcPr>
            <w:tcW w:w="3256" w:type="dxa"/>
            <w:vAlign w:val="center"/>
          </w:tcPr>
          <w:p w14:paraId="5EB80ED9" w14:textId="77777777" w:rsidR="0011120D" w:rsidRPr="00112451" w:rsidRDefault="0011120D" w:rsidP="0011120D">
            <w:pPr>
              <w:pStyle w:val="TableParagraph"/>
              <w:spacing w:line="204" w:lineRule="exact"/>
              <w:ind w:left="1134" w:hanging="1083"/>
              <w:rPr>
                <w:rFonts w:ascii="Calibri" w:eastAsia="Calibri" w:hAnsi="Calibri" w:cs="Calibri"/>
                <w:sz w:val="19"/>
                <w:szCs w:val="19"/>
              </w:rPr>
            </w:pPr>
            <w:r w:rsidRPr="00112451">
              <w:rPr>
                <w:rFonts w:ascii="Calibri" w:eastAsia="Calibri" w:hAnsi="Calibri" w:cs="Calibri"/>
                <w:sz w:val="19"/>
                <w:szCs w:val="19"/>
              </w:rPr>
              <w:t>Sports revenue</w:t>
            </w:r>
          </w:p>
        </w:tc>
        <w:tc>
          <w:tcPr>
            <w:tcW w:w="1559" w:type="dxa"/>
            <w:tcBorders>
              <w:bottom w:val="nil"/>
            </w:tcBorders>
            <w:tcMar>
              <w:top w:w="28" w:type="dxa"/>
              <w:left w:w="28" w:type="dxa"/>
              <w:bottom w:w="28" w:type="dxa"/>
              <w:right w:w="28" w:type="dxa"/>
            </w:tcMar>
            <w:vAlign w:val="center"/>
          </w:tcPr>
          <w:p w14:paraId="561E950A" w14:textId="77777777" w:rsidR="0011120D" w:rsidRPr="00FF0A78" w:rsidRDefault="0011120D" w:rsidP="0011120D">
            <w:pPr>
              <w:ind w:left="1134" w:right="41" w:hanging="1083"/>
              <w:jc w:val="center"/>
              <w:rPr>
                <w:sz w:val="19"/>
                <w:szCs w:val="19"/>
              </w:rPr>
            </w:pPr>
            <w:r>
              <w:rPr>
                <w:sz w:val="19"/>
                <w:szCs w:val="19"/>
              </w:rPr>
              <w:t>407</w:t>
            </w:r>
          </w:p>
        </w:tc>
        <w:tc>
          <w:tcPr>
            <w:tcW w:w="1559" w:type="dxa"/>
            <w:tcBorders>
              <w:bottom w:val="nil"/>
            </w:tcBorders>
            <w:tcMar>
              <w:top w:w="28" w:type="dxa"/>
              <w:left w:w="28" w:type="dxa"/>
              <w:bottom w:w="28" w:type="dxa"/>
              <w:right w:w="28" w:type="dxa"/>
            </w:tcMar>
            <w:vAlign w:val="center"/>
          </w:tcPr>
          <w:p w14:paraId="6E488449" w14:textId="77777777" w:rsidR="0011120D" w:rsidRPr="00FF0A78" w:rsidRDefault="0011120D" w:rsidP="0011120D">
            <w:pPr>
              <w:ind w:left="1134" w:right="41" w:hanging="1083"/>
              <w:jc w:val="center"/>
              <w:rPr>
                <w:sz w:val="19"/>
                <w:szCs w:val="19"/>
              </w:rPr>
            </w:pPr>
            <w:r>
              <w:rPr>
                <w:sz w:val="19"/>
                <w:szCs w:val="19"/>
              </w:rPr>
              <w:t>366</w:t>
            </w:r>
          </w:p>
        </w:tc>
        <w:tc>
          <w:tcPr>
            <w:tcW w:w="1418" w:type="dxa"/>
            <w:tcBorders>
              <w:bottom w:val="nil"/>
            </w:tcBorders>
            <w:vAlign w:val="center"/>
          </w:tcPr>
          <w:p w14:paraId="6F07D4AF" w14:textId="77777777" w:rsidR="0011120D" w:rsidRPr="00FF0A78" w:rsidRDefault="0011120D" w:rsidP="0011120D">
            <w:pPr>
              <w:ind w:left="1134" w:right="41" w:hanging="1083"/>
              <w:jc w:val="center"/>
              <w:rPr>
                <w:sz w:val="19"/>
                <w:szCs w:val="19"/>
              </w:rPr>
            </w:pPr>
            <w:r>
              <w:rPr>
                <w:rFonts w:ascii="Calibri" w:eastAsia="Calibri" w:hAnsi="Calibri" w:cs="Calibri"/>
                <w:bCs/>
                <w:spacing w:val="-1"/>
                <w:sz w:val="19"/>
                <w:szCs w:val="19"/>
              </w:rPr>
              <w:t>+13</w:t>
            </w:r>
            <w:r w:rsidRPr="00FF0A78">
              <w:rPr>
                <w:rFonts w:ascii="Calibri" w:eastAsia="Calibri" w:hAnsi="Calibri" w:cs="Calibri"/>
                <w:bCs/>
                <w:sz w:val="19"/>
                <w:szCs w:val="19"/>
              </w:rPr>
              <w:t>%</w:t>
            </w:r>
          </w:p>
        </w:tc>
        <w:tc>
          <w:tcPr>
            <w:tcW w:w="1984" w:type="dxa"/>
            <w:tcBorders>
              <w:bottom w:val="nil"/>
            </w:tcBorders>
            <w:tcMar>
              <w:top w:w="28" w:type="dxa"/>
              <w:left w:w="28" w:type="dxa"/>
              <w:bottom w:w="28" w:type="dxa"/>
              <w:right w:w="28" w:type="dxa"/>
            </w:tcMar>
            <w:vAlign w:val="center"/>
          </w:tcPr>
          <w:p w14:paraId="1A773AA2" w14:textId="77777777" w:rsidR="0011120D" w:rsidRPr="00FF0A78" w:rsidRDefault="0011120D" w:rsidP="0011120D">
            <w:pPr>
              <w:ind w:left="1134" w:right="41" w:hanging="1083"/>
              <w:jc w:val="center"/>
              <w:rPr>
                <w:sz w:val="19"/>
                <w:szCs w:val="19"/>
              </w:rPr>
            </w:pPr>
            <w:r>
              <w:rPr>
                <w:rFonts w:ascii="Calibri" w:eastAsia="Calibri" w:hAnsi="Calibri" w:cs="Calibri"/>
                <w:bCs/>
                <w:spacing w:val="-1"/>
                <w:sz w:val="19"/>
                <w:szCs w:val="19"/>
              </w:rPr>
              <w:t>+</w:t>
            </w:r>
            <w:r w:rsidR="003615B4">
              <w:rPr>
                <w:rFonts w:ascii="Calibri" w:eastAsia="Calibri" w:hAnsi="Calibri" w:cs="Calibri"/>
                <w:bCs/>
                <w:spacing w:val="-1"/>
                <w:sz w:val="19"/>
                <w:szCs w:val="19"/>
              </w:rPr>
              <w:t>30</w:t>
            </w:r>
            <w:r w:rsidRPr="00FF0A78">
              <w:rPr>
                <w:rFonts w:ascii="Calibri" w:eastAsia="Calibri" w:hAnsi="Calibri" w:cs="Calibri"/>
                <w:bCs/>
                <w:sz w:val="19"/>
                <w:szCs w:val="19"/>
              </w:rPr>
              <w:t>%</w:t>
            </w:r>
          </w:p>
        </w:tc>
      </w:tr>
      <w:tr w:rsidR="0011120D" w14:paraId="3ECB091D" w14:textId="77777777" w:rsidTr="004F0FC6">
        <w:trPr>
          <w:trHeight w:val="142"/>
        </w:trPr>
        <w:tc>
          <w:tcPr>
            <w:tcW w:w="3256" w:type="dxa"/>
            <w:vAlign w:val="center"/>
          </w:tcPr>
          <w:p w14:paraId="08FE7996" w14:textId="77777777" w:rsidR="0011120D" w:rsidRPr="00DA70ED" w:rsidRDefault="0011120D" w:rsidP="0011120D">
            <w:pPr>
              <w:pStyle w:val="TableParagraph"/>
              <w:spacing w:line="205" w:lineRule="exact"/>
              <w:ind w:left="1134" w:hanging="1083"/>
              <w:rPr>
                <w:rFonts w:ascii="Calibri" w:eastAsia="Calibri" w:hAnsi="Calibri" w:cs="Calibri"/>
                <w:sz w:val="19"/>
                <w:szCs w:val="19"/>
              </w:rPr>
            </w:pPr>
            <w:r>
              <w:rPr>
                <w:rFonts w:ascii="Calibri" w:eastAsia="Calibri" w:hAnsi="Calibri" w:cs="Calibri"/>
                <w:sz w:val="19"/>
                <w:szCs w:val="19"/>
              </w:rPr>
              <w:t>Gaming revenue</w:t>
            </w:r>
          </w:p>
        </w:tc>
        <w:tc>
          <w:tcPr>
            <w:tcW w:w="1559" w:type="dxa"/>
            <w:tcBorders>
              <w:top w:val="nil"/>
              <w:bottom w:val="single" w:sz="4" w:space="0" w:color="auto"/>
            </w:tcBorders>
            <w:tcMar>
              <w:top w:w="28" w:type="dxa"/>
              <w:left w:w="28" w:type="dxa"/>
              <w:bottom w:w="28" w:type="dxa"/>
              <w:right w:w="28" w:type="dxa"/>
            </w:tcMar>
            <w:vAlign w:val="center"/>
          </w:tcPr>
          <w:p w14:paraId="258B29DD" w14:textId="77777777" w:rsidR="0011120D" w:rsidRPr="00FF0A78" w:rsidRDefault="0011120D" w:rsidP="0011120D">
            <w:pPr>
              <w:pStyle w:val="TableParagraph"/>
              <w:spacing w:line="205" w:lineRule="exact"/>
              <w:ind w:left="1134" w:right="41" w:hanging="1083"/>
              <w:jc w:val="center"/>
              <w:rPr>
                <w:rFonts w:ascii="Calibri" w:eastAsia="Calibri" w:hAnsi="Calibri" w:cs="Calibri"/>
                <w:sz w:val="19"/>
                <w:szCs w:val="19"/>
              </w:rPr>
            </w:pPr>
            <w:r>
              <w:rPr>
                <w:rFonts w:ascii="Calibri" w:eastAsia="Calibri" w:hAnsi="Calibri" w:cs="Calibri"/>
                <w:sz w:val="19"/>
                <w:szCs w:val="19"/>
              </w:rPr>
              <w:t>140</w:t>
            </w:r>
          </w:p>
        </w:tc>
        <w:tc>
          <w:tcPr>
            <w:tcW w:w="1559" w:type="dxa"/>
            <w:tcBorders>
              <w:top w:val="nil"/>
              <w:bottom w:val="single" w:sz="4" w:space="0" w:color="auto"/>
            </w:tcBorders>
            <w:tcMar>
              <w:top w:w="28" w:type="dxa"/>
              <w:left w:w="28" w:type="dxa"/>
              <w:bottom w:w="28" w:type="dxa"/>
              <w:right w:w="28" w:type="dxa"/>
            </w:tcMar>
            <w:vAlign w:val="center"/>
          </w:tcPr>
          <w:p w14:paraId="66D1C9DE" w14:textId="77777777" w:rsidR="0011120D" w:rsidRPr="00FF0A78" w:rsidRDefault="0011120D" w:rsidP="0011120D">
            <w:pPr>
              <w:pStyle w:val="TableParagraph"/>
              <w:spacing w:line="205" w:lineRule="exact"/>
              <w:ind w:left="1134" w:right="41" w:hanging="1083"/>
              <w:jc w:val="center"/>
              <w:rPr>
                <w:rFonts w:ascii="Calibri" w:eastAsia="Calibri" w:hAnsi="Calibri" w:cs="Calibri"/>
                <w:sz w:val="19"/>
                <w:szCs w:val="19"/>
              </w:rPr>
            </w:pPr>
            <w:r>
              <w:rPr>
                <w:rFonts w:ascii="Calibri" w:eastAsia="Calibri" w:hAnsi="Calibri" w:cs="Calibri"/>
                <w:sz w:val="19"/>
                <w:szCs w:val="19"/>
              </w:rPr>
              <w:t>113</w:t>
            </w:r>
          </w:p>
        </w:tc>
        <w:tc>
          <w:tcPr>
            <w:tcW w:w="1418" w:type="dxa"/>
            <w:tcBorders>
              <w:top w:val="nil"/>
              <w:bottom w:val="single" w:sz="4" w:space="0" w:color="auto"/>
            </w:tcBorders>
            <w:vAlign w:val="center"/>
          </w:tcPr>
          <w:p w14:paraId="193A2789" w14:textId="77777777" w:rsidR="0011120D" w:rsidRPr="00FF0A78" w:rsidRDefault="0011120D" w:rsidP="0011120D">
            <w:pPr>
              <w:pStyle w:val="TableParagraph"/>
              <w:spacing w:line="205" w:lineRule="exact"/>
              <w:ind w:left="1134" w:right="41" w:hanging="1083"/>
              <w:jc w:val="center"/>
              <w:rPr>
                <w:rFonts w:ascii="Calibri" w:eastAsia="Calibri" w:hAnsi="Calibri" w:cs="Calibri"/>
                <w:sz w:val="19"/>
                <w:szCs w:val="19"/>
              </w:rPr>
            </w:pPr>
            <w:r>
              <w:rPr>
                <w:rFonts w:ascii="Calibri" w:eastAsia="Calibri" w:hAnsi="Calibri" w:cs="Calibri"/>
                <w:sz w:val="19"/>
                <w:szCs w:val="19"/>
              </w:rPr>
              <w:t>+25%</w:t>
            </w:r>
          </w:p>
        </w:tc>
        <w:tc>
          <w:tcPr>
            <w:tcW w:w="1984" w:type="dxa"/>
            <w:tcBorders>
              <w:top w:val="nil"/>
              <w:bottom w:val="single" w:sz="4" w:space="0" w:color="auto"/>
            </w:tcBorders>
            <w:tcMar>
              <w:top w:w="28" w:type="dxa"/>
              <w:left w:w="28" w:type="dxa"/>
              <w:bottom w:w="28" w:type="dxa"/>
              <w:right w:w="28" w:type="dxa"/>
            </w:tcMar>
            <w:vAlign w:val="center"/>
          </w:tcPr>
          <w:p w14:paraId="670B7D19" w14:textId="77777777" w:rsidR="0011120D" w:rsidRPr="00FF0A78" w:rsidRDefault="0011120D" w:rsidP="0011120D">
            <w:pPr>
              <w:pStyle w:val="TableParagraph"/>
              <w:spacing w:line="205" w:lineRule="exact"/>
              <w:ind w:left="1134" w:right="41" w:hanging="1083"/>
              <w:jc w:val="center"/>
              <w:rPr>
                <w:rFonts w:ascii="Calibri" w:eastAsia="Calibri" w:hAnsi="Calibri" w:cs="Calibri"/>
                <w:sz w:val="19"/>
                <w:szCs w:val="19"/>
              </w:rPr>
            </w:pPr>
            <w:r>
              <w:rPr>
                <w:rFonts w:ascii="Calibri" w:eastAsia="Calibri" w:hAnsi="Calibri" w:cs="Calibri"/>
                <w:sz w:val="19"/>
                <w:szCs w:val="19"/>
              </w:rPr>
              <w:t>+2</w:t>
            </w:r>
            <w:r w:rsidR="00AC5793">
              <w:rPr>
                <w:rFonts w:ascii="Calibri" w:eastAsia="Calibri" w:hAnsi="Calibri" w:cs="Calibri"/>
                <w:sz w:val="19"/>
                <w:szCs w:val="19"/>
              </w:rPr>
              <w:t>7</w:t>
            </w:r>
            <w:r>
              <w:rPr>
                <w:rFonts w:ascii="Calibri" w:eastAsia="Calibri" w:hAnsi="Calibri" w:cs="Calibri"/>
                <w:sz w:val="19"/>
                <w:szCs w:val="19"/>
              </w:rPr>
              <w:t>%</w:t>
            </w:r>
          </w:p>
        </w:tc>
      </w:tr>
      <w:tr w:rsidR="0011120D" w14:paraId="769A071E" w14:textId="77777777" w:rsidTr="004F0FC6">
        <w:trPr>
          <w:trHeight w:val="271"/>
        </w:trPr>
        <w:tc>
          <w:tcPr>
            <w:tcW w:w="3256" w:type="dxa"/>
            <w:vAlign w:val="center"/>
          </w:tcPr>
          <w:p w14:paraId="0E297FFF" w14:textId="77777777" w:rsidR="0011120D" w:rsidRPr="00DA70ED" w:rsidRDefault="0011120D" w:rsidP="0011120D">
            <w:pPr>
              <w:pStyle w:val="TableParagraph"/>
              <w:spacing w:line="204" w:lineRule="exact"/>
              <w:ind w:left="1134" w:hanging="1083"/>
              <w:rPr>
                <w:rFonts w:ascii="Calibri" w:eastAsia="Calibri" w:hAnsi="Calibri" w:cs="Calibri"/>
                <w:sz w:val="19"/>
                <w:szCs w:val="19"/>
              </w:rPr>
            </w:pPr>
            <w:r>
              <w:rPr>
                <w:rFonts w:ascii="Calibri" w:eastAsia="Calibri" w:hAnsi="Calibri" w:cs="Calibri"/>
                <w:b/>
                <w:bCs/>
                <w:sz w:val="19"/>
                <w:szCs w:val="19"/>
              </w:rPr>
              <w:t>Total revenue</w:t>
            </w:r>
          </w:p>
        </w:tc>
        <w:tc>
          <w:tcPr>
            <w:tcW w:w="1559" w:type="dxa"/>
            <w:tcBorders>
              <w:top w:val="single" w:sz="4" w:space="0" w:color="auto"/>
            </w:tcBorders>
            <w:tcMar>
              <w:top w:w="28" w:type="dxa"/>
              <w:left w:w="28" w:type="dxa"/>
              <w:bottom w:w="28" w:type="dxa"/>
              <w:right w:w="28" w:type="dxa"/>
            </w:tcMar>
            <w:vAlign w:val="center"/>
          </w:tcPr>
          <w:p w14:paraId="692000AC" w14:textId="77777777" w:rsidR="0011120D" w:rsidRPr="00FF0A78" w:rsidRDefault="0011120D" w:rsidP="0011120D">
            <w:pPr>
              <w:pStyle w:val="TableParagraph"/>
              <w:spacing w:line="204" w:lineRule="exact"/>
              <w:ind w:left="1134" w:right="41" w:hanging="1083"/>
              <w:jc w:val="center"/>
              <w:rPr>
                <w:rFonts w:ascii="Calibri" w:eastAsia="Calibri" w:hAnsi="Calibri" w:cs="Calibri"/>
                <w:sz w:val="19"/>
                <w:szCs w:val="19"/>
              </w:rPr>
            </w:pPr>
            <w:r>
              <w:rPr>
                <w:rFonts w:ascii="Calibri" w:eastAsia="Calibri" w:hAnsi="Calibri" w:cs="Calibri"/>
                <w:sz w:val="19"/>
                <w:szCs w:val="19"/>
              </w:rPr>
              <w:t>547</w:t>
            </w:r>
          </w:p>
        </w:tc>
        <w:tc>
          <w:tcPr>
            <w:tcW w:w="1559" w:type="dxa"/>
            <w:tcBorders>
              <w:top w:val="single" w:sz="4" w:space="0" w:color="auto"/>
            </w:tcBorders>
            <w:tcMar>
              <w:top w:w="28" w:type="dxa"/>
              <w:left w:w="28" w:type="dxa"/>
              <w:bottom w:w="28" w:type="dxa"/>
              <w:right w:w="28" w:type="dxa"/>
            </w:tcMar>
            <w:vAlign w:val="center"/>
          </w:tcPr>
          <w:p w14:paraId="0BC6B8AE" w14:textId="77777777" w:rsidR="0011120D" w:rsidRPr="00FF0A78" w:rsidRDefault="0011120D" w:rsidP="0011120D">
            <w:pPr>
              <w:pStyle w:val="TableParagraph"/>
              <w:spacing w:line="204" w:lineRule="exact"/>
              <w:ind w:left="1134" w:right="41" w:hanging="1083"/>
              <w:jc w:val="center"/>
              <w:rPr>
                <w:rFonts w:ascii="Calibri" w:eastAsia="Calibri" w:hAnsi="Calibri" w:cs="Calibri"/>
                <w:sz w:val="19"/>
                <w:szCs w:val="19"/>
              </w:rPr>
            </w:pPr>
            <w:r>
              <w:rPr>
                <w:rFonts w:ascii="Calibri" w:eastAsia="Calibri" w:hAnsi="Calibri" w:cs="Calibri"/>
                <w:sz w:val="19"/>
                <w:szCs w:val="19"/>
              </w:rPr>
              <w:t>478</w:t>
            </w:r>
          </w:p>
        </w:tc>
        <w:tc>
          <w:tcPr>
            <w:tcW w:w="1418" w:type="dxa"/>
            <w:tcBorders>
              <w:top w:val="single" w:sz="4" w:space="0" w:color="auto"/>
            </w:tcBorders>
            <w:vAlign w:val="center"/>
          </w:tcPr>
          <w:p w14:paraId="61A797CB" w14:textId="77777777" w:rsidR="0011120D" w:rsidRPr="00FF0A78" w:rsidRDefault="0011120D" w:rsidP="0011120D">
            <w:pPr>
              <w:pStyle w:val="TableParagraph"/>
              <w:spacing w:line="204" w:lineRule="exact"/>
              <w:ind w:left="1134" w:right="41" w:hanging="1083"/>
              <w:jc w:val="center"/>
              <w:rPr>
                <w:rFonts w:ascii="Calibri" w:eastAsia="Calibri" w:hAnsi="Calibri" w:cs="Calibri"/>
                <w:sz w:val="19"/>
                <w:szCs w:val="19"/>
              </w:rPr>
            </w:pPr>
            <w:r w:rsidRPr="00FF0A78">
              <w:rPr>
                <w:rFonts w:ascii="Calibri" w:eastAsia="Calibri" w:hAnsi="Calibri" w:cs="Calibri"/>
                <w:bCs/>
                <w:spacing w:val="-1"/>
                <w:sz w:val="19"/>
                <w:szCs w:val="19"/>
              </w:rPr>
              <w:t>+</w:t>
            </w:r>
            <w:r>
              <w:rPr>
                <w:rFonts w:ascii="Calibri" w:eastAsia="Calibri" w:hAnsi="Calibri" w:cs="Calibri"/>
                <w:bCs/>
                <w:spacing w:val="-1"/>
                <w:sz w:val="19"/>
                <w:szCs w:val="19"/>
              </w:rPr>
              <w:t>16</w:t>
            </w:r>
            <w:r w:rsidRPr="00FF0A78">
              <w:rPr>
                <w:rFonts w:ascii="Calibri" w:eastAsia="Calibri" w:hAnsi="Calibri" w:cs="Calibri"/>
                <w:bCs/>
                <w:sz w:val="19"/>
                <w:szCs w:val="19"/>
              </w:rPr>
              <w:t>%</w:t>
            </w:r>
          </w:p>
        </w:tc>
        <w:tc>
          <w:tcPr>
            <w:tcW w:w="1984" w:type="dxa"/>
            <w:tcBorders>
              <w:top w:val="single" w:sz="4" w:space="0" w:color="auto"/>
            </w:tcBorders>
            <w:tcMar>
              <w:top w:w="28" w:type="dxa"/>
              <w:left w:w="28" w:type="dxa"/>
              <w:bottom w:w="28" w:type="dxa"/>
              <w:right w:w="28" w:type="dxa"/>
            </w:tcMar>
            <w:vAlign w:val="center"/>
          </w:tcPr>
          <w:p w14:paraId="75772381" w14:textId="77777777" w:rsidR="0011120D" w:rsidRPr="00FF0A78" w:rsidRDefault="0011120D" w:rsidP="0011120D">
            <w:pPr>
              <w:pStyle w:val="TableParagraph"/>
              <w:spacing w:line="204" w:lineRule="exact"/>
              <w:ind w:left="1134" w:right="41" w:hanging="1083"/>
              <w:jc w:val="center"/>
              <w:rPr>
                <w:rFonts w:ascii="Calibri" w:eastAsia="Calibri" w:hAnsi="Calibri" w:cs="Calibri"/>
                <w:sz w:val="19"/>
                <w:szCs w:val="19"/>
              </w:rPr>
            </w:pPr>
            <w:r w:rsidRPr="00FF0A78">
              <w:rPr>
                <w:rFonts w:ascii="Calibri" w:eastAsia="Calibri" w:hAnsi="Calibri" w:cs="Calibri"/>
                <w:bCs/>
                <w:spacing w:val="-1"/>
                <w:sz w:val="19"/>
                <w:szCs w:val="19"/>
              </w:rPr>
              <w:t>+</w:t>
            </w:r>
            <w:r>
              <w:rPr>
                <w:rFonts w:ascii="Calibri" w:eastAsia="Calibri" w:hAnsi="Calibri" w:cs="Calibri"/>
                <w:bCs/>
                <w:spacing w:val="-1"/>
                <w:sz w:val="19"/>
                <w:szCs w:val="19"/>
              </w:rPr>
              <w:t>2</w:t>
            </w:r>
            <w:r w:rsidR="003615B4">
              <w:rPr>
                <w:rFonts w:ascii="Calibri" w:eastAsia="Calibri" w:hAnsi="Calibri" w:cs="Calibri"/>
                <w:bCs/>
                <w:spacing w:val="-1"/>
                <w:sz w:val="19"/>
                <w:szCs w:val="19"/>
              </w:rPr>
              <w:t>9</w:t>
            </w:r>
            <w:r w:rsidRPr="00FF0A78">
              <w:rPr>
                <w:rFonts w:ascii="Calibri" w:eastAsia="Calibri" w:hAnsi="Calibri" w:cs="Calibri"/>
                <w:bCs/>
                <w:sz w:val="19"/>
                <w:szCs w:val="19"/>
              </w:rPr>
              <w:t>%</w:t>
            </w:r>
          </w:p>
        </w:tc>
      </w:tr>
    </w:tbl>
    <w:p w14:paraId="0E100276" w14:textId="576C44E4" w:rsidR="00AF15C3" w:rsidRPr="00EE6EEC" w:rsidRDefault="00DE41D9" w:rsidP="007B49E7">
      <w:pPr>
        <w:pStyle w:val="BodyText"/>
        <w:numPr>
          <w:ilvl w:val="0"/>
          <w:numId w:val="2"/>
        </w:numPr>
        <w:tabs>
          <w:tab w:val="left" w:pos="384"/>
        </w:tabs>
        <w:spacing w:before="240" w:after="120"/>
        <w:ind w:left="386" w:right="99"/>
        <w:jc w:val="both"/>
      </w:pPr>
      <w:bookmarkStart w:id="1" w:name="_Hlk527038088"/>
      <w:r>
        <w:t xml:space="preserve">Group </w:t>
      </w:r>
      <w:r w:rsidR="002252CC">
        <w:t xml:space="preserve">revenue </w:t>
      </w:r>
      <w:r w:rsidR="0005420A">
        <w:t xml:space="preserve">growth of </w:t>
      </w:r>
      <w:r w:rsidR="002252CC">
        <w:t xml:space="preserve">16% </w:t>
      </w:r>
      <w:r>
        <w:t xml:space="preserve">in Q1 despite impact of sports disruption; </w:t>
      </w:r>
      <w:r w:rsidR="00AF3523">
        <w:t xml:space="preserve">online </w:t>
      </w:r>
      <w:r>
        <w:t xml:space="preserve">growth of </w:t>
      </w:r>
      <w:r w:rsidR="00AF3523">
        <w:t xml:space="preserve">20% </w:t>
      </w:r>
    </w:p>
    <w:p w14:paraId="173B2663" w14:textId="5DE65216" w:rsidR="004F0FC6" w:rsidRPr="00EE6EEC" w:rsidRDefault="00E02597" w:rsidP="007B49E7">
      <w:pPr>
        <w:pStyle w:val="BodyText"/>
        <w:numPr>
          <w:ilvl w:val="0"/>
          <w:numId w:val="2"/>
        </w:numPr>
        <w:tabs>
          <w:tab w:val="left" w:pos="384"/>
        </w:tabs>
        <w:spacing w:after="120"/>
        <w:ind w:left="386" w:right="99"/>
        <w:jc w:val="both"/>
      </w:pPr>
      <w:r w:rsidRPr="00EE6EEC">
        <w:t>Sports</w:t>
      </w:r>
      <w:r w:rsidR="002B0216" w:rsidRPr="00EE6EEC">
        <w:t>:</w:t>
      </w:r>
      <w:r w:rsidR="00EE6EEC" w:rsidRPr="00EE6EEC">
        <w:t xml:space="preserve"> </w:t>
      </w:r>
      <w:r w:rsidR="008D3D4B">
        <w:t xml:space="preserve">Excellent revenue </w:t>
      </w:r>
      <w:r w:rsidR="00277902">
        <w:t>performance</w:t>
      </w:r>
      <w:r w:rsidR="008D3D4B">
        <w:t xml:space="preserve"> driven by </w:t>
      </w:r>
      <w:r w:rsidR="001C3595">
        <w:t xml:space="preserve">strong </w:t>
      </w:r>
      <w:r w:rsidR="00EE6EEC" w:rsidRPr="00EE6EEC">
        <w:t>active customer growth in Australia and US</w:t>
      </w:r>
      <w:r w:rsidR="008D3D4B">
        <w:t>,</w:t>
      </w:r>
      <w:r w:rsidR="00B91F3E">
        <w:t xml:space="preserve"> </w:t>
      </w:r>
      <w:r w:rsidR="00387EDE">
        <w:t xml:space="preserve">further boosted by </w:t>
      </w:r>
      <w:r w:rsidR="00EE6EEC" w:rsidRPr="00EE6EEC">
        <w:t>bookmaker friendly sports results in all regions</w:t>
      </w:r>
    </w:p>
    <w:p w14:paraId="533C5C4F" w14:textId="29A30B0B" w:rsidR="00E012D2" w:rsidRPr="009D7C47" w:rsidRDefault="00EE6EEC" w:rsidP="007B49E7">
      <w:pPr>
        <w:pStyle w:val="BodyText"/>
        <w:numPr>
          <w:ilvl w:val="0"/>
          <w:numId w:val="2"/>
        </w:numPr>
        <w:tabs>
          <w:tab w:val="left" w:pos="384"/>
        </w:tabs>
        <w:spacing w:after="120"/>
        <w:ind w:left="386" w:right="99"/>
        <w:jc w:val="both"/>
      </w:pPr>
      <w:r>
        <w:t xml:space="preserve">Gaming: </w:t>
      </w:r>
      <w:r w:rsidR="00E03323">
        <w:t>G</w:t>
      </w:r>
      <w:r w:rsidR="00C44C4D">
        <w:t xml:space="preserve">ood </w:t>
      </w:r>
      <w:r w:rsidR="002452AA">
        <w:t xml:space="preserve">growth </w:t>
      </w:r>
      <w:r w:rsidR="00387EDE">
        <w:t xml:space="preserve">in </w:t>
      </w:r>
      <w:r w:rsidR="008D3D4B">
        <w:t xml:space="preserve">PPB </w:t>
      </w:r>
      <w:r w:rsidR="00491EC4">
        <w:t>O</w:t>
      </w:r>
      <w:r w:rsidR="008D3D4B">
        <w:t>nline</w:t>
      </w:r>
      <w:r w:rsidR="002452AA">
        <w:t xml:space="preserve">, </w:t>
      </w:r>
      <w:r w:rsidR="001A3B17">
        <w:t xml:space="preserve">US </w:t>
      </w:r>
      <w:r w:rsidR="008D3D4B">
        <w:t>continuing to exceed expectations</w:t>
      </w:r>
    </w:p>
    <w:p w14:paraId="4DAE3351" w14:textId="305BCB50" w:rsidR="003F6DF4" w:rsidRPr="00C9137C" w:rsidRDefault="000D666C" w:rsidP="007B49E7">
      <w:pPr>
        <w:pStyle w:val="BodyText"/>
        <w:numPr>
          <w:ilvl w:val="0"/>
          <w:numId w:val="2"/>
        </w:numPr>
        <w:tabs>
          <w:tab w:val="left" w:pos="384"/>
        </w:tabs>
        <w:spacing w:after="120"/>
        <w:ind w:left="386" w:right="99"/>
        <w:jc w:val="both"/>
      </w:pPr>
      <w:bookmarkStart w:id="2" w:name="_Hlk7443995"/>
      <w:r>
        <w:t>S</w:t>
      </w:r>
      <w:r w:rsidR="007B4400" w:rsidRPr="00C9137C">
        <w:t xml:space="preserve">ince </w:t>
      </w:r>
      <w:r w:rsidR="00E03323">
        <w:t xml:space="preserve">suspension of </w:t>
      </w:r>
      <w:r w:rsidR="007B4400" w:rsidRPr="00C9137C">
        <w:t>UK</w:t>
      </w:r>
      <w:r w:rsidR="00136042">
        <w:t xml:space="preserve"> and I</w:t>
      </w:r>
      <w:r w:rsidR="007B4400" w:rsidRPr="00C9137C">
        <w:t xml:space="preserve">rish racing, Group revenue has </w:t>
      </w:r>
      <w:r w:rsidR="007B4400" w:rsidRPr="00805FEB">
        <w:t xml:space="preserve">declined by </w:t>
      </w:r>
      <w:r w:rsidR="007B4400" w:rsidRPr="003C2888">
        <w:t>3</w:t>
      </w:r>
      <w:r w:rsidR="00CB6023" w:rsidRPr="003C2888">
        <w:t>2</w:t>
      </w:r>
      <w:r w:rsidR="007B4400" w:rsidRPr="003C2888">
        <w:t>%</w:t>
      </w:r>
      <w:r w:rsidR="007B4400" w:rsidRPr="00805FEB">
        <w:t xml:space="preserve"> year-on-year</w:t>
      </w:r>
      <w:r w:rsidR="00387EDE" w:rsidRPr="00805FEB">
        <w:t>.</w:t>
      </w:r>
      <w:r w:rsidR="00CC7DF4" w:rsidRPr="00805FEB">
        <w:t xml:space="preserve"> </w:t>
      </w:r>
      <w:r w:rsidR="00CB6023" w:rsidRPr="00805FEB">
        <w:t xml:space="preserve">A </w:t>
      </w:r>
      <w:r w:rsidR="00CB6023" w:rsidRPr="003C2888">
        <w:t>4</w:t>
      </w:r>
      <w:r w:rsidR="0047527D" w:rsidRPr="003C2888">
        <w:t>6</w:t>
      </w:r>
      <w:r w:rsidR="002278E7" w:rsidRPr="003C2888">
        <w:t>%</w:t>
      </w:r>
      <w:r w:rsidR="00387EDE" w:rsidRPr="00805FEB">
        <w:t xml:space="preserve"> reduction </w:t>
      </w:r>
      <w:r w:rsidR="00387EDE">
        <w:t xml:space="preserve">in sports revenue is </w:t>
      </w:r>
      <w:r w:rsidR="002278E7">
        <w:t>less</w:t>
      </w:r>
      <w:r w:rsidR="007B4400" w:rsidRPr="00C9137C">
        <w:t xml:space="preserve"> </w:t>
      </w:r>
      <w:r w:rsidR="00136042">
        <w:t xml:space="preserve">than expected </w:t>
      </w:r>
      <w:r w:rsidR="007B4400" w:rsidRPr="00C9137C">
        <w:t>due to continu</w:t>
      </w:r>
      <w:r w:rsidR="00CC7DF4">
        <w:t>ation of</w:t>
      </w:r>
      <w:r w:rsidR="007B4400" w:rsidRPr="00C9137C">
        <w:t xml:space="preserve"> racing in Australia and US</w:t>
      </w:r>
    </w:p>
    <w:p w14:paraId="2EF3847E" w14:textId="7EDA906C" w:rsidR="009D3FB5" w:rsidRPr="00DC3820" w:rsidRDefault="007817C2" w:rsidP="007B49E7">
      <w:pPr>
        <w:pStyle w:val="BodyText"/>
        <w:numPr>
          <w:ilvl w:val="0"/>
          <w:numId w:val="2"/>
        </w:numPr>
        <w:tabs>
          <w:tab w:val="left" w:pos="384"/>
        </w:tabs>
        <w:spacing w:after="240"/>
        <w:ind w:left="386" w:right="99"/>
        <w:jc w:val="both"/>
      </w:pPr>
      <w:r>
        <w:t xml:space="preserve">Group net debt position at 31 March 2020 </w:t>
      </w:r>
      <w:r w:rsidR="0089207F">
        <w:t>of</w:t>
      </w:r>
      <w:r>
        <w:t xml:space="preserve"> £24</w:t>
      </w:r>
      <w:r w:rsidR="00BA7661">
        <w:t>0</w:t>
      </w:r>
      <w:r>
        <w:t>m, with undrawn facilities and available cash of £4</w:t>
      </w:r>
      <w:r w:rsidR="00E33CEE">
        <w:t>60</w:t>
      </w:r>
      <w:r>
        <w:t>m</w:t>
      </w:r>
    </w:p>
    <w:bookmarkEnd w:id="1"/>
    <w:bookmarkEnd w:id="2"/>
    <w:p w14:paraId="4F2E95FD" w14:textId="77777777" w:rsidR="005F46E2" w:rsidRPr="001923A3" w:rsidRDefault="005E6D94" w:rsidP="00763F71">
      <w:pPr>
        <w:pStyle w:val="Heading2"/>
        <w:spacing w:before="80" w:after="40"/>
        <w:ind w:left="102" w:right="3646"/>
        <w:jc w:val="both"/>
        <w:rPr>
          <w:b w:val="0"/>
          <w:sz w:val="24"/>
        </w:rPr>
      </w:pPr>
      <w:r w:rsidRPr="001923A3">
        <w:rPr>
          <w:sz w:val="24"/>
        </w:rPr>
        <w:t>Peter Jackson</w:t>
      </w:r>
      <w:r w:rsidR="00AC3FE7" w:rsidRPr="001923A3">
        <w:rPr>
          <w:sz w:val="24"/>
        </w:rPr>
        <w:t>,</w:t>
      </w:r>
      <w:r w:rsidR="00AC3FE7" w:rsidRPr="001923A3">
        <w:rPr>
          <w:spacing w:val="-2"/>
          <w:sz w:val="24"/>
        </w:rPr>
        <w:t xml:space="preserve"> </w:t>
      </w:r>
      <w:r w:rsidR="00AC3FE7" w:rsidRPr="001923A3">
        <w:rPr>
          <w:sz w:val="24"/>
        </w:rPr>
        <w:t>C</w:t>
      </w:r>
      <w:r w:rsidR="00AC3FE7" w:rsidRPr="001923A3">
        <w:rPr>
          <w:spacing w:val="-1"/>
          <w:sz w:val="24"/>
        </w:rPr>
        <w:t>h</w:t>
      </w:r>
      <w:r w:rsidR="00AC3FE7" w:rsidRPr="001923A3">
        <w:rPr>
          <w:sz w:val="24"/>
        </w:rPr>
        <w:t>i</w:t>
      </w:r>
      <w:r w:rsidR="00AC3FE7" w:rsidRPr="001923A3">
        <w:rPr>
          <w:spacing w:val="-1"/>
          <w:sz w:val="24"/>
        </w:rPr>
        <w:t>e</w:t>
      </w:r>
      <w:r w:rsidR="00AC3FE7" w:rsidRPr="001923A3">
        <w:rPr>
          <w:sz w:val="24"/>
        </w:rPr>
        <w:t>f Ex</w:t>
      </w:r>
      <w:r w:rsidR="00AC3FE7" w:rsidRPr="001923A3">
        <w:rPr>
          <w:spacing w:val="-4"/>
          <w:sz w:val="24"/>
        </w:rPr>
        <w:t>e</w:t>
      </w:r>
      <w:r w:rsidR="00AC3FE7" w:rsidRPr="001923A3">
        <w:rPr>
          <w:spacing w:val="1"/>
          <w:sz w:val="24"/>
        </w:rPr>
        <w:t>c</w:t>
      </w:r>
      <w:r w:rsidR="00AC3FE7" w:rsidRPr="001923A3">
        <w:rPr>
          <w:spacing w:val="-1"/>
          <w:sz w:val="24"/>
        </w:rPr>
        <w:t>u</w:t>
      </w:r>
      <w:r w:rsidR="00AC3FE7" w:rsidRPr="001923A3">
        <w:rPr>
          <w:sz w:val="24"/>
        </w:rPr>
        <w:t>t</w:t>
      </w:r>
      <w:r w:rsidR="00AC3FE7" w:rsidRPr="001923A3">
        <w:rPr>
          <w:spacing w:val="-2"/>
          <w:sz w:val="24"/>
        </w:rPr>
        <w:t>i</w:t>
      </w:r>
      <w:r w:rsidR="00AC3FE7" w:rsidRPr="001923A3">
        <w:rPr>
          <w:sz w:val="24"/>
        </w:rPr>
        <w:t>v</w:t>
      </w:r>
      <w:r w:rsidR="00AC3FE7" w:rsidRPr="001923A3">
        <w:rPr>
          <w:spacing w:val="-1"/>
          <w:sz w:val="24"/>
        </w:rPr>
        <w:t>e</w:t>
      </w:r>
      <w:r w:rsidR="00AC3FE7" w:rsidRPr="001923A3">
        <w:rPr>
          <w:sz w:val="24"/>
        </w:rPr>
        <w:t xml:space="preserve">, </w:t>
      </w:r>
      <w:r w:rsidR="00AC3FE7" w:rsidRPr="001923A3">
        <w:rPr>
          <w:spacing w:val="1"/>
          <w:sz w:val="24"/>
        </w:rPr>
        <w:t>c</w:t>
      </w:r>
      <w:r w:rsidR="00AC3FE7" w:rsidRPr="001923A3">
        <w:rPr>
          <w:spacing w:val="-1"/>
          <w:sz w:val="24"/>
        </w:rPr>
        <w:t>o</w:t>
      </w:r>
      <w:r w:rsidR="00AC3FE7" w:rsidRPr="001923A3">
        <w:rPr>
          <w:sz w:val="24"/>
        </w:rPr>
        <w:t>mm</w:t>
      </w:r>
      <w:r w:rsidR="00AC3FE7" w:rsidRPr="001923A3">
        <w:rPr>
          <w:spacing w:val="-1"/>
          <w:sz w:val="24"/>
        </w:rPr>
        <w:t>en</w:t>
      </w:r>
      <w:r w:rsidR="00AC3FE7" w:rsidRPr="001923A3">
        <w:rPr>
          <w:sz w:val="24"/>
        </w:rPr>
        <w:t>te</w:t>
      </w:r>
      <w:r w:rsidR="00AC3FE7" w:rsidRPr="001923A3">
        <w:rPr>
          <w:spacing w:val="-2"/>
          <w:sz w:val="24"/>
        </w:rPr>
        <w:t>d</w:t>
      </w:r>
      <w:r w:rsidR="00AC3FE7" w:rsidRPr="001923A3">
        <w:rPr>
          <w:sz w:val="24"/>
        </w:rPr>
        <w:t>:</w:t>
      </w:r>
    </w:p>
    <w:p w14:paraId="493CD7F0" w14:textId="08D38291" w:rsidR="005D25C1" w:rsidRDefault="00995BE7" w:rsidP="006676C4">
      <w:pPr>
        <w:widowControl/>
        <w:spacing w:after="80"/>
        <w:ind w:left="142"/>
        <w:jc w:val="both"/>
        <w:rPr>
          <w:rFonts w:ascii="Calibri" w:eastAsia="Times New Roman" w:hAnsi="Calibri" w:cs="Times New Roman"/>
          <w:i/>
        </w:rPr>
      </w:pPr>
      <w:bookmarkStart w:id="3" w:name="_Hlk527563960"/>
      <w:r w:rsidRPr="00264FD2">
        <w:rPr>
          <w:rFonts w:ascii="Calibri" w:eastAsia="Times New Roman" w:hAnsi="Calibri" w:cs="Times New Roman"/>
          <w:i/>
        </w:rPr>
        <w:t>“</w:t>
      </w:r>
      <w:bookmarkStart w:id="4" w:name="_Hlk528145282"/>
      <w:bookmarkEnd w:id="3"/>
      <w:r w:rsidR="007817C2">
        <w:rPr>
          <w:rFonts w:ascii="Calibri" w:eastAsia="Times New Roman" w:hAnsi="Calibri" w:cs="Times New Roman"/>
          <w:i/>
        </w:rPr>
        <w:t>T</w:t>
      </w:r>
      <w:r w:rsidR="00186EE4">
        <w:rPr>
          <w:rFonts w:ascii="Calibri" w:eastAsia="Times New Roman" w:hAnsi="Calibri" w:cs="Times New Roman"/>
          <w:i/>
        </w:rPr>
        <w:t xml:space="preserve">he </w:t>
      </w:r>
      <w:r w:rsidR="008D3D4B" w:rsidRPr="00264FD2">
        <w:rPr>
          <w:rFonts w:ascii="Calibri" w:eastAsia="Times New Roman" w:hAnsi="Calibri" w:cs="Times New Roman"/>
          <w:i/>
        </w:rPr>
        <w:t xml:space="preserve">Group </w:t>
      </w:r>
      <w:r w:rsidR="008D3D4B">
        <w:rPr>
          <w:rFonts w:ascii="Calibri" w:eastAsia="Times New Roman" w:hAnsi="Calibri" w:cs="Times New Roman"/>
          <w:i/>
        </w:rPr>
        <w:t xml:space="preserve">performed </w:t>
      </w:r>
      <w:r w:rsidR="000465A2">
        <w:rPr>
          <w:rFonts w:ascii="Calibri" w:eastAsia="Times New Roman" w:hAnsi="Calibri" w:cs="Times New Roman"/>
          <w:i/>
        </w:rPr>
        <w:t xml:space="preserve">very </w:t>
      </w:r>
      <w:r w:rsidR="008D3D4B">
        <w:rPr>
          <w:rFonts w:ascii="Calibri" w:eastAsia="Times New Roman" w:hAnsi="Calibri" w:cs="Times New Roman"/>
          <w:i/>
        </w:rPr>
        <w:t>well</w:t>
      </w:r>
      <w:r w:rsidR="007817C2">
        <w:rPr>
          <w:rFonts w:ascii="Calibri" w:eastAsia="Times New Roman" w:hAnsi="Calibri" w:cs="Times New Roman"/>
          <w:i/>
        </w:rPr>
        <w:t xml:space="preserve"> in the </w:t>
      </w:r>
      <w:r w:rsidR="000465A2">
        <w:rPr>
          <w:rFonts w:ascii="Calibri" w:eastAsia="Times New Roman" w:hAnsi="Calibri" w:cs="Times New Roman"/>
          <w:i/>
        </w:rPr>
        <w:t xml:space="preserve">period </w:t>
      </w:r>
      <w:r w:rsidR="003455D8">
        <w:rPr>
          <w:rFonts w:ascii="Calibri" w:eastAsia="Times New Roman" w:hAnsi="Calibri" w:cs="Times New Roman"/>
          <w:i/>
        </w:rPr>
        <w:t>prior to</w:t>
      </w:r>
      <w:r w:rsidR="005331F6">
        <w:rPr>
          <w:rFonts w:ascii="Calibri" w:eastAsia="Times New Roman" w:hAnsi="Calibri" w:cs="Times New Roman"/>
          <w:i/>
        </w:rPr>
        <w:t xml:space="preserve"> </w:t>
      </w:r>
      <w:r w:rsidR="001D11D3">
        <w:rPr>
          <w:rFonts w:ascii="Calibri" w:eastAsia="Times New Roman" w:hAnsi="Calibri" w:cs="Times New Roman"/>
          <w:i/>
        </w:rPr>
        <w:t xml:space="preserve">the </w:t>
      </w:r>
      <w:r w:rsidR="007817C2">
        <w:rPr>
          <w:rFonts w:ascii="Calibri" w:eastAsia="Times New Roman" w:hAnsi="Calibri" w:cs="Times New Roman"/>
          <w:i/>
        </w:rPr>
        <w:t>disruption</w:t>
      </w:r>
      <w:r w:rsidR="00CC7DF4">
        <w:rPr>
          <w:rFonts w:ascii="Calibri" w:eastAsia="Times New Roman" w:hAnsi="Calibri" w:cs="Times New Roman"/>
          <w:i/>
        </w:rPr>
        <w:t xml:space="preserve"> </w:t>
      </w:r>
      <w:r w:rsidR="001D11D3">
        <w:rPr>
          <w:rFonts w:ascii="Calibri" w:eastAsia="Times New Roman" w:hAnsi="Calibri" w:cs="Times New Roman"/>
          <w:i/>
        </w:rPr>
        <w:t xml:space="preserve">to sporting events </w:t>
      </w:r>
      <w:r w:rsidR="00AE2BBD">
        <w:rPr>
          <w:rFonts w:ascii="Calibri" w:eastAsia="Times New Roman" w:hAnsi="Calibri" w:cs="Times New Roman"/>
          <w:i/>
        </w:rPr>
        <w:t xml:space="preserve">in </w:t>
      </w:r>
      <w:r w:rsidR="00CC7DF4">
        <w:rPr>
          <w:rFonts w:ascii="Calibri" w:eastAsia="Times New Roman" w:hAnsi="Calibri" w:cs="Times New Roman"/>
          <w:i/>
        </w:rPr>
        <w:t>mid-March</w:t>
      </w:r>
      <w:r w:rsidR="00A954D0">
        <w:rPr>
          <w:rFonts w:ascii="Calibri" w:eastAsia="Times New Roman" w:hAnsi="Calibri" w:cs="Times New Roman"/>
          <w:i/>
        </w:rPr>
        <w:t>. We delivered</w:t>
      </w:r>
      <w:r w:rsidR="00186EE4">
        <w:rPr>
          <w:rFonts w:ascii="Calibri" w:eastAsia="Times New Roman" w:hAnsi="Calibri" w:cs="Times New Roman"/>
          <w:i/>
        </w:rPr>
        <w:t xml:space="preserve"> </w:t>
      </w:r>
      <w:r w:rsidR="008D3D4B">
        <w:rPr>
          <w:rFonts w:ascii="Calibri" w:eastAsia="Times New Roman" w:hAnsi="Calibri" w:cs="Times New Roman"/>
          <w:i/>
        </w:rPr>
        <w:t xml:space="preserve">strong customer growth across </w:t>
      </w:r>
      <w:r w:rsidR="00CC7DF4">
        <w:rPr>
          <w:rFonts w:ascii="Calibri" w:eastAsia="Times New Roman" w:hAnsi="Calibri" w:cs="Times New Roman"/>
          <w:i/>
        </w:rPr>
        <w:t xml:space="preserve">each of </w:t>
      </w:r>
      <w:r w:rsidR="008D3D4B">
        <w:rPr>
          <w:rFonts w:ascii="Calibri" w:eastAsia="Times New Roman" w:hAnsi="Calibri" w:cs="Times New Roman"/>
          <w:i/>
        </w:rPr>
        <w:t>our brands</w:t>
      </w:r>
      <w:r w:rsidR="00A954D0">
        <w:rPr>
          <w:rFonts w:ascii="Calibri" w:eastAsia="Times New Roman" w:hAnsi="Calibri" w:cs="Times New Roman"/>
          <w:i/>
        </w:rPr>
        <w:t xml:space="preserve"> and benefitted</w:t>
      </w:r>
      <w:r w:rsidR="00140BB9">
        <w:rPr>
          <w:rFonts w:ascii="Calibri" w:eastAsia="Times New Roman" w:hAnsi="Calibri" w:cs="Times New Roman"/>
          <w:i/>
        </w:rPr>
        <w:t xml:space="preserve"> from</w:t>
      </w:r>
      <w:r w:rsidR="00AA2FAB">
        <w:rPr>
          <w:rFonts w:ascii="Calibri" w:eastAsia="Times New Roman" w:hAnsi="Calibri" w:cs="Times New Roman"/>
          <w:i/>
        </w:rPr>
        <w:t xml:space="preserve"> </w:t>
      </w:r>
      <w:r w:rsidR="00186EE4">
        <w:rPr>
          <w:rFonts w:ascii="Calibri" w:eastAsia="Times New Roman" w:hAnsi="Calibri" w:cs="Times New Roman"/>
          <w:i/>
        </w:rPr>
        <w:t>favourable sports results</w:t>
      </w:r>
      <w:r w:rsidR="00AA2FAB">
        <w:rPr>
          <w:rFonts w:ascii="Calibri" w:eastAsia="Times New Roman" w:hAnsi="Calibri" w:cs="Times New Roman"/>
          <w:i/>
        </w:rPr>
        <w:t xml:space="preserve"> across our sportsbooks</w:t>
      </w:r>
      <w:r w:rsidR="008D3D4B">
        <w:rPr>
          <w:rFonts w:ascii="Calibri" w:eastAsia="Times New Roman" w:hAnsi="Calibri" w:cs="Times New Roman"/>
          <w:i/>
        </w:rPr>
        <w:t xml:space="preserve">. </w:t>
      </w:r>
      <w:r w:rsidR="00397484">
        <w:rPr>
          <w:rFonts w:ascii="Calibri" w:eastAsia="Times New Roman" w:hAnsi="Calibri" w:cs="Times New Roman"/>
          <w:i/>
        </w:rPr>
        <w:t xml:space="preserve">Following </w:t>
      </w:r>
      <w:r w:rsidR="00555B65">
        <w:rPr>
          <w:rFonts w:ascii="Calibri" w:eastAsia="Times New Roman" w:hAnsi="Calibri" w:cs="Times New Roman"/>
          <w:i/>
        </w:rPr>
        <w:t xml:space="preserve">the widespread cancellation of </w:t>
      </w:r>
      <w:r w:rsidR="00CC7DF4">
        <w:rPr>
          <w:rFonts w:ascii="Calibri" w:eastAsia="Times New Roman" w:hAnsi="Calibri" w:cs="Times New Roman"/>
          <w:i/>
        </w:rPr>
        <w:t>sport</w:t>
      </w:r>
      <w:r w:rsidR="001D11D3">
        <w:rPr>
          <w:rFonts w:ascii="Calibri" w:eastAsia="Times New Roman" w:hAnsi="Calibri" w:cs="Times New Roman"/>
          <w:i/>
        </w:rPr>
        <w:t>ing</w:t>
      </w:r>
      <w:r w:rsidR="00CC7DF4">
        <w:rPr>
          <w:rFonts w:ascii="Calibri" w:eastAsia="Times New Roman" w:hAnsi="Calibri" w:cs="Times New Roman"/>
          <w:i/>
        </w:rPr>
        <w:t xml:space="preserve"> </w:t>
      </w:r>
      <w:r w:rsidR="00E044E3">
        <w:rPr>
          <w:rFonts w:ascii="Calibri" w:eastAsia="Times New Roman" w:hAnsi="Calibri" w:cs="Times New Roman"/>
          <w:i/>
        </w:rPr>
        <w:t>event</w:t>
      </w:r>
      <w:r w:rsidR="00555B65">
        <w:rPr>
          <w:rFonts w:ascii="Calibri" w:eastAsia="Times New Roman" w:hAnsi="Calibri" w:cs="Times New Roman"/>
          <w:i/>
        </w:rPr>
        <w:t>s</w:t>
      </w:r>
      <w:r w:rsidR="00AA2FAB">
        <w:rPr>
          <w:rFonts w:ascii="Calibri" w:eastAsia="Times New Roman" w:hAnsi="Calibri" w:cs="Times New Roman"/>
          <w:i/>
        </w:rPr>
        <w:t>,</w:t>
      </w:r>
      <w:r w:rsidR="00446DD6" w:rsidRPr="00446DD6">
        <w:rPr>
          <w:rFonts w:ascii="Calibri" w:eastAsia="Times New Roman" w:hAnsi="Calibri" w:cs="Times New Roman"/>
          <w:i/>
        </w:rPr>
        <w:t xml:space="preserve"> </w:t>
      </w:r>
      <w:r w:rsidR="00555B65">
        <w:rPr>
          <w:rFonts w:ascii="Calibri" w:eastAsia="Times New Roman" w:hAnsi="Calibri" w:cs="Times New Roman"/>
          <w:i/>
        </w:rPr>
        <w:t xml:space="preserve">Group </w:t>
      </w:r>
      <w:r w:rsidR="00446DD6" w:rsidRPr="00446DD6">
        <w:rPr>
          <w:rFonts w:ascii="Calibri" w:eastAsia="Times New Roman" w:hAnsi="Calibri" w:cs="Times New Roman"/>
          <w:i/>
        </w:rPr>
        <w:t>revenue</w:t>
      </w:r>
      <w:r w:rsidR="00387EDE">
        <w:rPr>
          <w:rFonts w:ascii="Calibri" w:eastAsia="Times New Roman" w:hAnsi="Calibri" w:cs="Times New Roman"/>
          <w:i/>
        </w:rPr>
        <w:t>s</w:t>
      </w:r>
      <w:r w:rsidR="00446DD6" w:rsidRPr="00446DD6">
        <w:rPr>
          <w:rFonts w:ascii="Calibri" w:eastAsia="Times New Roman" w:hAnsi="Calibri" w:cs="Times New Roman"/>
          <w:i/>
        </w:rPr>
        <w:t xml:space="preserve"> </w:t>
      </w:r>
      <w:r w:rsidR="00387EDE">
        <w:rPr>
          <w:rFonts w:ascii="Calibri" w:eastAsia="Times New Roman" w:hAnsi="Calibri" w:cs="Times New Roman"/>
          <w:i/>
        </w:rPr>
        <w:t xml:space="preserve">have </w:t>
      </w:r>
      <w:r w:rsidR="00CC7DF4">
        <w:rPr>
          <w:rFonts w:ascii="Calibri" w:eastAsia="Times New Roman" w:hAnsi="Calibri" w:cs="Times New Roman"/>
          <w:i/>
        </w:rPr>
        <w:t xml:space="preserve">been </w:t>
      </w:r>
      <w:r w:rsidR="00CE0C8B">
        <w:rPr>
          <w:rFonts w:ascii="Calibri" w:eastAsia="Times New Roman" w:hAnsi="Calibri" w:cs="Times New Roman"/>
          <w:i/>
        </w:rPr>
        <w:t>more resilient</w:t>
      </w:r>
      <w:r w:rsidR="00446DD6" w:rsidRPr="00446DD6">
        <w:rPr>
          <w:rFonts w:ascii="Calibri" w:eastAsia="Times New Roman" w:hAnsi="Calibri" w:cs="Times New Roman"/>
          <w:i/>
        </w:rPr>
        <w:t xml:space="preserve"> </w:t>
      </w:r>
      <w:r w:rsidR="00357368">
        <w:rPr>
          <w:rFonts w:ascii="Calibri" w:eastAsia="Times New Roman" w:hAnsi="Calibri" w:cs="Times New Roman"/>
          <w:i/>
        </w:rPr>
        <w:t xml:space="preserve">than </w:t>
      </w:r>
      <w:r w:rsidR="00555B65">
        <w:rPr>
          <w:rFonts w:ascii="Calibri" w:eastAsia="Times New Roman" w:hAnsi="Calibri" w:cs="Times New Roman"/>
          <w:i/>
        </w:rPr>
        <w:t xml:space="preserve">we </w:t>
      </w:r>
      <w:r w:rsidR="008D3D4B">
        <w:rPr>
          <w:rFonts w:ascii="Calibri" w:eastAsia="Times New Roman" w:hAnsi="Calibri" w:cs="Times New Roman"/>
          <w:i/>
        </w:rPr>
        <w:t xml:space="preserve">initially </w:t>
      </w:r>
      <w:r w:rsidR="00CE0C8B">
        <w:rPr>
          <w:rFonts w:ascii="Calibri" w:eastAsia="Times New Roman" w:hAnsi="Calibri" w:cs="Times New Roman"/>
          <w:i/>
        </w:rPr>
        <w:t>expected</w:t>
      </w:r>
      <w:r w:rsidR="00446DD6" w:rsidRPr="00446DD6">
        <w:rPr>
          <w:rFonts w:ascii="Calibri" w:eastAsia="Times New Roman" w:hAnsi="Calibri" w:cs="Times New Roman"/>
          <w:i/>
        </w:rPr>
        <w:t>, helped by</w:t>
      </w:r>
      <w:r w:rsidR="00F75E16">
        <w:rPr>
          <w:rFonts w:ascii="Calibri" w:eastAsia="Times New Roman" w:hAnsi="Calibri" w:cs="Times New Roman"/>
          <w:i/>
        </w:rPr>
        <w:t xml:space="preserve"> </w:t>
      </w:r>
      <w:r w:rsidR="00555B65">
        <w:rPr>
          <w:rFonts w:ascii="Calibri" w:eastAsia="Times New Roman" w:hAnsi="Calibri" w:cs="Times New Roman"/>
          <w:i/>
        </w:rPr>
        <w:t xml:space="preserve">the continuation of </w:t>
      </w:r>
      <w:r w:rsidR="00CC7DF4">
        <w:rPr>
          <w:rFonts w:ascii="Calibri" w:eastAsia="Times New Roman" w:hAnsi="Calibri" w:cs="Times New Roman"/>
          <w:i/>
        </w:rPr>
        <w:t xml:space="preserve">horse </w:t>
      </w:r>
      <w:r w:rsidR="00BC4504" w:rsidRPr="00446DD6">
        <w:rPr>
          <w:rFonts w:ascii="Calibri" w:eastAsia="Times New Roman" w:hAnsi="Calibri" w:cs="Times New Roman"/>
          <w:i/>
        </w:rPr>
        <w:t xml:space="preserve">racing </w:t>
      </w:r>
      <w:r w:rsidR="00E85DC0">
        <w:rPr>
          <w:rFonts w:ascii="Calibri" w:eastAsia="Times New Roman" w:hAnsi="Calibri" w:cs="Times New Roman"/>
          <w:i/>
        </w:rPr>
        <w:t>in Australia and the US</w:t>
      </w:r>
      <w:r w:rsidR="001405F2">
        <w:rPr>
          <w:rFonts w:ascii="Calibri" w:eastAsia="Times New Roman" w:hAnsi="Calibri" w:cs="Times New Roman"/>
          <w:i/>
        </w:rPr>
        <w:t xml:space="preserve">. Gaming </w:t>
      </w:r>
      <w:r w:rsidR="000160FC">
        <w:rPr>
          <w:rFonts w:ascii="Calibri" w:eastAsia="Times New Roman" w:hAnsi="Calibri" w:cs="Times New Roman"/>
          <w:i/>
        </w:rPr>
        <w:t xml:space="preserve">continues to </w:t>
      </w:r>
      <w:r w:rsidR="001405F2">
        <w:rPr>
          <w:rFonts w:ascii="Calibri" w:eastAsia="Times New Roman" w:hAnsi="Calibri" w:cs="Times New Roman"/>
          <w:i/>
        </w:rPr>
        <w:t>perform well across the Group.</w:t>
      </w:r>
    </w:p>
    <w:p w14:paraId="0DBD2C53" w14:textId="7D9CA3A8" w:rsidR="000160FC" w:rsidRDefault="000160FC" w:rsidP="00493293">
      <w:pPr>
        <w:widowControl/>
        <w:spacing w:after="80"/>
        <w:ind w:left="142"/>
        <w:jc w:val="both"/>
        <w:rPr>
          <w:rFonts w:ascii="Calibri" w:eastAsia="Times New Roman" w:hAnsi="Calibri" w:cs="Times New Roman"/>
          <w:i/>
        </w:rPr>
      </w:pPr>
      <w:bookmarkStart w:id="5" w:name="_Hlk37433463"/>
      <w:r w:rsidRPr="000160FC">
        <w:rPr>
          <w:rFonts w:ascii="Calibri" w:eastAsia="Times New Roman" w:hAnsi="Calibri" w:cs="Times New Roman"/>
          <w:i/>
        </w:rPr>
        <w:t xml:space="preserve">During this unprecedented time, </w:t>
      </w:r>
      <w:r w:rsidR="00397484" w:rsidRPr="00397484">
        <w:rPr>
          <w:rFonts w:ascii="Calibri" w:eastAsia="Times New Roman" w:hAnsi="Calibri" w:cs="Times New Roman"/>
          <w:i/>
        </w:rPr>
        <w:t>we are keenly aware of our heightened responsibility to ensure that we do all we can to promote responsible gambling</w:t>
      </w:r>
      <w:r w:rsidR="005F669A">
        <w:rPr>
          <w:rFonts w:ascii="Calibri" w:eastAsia="Times New Roman" w:hAnsi="Calibri" w:cs="Times New Roman"/>
          <w:i/>
        </w:rPr>
        <w:t>.</w:t>
      </w:r>
      <w:r w:rsidR="00397484" w:rsidRPr="00397484">
        <w:rPr>
          <w:rFonts w:ascii="Calibri" w:eastAsia="Times New Roman" w:hAnsi="Calibri" w:cs="Times New Roman"/>
          <w:i/>
        </w:rPr>
        <w:t xml:space="preserve"> </w:t>
      </w:r>
      <w:r w:rsidR="005F669A">
        <w:rPr>
          <w:rFonts w:ascii="Calibri" w:eastAsia="Times New Roman" w:hAnsi="Calibri" w:cs="Times New Roman"/>
          <w:i/>
        </w:rPr>
        <w:t>W</w:t>
      </w:r>
      <w:r w:rsidRPr="000160FC">
        <w:rPr>
          <w:rFonts w:ascii="Calibri" w:eastAsia="Times New Roman" w:hAnsi="Calibri" w:cs="Times New Roman"/>
          <w:i/>
        </w:rPr>
        <w:t>e have step</w:t>
      </w:r>
      <w:r w:rsidR="005F669A">
        <w:rPr>
          <w:rFonts w:ascii="Calibri" w:eastAsia="Times New Roman" w:hAnsi="Calibri" w:cs="Times New Roman"/>
          <w:i/>
        </w:rPr>
        <w:t>ped</w:t>
      </w:r>
      <w:r w:rsidRPr="000160FC">
        <w:rPr>
          <w:rFonts w:ascii="Calibri" w:eastAsia="Times New Roman" w:hAnsi="Calibri" w:cs="Times New Roman"/>
          <w:i/>
        </w:rPr>
        <w:t xml:space="preserve"> up our own practices and </w:t>
      </w:r>
      <w:r w:rsidR="005F669A">
        <w:rPr>
          <w:rFonts w:ascii="Calibri" w:eastAsia="Times New Roman" w:hAnsi="Calibri" w:cs="Times New Roman"/>
          <w:i/>
        </w:rPr>
        <w:t xml:space="preserve">are collaborating </w:t>
      </w:r>
      <w:r w:rsidRPr="000160FC">
        <w:rPr>
          <w:rFonts w:ascii="Calibri" w:eastAsia="Times New Roman" w:hAnsi="Calibri" w:cs="Times New Roman"/>
          <w:i/>
        </w:rPr>
        <w:t xml:space="preserve">with </w:t>
      </w:r>
      <w:r w:rsidR="005F669A">
        <w:rPr>
          <w:rFonts w:ascii="Calibri" w:eastAsia="Times New Roman" w:hAnsi="Calibri" w:cs="Times New Roman"/>
          <w:i/>
        </w:rPr>
        <w:t xml:space="preserve">our </w:t>
      </w:r>
      <w:r w:rsidRPr="000160FC">
        <w:rPr>
          <w:rFonts w:ascii="Calibri" w:eastAsia="Times New Roman" w:hAnsi="Calibri" w:cs="Times New Roman"/>
          <w:i/>
        </w:rPr>
        <w:t xml:space="preserve">peers within the Betting and Gaming Council to continue to raise standards across the sector.  We are also working hard to provide all the support we can to our employees and I would like to thank them for their ongoing commitment and support for </w:t>
      </w:r>
      <w:r w:rsidR="00DE41D9">
        <w:rPr>
          <w:rFonts w:ascii="Calibri" w:eastAsia="Times New Roman" w:hAnsi="Calibri" w:cs="Times New Roman"/>
          <w:i/>
        </w:rPr>
        <w:t xml:space="preserve">each </w:t>
      </w:r>
      <w:r w:rsidRPr="000160FC">
        <w:rPr>
          <w:rFonts w:ascii="Calibri" w:eastAsia="Times New Roman" w:hAnsi="Calibri" w:cs="Times New Roman"/>
          <w:i/>
        </w:rPr>
        <w:t xml:space="preserve">other during this </w:t>
      </w:r>
      <w:r w:rsidR="00397484">
        <w:rPr>
          <w:rFonts w:ascii="Calibri" w:eastAsia="Times New Roman" w:hAnsi="Calibri" w:cs="Times New Roman"/>
          <w:i/>
        </w:rPr>
        <w:t xml:space="preserve">difficult </w:t>
      </w:r>
      <w:r w:rsidRPr="000160FC">
        <w:rPr>
          <w:rFonts w:ascii="Calibri" w:eastAsia="Times New Roman" w:hAnsi="Calibri" w:cs="Times New Roman"/>
          <w:i/>
        </w:rPr>
        <w:t>period.</w:t>
      </w:r>
    </w:p>
    <w:p w14:paraId="75A47359" w14:textId="1B417421" w:rsidR="000160FC" w:rsidRDefault="000160FC" w:rsidP="000160FC">
      <w:pPr>
        <w:widowControl/>
        <w:spacing w:after="80"/>
        <w:ind w:left="142"/>
        <w:jc w:val="both"/>
        <w:rPr>
          <w:rFonts w:ascii="Calibri" w:eastAsia="Times New Roman" w:hAnsi="Calibri" w:cs="Times New Roman"/>
          <w:i/>
        </w:rPr>
      </w:pPr>
      <w:r>
        <w:rPr>
          <w:rFonts w:ascii="Calibri" w:eastAsia="Times New Roman" w:hAnsi="Calibri" w:cs="Times New Roman"/>
          <w:i/>
        </w:rPr>
        <w:t xml:space="preserve">While the current disruption is truly exceptional, it underlines the importance of product and geographic </w:t>
      </w:r>
      <w:r w:rsidRPr="003C2888">
        <w:rPr>
          <w:rFonts w:ascii="Calibri" w:eastAsia="Times New Roman" w:hAnsi="Calibri" w:cs="Times New Roman"/>
          <w:i/>
        </w:rPr>
        <w:t xml:space="preserve">diversification.  As such, the strategic logic of our combination with The Stars Group remains compelling. </w:t>
      </w:r>
      <w:r w:rsidR="00F51B91" w:rsidRPr="00FF291A">
        <w:rPr>
          <w:i/>
          <w:iCs/>
        </w:rPr>
        <w:t>Following approval of the deal yesterday by the Irish Competition and Consumer Protection Commission, we look forward to completing the transaction in Q2 upon receipt of outstanding shareholder and regulatory approvals.</w:t>
      </w:r>
      <w:r w:rsidRPr="003C2888">
        <w:rPr>
          <w:rFonts w:ascii="Calibri" w:eastAsia="Times New Roman" w:hAnsi="Calibri" w:cs="Times New Roman"/>
          <w:i/>
        </w:rPr>
        <w:t>”</w:t>
      </w:r>
    </w:p>
    <w:bookmarkEnd w:id="4"/>
    <w:bookmarkEnd w:id="5"/>
    <w:p w14:paraId="6D8504A8" w14:textId="77777777" w:rsidR="00387EDE" w:rsidRDefault="00387EDE" w:rsidP="00700FBA">
      <w:pPr>
        <w:rPr>
          <w:rFonts w:ascii="Calibri" w:eastAsia="Calibri" w:hAnsi="Calibri"/>
          <w:b/>
          <w:bCs/>
          <w:sz w:val="24"/>
        </w:rPr>
      </w:pPr>
    </w:p>
    <w:p w14:paraId="23108F2E" w14:textId="77777777" w:rsidR="000E6286" w:rsidRDefault="000E6286">
      <w:pPr>
        <w:rPr>
          <w:rFonts w:ascii="Calibri" w:eastAsia="Calibri" w:hAnsi="Calibri"/>
          <w:b/>
          <w:bCs/>
          <w:sz w:val="24"/>
        </w:rPr>
      </w:pPr>
      <w:r>
        <w:rPr>
          <w:rFonts w:ascii="Calibri" w:eastAsia="Calibri" w:hAnsi="Calibri"/>
          <w:b/>
          <w:bCs/>
          <w:sz w:val="24"/>
        </w:rPr>
        <w:br w:type="page"/>
      </w:r>
    </w:p>
    <w:p w14:paraId="4D518BC9" w14:textId="53B0A8AC" w:rsidR="00A469B8" w:rsidRDefault="00E76164" w:rsidP="00BF0D88">
      <w:pPr>
        <w:spacing w:after="120"/>
        <w:ind w:firstLine="142"/>
        <w:rPr>
          <w:rFonts w:ascii="Calibri" w:eastAsia="Calibri" w:hAnsi="Calibri"/>
          <w:b/>
          <w:bCs/>
          <w:sz w:val="24"/>
        </w:rPr>
      </w:pPr>
      <w:r>
        <w:rPr>
          <w:rFonts w:ascii="Calibri" w:eastAsia="Calibri" w:hAnsi="Calibri"/>
          <w:b/>
          <w:bCs/>
          <w:sz w:val="24"/>
        </w:rPr>
        <w:lastRenderedPageBreak/>
        <w:t>D</w:t>
      </w:r>
      <w:r w:rsidR="00A469B8" w:rsidRPr="0090038F">
        <w:rPr>
          <w:rFonts w:ascii="Calibri" w:eastAsia="Calibri" w:hAnsi="Calibri"/>
          <w:b/>
          <w:bCs/>
          <w:sz w:val="24"/>
        </w:rPr>
        <w:t>ivisional analysi</w:t>
      </w:r>
      <w:r w:rsidR="00BC5F74">
        <w:rPr>
          <w:rFonts w:ascii="Calibri" w:eastAsia="Calibri" w:hAnsi="Calibri"/>
          <w:b/>
          <w:bCs/>
          <w:sz w:val="24"/>
        </w:rPr>
        <w:t>s</w:t>
      </w:r>
    </w:p>
    <w:tbl>
      <w:tblPr>
        <w:tblStyle w:val="TableGrid"/>
        <w:tblW w:w="9634" w:type="dxa"/>
        <w:tblInd w:w="142" w:type="dxa"/>
        <w:tblBorders>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71"/>
        <w:gridCol w:w="425"/>
        <w:gridCol w:w="709"/>
        <w:gridCol w:w="850"/>
        <w:gridCol w:w="426"/>
        <w:gridCol w:w="708"/>
        <w:gridCol w:w="851"/>
        <w:gridCol w:w="567"/>
        <w:gridCol w:w="709"/>
        <w:gridCol w:w="992"/>
        <w:gridCol w:w="425"/>
        <w:gridCol w:w="709"/>
        <w:gridCol w:w="992"/>
      </w:tblGrid>
      <w:tr w:rsidR="00BF0D88" w:rsidRPr="0011120D" w14:paraId="4D3E23D8" w14:textId="77777777" w:rsidTr="00BF0D88">
        <w:trPr>
          <w:trHeight w:val="401"/>
        </w:trPr>
        <w:tc>
          <w:tcPr>
            <w:tcW w:w="1271" w:type="dxa"/>
            <w:tcBorders>
              <w:right w:val="single" w:sz="4" w:space="0" w:color="auto"/>
            </w:tcBorders>
            <w:vAlign w:val="bottom"/>
          </w:tcPr>
          <w:p w14:paraId="0AB081F7" w14:textId="77777777" w:rsidR="00BF0D88" w:rsidRPr="005B42A3" w:rsidRDefault="00BF0D88" w:rsidP="007F6621">
            <w:pPr>
              <w:pStyle w:val="TableParagraph"/>
              <w:spacing w:line="204" w:lineRule="exact"/>
              <w:rPr>
                <w:rFonts w:ascii="Calibri" w:eastAsia="Calibri" w:hAnsi="Calibri" w:cs="Calibri"/>
                <w:i/>
                <w:sz w:val="18"/>
                <w:szCs w:val="17"/>
              </w:rPr>
            </w:pPr>
            <w:bookmarkStart w:id="6" w:name="_Hlk36980832"/>
            <w:r w:rsidRPr="005B42A3">
              <w:rPr>
                <w:rFonts w:ascii="Calibri" w:eastAsia="Calibri" w:hAnsi="Calibri" w:cs="Calibri"/>
                <w:i/>
                <w:sz w:val="18"/>
                <w:szCs w:val="17"/>
              </w:rPr>
              <w:t>Unaudited £m</w:t>
            </w:r>
          </w:p>
          <w:p w14:paraId="3076AA03" w14:textId="77777777" w:rsidR="00BF0D88" w:rsidRPr="005B42A3" w:rsidRDefault="00BF0D88" w:rsidP="007F6621">
            <w:pPr>
              <w:pStyle w:val="TableParagraph"/>
              <w:spacing w:line="204" w:lineRule="exact"/>
              <w:rPr>
                <w:rFonts w:ascii="Calibri" w:eastAsia="Calibri" w:hAnsi="Calibri" w:cs="Calibri"/>
                <w:i/>
                <w:sz w:val="18"/>
                <w:szCs w:val="17"/>
              </w:rPr>
            </w:pPr>
          </w:p>
        </w:tc>
        <w:tc>
          <w:tcPr>
            <w:tcW w:w="1984" w:type="dxa"/>
            <w:gridSpan w:val="3"/>
            <w:tcBorders>
              <w:top w:val="single" w:sz="4" w:space="0" w:color="auto"/>
              <w:left w:val="single" w:sz="4" w:space="0" w:color="auto"/>
              <w:bottom w:val="nil"/>
              <w:right w:val="single" w:sz="4" w:space="0" w:color="auto"/>
            </w:tcBorders>
            <w:vAlign w:val="center"/>
          </w:tcPr>
          <w:p w14:paraId="5365014B" w14:textId="77777777" w:rsidR="00BF0D88" w:rsidRPr="005B42A3" w:rsidRDefault="00BF0D88" w:rsidP="007F6621">
            <w:pPr>
              <w:pStyle w:val="TableParagraph"/>
              <w:spacing w:line="204" w:lineRule="exact"/>
              <w:ind w:left="51"/>
              <w:jc w:val="center"/>
              <w:rPr>
                <w:rFonts w:ascii="Calibri" w:eastAsia="Calibri" w:hAnsi="Calibri" w:cs="Calibri"/>
                <w:b/>
                <w:sz w:val="18"/>
                <w:szCs w:val="17"/>
              </w:rPr>
            </w:pPr>
            <w:r>
              <w:rPr>
                <w:rFonts w:ascii="Calibri" w:eastAsia="Calibri" w:hAnsi="Calibri" w:cs="Calibri"/>
                <w:b/>
                <w:sz w:val="18"/>
                <w:szCs w:val="17"/>
              </w:rPr>
              <w:t xml:space="preserve">PPB </w:t>
            </w:r>
            <w:r w:rsidRPr="005B42A3">
              <w:rPr>
                <w:rFonts w:ascii="Calibri" w:eastAsia="Calibri" w:hAnsi="Calibri" w:cs="Calibri"/>
                <w:b/>
                <w:sz w:val="18"/>
                <w:szCs w:val="17"/>
              </w:rPr>
              <w:t>Online</w:t>
            </w:r>
          </w:p>
        </w:tc>
        <w:tc>
          <w:tcPr>
            <w:tcW w:w="1985" w:type="dxa"/>
            <w:gridSpan w:val="3"/>
            <w:tcBorders>
              <w:top w:val="single" w:sz="4" w:space="0" w:color="auto"/>
              <w:left w:val="single" w:sz="4" w:space="0" w:color="auto"/>
              <w:bottom w:val="nil"/>
              <w:right w:val="single" w:sz="4" w:space="0" w:color="auto"/>
            </w:tcBorders>
            <w:vAlign w:val="center"/>
          </w:tcPr>
          <w:p w14:paraId="64EF69AB" w14:textId="77777777" w:rsidR="00BF0D88" w:rsidRPr="005B42A3" w:rsidRDefault="00BF0D88" w:rsidP="007F6621">
            <w:pPr>
              <w:pStyle w:val="TableParagraph"/>
              <w:spacing w:line="204" w:lineRule="exact"/>
              <w:ind w:left="51"/>
              <w:jc w:val="center"/>
              <w:rPr>
                <w:rFonts w:ascii="Calibri" w:eastAsia="Calibri" w:hAnsi="Calibri" w:cs="Calibri"/>
                <w:b/>
                <w:sz w:val="18"/>
                <w:szCs w:val="17"/>
              </w:rPr>
            </w:pPr>
            <w:r w:rsidRPr="005B42A3">
              <w:rPr>
                <w:rFonts w:ascii="Calibri" w:eastAsia="Calibri" w:hAnsi="Calibri" w:cs="Calibri"/>
                <w:b/>
                <w:sz w:val="18"/>
                <w:szCs w:val="17"/>
              </w:rPr>
              <w:t>Australia</w:t>
            </w:r>
          </w:p>
        </w:tc>
        <w:tc>
          <w:tcPr>
            <w:tcW w:w="2268" w:type="dxa"/>
            <w:gridSpan w:val="3"/>
            <w:tcBorders>
              <w:top w:val="single" w:sz="4" w:space="0" w:color="auto"/>
              <w:left w:val="single" w:sz="4" w:space="0" w:color="auto"/>
              <w:bottom w:val="nil"/>
              <w:right w:val="single" w:sz="4" w:space="0" w:color="auto"/>
            </w:tcBorders>
            <w:vAlign w:val="center"/>
          </w:tcPr>
          <w:p w14:paraId="4FB5B3A4" w14:textId="77777777" w:rsidR="00BF0D88" w:rsidRPr="005B42A3" w:rsidRDefault="00BF0D88" w:rsidP="007F6621">
            <w:pPr>
              <w:pStyle w:val="TableParagraph"/>
              <w:spacing w:line="204" w:lineRule="exact"/>
              <w:ind w:left="51"/>
              <w:jc w:val="center"/>
              <w:rPr>
                <w:rFonts w:ascii="Calibri" w:eastAsia="Calibri" w:hAnsi="Calibri" w:cs="Calibri"/>
                <w:b/>
                <w:sz w:val="18"/>
                <w:szCs w:val="17"/>
              </w:rPr>
            </w:pPr>
            <w:r w:rsidRPr="005B42A3">
              <w:rPr>
                <w:rFonts w:ascii="Calibri" w:eastAsia="Calibri" w:hAnsi="Calibri" w:cs="Calibri"/>
                <w:b/>
                <w:sz w:val="18"/>
                <w:szCs w:val="17"/>
              </w:rPr>
              <w:t>US</w:t>
            </w:r>
          </w:p>
        </w:tc>
        <w:tc>
          <w:tcPr>
            <w:tcW w:w="2126" w:type="dxa"/>
            <w:gridSpan w:val="3"/>
            <w:tcBorders>
              <w:left w:val="single" w:sz="4" w:space="0" w:color="auto"/>
            </w:tcBorders>
            <w:vAlign w:val="center"/>
          </w:tcPr>
          <w:p w14:paraId="08B97159" w14:textId="77777777" w:rsidR="00BF0D88" w:rsidRPr="005B42A3" w:rsidRDefault="00BF0D88" w:rsidP="007F6621">
            <w:pPr>
              <w:pStyle w:val="TableParagraph"/>
              <w:spacing w:line="204" w:lineRule="exact"/>
              <w:ind w:left="51"/>
              <w:jc w:val="center"/>
              <w:rPr>
                <w:rFonts w:ascii="Calibri" w:eastAsia="Calibri" w:hAnsi="Calibri" w:cs="Calibri"/>
                <w:b/>
                <w:sz w:val="18"/>
                <w:szCs w:val="17"/>
              </w:rPr>
            </w:pPr>
            <w:r>
              <w:rPr>
                <w:rFonts w:ascii="Calibri" w:eastAsia="Calibri" w:hAnsi="Calibri" w:cs="Calibri"/>
                <w:b/>
                <w:sz w:val="18"/>
                <w:szCs w:val="17"/>
              </w:rPr>
              <w:t xml:space="preserve">PPB </w:t>
            </w:r>
            <w:r w:rsidRPr="005B42A3">
              <w:rPr>
                <w:rFonts w:ascii="Calibri" w:eastAsia="Calibri" w:hAnsi="Calibri" w:cs="Calibri"/>
                <w:b/>
                <w:sz w:val="18"/>
                <w:szCs w:val="17"/>
              </w:rPr>
              <w:t>Retail</w:t>
            </w:r>
          </w:p>
        </w:tc>
      </w:tr>
      <w:tr w:rsidR="00BF0D88" w:rsidRPr="0011120D" w14:paraId="7777E412" w14:textId="77777777" w:rsidTr="00BF0D88">
        <w:trPr>
          <w:trHeight w:val="497"/>
        </w:trPr>
        <w:tc>
          <w:tcPr>
            <w:tcW w:w="1271" w:type="dxa"/>
            <w:tcBorders>
              <w:right w:val="single" w:sz="4" w:space="0" w:color="auto"/>
            </w:tcBorders>
          </w:tcPr>
          <w:p w14:paraId="63F1FE5E" w14:textId="77777777" w:rsidR="00BF0D88" w:rsidRPr="005B42A3" w:rsidRDefault="00BF0D88" w:rsidP="007F6621">
            <w:pPr>
              <w:pStyle w:val="TableParagraph"/>
              <w:spacing w:line="204" w:lineRule="exact"/>
              <w:rPr>
                <w:rFonts w:ascii="Calibri" w:eastAsia="Calibri" w:hAnsi="Calibri" w:cs="Calibri"/>
                <w:sz w:val="18"/>
                <w:szCs w:val="17"/>
              </w:rPr>
            </w:pPr>
          </w:p>
        </w:tc>
        <w:tc>
          <w:tcPr>
            <w:tcW w:w="425" w:type="dxa"/>
            <w:tcBorders>
              <w:top w:val="nil"/>
              <w:left w:val="single" w:sz="4" w:space="0" w:color="auto"/>
              <w:bottom w:val="single" w:sz="4" w:space="0" w:color="auto"/>
            </w:tcBorders>
            <w:vAlign w:val="center"/>
          </w:tcPr>
          <w:p w14:paraId="55B84160" w14:textId="77777777" w:rsidR="00BF0D88" w:rsidRPr="005B42A3" w:rsidRDefault="00BF0D88" w:rsidP="007F6621">
            <w:pPr>
              <w:pStyle w:val="TableParagraph"/>
              <w:spacing w:line="204" w:lineRule="exact"/>
              <w:ind w:left="51"/>
              <w:jc w:val="center"/>
              <w:rPr>
                <w:rFonts w:ascii="Calibri" w:eastAsia="Calibri" w:hAnsi="Calibri" w:cs="Calibri"/>
                <w:b/>
                <w:sz w:val="18"/>
                <w:szCs w:val="17"/>
              </w:rPr>
            </w:pPr>
            <w:r w:rsidRPr="005B42A3">
              <w:rPr>
                <w:rFonts w:ascii="Calibri" w:eastAsia="Calibri" w:hAnsi="Calibri" w:cs="Calibri"/>
                <w:b/>
                <w:sz w:val="18"/>
                <w:szCs w:val="17"/>
              </w:rPr>
              <w:t>Q1 2020</w:t>
            </w:r>
          </w:p>
        </w:tc>
        <w:tc>
          <w:tcPr>
            <w:tcW w:w="709" w:type="dxa"/>
            <w:tcBorders>
              <w:top w:val="nil"/>
              <w:bottom w:val="single" w:sz="4" w:space="0" w:color="auto"/>
            </w:tcBorders>
            <w:vAlign w:val="center"/>
          </w:tcPr>
          <w:p w14:paraId="18B0E8ED"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b/>
                <w:sz w:val="18"/>
                <w:szCs w:val="17"/>
              </w:rPr>
              <w:t>YoY %</w:t>
            </w:r>
            <w:r w:rsidRPr="005F669A">
              <w:rPr>
                <w:rFonts w:ascii="Calibri" w:eastAsia="Calibri" w:hAnsi="Calibri" w:cs="Calibri"/>
                <w:b/>
                <w:sz w:val="18"/>
                <w:szCs w:val="17"/>
                <w:vertAlign w:val="superscript"/>
              </w:rPr>
              <w:t>1</w:t>
            </w:r>
            <w:r w:rsidRPr="005B42A3">
              <w:rPr>
                <w:rFonts w:ascii="Calibri" w:eastAsia="Calibri" w:hAnsi="Calibri" w:cs="Calibri"/>
                <w:b/>
                <w:sz w:val="18"/>
                <w:szCs w:val="17"/>
              </w:rPr>
              <w:t xml:space="preserve"> </w:t>
            </w:r>
          </w:p>
        </w:tc>
        <w:tc>
          <w:tcPr>
            <w:tcW w:w="850" w:type="dxa"/>
            <w:tcBorders>
              <w:top w:val="nil"/>
              <w:bottom w:val="single" w:sz="4" w:space="0" w:color="auto"/>
              <w:right w:val="single" w:sz="4" w:space="0" w:color="auto"/>
            </w:tcBorders>
            <w:vAlign w:val="center"/>
          </w:tcPr>
          <w:p w14:paraId="55E498E6" w14:textId="77777777" w:rsidR="00BF0D88" w:rsidRPr="005B42A3" w:rsidRDefault="00BF0D88" w:rsidP="007F6621">
            <w:pPr>
              <w:pStyle w:val="TableParagraph"/>
              <w:spacing w:line="204" w:lineRule="exact"/>
              <w:ind w:left="51"/>
              <w:jc w:val="center"/>
              <w:rPr>
                <w:rFonts w:ascii="Calibri" w:eastAsia="Calibri" w:hAnsi="Calibri" w:cs="Calibri"/>
                <w:b/>
                <w:sz w:val="18"/>
                <w:szCs w:val="17"/>
              </w:rPr>
            </w:pPr>
            <w:r w:rsidRPr="005B42A3">
              <w:rPr>
                <w:rFonts w:ascii="Calibri" w:eastAsia="Calibri" w:hAnsi="Calibri" w:cs="Calibri"/>
                <w:b/>
                <w:sz w:val="18"/>
                <w:szCs w:val="17"/>
              </w:rPr>
              <w:t xml:space="preserve">Pre </w:t>
            </w:r>
            <w:r>
              <w:rPr>
                <w:rFonts w:ascii="Calibri" w:eastAsia="Calibri" w:hAnsi="Calibri" w:cs="Calibri"/>
                <w:b/>
                <w:sz w:val="18"/>
                <w:szCs w:val="17"/>
              </w:rPr>
              <w:t>–March 15</w:t>
            </w:r>
            <w:r w:rsidRPr="005B42A3">
              <w:rPr>
                <w:rFonts w:ascii="Calibri" w:eastAsia="Calibri" w:hAnsi="Calibri" w:cs="Calibri"/>
                <w:b/>
                <w:sz w:val="18"/>
                <w:szCs w:val="17"/>
              </w:rPr>
              <w:t xml:space="preserve"> </w:t>
            </w:r>
          </w:p>
          <w:p w14:paraId="3DCA905D" w14:textId="77777777" w:rsidR="00BF0D88" w:rsidRPr="005B42A3" w:rsidRDefault="00BF0D88" w:rsidP="007F6621">
            <w:pPr>
              <w:pStyle w:val="TableParagraph"/>
              <w:spacing w:line="204" w:lineRule="exact"/>
              <w:ind w:left="51"/>
              <w:jc w:val="center"/>
              <w:rPr>
                <w:rFonts w:ascii="Calibri" w:eastAsia="Calibri" w:hAnsi="Calibri" w:cs="Calibri"/>
                <w:b/>
                <w:sz w:val="18"/>
                <w:szCs w:val="17"/>
              </w:rPr>
            </w:pPr>
            <w:r w:rsidRPr="005B42A3">
              <w:rPr>
                <w:rFonts w:ascii="Calibri" w:eastAsia="Calibri" w:hAnsi="Calibri" w:cs="Calibri"/>
                <w:b/>
                <w:sz w:val="18"/>
                <w:szCs w:val="17"/>
              </w:rPr>
              <w:t>YoY %</w:t>
            </w:r>
            <w:r w:rsidRPr="005F669A">
              <w:rPr>
                <w:rFonts w:ascii="Calibri" w:eastAsia="Calibri" w:hAnsi="Calibri" w:cs="Calibri"/>
                <w:b/>
                <w:sz w:val="18"/>
                <w:szCs w:val="17"/>
                <w:vertAlign w:val="superscript"/>
              </w:rPr>
              <w:t>1</w:t>
            </w:r>
            <w:r w:rsidRPr="005B42A3">
              <w:rPr>
                <w:rFonts w:ascii="Calibri" w:eastAsia="Calibri" w:hAnsi="Calibri" w:cs="Calibri"/>
                <w:b/>
                <w:sz w:val="18"/>
                <w:szCs w:val="17"/>
              </w:rPr>
              <w:t xml:space="preserve"> </w:t>
            </w:r>
          </w:p>
        </w:tc>
        <w:tc>
          <w:tcPr>
            <w:tcW w:w="426" w:type="dxa"/>
            <w:tcBorders>
              <w:top w:val="nil"/>
              <w:left w:val="single" w:sz="4" w:space="0" w:color="auto"/>
              <w:bottom w:val="single" w:sz="4" w:space="0" w:color="auto"/>
            </w:tcBorders>
            <w:vAlign w:val="center"/>
          </w:tcPr>
          <w:p w14:paraId="1F110D57" w14:textId="77777777" w:rsidR="00BF0D88" w:rsidRPr="005B42A3" w:rsidRDefault="00BF0D88" w:rsidP="007F6621">
            <w:pPr>
              <w:pStyle w:val="TableParagraph"/>
              <w:spacing w:line="204" w:lineRule="exact"/>
              <w:ind w:left="51"/>
              <w:jc w:val="center"/>
              <w:rPr>
                <w:rFonts w:ascii="Calibri" w:eastAsia="Calibri" w:hAnsi="Calibri" w:cs="Calibri"/>
                <w:b/>
                <w:sz w:val="18"/>
                <w:szCs w:val="17"/>
              </w:rPr>
            </w:pPr>
            <w:r w:rsidRPr="005B42A3">
              <w:rPr>
                <w:rFonts w:ascii="Calibri" w:eastAsia="Calibri" w:hAnsi="Calibri" w:cs="Calibri"/>
                <w:b/>
                <w:sz w:val="18"/>
                <w:szCs w:val="17"/>
              </w:rPr>
              <w:t>Q1 2020</w:t>
            </w:r>
          </w:p>
        </w:tc>
        <w:tc>
          <w:tcPr>
            <w:tcW w:w="708" w:type="dxa"/>
            <w:tcBorders>
              <w:top w:val="nil"/>
              <w:bottom w:val="single" w:sz="4" w:space="0" w:color="auto"/>
            </w:tcBorders>
            <w:vAlign w:val="center"/>
          </w:tcPr>
          <w:p w14:paraId="6C397601" w14:textId="77777777" w:rsidR="00BF0D88" w:rsidRPr="005B42A3" w:rsidRDefault="00BF0D88" w:rsidP="007F6621">
            <w:pPr>
              <w:pStyle w:val="TableParagraph"/>
              <w:spacing w:line="204" w:lineRule="exact"/>
              <w:ind w:left="51"/>
              <w:jc w:val="center"/>
              <w:rPr>
                <w:rFonts w:ascii="Calibri" w:eastAsia="Calibri" w:hAnsi="Calibri" w:cs="Calibri"/>
                <w:b/>
                <w:sz w:val="18"/>
                <w:szCs w:val="17"/>
              </w:rPr>
            </w:pPr>
            <w:r w:rsidRPr="005B42A3">
              <w:rPr>
                <w:rFonts w:ascii="Calibri" w:eastAsia="Calibri" w:hAnsi="Calibri" w:cs="Calibri"/>
                <w:b/>
                <w:sz w:val="18"/>
                <w:szCs w:val="17"/>
              </w:rPr>
              <w:t>A$</w:t>
            </w:r>
          </w:p>
          <w:p w14:paraId="7370F56D" w14:textId="77777777" w:rsidR="00BF0D88" w:rsidRPr="005B42A3" w:rsidRDefault="00BF0D88" w:rsidP="007F6621">
            <w:pPr>
              <w:pStyle w:val="TableParagraph"/>
              <w:spacing w:line="204" w:lineRule="exact"/>
              <w:ind w:left="51"/>
              <w:jc w:val="center"/>
              <w:rPr>
                <w:rFonts w:ascii="Calibri" w:eastAsia="Calibri" w:hAnsi="Calibri" w:cs="Calibri"/>
                <w:b/>
                <w:sz w:val="18"/>
                <w:szCs w:val="17"/>
              </w:rPr>
            </w:pPr>
            <w:r w:rsidRPr="005B42A3">
              <w:rPr>
                <w:rFonts w:ascii="Calibri" w:eastAsia="Calibri" w:hAnsi="Calibri" w:cs="Calibri"/>
                <w:b/>
                <w:sz w:val="18"/>
                <w:szCs w:val="17"/>
              </w:rPr>
              <w:t>YoY %</w:t>
            </w:r>
            <w:r w:rsidRPr="005F669A">
              <w:rPr>
                <w:rFonts w:ascii="Calibri" w:eastAsia="Calibri" w:hAnsi="Calibri" w:cs="Calibri"/>
                <w:b/>
                <w:sz w:val="18"/>
                <w:szCs w:val="17"/>
                <w:vertAlign w:val="superscript"/>
              </w:rPr>
              <w:t>1</w:t>
            </w:r>
            <w:r w:rsidRPr="005B42A3">
              <w:rPr>
                <w:rFonts w:ascii="Calibri" w:eastAsia="Calibri" w:hAnsi="Calibri" w:cs="Calibri"/>
                <w:b/>
                <w:sz w:val="18"/>
                <w:szCs w:val="17"/>
              </w:rPr>
              <w:t xml:space="preserve"> </w:t>
            </w:r>
          </w:p>
        </w:tc>
        <w:tc>
          <w:tcPr>
            <w:tcW w:w="851" w:type="dxa"/>
            <w:tcBorders>
              <w:top w:val="nil"/>
              <w:bottom w:val="single" w:sz="4" w:space="0" w:color="auto"/>
              <w:right w:val="single" w:sz="4" w:space="0" w:color="auto"/>
            </w:tcBorders>
            <w:vAlign w:val="center"/>
          </w:tcPr>
          <w:p w14:paraId="4F845A8C" w14:textId="77777777" w:rsidR="00BF0D88" w:rsidRPr="005B42A3" w:rsidRDefault="00BF0D88" w:rsidP="007F6621">
            <w:pPr>
              <w:pStyle w:val="TableParagraph"/>
              <w:spacing w:line="204" w:lineRule="exact"/>
              <w:ind w:left="51"/>
              <w:jc w:val="center"/>
              <w:rPr>
                <w:rFonts w:ascii="Calibri" w:eastAsia="Calibri" w:hAnsi="Calibri" w:cs="Calibri"/>
                <w:b/>
                <w:sz w:val="18"/>
                <w:szCs w:val="17"/>
              </w:rPr>
            </w:pPr>
            <w:r w:rsidRPr="005B42A3">
              <w:rPr>
                <w:rFonts w:ascii="Calibri" w:eastAsia="Calibri" w:hAnsi="Calibri" w:cs="Calibri"/>
                <w:b/>
                <w:sz w:val="18"/>
                <w:szCs w:val="17"/>
              </w:rPr>
              <w:t xml:space="preserve">Pre </w:t>
            </w:r>
            <w:r>
              <w:rPr>
                <w:rFonts w:ascii="Calibri" w:eastAsia="Calibri" w:hAnsi="Calibri" w:cs="Calibri"/>
                <w:b/>
                <w:sz w:val="18"/>
                <w:szCs w:val="17"/>
              </w:rPr>
              <w:t>–March 15</w:t>
            </w:r>
            <w:r w:rsidRPr="005B42A3">
              <w:rPr>
                <w:rFonts w:ascii="Calibri" w:eastAsia="Calibri" w:hAnsi="Calibri" w:cs="Calibri"/>
                <w:b/>
                <w:sz w:val="18"/>
                <w:szCs w:val="17"/>
              </w:rPr>
              <w:t xml:space="preserve"> </w:t>
            </w:r>
          </w:p>
          <w:p w14:paraId="239281C1" w14:textId="77777777" w:rsidR="00BF0D88" w:rsidRPr="005B42A3" w:rsidRDefault="00BF0D88" w:rsidP="007F6621">
            <w:pPr>
              <w:pStyle w:val="TableParagraph"/>
              <w:spacing w:line="204" w:lineRule="exact"/>
              <w:ind w:left="51"/>
              <w:jc w:val="center"/>
              <w:rPr>
                <w:rFonts w:ascii="Calibri" w:eastAsia="Calibri" w:hAnsi="Calibri" w:cs="Calibri"/>
                <w:b/>
                <w:sz w:val="18"/>
                <w:szCs w:val="17"/>
              </w:rPr>
            </w:pPr>
            <w:r w:rsidRPr="005B42A3">
              <w:rPr>
                <w:rFonts w:ascii="Calibri" w:eastAsia="Calibri" w:hAnsi="Calibri" w:cs="Calibri"/>
                <w:b/>
                <w:sz w:val="18"/>
                <w:szCs w:val="17"/>
              </w:rPr>
              <w:t>YoY %</w:t>
            </w:r>
            <w:r w:rsidRPr="005F669A">
              <w:rPr>
                <w:rFonts w:ascii="Calibri" w:eastAsia="Calibri" w:hAnsi="Calibri" w:cs="Calibri"/>
                <w:b/>
                <w:sz w:val="18"/>
                <w:szCs w:val="17"/>
                <w:vertAlign w:val="superscript"/>
              </w:rPr>
              <w:t>1</w:t>
            </w:r>
          </w:p>
        </w:tc>
        <w:tc>
          <w:tcPr>
            <w:tcW w:w="567" w:type="dxa"/>
            <w:tcBorders>
              <w:top w:val="nil"/>
              <w:left w:val="single" w:sz="4" w:space="0" w:color="auto"/>
              <w:bottom w:val="single" w:sz="4" w:space="0" w:color="auto"/>
            </w:tcBorders>
            <w:vAlign w:val="center"/>
          </w:tcPr>
          <w:p w14:paraId="46889B3C" w14:textId="77777777" w:rsidR="00BF0D88" w:rsidRPr="005B42A3" w:rsidRDefault="00BF0D88" w:rsidP="007F6621">
            <w:pPr>
              <w:pStyle w:val="TableParagraph"/>
              <w:spacing w:line="204" w:lineRule="exact"/>
              <w:ind w:left="51"/>
              <w:jc w:val="center"/>
              <w:rPr>
                <w:rFonts w:ascii="Calibri" w:eastAsia="Calibri" w:hAnsi="Calibri" w:cs="Calibri"/>
                <w:b/>
                <w:sz w:val="18"/>
                <w:szCs w:val="17"/>
              </w:rPr>
            </w:pPr>
            <w:r w:rsidRPr="005B42A3">
              <w:rPr>
                <w:rFonts w:ascii="Calibri" w:eastAsia="Calibri" w:hAnsi="Calibri" w:cs="Calibri"/>
                <w:b/>
                <w:sz w:val="18"/>
                <w:szCs w:val="17"/>
              </w:rPr>
              <w:t>Q1 2020</w:t>
            </w:r>
          </w:p>
        </w:tc>
        <w:tc>
          <w:tcPr>
            <w:tcW w:w="709" w:type="dxa"/>
            <w:tcBorders>
              <w:top w:val="nil"/>
              <w:bottom w:val="single" w:sz="4" w:space="0" w:color="auto"/>
            </w:tcBorders>
            <w:vAlign w:val="center"/>
          </w:tcPr>
          <w:p w14:paraId="01B829A3" w14:textId="77777777" w:rsidR="00BF0D88" w:rsidRPr="005B42A3" w:rsidRDefault="00BF0D88" w:rsidP="007F6621">
            <w:pPr>
              <w:pStyle w:val="TableParagraph"/>
              <w:spacing w:line="204" w:lineRule="exact"/>
              <w:ind w:left="51"/>
              <w:jc w:val="center"/>
              <w:rPr>
                <w:rFonts w:ascii="Calibri" w:eastAsia="Calibri" w:hAnsi="Calibri" w:cs="Calibri"/>
                <w:b/>
                <w:sz w:val="18"/>
                <w:szCs w:val="17"/>
              </w:rPr>
            </w:pPr>
            <w:r w:rsidRPr="005B42A3">
              <w:rPr>
                <w:rFonts w:ascii="Calibri" w:eastAsia="Calibri" w:hAnsi="Calibri" w:cs="Calibri"/>
                <w:b/>
                <w:sz w:val="18"/>
                <w:szCs w:val="17"/>
              </w:rPr>
              <w:t xml:space="preserve">US$ </w:t>
            </w:r>
          </w:p>
          <w:p w14:paraId="112207B8" w14:textId="77777777" w:rsidR="00BF0D88" w:rsidRPr="005B42A3" w:rsidRDefault="00BF0D88" w:rsidP="007F6621">
            <w:pPr>
              <w:pStyle w:val="TableParagraph"/>
              <w:spacing w:line="204" w:lineRule="exact"/>
              <w:ind w:left="51"/>
              <w:jc w:val="center"/>
              <w:rPr>
                <w:rFonts w:ascii="Calibri" w:eastAsia="Calibri" w:hAnsi="Calibri" w:cs="Calibri"/>
                <w:b/>
                <w:sz w:val="18"/>
                <w:szCs w:val="17"/>
              </w:rPr>
            </w:pPr>
            <w:r w:rsidRPr="005B42A3">
              <w:rPr>
                <w:rFonts w:ascii="Calibri" w:eastAsia="Calibri" w:hAnsi="Calibri" w:cs="Calibri"/>
                <w:b/>
                <w:sz w:val="18"/>
                <w:szCs w:val="17"/>
              </w:rPr>
              <w:t>YoY</w:t>
            </w:r>
            <w:r>
              <w:rPr>
                <w:rFonts w:ascii="Calibri" w:eastAsia="Calibri" w:hAnsi="Calibri" w:cs="Calibri"/>
                <w:b/>
                <w:sz w:val="18"/>
                <w:szCs w:val="17"/>
              </w:rPr>
              <w:t xml:space="preserve"> %</w:t>
            </w:r>
            <w:r w:rsidRPr="005F669A">
              <w:rPr>
                <w:rFonts w:ascii="Calibri" w:eastAsia="Calibri" w:hAnsi="Calibri" w:cs="Calibri"/>
                <w:b/>
                <w:sz w:val="18"/>
                <w:szCs w:val="17"/>
                <w:vertAlign w:val="superscript"/>
              </w:rPr>
              <w:t>1</w:t>
            </w:r>
            <w:r w:rsidRPr="005B42A3">
              <w:rPr>
                <w:rFonts w:ascii="Calibri" w:eastAsia="Calibri" w:hAnsi="Calibri" w:cs="Calibri"/>
                <w:b/>
                <w:sz w:val="18"/>
                <w:szCs w:val="17"/>
              </w:rPr>
              <w:t xml:space="preserve"> </w:t>
            </w:r>
          </w:p>
        </w:tc>
        <w:tc>
          <w:tcPr>
            <w:tcW w:w="992" w:type="dxa"/>
            <w:tcBorders>
              <w:top w:val="nil"/>
              <w:bottom w:val="single" w:sz="4" w:space="0" w:color="auto"/>
              <w:right w:val="single" w:sz="4" w:space="0" w:color="auto"/>
            </w:tcBorders>
            <w:vAlign w:val="center"/>
          </w:tcPr>
          <w:p w14:paraId="618EC57B" w14:textId="77777777" w:rsidR="00BF0D88" w:rsidRPr="005B42A3" w:rsidRDefault="00BF0D88" w:rsidP="007F6621">
            <w:pPr>
              <w:pStyle w:val="TableParagraph"/>
              <w:spacing w:line="204" w:lineRule="exact"/>
              <w:ind w:left="51"/>
              <w:jc w:val="center"/>
              <w:rPr>
                <w:rFonts w:ascii="Calibri" w:eastAsia="Calibri" w:hAnsi="Calibri" w:cs="Calibri"/>
                <w:b/>
                <w:sz w:val="18"/>
                <w:szCs w:val="17"/>
              </w:rPr>
            </w:pPr>
            <w:r w:rsidRPr="005B42A3">
              <w:rPr>
                <w:rFonts w:ascii="Calibri" w:eastAsia="Calibri" w:hAnsi="Calibri" w:cs="Calibri"/>
                <w:b/>
                <w:sz w:val="18"/>
                <w:szCs w:val="17"/>
              </w:rPr>
              <w:t xml:space="preserve">Pre </w:t>
            </w:r>
            <w:r>
              <w:rPr>
                <w:rFonts w:ascii="Calibri" w:eastAsia="Calibri" w:hAnsi="Calibri" w:cs="Calibri"/>
                <w:b/>
                <w:sz w:val="18"/>
                <w:szCs w:val="17"/>
              </w:rPr>
              <w:t>–March 15</w:t>
            </w:r>
            <w:r w:rsidRPr="005B42A3">
              <w:rPr>
                <w:rFonts w:ascii="Calibri" w:eastAsia="Calibri" w:hAnsi="Calibri" w:cs="Calibri"/>
                <w:b/>
                <w:sz w:val="18"/>
                <w:szCs w:val="17"/>
              </w:rPr>
              <w:t xml:space="preserve"> </w:t>
            </w:r>
          </w:p>
          <w:p w14:paraId="3D3AF3E6" w14:textId="77777777" w:rsidR="00BF0D88" w:rsidRPr="005B42A3" w:rsidRDefault="00BF0D88" w:rsidP="007F6621">
            <w:pPr>
              <w:pStyle w:val="TableParagraph"/>
              <w:spacing w:line="204" w:lineRule="exact"/>
              <w:ind w:left="51"/>
              <w:jc w:val="center"/>
              <w:rPr>
                <w:rFonts w:ascii="Calibri" w:eastAsia="Calibri" w:hAnsi="Calibri" w:cs="Calibri"/>
                <w:b/>
                <w:sz w:val="18"/>
                <w:szCs w:val="17"/>
              </w:rPr>
            </w:pPr>
            <w:r w:rsidRPr="005B42A3">
              <w:rPr>
                <w:rFonts w:ascii="Calibri" w:eastAsia="Calibri" w:hAnsi="Calibri" w:cs="Calibri"/>
                <w:b/>
                <w:sz w:val="18"/>
                <w:szCs w:val="17"/>
              </w:rPr>
              <w:t>YoY %</w:t>
            </w:r>
            <w:r w:rsidRPr="005F669A">
              <w:rPr>
                <w:rFonts w:ascii="Calibri" w:eastAsia="Calibri" w:hAnsi="Calibri" w:cs="Calibri"/>
                <w:b/>
                <w:sz w:val="18"/>
                <w:szCs w:val="17"/>
                <w:vertAlign w:val="superscript"/>
              </w:rPr>
              <w:t>1</w:t>
            </w:r>
          </w:p>
        </w:tc>
        <w:tc>
          <w:tcPr>
            <w:tcW w:w="425" w:type="dxa"/>
            <w:tcBorders>
              <w:top w:val="nil"/>
              <w:left w:val="single" w:sz="4" w:space="0" w:color="auto"/>
              <w:bottom w:val="single" w:sz="4" w:space="0" w:color="auto"/>
            </w:tcBorders>
            <w:vAlign w:val="center"/>
          </w:tcPr>
          <w:p w14:paraId="19AB8DD5" w14:textId="77777777" w:rsidR="00BF0D88" w:rsidRPr="005B42A3" w:rsidRDefault="00BF0D88" w:rsidP="007F6621">
            <w:pPr>
              <w:pStyle w:val="TableParagraph"/>
              <w:spacing w:line="204" w:lineRule="exact"/>
              <w:ind w:left="51"/>
              <w:jc w:val="center"/>
              <w:rPr>
                <w:rFonts w:ascii="Calibri" w:eastAsia="Calibri" w:hAnsi="Calibri" w:cs="Calibri"/>
                <w:b/>
                <w:sz w:val="18"/>
                <w:szCs w:val="17"/>
              </w:rPr>
            </w:pPr>
            <w:r w:rsidRPr="005B42A3">
              <w:rPr>
                <w:rFonts w:ascii="Calibri" w:eastAsia="Calibri" w:hAnsi="Calibri" w:cs="Calibri"/>
                <w:b/>
                <w:sz w:val="18"/>
                <w:szCs w:val="17"/>
              </w:rPr>
              <w:t xml:space="preserve">Q1  </w:t>
            </w:r>
          </w:p>
          <w:p w14:paraId="656CDE99" w14:textId="77777777" w:rsidR="00BF0D88" w:rsidRPr="005B42A3" w:rsidRDefault="00BF0D88" w:rsidP="007F6621">
            <w:pPr>
              <w:pStyle w:val="TableParagraph"/>
              <w:spacing w:line="204" w:lineRule="exact"/>
              <w:ind w:left="51"/>
              <w:jc w:val="center"/>
              <w:rPr>
                <w:rFonts w:ascii="Calibri" w:eastAsia="Calibri" w:hAnsi="Calibri" w:cs="Calibri"/>
                <w:b/>
                <w:sz w:val="18"/>
                <w:szCs w:val="17"/>
              </w:rPr>
            </w:pPr>
            <w:r w:rsidRPr="005B42A3">
              <w:rPr>
                <w:rFonts w:ascii="Calibri" w:eastAsia="Calibri" w:hAnsi="Calibri" w:cs="Calibri"/>
                <w:b/>
                <w:sz w:val="18"/>
                <w:szCs w:val="17"/>
              </w:rPr>
              <w:t xml:space="preserve">2020 </w:t>
            </w:r>
          </w:p>
        </w:tc>
        <w:tc>
          <w:tcPr>
            <w:tcW w:w="709" w:type="dxa"/>
            <w:tcBorders>
              <w:top w:val="nil"/>
              <w:bottom w:val="single" w:sz="4" w:space="0" w:color="auto"/>
            </w:tcBorders>
            <w:vAlign w:val="center"/>
          </w:tcPr>
          <w:p w14:paraId="1CA47298" w14:textId="77777777" w:rsidR="00BF0D88" w:rsidRPr="005B42A3" w:rsidRDefault="00BF0D88" w:rsidP="007F6621">
            <w:pPr>
              <w:pStyle w:val="TableParagraph"/>
              <w:spacing w:line="204" w:lineRule="exact"/>
              <w:ind w:left="51"/>
              <w:jc w:val="center"/>
              <w:rPr>
                <w:rFonts w:ascii="Calibri" w:eastAsia="Calibri" w:hAnsi="Calibri" w:cs="Calibri"/>
                <w:b/>
                <w:sz w:val="18"/>
                <w:szCs w:val="17"/>
              </w:rPr>
            </w:pPr>
            <w:r w:rsidRPr="005B42A3">
              <w:rPr>
                <w:rFonts w:ascii="Calibri" w:eastAsia="Calibri" w:hAnsi="Calibri" w:cs="Calibri"/>
                <w:b/>
                <w:sz w:val="18"/>
                <w:szCs w:val="17"/>
              </w:rPr>
              <w:t>YoY</w:t>
            </w:r>
            <w:r>
              <w:rPr>
                <w:rFonts w:ascii="Calibri" w:eastAsia="Calibri" w:hAnsi="Calibri" w:cs="Calibri"/>
                <w:b/>
                <w:sz w:val="18"/>
                <w:szCs w:val="17"/>
              </w:rPr>
              <w:t xml:space="preserve"> %</w:t>
            </w:r>
            <w:r w:rsidRPr="005F669A">
              <w:rPr>
                <w:rFonts w:ascii="Calibri" w:eastAsia="Calibri" w:hAnsi="Calibri" w:cs="Calibri"/>
                <w:b/>
                <w:sz w:val="18"/>
                <w:szCs w:val="17"/>
                <w:vertAlign w:val="superscript"/>
              </w:rPr>
              <w:t>1</w:t>
            </w:r>
          </w:p>
        </w:tc>
        <w:tc>
          <w:tcPr>
            <w:tcW w:w="992" w:type="dxa"/>
            <w:tcBorders>
              <w:top w:val="nil"/>
              <w:bottom w:val="single" w:sz="4" w:space="0" w:color="auto"/>
            </w:tcBorders>
            <w:vAlign w:val="center"/>
          </w:tcPr>
          <w:p w14:paraId="6BCCF0FB" w14:textId="77777777" w:rsidR="00BF0D88" w:rsidRDefault="00BF0D88" w:rsidP="007F6621">
            <w:pPr>
              <w:pStyle w:val="TableParagraph"/>
              <w:spacing w:line="204" w:lineRule="exact"/>
              <w:ind w:left="51"/>
              <w:jc w:val="center"/>
              <w:rPr>
                <w:rFonts w:ascii="Calibri" w:eastAsia="Calibri" w:hAnsi="Calibri" w:cs="Calibri"/>
                <w:b/>
                <w:sz w:val="18"/>
                <w:szCs w:val="17"/>
              </w:rPr>
            </w:pPr>
            <w:r w:rsidRPr="005B42A3">
              <w:rPr>
                <w:rFonts w:ascii="Calibri" w:eastAsia="Calibri" w:hAnsi="Calibri" w:cs="Calibri"/>
                <w:b/>
                <w:sz w:val="18"/>
                <w:szCs w:val="17"/>
              </w:rPr>
              <w:t xml:space="preserve">Pre </w:t>
            </w:r>
            <w:r>
              <w:rPr>
                <w:rFonts w:ascii="Calibri" w:eastAsia="Calibri" w:hAnsi="Calibri" w:cs="Calibri"/>
                <w:b/>
                <w:sz w:val="18"/>
                <w:szCs w:val="17"/>
              </w:rPr>
              <w:t>–</w:t>
            </w:r>
          </w:p>
          <w:p w14:paraId="3045BD21" w14:textId="77777777" w:rsidR="00BF0D88" w:rsidRPr="005B42A3" w:rsidRDefault="00BF0D88" w:rsidP="007F6621">
            <w:pPr>
              <w:pStyle w:val="TableParagraph"/>
              <w:spacing w:line="204" w:lineRule="exact"/>
              <w:ind w:left="51"/>
              <w:jc w:val="center"/>
              <w:rPr>
                <w:rFonts w:ascii="Calibri" w:eastAsia="Calibri" w:hAnsi="Calibri" w:cs="Calibri"/>
                <w:b/>
                <w:sz w:val="18"/>
                <w:szCs w:val="17"/>
              </w:rPr>
            </w:pPr>
            <w:r>
              <w:rPr>
                <w:rFonts w:ascii="Calibri" w:eastAsia="Calibri" w:hAnsi="Calibri" w:cs="Calibri"/>
                <w:b/>
                <w:sz w:val="18"/>
                <w:szCs w:val="17"/>
              </w:rPr>
              <w:t>March 15</w:t>
            </w:r>
            <w:r w:rsidRPr="005B42A3">
              <w:rPr>
                <w:rFonts w:ascii="Calibri" w:eastAsia="Calibri" w:hAnsi="Calibri" w:cs="Calibri"/>
                <w:b/>
                <w:sz w:val="18"/>
                <w:szCs w:val="17"/>
              </w:rPr>
              <w:t xml:space="preserve"> </w:t>
            </w:r>
          </w:p>
          <w:p w14:paraId="7E755CD9" w14:textId="77777777" w:rsidR="00BF0D88" w:rsidRPr="005B42A3" w:rsidRDefault="00BF0D88" w:rsidP="007F6621">
            <w:pPr>
              <w:pStyle w:val="TableParagraph"/>
              <w:spacing w:line="204" w:lineRule="exact"/>
              <w:ind w:left="51"/>
              <w:jc w:val="center"/>
              <w:rPr>
                <w:rFonts w:ascii="Calibri" w:eastAsia="Calibri" w:hAnsi="Calibri" w:cs="Calibri"/>
                <w:b/>
                <w:sz w:val="18"/>
                <w:szCs w:val="17"/>
              </w:rPr>
            </w:pPr>
            <w:r w:rsidRPr="005B42A3">
              <w:rPr>
                <w:rFonts w:ascii="Calibri" w:eastAsia="Calibri" w:hAnsi="Calibri" w:cs="Calibri"/>
                <w:b/>
                <w:sz w:val="18"/>
                <w:szCs w:val="17"/>
              </w:rPr>
              <w:t>YoY %</w:t>
            </w:r>
            <w:r w:rsidRPr="005F669A">
              <w:rPr>
                <w:rFonts w:ascii="Calibri" w:eastAsia="Calibri" w:hAnsi="Calibri" w:cs="Calibri"/>
                <w:b/>
                <w:sz w:val="18"/>
                <w:szCs w:val="17"/>
                <w:vertAlign w:val="superscript"/>
              </w:rPr>
              <w:t>1</w:t>
            </w:r>
            <w:r w:rsidRPr="005B42A3">
              <w:rPr>
                <w:rFonts w:ascii="Calibri" w:eastAsia="Calibri" w:hAnsi="Calibri" w:cs="Calibri"/>
                <w:b/>
                <w:sz w:val="18"/>
                <w:szCs w:val="17"/>
              </w:rPr>
              <w:t xml:space="preserve"> </w:t>
            </w:r>
          </w:p>
        </w:tc>
      </w:tr>
      <w:tr w:rsidR="00BF0D88" w:rsidRPr="0011120D" w14:paraId="1E1D193A" w14:textId="77777777" w:rsidTr="00BF0D88">
        <w:trPr>
          <w:trHeight w:val="298"/>
        </w:trPr>
        <w:tc>
          <w:tcPr>
            <w:tcW w:w="1271" w:type="dxa"/>
            <w:tcBorders>
              <w:right w:val="single" w:sz="4" w:space="0" w:color="auto"/>
            </w:tcBorders>
            <w:vAlign w:val="center"/>
          </w:tcPr>
          <w:p w14:paraId="4D756E77" w14:textId="77777777" w:rsidR="00BF0D88" w:rsidRPr="005B42A3" w:rsidRDefault="00BF0D88" w:rsidP="007F6621">
            <w:pPr>
              <w:pStyle w:val="TableParagraph"/>
              <w:spacing w:line="204" w:lineRule="exact"/>
              <w:ind w:left="51"/>
              <w:rPr>
                <w:rFonts w:ascii="Calibri" w:eastAsia="Calibri" w:hAnsi="Calibri" w:cs="Calibri"/>
                <w:sz w:val="18"/>
                <w:szCs w:val="17"/>
              </w:rPr>
            </w:pPr>
            <w:r w:rsidRPr="005B42A3">
              <w:rPr>
                <w:rFonts w:ascii="Calibri" w:eastAsia="Calibri" w:hAnsi="Calibri" w:cs="Calibri"/>
                <w:sz w:val="18"/>
                <w:szCs w:val="17"/>
              </w:rPr>
              <w:t xml:space="preserve">Sports </w:t>
            </w:r>
          </w:p>
        </w:tc>
        <w:tc>
          <w:tcPr>
            <w:tcW w:w="425" w:type="dxa"/>
            <w:tcBorders>
              <w:top w:val="single" w:sz="4" w:space="0" w:color="auto"/>
              <w:left w:val="single" w:sz="4" w:space="0" w:color="auto"/>
              <w:bottom w:val="nil"/>
            </w:tcBorders>
            <w:vAlign w:val="center"/>
          </w:tcPr>
          <w:p w14:paraId="2D1BA2AC"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159</w:t>
            </w:r>
          </w:p>
        </w:tc>
        <w:tc>
          <w:tcPr>
            <w:tcW w:w="709" w:type="dxa"/>
            <w:tcBorders>
              <w:top w:val="single" w:sz="4" w:space="0" w:color="auto"/>
              <w:bottom w:val="nil"/>
            </w:tcBorders>
            <w:vAlign w:val="center"/>
          </w:tcPr>
          <w:p w14:paraId="183C795A"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w:t>
            </w:r>
            <w:r>
              <w:rPr>
                <w:rFonts w:ascii="Calibri" w:eastAsia="Calibri" w:hAnsi="Calibri" w:cs="Calibri"/>
                <w:sz w:val="18"/>
                <w:szCs w:val="17"/>
              </w:rPr>
              <w:t>6</w:t>
            </w:r>
            <w:r w:rsidRPr="005B42A3">
              <w:rPr>
                <w:rFonts w:ascii="Calibri" w:eastAsia="Calibri" w:hAnsi="Calibri" w:cs="Calibri"/>
                <w:sz w:val="18"/>
                <w:szCs w:val="17"/>
              </w:rPr>
              <w:t>%</w:t>
            </w:r>
          </w:p>
        </w:tc>
        <w:tc>
          <w:tcPr>
            <w:tcW w:w="850" w:type="dxa"/>
            <w:tcBorders>
              <w:top w:val="single" w:sz="4" w:space="0" w:color="auto"/>
              <w:bottom w:val="nil"/>
              <w:right w:val="single" w:sz="4" w:space="0" w:color="auto"/>
            </w:tcBorders>
            <w:vAlign w:val="center"/>
          </w:tcPr>
          <w:p w14:paraId="63083581"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w:t>
            </w:r>
            <w:r>
              <w:rPr>
                <w:rFonts w:ascii="Calibri" w:eastAsia="Calibri" w:hAnsi="Calibri" w:cs="Calibri"/>
                <w:sz w:val="18"/>
                <w:szCs w:val="17"/>
              </w:rPr>
              <w:t>19</w:t>
            </w:r>
            <w:r w:rsidRPr="005B42A3">
              <w:rPr>
                <w:rFonts w:ascii="Calibri" w:eastAsia="Calibri" w:hAnsi="Calibri" w:cs="Calibri"/>
                <w:sz w:val="18"/>
                <w:szCs w:val="17"/>
              </w:rPr>
              <w:t>%</w:t>
            </w:r>
          </w:p>
        </w:tc>
        <w:tc>
          <w:tcPr>
            <w:tcW w:w="426" w:type="dxa"/>
            <w:tcBorders>
              <w:top w:val="single" w:sz="4" w:space="0" w:color="auto"/>
              <w:left w:val="single" w:sz="4" w:space="0" w:color="auto"/>
              <w:bottom w:val="nil"/>
            </w:tcBorders>
            <w:vAlign w:val="center"/>
          </w:tcPr>
          <w:p w14:paraId="4CF97E76"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109</w:t>
            </w:r>
          </w:p>
        </w:tc>
        <w:tc>
          <w:tcPr>
            <w:tcW w:w="708" w:type="dxa"/>
            <w:tcBorders>
              <w:top w:val="single" w:sz="4" w:space="0" w:color="auto"/>
              <w:bottom w:val="nil"/>
            </w:tcBorders>
            <w:vAlign w:val="center"/>
          </w:tcPr>
          <w:p w14:paraId="1A756496"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+2</w:t>
            </w:r>
            <w:r>
              <w:rPr>
                <w:rFonts w:ascii="Calibri" w:eastAsia="Calibri" w:hAnsi="Calibri" w:cs="Calibri"/>
                <w:sz w:val="18"/>
                <w:szCs w:val="17"/>
              </w:rPr>
              <w:t>1</w:t>
            </w:r>
            <w:r w:rsidRPr="005B42A3">
              <w:rPr>
                <w:rFonts w:ascii="Calibri" w:eastAsia="Calibri" w:hAnsi="Calibri" w:cs="Calibri"/>
                <w:sz w:val="18"/>
                <w:szCs w:val="17"/>
              </w:rPr>
              <w:t>%</w:t>
            </w:r>
          </w:p>
        </w:tc>
        <w:tc>
          <w:tcPr>
            <w:tcW w:w="851" w:type="dxa"/>
            <w:tcBorders>
              <w:top w:val="single" w:sz="4" w:space="0" w:color="auto"/>
              <w:bottom w:val="nil"/>
              <w:right w:val="single" w:sz="4" w:space="0" w:color="auto"/>
            </w:tcBorders>
            <w:vAlign w:val="center"/>
          </w:tcPr>
          <w:p w14:paraId="24A0A1AA"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+3</w:t>
            </w:r>
            <w:r>
              <w:rPr>
                <w:rFonts w:ascii="Calibri" w:eastAsia="Calibri" w:hAnsi="Calibri" w:cs="Calibri"/>
                <w:sz w:val="18"/>
                <w:szCs w:val="17"/>
              </w:rPr>
              <w:t>2</w:t>
            </w:r>
            <w:r w:rsidRPr="005B42A3">
              <w:rPr>
                <w:rFonts w:ascii="Calibri" w:eastAsia="Calibri" w:hAnsi="Calibri" w:cs="Calibri"/>
                <w:sz w:val="18"/>
                <w:szCs w:val="17"/>
              </w:rPr>
              <w:t>%</w:t>
            </w:r>
          </w:p>
        </w:tc>
        <w:tc>
          <w:tcPr>
            <w:tcW w:w="567" w:type="dxa"/>
            <w:tcBorders>
              <w:top w:val="single" w:sz="4" w:space="0" w:color="auto"/>
              <w:left w:val="single" w:sz="4" w:space="0" w:color="auto"/>
              <w:bottom w:val="nil"/>
            </w:tcBorders>
            <w:vAlign w:val="center"/>
          </w:tcPr>
          <w:p w14:paraId="4166C210"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87</w:t>
            </w:r>
          </w:p>
        </w:tc>
        <w:tc>
          <w:tcPr>
            <w:tcW w:w="709" w:type="dxa"/>
            <w:tcBorders>
              <w:top w:val="single" w:sz="4" w:space="0" w:color="auto"/>
              <w:bottom w:val="nil"/>
            </w:tcBorders>
            <w:vAlign w:val="center"/>
          </w:tcPr>
          <w:p w14:paraId="1E2FA858"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+2</w:t>
            </w:r>
            <w:r>
              <w:rPr>
                <w:rFonts w:ascii="Calibri" w:eastAsia="Calibri" w:hAnsi="Calibri" w:cs="Calibri"/>
                <w:sz w:val="18"/>
                <w:szCs w:val="17"/>
              </w:rPr>
              <w:t>4</w:t>
            </w:r>
            <w:r w:rsidRPr="005B42A3">
              <w:rPr>
                <w:rFonts w:ascii="Calibri" w:eastAsia="Calibri" w:hAnsi="Calibri" w:cs="Calibri"/>
                <w:sz w:val="18"/>
                <w:szCs w:val="17"/>
              </w:rPr>
              <w:t>%</w:t>
            </w:r>
          </w:p>
        </w:tc>
        <w:tc>
          <w:tcPr>
            <w:tcW w:w="992" w:type="dxa"/>
            <w:tcBorders>
              <w:top w:val="single" w:sz="4" w:space="0" w:color="auto"/>
              <w:bottom w:val="nil"/>
              <w:right w:val="single" w:sz="4" w:space="0" w:color="auto"/>
            </w:tcBorders>
            <w:vAlign w:val="center"/>
          </w:tcPr>
          <w:p w14:paraId="255A0B37"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w:t>
            </w:r>
            <w:r>
              <w:rPr>
                <w:rFonts w:ascii="Calibri" w:eastAsia="Calibri" w:hAnsi="Calibri" w:cs="Calibri"/>
                <w:sz w:val="18"/>
                <w:szCs w:val="17"/>
              </w:rPr>
              <w:t>48</w:t>
            </w:r>
            <w:r w:rsidRPr="005B42A3">
              <w:rPr>
                <w:rFonts w:ascii="Calibri" w:eastAsia="Calibri" w:hAnsi="Calibri" w:cs="Calibri"/>
                <w:sz w:val="18"/>
                <w:szCs w:val="17"/>
              </w:rPr>
              <w:t>%</w:t>
            </w:r>
          </w:p>
        </w:tc>
        <w:tc>
          <w:tcPr>
            <w:tcW w:w="425" w:type="dxa"/>
            <w:tcBorders>
              <w:top w:val="single" w:sz="4" w:space="0" w:color="auto"/>
              <w:left w:val="single" w:sz="4" w:space="0" w:color="auto"/>
              <w:bottom w:val="nil"/>
            </w:tcBorders>
            <w:vAlign w:val="center"/>
          </w:tcPr>
          <w:p w14:paraId="0A6D0F41"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5</w:t>
            </w:r>
            <w:r>
              <w:rPr>
                <w:rFonts w:ascii="Calibri" w:eastAsia="Calibri" w:hAnsi="Calibri" w:cs="Calibri"/>
                <w:sz w:val="18"/>
                <w:szCs w:val="17"/>
              </w:rPr>
              <w:t>2</w:t>
            </w:r>
          </w:p>
        </w:tc>
        <w:tc>
          <w:tcPr>
            <w:tcW w:w="709" w:type="dxa"/>
            <w:tcBorders>
              <w:top w:val="single" w:sz="4" w:space="0" w:color="auto"/>
              <w:bottom w:val="nil"/>
            </w:tcBorders>
            <w:vAlign w:val="center"/>
          </w:tcPr>
          <w:p w14:paraId="14EEF507"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w:t>
            </w:r>
            <w:r>
              <w:rPr>
                <w:rFonts w:ascii="Calibri" w:eastAsia="Calibri" w:hAnsi="Calibri" w:cs="Calibri"/>
                <w:sz w:val="18"/>
                <w:szCs w:val="17"/>
              </w:rPr>
              <w:t>5</w:t>
            </w:r>
            <w:r w:rsidRPr="005B42A3">
              <w:rPr>
                <w:rFonts w:ascii="Calibri" w:eastAsia="Calibri" w:hAnsi="Calibri" w:cs="Calibri"/>
                <w:sz w:val="18"/>
                <w:szCs w:val="17"/>
              </w:rPr>
              <w:t>%</w:t>
            </w:r>
          </w:p>
        </w:tc>
        <w:tc>
          <w:tcPr>
            <w:tcW w:w="992" w:type="dxa"/>
            <w:tcBorders>
              <w:top w:val="single" w:sz="4" w:space="0" w:color="auto"/>
              <w:bottom w:val="nil"/>
            </w:tcBorders>
            <w:vAlign w:val="center"/>
          </w:tcPr>
          <w:p w14:paraId="2E3ABACD"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+32%</w:t>
            </w:r>
          </w:p>
        </w:tc>
      </w:tr>
      <w:tr w:rsidR="00BF0D88" w:rsidRPr="0011120D" w14:paraId="538FAFD2" w14:textId="77777777" w:rsidTr="00BF0D88">
        <w:trPr>
          <w:trHeight w:val="333"/>
        </w:trPr>
        <w:tc>
          <w:tcPr>
            <w:tcW w:w="1271" w:type="dxa"/>
            <w:tcBorders>
              <w:right w:val="single" w:sz="4" w:space="0" w:color="auto"/>
            </w:tcBorders>
            <w:vAlign w:val="center"/>
          </w:tcPr>
          <w:p w14:paraId="5D5D75E0" w14:textId="77777777" w:rsidR="00BF0D88" w:rsidRPr="005B42A3" w:rsidRDefault="00BF0D88" w:rsidP="007F6621">
            <w:pPr>
              <w:pStyle w:val="TableParagraph"/>
              <w:spacing w:line="205" w:lineRule="exact"/>
              <w:ind w:left="51"/>
              <w:rPr>
                <w:rFonts w:ascii="Calibri" w:eastAsia="Calibri" w:hAnsi="Calibri" w:cs="Calibri"/>
                <w:sz w:val="18"/>
                <w:szCs w:val="17"/>
              </w:rPr>
            </w:pPr>
            <w:r w:rsidRPr="005B42A3">
              <w:rPr>
                <w:rFonts w:ascii="Calibri" w:eastAsia="Calibri" w:hAnsi="Calibri" w:cs="Calibri"/>
                <w:sz w:val="18"/>
                <w:szCs w:val="17"/>
              </w:rPr>
              <w:t xml:space="preserve">Gaming </w:t>
            </w:r>
          </w:p>
        </w:tc>
        <w:tc>
          <w:tcPr>
            <w:tcW w:w="425" w:type="dxa"/>
            <w:tcBorders>
              <w:top w:val="nil"/>
              <w:left w:val="single" w:sz="4" w:space="0" w:color="auto"/>
              <w:bottom w:val="single" w:sz="4" w:space="0" w:color="auto"/>
            </w:tcBorders>
            <w:vAlign w:val="center"/>
          </w:tcPr>
          <w:p w14:paraId="657FE7DE"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88</w:t>
            </w:r>
          </w:p>
        </w:tc>
        <w:tc>
          <w:tcPr>
            <w:tcW w:w="709" w:type="dxa"/>
            <w:tcBorders>
              <w:top w:val="nil"/>
              <w:bottom w:val="single" w:sz="4" w:space="0" w:color="auto"/>
            </w:tcBorders>
            <w:vAlign w:val="center"/>
          </w:tcPr>
          <w:p w14:paraId="76EF1326"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+1</w:t>
            </w:r>
            <w:r>
              <w:rPr>
                <w:rFonts w:ascii="Calibri" w:eastAsia="Calibri" w:hAnsi="Calibri" w:cs="Calibri"/>
                <w:sz w:val="18"/>
                <w:szCs w:val="17"/>
              </w:rPr>
              <w:t>7</w:t>
            </w:r>
            <w:r w:rsidRPr="005B42A3">
              <w:rPr>
                <w:rFonts w:ascii="Calibri" w:eastAsia="Calibri" w:hAnsi="Calibri" w:cs="Calibri"/>
                <w:sz w:val="18"/>
                <w:szCs w:val="17"/>
              </w:rPr>
              <w:t>%</w:t>
            </w:r>
          </w:p>
        </w:tc>
        <w:tc>
          <w:tcPr>
            <w:tcW w:w="850" w:type="dxa"/>
            <w:tcBorders>
              <w:top w:val="nil"/>
              <w:bottom w:val="single" w:sz="4" w:space="0" w:color="auto"/>
              <w:right w:val="single" w:sz="4" w:space="0" w:color="auto"/>
            </w:tcBorders>
            <w:vAlign w:val="center"/>
          </w:tcPr>
          <w:p w14:paraId="4CBEA166"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+1</w:t>
            </w:r>
            <w:r>
              <w:rPr>
                <w:rFonts w:ascii="Calibri" w:eastAsia="Calibri" w:hAnsi="Calibri" w:cs="Calibri"/>
                <w:sz w:val="18"/>
                <w:szCs w:val="17"/>
              </w:rPr>
              <w:t>7</w:t>
            </w:r>
            <w:r w:rsidRPr="005B42A3">
              <w:rPr>
                <w:rFonts w:ascii="Calibri" w:eastAsia="Calibri" w:hAnsi="Calibri" w:cs="Calibri"/>
                <w:sz w:val="18"/>
                <w:szCs w:val="17"/>
              </w:rPr>
              <w:t>%</w:t>
            </w:r>
          </w:p>
        </w:tc>
        <w:tc>
          <w:tcPr>
            <w:tcW w:w="426" w:type="dxa"/>
            <w:tcBorders>
              <w:top w:val="nil"/>
              <w:left w:val="single" w:sz="4" w:space="0" w:color="auto"/>
              <w:bottom w:val="single" w:sz="4" w:space="0" w:color="auto"/>
            </w:tcBorders>
            <w:vAlign w:val="center"/>
          </w:tcPr>
          <w:p w14:paraId="4842A4FD"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w:t>
            </w:r>
          </w:p>
        </w:tc>
        <w:tc>
          <w:tcPr>
            <w:tcW w:w="708" w:type="dxa"/>
            <w:tcBorders>
              <w:top w:val="nil"/>
              <w:bottom w:val="single" w:sz="4" w:space="0" w:color="auto"/>
            </w:tcBorders>
            <w:vAlign w:val="center"/>
          </w:tcPr>
          <w:p w14:paraId="3FC05D12"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w:t>
            </w:r>
          </w:p>
        </w:tc>
        <w:tc>
          <w:tcPr>
            <w:tcW w:w="851" w:type="dxa"/>
            <w:tcBorders>
              <w:top w:val="nil"/>
              <w:bottom w:val="single" w:sz="4" w:space="0" w:color="auto"/>
              <w:right w:val="single" w:sz="4" w:space="0" w:color="auto"/>
            </w:tcBorders>
            <w:vAlign w:val="center"/>
          </w:tcPr>
          <w:p w14:paraId="51BF493D"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w:t>
            </w:r>
          </w:p>
        </w:tc>
        <w:tc>
          <w:tcPr>
            <w:tcW w:w="567" w:type="dxa"/>
            <w:tcBorders>
              <w:top w:val="nil"/>
              <w:left w:val="single" w:sz="4" w:space="0" w:color="auto"/>
              <w:bottom w:val="single" w:sz="4" w:space="0" w:color="auto"/>
            </w:tcBorders>
            <w:vAlign w:val="center"/>
          </w:tcPr>
          <w:p w14:paraId="326990DD"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33</w:t>
            </w:r>
          </w:p>
        </w:tc>
        <w:tc>
          <w:tcPr>
            <w:tcW w:w="709" w:type="dxa"/>
            <w:tcBorders>
              <w:top w:val="nil"/>
              <w:bottom w:val="single" w:sz="4" w:space="0" w:color="auto"/>
            </w:tcBorders>
            <w:vAlign w:val="center"/>
          </w:tcPr>
          <w:p w14:paraId="16E730C0"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+25</w:t>
            </w:r>
            <w:r>
              <w:rPr>
                <w:rFonts w:ascii="Calibri" w:eastAsia="Calibri" w:hAnsi="Calibri" w:cs="Calibri"/>
                <w:sz w:val="18"/>
                <w:szCs w:val="17"/>
              </w:rPr>
              <w:t>5</w:t>
            </w:r>
            <w:r w:rsidRPr="005B42A3">
              <w:rPr>
                <w:rFonts w:ascii="Calibri" w:eastAsia="Calibri" w:hAnsi="Calibri" w:cs="Calibri"/>
                <w:sz w:val="18"/>
                <w:szCs w:val="17"/>
              </w:rPr>
              <w:t>%</w:t>
            </w:r>
          </w:p>
        </w:tc>
        <w:tc>
          <w:tcPr>
            <w:tcW w:w="992" w:type="dxa"/>
            <w:tcBorders>
              <w:top w:val="nil"/>
              <w:bottom w:val="single" w:sz="4" w:space="0" w:color="auto"/>
              <w:right w:val="single" w:sz="4" w:space="0" w:color="auto"/>
            </w:tcBorders>
            <w:vAlign w:val="center"/>
          </w:tcPr>
          <w:p w14:paraId="3E45EDA6"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+2</w:t>
            </w:r>
            <w:r>
              <w:rPr>
                <w:rFonts w:ascii="Calibri" w:eastAsia="Calibri" w:hAnsi="Calibri" w:cs="Calibri"/>
                <w:sz w:val="18"/>
                <w:szCs w:val="17"/>
              </w:rPr>
              <w:t>60</w:t>
            </w:r>
            <w:r w:rsidRPr="005B42A3">
              <w:rPr>
                <w:rFonts w:ascii="Calibri" w:eastAsia="Calibri" w:hAnsi="Calibri" w:cs="Calibri"/>
                <w:sz w:val="18"/>
                <w:szCs w:val="17"/>
              </w:rPr>
              <w:t>%</w:t>
            </w:r>
          </w:p>
        </w:tc>
        <w:tc>
          <w:tcPr>
            <w:tcW w:w="425" w:type="dxa"/>
            <w:tcBorders>
              <w:top w:val="nil"/>
              <w:left w:val="single" w:sz="4" w:space="0" w:color="auto"/>
              <w:bottom w:val="single" w:sz="4" w:space="0" w:color="auto"/>
            </w:tcBorders>
            <w:vAlign w:val="center"/>
          </w:tcPr>
          <w:p w14:paraId="1BBAC01D"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19</w:t>
            </w:r>
          </w:p>
        </w:tc>
        <w:tc>
          <w:tcPr>
            <w:tcW w:w="709" w:type="dxa"/>
            <w:tcBorders>
              <w:top w:val="nil"/>
              <w:bottom w:val="single" w:sz="4" w:space="0" w:color="auto"/>
            </w:tcBorders>
            <w:vAlign w:val="center"/>
          </w:tcPr>
          <w:p w14:paraId="6668E4F6"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-31%</w:t>
            </w:r>
          </w:p>
        </w:tc>
        <w:tc>
          <w:tcPr>
            <w:tcW w:w="992" w:type="dxa"/>
            <w:tcBorders>
              <w:top w:val="nil"/>
              <w:bottom w:val="single" w:sz="4" w:space="0" w:color="auto"/>
            </w:tcBorders>
            <w:vAlign w:val="center"/>
          </w:tcPr>
          <w:p w14:paraId="612495B2"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-20%</w:t>
            </w:r>
          </w:p>
        </w:tc>
      </w:tr>
      <w:tr w:rsidR="00BF0D88" w:rsidRPr="0011120D" w14:paraId="1CA74D5B" w14:textId="77777777" w:rsidTr="00BF0D88">
        <w:trPr>
          <w:trHeight w:val="325"/>
        </w:trPr>
        <w:tc>
          <w:tcPr>
            <w:tcW w:w="1271" w:type="dxa"/>
            <w:tcBorders>
              <w:right w:val="single" w:sz="4" w:space="0" w:color="auto"/>
            </w:tcBorders>
            <w:vAlign w:val="center"/>
          </w:tcPr>
          <w:p w14:paraId="4A58E32E" w14:textId="77777777" w:rsidR="00BF0D88" w:rsidRPr="005B42A3" w:rsidRDefault="00BF0D88" w:rsidP="007F6621">
            <w:pPr>
              <w:pStyle w:val="TableParagraph"/>
              <w:spacing w:line="204" w:lineRule="exact"/>
              <w:ind w:left="51"/>
              <w:rPr>
                <w:rFonts w:ascii="Calibri" w:eastAsia="Calibri" w:hAnsi="Calibri" w:cs="Calibri"/>
                <w:sz w:val="18"/>
                <w:szCs w:val="17"/>
              </w:rPr>
            </w:pPr>
            <w:r w:rsidRPr="005B42A3">
              <w:rPr>
                <w:rFonts w:ascii="Calibri" w:eastAsia="Calibri" w:hAnsi="Calibri" w:cs="Calibri"/>
                <w:b/>
                <w:bCs/>
                <w:sz w:val="18"/>
                <w:szCs w:val="17"/>
              </w:rPr>
              <w:t>Total revenue</w:t>
            </w:r>
          </w:p>
        </w:tc>
        <w:tc>
          <w:tcPr>
            <w:tcW w:w="425" w:type="dxa"/>
            <w:tcBorders>
              <w:top w:val="single" w:sz="4" w:space="0" w:color="auto"/>
              <w:left w:val="single" w:sz="4" w:space="0" w:color="auto"/>
              <w:bottom w:val="single" w:sz="4" w:space="0" w:color="auto"/>
            </w:tcBorders>
            <w:vAlign w:val="center"/>
          </w:tcPr>
          <w:p w14:paraId="4F103806"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247</w:t>
            </w:r>
          </w:p>
        </w:tc>
        <w:tc>
          <w:tcPr>
            <w:tcW w:w="709" w:type="dxa"/>
            <w:tcBorders>
              <w:top w:val="single" w:sz="4" w:space="0" w:color="auto"/>
              <w:bottom w:val="single" w:sz="4" w:space="0" w:color="auto"/>
            </w:tcBorders>
            <w:vAlign w:val="center"/>
          </w:tcPr>
          <w:p w14:paraId="3C420FA1"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Pr>
                <w:rFonts w:ascii="Calibri" w:eastAsia="Calibri" w:hAnsi="Calibri" w:cs="Calibri"/>
                <w:sz w:val="18"/>
                <w:szCs w:val="17"/>
              </w:rPr>
              <w:t>+</w:t>
            </w:r>
            <w:r w:rsidRPr="005B42A3">
              <w:rPr>
                <w:rFonts w:ascii="Calibri" w:eastAsia="Calibri" w:hAnsi="Calibri" w:cs="Calibri"/>
                <w:sz w:val="18"/>
                <w:szCs w:val="17"/>
              </w:rPr>
              <w:t>9%</w:t>
            </w:r>
          </w:p>
        </w:tc>
        <w:tc>
          <w:tcPr>
            <w:tcW w:w="850" w:type="dxa"/>
            <w:tcBorders>
              <w:top w:val="single" w:sz="4" w:space="0" w:color="auto"/>
              <w:bottom w:val="single" w:sz="4" w:space="0" w:color="auto"/>
              <w:right w:val="single" w:sz="4" w:space="0" w:color="auto"/>
            </w:tcBorders>
            <w:vAlign w:val="center"/>
          </w:tcPr>
          <w:p w14:paraId="4D5E57F9"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w:t>
            </w:r>
            <w:r>
              <w:rPr>
                <w:rFonts w:ascii="Calibri" w:eastAsia="Calibri" w:hAnsi="Calibri" w:cs="Calibri"/>
                <w:sz w:val="18"/>
                <w:szCs w:val="17"/>
              </w:rPr>
              <w:t>18</w:t>
            </w:r>
            <w:r w:rsidRPr="005B42A3">
              <w:rPr>
                <w:rFonts w:ascii="Calibri" w:eastAsia="Calibri" w:hAnsi="Calibri" w:cs="Calibri"/>
                <w:sz w:val="18"/>
                <w:szCs w:val="17"/>
              </w:rPr>
              <w:t>%</w:t>
            </w:r>
          </w:p>
        </w:tc>
        <w:tc>
          <w:tcPr>
            <w:tcW w:w="426" w:type="dxa"/>
            <w:tcBorders>
              <w:top w:val="single" w:sz="4" w:space="0" w:color="auto"/>
              <w:left w:val="single" w:sz="4" w:space="0" w:color="auto"/>
              <w:bottom w:val="single" w:sz="4" w:space="0" w:color="auto"/>
            </w:tcBorders>
            <w:vAlign w:val="center"/>
          </w:tcPr>
          <w:p w14:paraId="3761C60C"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109</w:t>
            </w:r>
          </w:p>
        </w:tc>
        <w:tc>
          <w:tcPr>
            <w:tcW w:w="708" w:type="dxa"/>
            <w:tcBorders>
              <w:top w:val="single" w:sz="4" w:space="0" w:color="auto"/>
              <w:bottom w:val="single" w:sz="4" w:space="0" w:color="auto"/>
            </w:tcBorders>
            <w:vAlign w:val="center"/>
          </w:tcPr>
          <w:p w14:paraId="3CF784FD"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+2</w:t>
            </w:r>
            <w:r>
              <w:rPr>
                <w:rFonts w:ascii="Calibri" w:eastAsia="Calibri" w:hAnsi="Calibri" w:cs="Calibri"/>
                <w:sz w:val="18"/>
                <w:szCs w:val="17"/>
              </w:rPr>
              <w:t>1</w:t>
            </w:r>
            <w:r w:rsidRPr="005B42A3">
              <w:rPr>
                <w:rFonts w:ascii="Calibri" w:eastAsia="Calibri" w:hAnsi="Calibri" w:cs="Calibri"/>
                <w:sz w:val="18"/>
                <w:szCs w:val="17"/>
              </w:rPr>
              <w:t>%</w:t>
            </w:r>
          </w:p>
        </w:tc>
        <w:tc>
          <w:tcPr>
            <w:tcW w:w="851" w:type="dxa"/>
            <w:tcBorders>
              <w:top w:val="single" w:sz="4" w:space="0" w:color="auto"/>
              <w:bottom w:val="single" w:sz="4" w:space="0" w:color="auto"/>
              <w:right w:val="single" w:sz="4" w:space="0" w:color="auto"/>
            </w:tcBorders>
            <w:vAlign w:val="center"/>
          </w:tcPr>
          <w:p w14:paraId="7EB5B473"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+3</w:t>
            </w:r>
            <w:r>
              <w:rPr>
                <w:rFonts w:ascii="Calibri" w:eastAsia="Calibri" w:hAnsi="Calibri" w:cs="Calibri"/>
                <w:sz w:val="18"/>
                <w:szCs w:val="17"/>
              </w:rPr>
              <w:t>2</w:t>
            </w:r>
            <w:r w:rsidRPr="005B42A3">
              <w:rPr>
                <w:rFonts w:ascii="Calibri" w:eastAsia="Calibri" w:hAnsi="Calibri" w:cs="Calibri"/>
                <w:sz w:val="18"/>
                <w:szCs w:val="17"/>
              </w:rPr>
              <w:t>%</w:t>
            </w:r>
          </w:p>
        </w:tc>
        <w:tc>
          <w:tcPr>
            <w:tcW w:w="567" w:type="dxa"/>
            <w:tcBorders>
              <w:top w:val="single" w:sz="4" w:space="0" w:color="auto"/>
              <w:left w:val="single" w:sz="4" w:space="0" w:color="auto"/>
              <w:bottom w:val="single" w:sz="4" w:space="0" w:color="auto"/>
            </w:tcBorders>
            <w:vAlign w:val="center"/>
          </w:tcPr>
          <w:p w14:paraId="1BD8981D"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120</w:t>
            </w:r>
          </w:p>
        </w:tc>
        <w:tc>
          <w:tcPr>
            <w:tcW w:w="709" w:type="dxa"/>
            <w:tcBorders>
              <w:top w:val="single" w:sz="4" w:space="0" w:color="auto"/>
              <w:bottom w:val="single" w:sz="4" w:space="0" w:color="auto"/>
            </w:tcBorders>
            <w:vAlign w:val="center"/>
          </w:tcPr>
          <w:p w14:paraId="5F505F95"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+51%</w:t>
            </w:r>
          </w:p>
        </w:tc>
        <w:tc>
          <w:tcPr>
            <w:tcW w:w="992" w:type="dxa"/>
            <w:tcBorders>
              <w:top w:val="single" w:sz="4" w:space="0" w:color="auto"/>
              <w:bottom w:val="single" w:sz="4" w:space="0" w:color="auto"/>
              <w:right w:val="single" w:sz="4" w:space="0" w:color="auto"/>
            </w:tcBorders>
            <w:vAlign w:val="center"/>
          </w:tcPr>
          <w:p w14:paraId="296FC92C"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w:t>
            </w:r>
            <w:r>
              <w:rPr>
                <w:rFonts w:ascii="Calibri" w:eastAsia="Calibri" w:hAnsi="Calibri" w:cs="Calibri"/>
                <w:sz w:val="18"/>
                <w:szCs w:val="17"/>
              </w:rPr>
              <w:t>72</w:t>
            </w:r>
            <w:r w:rsidRPr="005B42A3">
              <w:rPr>
                <w:rFonts w:ascii="Calibri" w:eastAsia="Calibri" w:hAnsi="Calibri" w:cs="Calibri"/>
                <w:sz w:val="18"/>
                <w:szCs w:val="17"/>
              </w:rPr>
              <w:t>%</w:t>
            </w:r>
          </w:p>
        </w:tc>
        <w:tc>
          <w:tcPr>
            <w:tcW w:w="425" w:type="dxa"/>
            <w:tcBorders>
              <w:top w:val="single" w:sz="4" w:space="0" w:color="auto"/>
              <w:left w:val="single" w:sz="4" w:space="0" w:color="auto"/>
            </w:tcBorders>
            <w:vAlign w:val="center"/>
          </w:tcPr>
          <w:p w14:paraId="408561FE"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7</w:t>
            </w:r>
            <w:r>
              <w:rPr>
                <w:rFonts w:ascii="Calibri" w:eastAsia="Calibri" w:hAnsi="Calibri" w:cs="Calibri"/>
                <w:sz w:val="18"/>
                <w:szCs w:val="17"/>
              </w:rPr>
              <w:t>1</w:t>
            </w:r>
          </w:p>
        </w:tc>
        <w:tc>
          <w:tcPr>
            <w:tcW w:w="709" w:type="dxa"/>
            <w:tcBorders>
              <w:top w:val="single" w:sz="4" w:space="0" w:color="auto"/>
            </w:tcBorders>
            <w:vAlign w:val="center"/>
          </w:tcPr>
          <w:p w14:paraId="580D3247"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w:t>
            </w:r>
            <w:r>
              <w:rPr>
                <w:rFonts w:ascii="Calibri" w:eastAsia="Calibri" w:hAnsi="Calibri" w:cs="Calibri"/>
                <w:sz w:val="18"/>
                <w:szCs w:val="17"/>
              </w:rPr>
              <w:t>8</w:t>
            </w:r>
            <w:r w:rsidRPr="005B42A3">
              <w:rPr>
                <w:rFonts w:ascii="Calibri" w:eastAsia="Calibri" w:hAnsi="Calibri" w:cs="Calibri"/>
                <w:sz w:val="18"/>
                <w:szCs w:val="17"/>
              </w:rPr>
              <w:t>%</w:t>
            </w:r>
          </w:p>
        </w:tc>
        <w:tc>
          <w:tcPr>
            <w:tcW w:w="992" w:type="dxa"/>
            <w:tcBorders>
              <w:top w:val="single" w:sz="4" w:space="0" w:color="auto"/>
            </w:tcBorders>
            <w:vAlign w:val="center"/>
          </w:tcPr>
          <w:p w14:paraId="0D4EA1F1" w14:textId="77777777" w:rsidR="00BF0D88" w:rsidRPr="005B42A3" w:rsidRDefault="00BF0D88" w:rsidP="007F6621">
            <w:pPr>
              <w:pStyle w:val="TableParagraph"/>
              <w:spacing w:line="204" w:lineRule="exact"/>
              <w:ind w:left="51"/>
              <w:jc w:val="center"/>
              <w:rPr>
                <w:rFonts w:ascii="Calibri" w:eastAsia="Calibri" w:hAnsi="Calibri" w:cs="Calibri"/>
                <w:sz w:val="18"/>
                <w:szCs w:val="17"/>
              </w:rPr>
            </w:pPr>
            <w:r w:rsidRPr="005B42A3">
              <w:rPr>
                <w:rFonts w:ascii="Calibri" w:eastAsia="Calibri" w:hAnsi="Calibri" w:cs="Calibri"/>
                <w:sz w:val="18"/>
                <w:szCs w:val="17"/>
              </w:rPr>
              <w:t>+13%</w:t>
            </w:r>
          </w:p>
        </w:tc>
      </w:tr>
    </w:tbl>
    <w:bookmarkEnd w:id="6"/>
    <w:p w14:paraId="756C4709" w14:textId="77777777" w:rsidR="00D05E92" w:rsidRPr="00B15D41" w:rsidRDefault="00D05E92" w:rsidP="007B49E7">
      <w:pPr>
        <w:pStyle w:val="BodyText"/>
        <w:tabs>
          <w:tab w:val="left" w:pos="384"/>
        </w:tabs>
        <w:spacing w:before="240" w:after="120"/>
        <w:ind w:left="142" w:right="99"/>
        <w:jc w:val="both"/>
        <w:rPr>
          <w:b/>
        </w:rPr>
      </w:pPr>
      <w:r w:rsidRPr="00B15D41">
        <w:rPr>
          <w:b/>
        </w:rPr>
        <w:t xml:space="preserve">Note: The following commentary relates to the </w:t>
      </w:r>
      <w:r w:rsidR="008F54B1" w:rsidRPr="00B15D41">
        <w:rPr>
          <w:b/>
        </w:rPr>
        <w:t>period</w:t>
      </w:r>
      <w:r w:rsidR="009531DE" w:rsidRPr="00B15D41">
        <w:rPr>
          <w:b/>
        </w:rPr>
        <w:t xml:space="preserve"> from 1 January to 15 March</w:t>
      </w:r>
      <w:r w:rsidR="008F54B1" w:rsidRPr="00B15D41">
        <w:rPr>
          <w:b/>
          <w:vertAlign w:val="superscript"/>
        </w:rPr>
        <w:t>2</w:t>
      </w:r>
      <w:r w:rsidRPr="00B15D41">
        <w:rPr>
          <w:b/>
        </w:rPr>
        <w:t xml:space="preserve"> </w:t>
      </w:r>
      <w:r w:rsidR="00693B37" w:rsidRPr="00B15D41">
        <w:rPr>
          <w:b/>
        </w:rPr>
        <w:t xml:space="preserve">(the “pre-disruption period”) </w:t>
      </w:r>
      <w:r w:rsidRPr="00B15D41">
        <w:rPr>
          <w:b/>
        </w:rPr>
        <w:t>and is in constant currency unless otherwise stated</w:t>
      </w:r>
    </w:p>
    <w:p w14:paraId="55EE2751" w14:textId="77777777" w:rsidR="007030E7" w:rsidRPr="0063235E" w:rsidRDefault="00EE6EEC" w:rsidP="007030E7">
      <w:pPr>
        <w:spacing w:before="120" w:after="40"/>
        <w:ind w:left="142" w:right="7796"/>
        <w:jc w:val="both"/>
        <w:rPr>
          <w:rFonts w:ascii="Calibri" w:eastAsia="Calibri" w:hAnsi="Calibri" w:cs="Calibri"/>
          <w:b/>
          <w:i/>
          <w:spacing w:val="-1"/>
        </w:rPr>
      </w:pPr>
      <w:r>
        <w:rPr>
          <w:rFonts w:ascii="Calibri" w:eastAsia="Calibri" w:hAnsi="Calibri" w:cs="Calibri"/>
          <w:b/>
          <w:i/>
        </w:rPr>
        <w:t xml:space="preserve">PPB </w:t>
      </w:r>
      <w:r w:rsidR="00E30FC2" w:rsidRPr="0063235E">
        <w:rPr>
          <w:rFonts w:ascii="Calibri" w:eastAsia="Calibri" w:hAnsi="Calibri" w:cs="Calibri"/>
          <w:b/>
          <w:i/>
        </w:rPr>
        <w:t>O</w:t>
      </w:r>
      <w:r w:rsidR="00E30FC2" w:rsidRPr="0063235E">
        <w:rPr>
          <w:rFonts w:ascii="Calibri" w:eastAsia="Calibri" w:hAnsi="Calibri" w:cs="Calibri"/>
          <w:b/>
          <w:i/>
          <w:spacing w:val="-2"/>
        </w:rPr>
        <w:t>n</w:t>
      </w:r>
      <w:r w:rsidR="00E30FC2" w:rsidRPr="0063235E">
        <w:rPr>
          <w:rFonts w:ascii="Calibri" w:eastAsia="Calibri" w:hAnsi="Calibri" w:cs="Calibri"/>
          <w:b/>
          <w:i/>
        </w:rPr>
        <w:t>l</w:t>
      </w:r>
      <w:r w:rsidR="00E30FC2" w:rsidRPr="0063235E">
        <w:rPr>
          <w:rFonts w:ascii="Calibri" w:eastAsia="Calibri" w:hAnsi="Calibri" w:cs="Calibri"/>
          <w:b/>
          <w:i/>
          <w:spacing w:val="-1"/>
        </w:rPr>
        <w:t>i</w:t>
      </w:r>
      <w:r w:rsidR="009B3714" w:rsidRPr="0063235E">
        <w:rPr>
          <w:rFonts w:ascii="Calibri" w:eastAsia="Calibri" w:hAnsi="Calibri" w:cs="Calibri"/>
          <w:b/>
          <w:i/>
          <w:spacing w:val="-1"/>
        </w:rPr>
        <w:t>ne</w:t>
      </w:r>
    </w:p>
    <w:p w14:paraId="2C6742CA" w14:textId="2F29E3A7" w:rsidR="00281352" w:rsidRPr="00891053" w:rsidRDefault="00A9153C" w:rsidP="005D3C77">
      <w:pPr>
        <w:pStyle w:val="ListParagraph"/>
        <w:spacing w:before="80" w:after="120"/>
        <w:ind w:left="142" w:right="113"/>
        <w:jc w:val="both"/>
      </w:pPr>
      <w:bookmarkStart w:id="7" w:name="_Hlk527564004"/>
      <w:r>
        <w:t xml:space="preserve">We delivered strong growth in </w:t>
      </w:r>
      <w:r w:rsidR="00EE6EEC">
        <w:t xml:space="preserve">PPB </w:t>
      </w:r>
      <w:r w:rsidR="00CB6023">
        <w:t>O</w:t>
      </w:r>
      <w:r w:rsidR="007E1A30" w:rsidRPr="00891053">
        <w:t xml:space="preserve">nline </w:t>
      </w:r>
      <w:r>
        <w:t>during the period</w:t>
      </w:r>
      <w:r w:rsidR="007E1A30" w:rsidRPr="00891053">
        <w:t>.</w:t>
      </w:r>
    </w:p>
    <w:p w14:paraId="107A1C99" w14:textId="710D4863" w:rsidR="00BD721B" w:rsidRPr="00891053" w:rsidRDefault="007E1A30" w:rsidP="00D05E92">
      <w:pPr>
        <w:pStyle w:val="ListParagraph"/>
        <w:spacing w:before="120" w:after="120"/>
        <w:ind w:left="141" w:right="116"/>
        <w:jc w:val="both"/>
      </w:pPr>
      <w:r w:rsidRPr="00891053">
        <w:t>Within sports, s</w:t>
      </w:r>
      <w:r w:rsidR="007B644B" w:rsidRPr="00891053">
        <w:t xml:space="preserve">portsbook </w:t>
      </w:r>
      <w:r w:rsidR="00D00CC8" w:rsidRPr="00891053">
        <w:t>revenues increased</w:t>
      </w:r>
      <w:r w:rsidR="009628AD" w:rsidRPr="00891053">
        <w:t xml:space="preserve"> </w:t>
      </w:r>
      <w:r w:rsidR="00D05E92">
        <w:t xml:space="preserve">by </w:t>
      </w:r>
      <w:r w:rsidR="007D1DDE" w:rsidRPr="00891053">
        <w:t>43</w:t>
      </w:r>
      <w:r w:rsidR="00D00CC8" w:rsidRPr="00891053">
        <w:t>%</w:t>
      </w:r>
      <w:r w:rsidR="00D05E92">
        <w:t>,</w:t>
      </w:r>
      <w:r w:rsidR="00D00CC8" w:rsidRPr="00891053">
        <w:t xml:space="preserve"> </w:t>
      </w:r>
      <w:r w:rsidR="00ED4DDA">
        <w:t xml:space="preserve">boosted </w:t>
      </w:r>
      <w:r w:rsidR="00D00CC8" w:rsidRPr="00891053">
        <w:t xml:space="preserve">by </w:t>
      </w:r>
      <w:r w:rsidR="005B42A3">
        <w:t xml:space="preserve">a </w:t>
      </w:r>
      <w:r w:rsidR="00D00CC8" w:rsidRPr="00891053">
        <w:t>net revenue margin improvement of 370bps year on year</w:t>
      </w:r>
      <w:r w:rsidR="00BA57DC">
        <w:t xml:space="preserve"> (to 10.</w:t>
      </w:r>
      <w:r w:rsidR="008F54B1">
        <w:t>1</w:t>
      </w:r>
      <w:r w:rsidR="00BA57DC">
        <w:t>%)</w:t>
      </w:r>
      <w:r w:rsidR="00D00CC8" w:rsidRPr="00891053">
        <w:t>.</w:t>
      </w:r>
      <w:r w:rsidR="00701377" w:rsidRPr="00891053">
        <w:t xml:space="preserve"> </w:t>
      </w:r>
      <w:r w:rsidRPr="00891053">
        <w:t xml:space="preserve">The margin benefit </w:t>
      </w:r>
      <w:r w:rsidR="00D00CC8" w:rsidRPr="00891053">
        <w:t>reflect</w:t>
      </w:r>
      <w:r w:rsidR="00BA57DC">
        <w:t>ed</w:t>
      </w:r>
      <w:r w:rsidR="00D00CC8" w:rsidRPr="00891053">
        <w:t xml:space="preserve"> </w:t>
      </w:r>
      <w:r w:rsidR="00BA57DC">
        <w:t xml:space="preserve">a </w:t>
      </w:r>
      <w:r w:rsidR="00D00CC8" w:rsidRPr="00891053">
        <w:t xml:space="preserve">structural </w:t>
      </w:r>
      <w:r w:rsidRPr="00891053">
        <w:t xml:space="preserve">improvement in our expected margin of </w:t>
      </w:r>
      <w:r w:rsidR="009924AB">
        <w:t>80</w:t>
      </w:r>
      <w:r w:rsidRPr="00891053">
        <w:t xml:space="preserve">bps and favourable sports results </w:t>
      </w:r>
      <w:r w:rsidR="00A50728">
        <w:t>of</w:t>
      </w:r>
      <w:r w:rsidR="00FF7133">
        <w:t xml:space="preserve"> an additional</w:t>
      </w:r>
      <w:r w:rsidR="00202249">
        <w:t xml:space="preserve"> 2</w:t>
      </w:r>
      <w:r w:rsidR="009924AB">
        <w:t>9</w:t>
      </w:r>
      <w:r w:rsidR="00202249">
        <w:t>0bps</w:t>
      </w:r>
      <w:r w:rsidRPr="00891053">
        <w:t>.</w:t>
      </w:r>
      <w:r w:rsidR="00D7428A">
        <w:t xml:space="preserve"> S</w:t>
      </w:r>
      <w:r w:rsidRPr="00891053">
        <w:t xml:space="preserve">taking declined </w:t>
      </w:r>
      <w:r w:rsidR="0063235E" w:rsidRPr="00891053">
        <w:t>by 10%</w:t>
      </w:r>
      <w:r w:rsidR="00D05E92">
        <w:t>,</w:t>
      </w:r>
      <w:r w:rsidR="0063235E" w:rsidRPr="00891053">
        <w:t xml:space="preserve"> reflect</w:t>
      </w:r>
      <w:r w:rsidR="00891053">
        <w:t>ing</w:t>
      </w:r>
      <w:r w:rsidR="0063235E" w:rsidRPr="00891053">
        <w:t xml:space="preserve"> </w:t>
      </w:r>
      <w:r w:rsidR="00D7428A">
        <w:t xml:space="preserve">the </w:t>
      </w:r>
      <w:r w:rsidR="00D7428A" w:rsidRPr="00891053">
        <w:t xml:space="preserve">suspension of </w:t>
      </w:r>
      <w:r w:rsidR="009D74DD">
        <w:t>several UK/European</w:t>
      </w:r>
      <w:r w:rsidR="00D7428A">
        <w:t xml:space="preserve"> </w:t>
      </w:r>
      <w:r w:rsidR="00D7428A" w:rsidRPr="00891053">
        <w:t xml:space="preserve">football leagues </w:t>
      </w:r>
      <w:r w:rsidR="009531DE">
        <w:t>before</w:t>
      </w:r>
      <w:r w:rsidR="00D7428A">
        <w:t xml:space="preserve"> March 16</w:t>
      </w:r>
      <w:r w:rsidR="00D7428A" w:rsidRPr="00446DD6">
        <w:rPr>
          <w:vertAlign w:val="superscript"/>
        </w:rPr>
        <w:t>th</w:t>
      </w:r>
      <w:r w:rsidR="00D7428A">
        <w:t xml:space="preserve"> </w:t>
      </w:r>
      <w:r w:rsidR="00ED4DDA">
        <w:t>(</w:t>
      </w:r>
      <w:r w:rsidR="00D7428A">
        <w:t>estimate</w:t>
      </w:r>
      <w:r w:rsidR="00427EC7">
        <w:t>d</w:t>
      </w:r>
      <w:r w:rsidR="00D7428A">
        <w:t xml:space="preserve"> </w:t>
      </w:r>
      <w:r w:rsidR="00613DBE">
        <w:t xml:space="preserve">staking </w:t>
      </w:r>
      <w:r w:rsidR="00D7428A">
        <w:t>reduc</w:t>
      </w:r>
      <w:r w:rsidR="00427EC7">
        <w:t xml:space="preserve">tion </w:t>
      </w:r>
      <w:r w:rsidR="00613DBE">
        <w:t xml:space="preserve">of </w:t>
      </w:r>
      <w:r w:rsidR="00D7428A">
        <w:t>4 percentage points</w:t>
      </w:r>
      <w:r w:rsidR="00ED4DDA">
        <w:t>)</w:t>
      </w:r>
      <w:r w:rsidR="00D7428A" w:rsidRPr="00891053">
        <w:t xml:space="preserve"> </w:t>
      </w:r>
      <w:r w:rsidR="00D7428A">
        <w:t xml:space="preserve">and </w:t>
      </w:r>
      <w:r w:rsidR="00ED4DDA">
        <w:t xml:space="preserve">reduced customer recycling given the </w:t>
      </w:r>
      <w:r w:rsidR="0063235E" w:rsidRPr="00891053">
        <w:t xml:space="preserve">bookmaker friendly results. </w:t>
      </w:r>
      <w:r w:rsidR="00462739">
        <w:t>As expected e</w:t>
      </w:r>
      <w:r w:rsidR="00BD721B" w:rsidRPr="00891053">
        <w:t xml:space="preserve">xchange </w:t>
      </w:r>
      <w:r w:rsidR="002E581A" w:rsidRPr="00891053">
        <w:t xml:space="preserve">and B2B </w:t>
      </w:r>
      <w:r w:rsidR="00BD721B" w:rsidRPr="00891053">
        <w:t xml:space="preserve">revenues were </w:t>
      </w:r>
      <w:r w:rsidR="007142F5" w:rsidRPr="00891053">
        <w:t xml:space="preserve">down </w:t>
      </w:r>
      <w:r w:rsidR="009924AB">
        <w:t>1</w:t>
      </w:r>
      <w:r w:rsidR="00E27E44">
        <w:t>0</w:t>
      </w:r>
      <w:r w:rsidR="009628AD" w:rsidRPr="00891053">
        <w:t xml:space="preserve">% </w:t>
      </w:r>
      <w:r w:rsidR="00E27E44">
        <w:t xml:space="preserve">on a comparable basis due to </w:t>
      </w:r>
      <w:r w:rsidR="00693B37">
        <w:t xml:space="preserve">previously flagged </w:t>
      </w:r>
      <w:r w:rsidR="00E4224F" w:rsidRPr="00891053">
        <w:t xml:space="preserve">international </w:t>
      </w:r>
      <w:r w:rsidR="00D00CC8" w:rsidRPr="00891053">
        <w:t>market</w:t>
      </w:r>
      <w:r w:rsidR="00DE41D9">
        <w:t>/</w:t>
      </w:r>
      <w:r w:rsidR="00D00CC8" w:rsidRPr="00891053">
        <w:t>B2B partner switch offs</w:t>
      </w:r>
      <w:r w:rsidR="00E27E44">
        <w:t>.</w:t>
      </w:r>
    </w:p>
    <w:p w14:paraId="37A7CB8F" w14:textId="219FDF01" w:rsidR="001659C9" w:rsidRPr="00891053" w:rsidRDefault="00366AD7" w:rsidP="00B0104E">
      <w:pPr>
        <w:pStyle w:val="BodyText"/>
        <w:spacing w:before="120" w:after="120"/>
        <w:ind w:left="142" w:right="113"/>
        <w:jc w:val="both"/>
      </w:pPr>
      <w:r>
        <w:t>The g</w:t>
      </w:r>
      <w:r w:rsidR="001659C9" w:rsidRPr="00891053">
        <w:t xml:space="preserve">aming revenue </w:t>
      </w:r>
      <w:r w:rsidR="00E56A86" w:rsidRPr="00891053">
        <w:t xml:space="preserve">increase </w:t>
      </w:r>
      <w:r>
        <w:t>of</w:t>
      </w:r>
      <w:r w:rsidR="001659C9" w:rsidRPr="00891053">
        <w:t xml:space="preserve"> 1</w:t>
      </w:r>
      <w:r w:rsidR="009924AB">
        <w:t>7</w:t>
      </w:r>
      <w:r w:rsidR="001659C9" w:rsidRPr="00891053">
        <w:t>%</w:t>
      </w:r>
      <w:r w:rsidR="0063235E" w:rsidRPr="00891053">
        <w:t xml:space="preserve"> </w:t>
      </w:r>
      <w:r w:rsidR="00BA57DC">
        <w:t xml:space="preserve">equated to </w:t>
      </w:r>
      <w:r w:rsidR="009924AB">
        <w:t>9</w:t>
      </w:r>
      <w:r w:rsidR="0063235E" w:rsidRPr="00891053">
        <w:t>% on a proforma basis.</w:t>
      </w:r>
      <w:r w:rsidR="006C6071" w:rsidRPr="00891053">
        <w:t xml:space="preserve"> This reflect</w:t>
      </w:r>
      <w:r w:rsidR="00ED4DDA">
        <w:t xml:space="preserve">ed daily </w:t>
      </w:r>
      <w:r w:rsidR="0093091B">
        <w:t>active</w:t>
      </w:r>
      <w:r w:rsidR="00BA57DC">
        <w:t xml:space="preserve"> customer growth</w:t>
      </w:r>
      <w:r w:rsidR="0093091B">
        <w:t xml:space="preserve"> across all brands with</w:t>
      </w:r>
      <w:r w:rsidR="006C6071" w:rsidRPr="00891053">
        <w:t xml:space="preserve"> strong performance </w:t>
      </w:r>
      <w:r w:rsidR="00ED4DDA">
        <w:t>particular</w:t>
      </w:r>
      <w:r w:rsidR="00C47EC7">
        <w:t>ly</w:t>
      </w:r>
      <w:r w:rsidR="00ED4DDA">
        <w:t xml:space="preserve"> in </w:t>
      </w:r>
      <w:r w:rsidR="00D05E92">
        <w:t xml:space="preserve">Paddy Power and </w:t>
      </w:r>
      <w:r w:rsidR="006C6071" w:rsidRPr="00891053">
        <w:t>Adjarabet</w:t>
      </w:r>
      <w:r w:rsidR="006A0D70" w:rsidRPr="00AC5793">
        <w:t>.</w:t>
      </w:r>
      <w:r w:rsidR="006A0D70">
        <w:t xml:space="preserve"> </w:t>
      </w:r>
    </w:p>
    <w:bookmarkEnd w:id="7"/>
    <w:p w14:paraId="3B390CB5" w14:textId="77777777" w:rsidR="00241635" w:rsidRPr="008F4447" w:rsidRDefault="00E30FC2" w:rsidP="00241635">
      <w:pPr>
        <w:pStyle w:val="BodyText"/>
        <w:spacing w:after="40"/>
        <w:ind w:left="142" w:right="113"/>
        <w:jc w:val="both"/>
        <w:rPr>
          <w:rFonts w:cs="Calibri"/>
          <w:b/>
          <w:i/>
          <w:vertAlign w:val="superscript"/>
        </w:rPr>
      </w:pPr>
      <w:r w:rsidRPr="008F4447">
        <w:rPr>
          <w:rFonts w:cs="Calibri"/>
          <w:b/>
          <w:i/>
        </w:rPr>
        <w:t>A</w:t>
      </w:r>
      <w:r w:rsidRPr="008F4447">
        <w:rPr>
          <w:rFonts w:cs="Calibri"/>
          <w:b/>
          <w:i/>
          <w:spacing w:val="-2"/>
        </w:rPr>
        <w:t>u</w:t>
      </w:r>
      <w:r w:rsidRPr="008F4447">
        <w:rPr>
          <w:rFonts w:cs="Calibri"/>
          <w:b/>
          <w:i/>
        </w:rPr>
        <w:t>str</w:t>
      </w:r>
      <w:r w:rsidRPr="008F4447">
        <w:rPr>
          <w:rFonts w:cs="Calibri"/>
          <w:b/>
          <w:i/>
          <w:spacing w:val="-1"/>
        </w:rPr>
        <w:t>a</w:t>
      </w:r>
      <w:r w:rsidRPr="008F4447">
        <w:rPr>
          <w:rFonts w:cs="Calibri"/>
          <w:b/>
          <w:i/>
        </w:rPr>
        <w:t>l</w:t>
      </w:r>
      <w:r w:rsidRPr="008F4447">
        <w:rPr>
          <w:rFonts w:cs="Calibri"/>
          <w:b/>
          <w:i/>
          <w:spacing w:val="-1"/>
        </w:rPr>
        <w:t>i</w:t>
      </w:r>
      <w:r w:rsidRPr="008F4447">
        <w:rPr>
          <w:rFonts w:cs="Calibri"/>
          <w:b/>
          <w:i/>
        </w:rPr>
        <w:t>a</w:t>
      </w:r>
    </w:p>
    <w:p w14:paraId="16A95AD7" w14:textId="77777777" w:rsidR="006A0D70" w:rsidRDefault="00BA57DC" w:rsidP="005D3C77">
      <w:pPr>
        <w:pStyle w:val="BodyText"/>
        <w:spacing w:before="80" w:after="120"/>
        <w:ind w:left="142" w:right="113"/>
        <w:jc w:val="both"/>
      </w:pPr>
      <w:proofErr w:type="spellStart"/>
      <w:r>
        <w:t>Sportsbet’s</w:t>
      </w:r>
      <w:proofErr w:type="spellEnd"/>
      <w:r>
        <w:t xml:space="preserve"> </w:t>
      </w:r>
      <w:r w:rsidR="00DC794C" w:rsidRPr="008F4447">
        <w:t>strong momentum continue</w:t>
      </w:r>
      <w:r w:rsidR="006A0D70">
        <w:t>d</w:t>
      </w:r>
      <w:r w:rsidR="00DC794C" w:rsidRPr="008F4447">
        <w:t xml:space="preserve"> with </w:t>
      </w:r>
      <w:r w:rsidR="009F03DE" w:rsidRPr="008F4447">
        <w:t>r</w:t>
      </w:r>
      <w:r w:rsidR="002A10C0" w:rsidRPr="008F4447">
        <w:t xml:space="preserve">evenue </w:t>
      </w:r>
      <w:r w:rsidR="00DC794C" w:rsidRPr="008F4447">
        <w:t>up</w:t>
      </w:r>
      <w:r w:rsidR="00B62629" w:rsidRPr="008F4447">
        <w:t xml:space="preserve"> </w:t>
      </w:r>
      <w:r w:rsidR="00DC794C" w:rsidRPr="008F4447">
        <w:t>3</w:t>
      </w:r>
      <w:r w:rsidR="003615B4">
        <w:t>2</w:t>
      </w:r>
      <w:r w:rsidR="002A10C0" w:rsidRPr="008F4447">
        <w:t>%</w:t>
      </w:r>
      <w:r w:rsidR="006A0D70">
        <w:t>. This was driven by a combination of excellent customer growth, favourable sports results and ongoing structural improvements in margin.</w:t>
      </w:r>
    </w:p>
    <w:p w14:paraId="7A0EB0D6" w14:textId="63497B81" w:rsidR="00891FB7" w:rsidRPr="009D3FB5" w:rsidRDefault="00824FDC" w:rsidP="00E63951">
      <w:pPr>
        <w:pStyle w:val="BodyText"/>
        <w:spacing w:before="120" w:after="120"/>
        <w:ind w:left="141" w:right="116"/>
        <w:jc w:val="both"/>
      </w:pPr>
      <w:r>
        <w:t>A</w:t>
      </w:r>
      <w:r w:rsidR="006A0D70" w:rsidRPr="009D3FB5">
        <w:t xml:space="preserve">ctive </w:t>
      </w:r>
      <w:r w:rsidR="006A0D70">
        <w:t xml:space="preserve">customer </w:t>
      </w:r>
      <w:r w:rsidR="006A0D70" w:rsidRPr="009D3FB5">
        <w:t>growth of 1</w:t>
      </w:r>
      <w:r w:rsidR="00E80F8B">
        <w:t>6</w:t>
      </w:r>
      <w:r w:rsidR="006A0D70" w:rsidRPr="009D3FB5">
        <w:t>%</w:t>
      </w:r>
      <w:r>
        <w:t xml:space="preserve"> was</w:t>
      </w:r>
      <w:r w:rsidR="00FA231D">
        <w:t xml:space="preserve"> supported by the success of our new ‘Elite Average Games’ </w:t>
      </w:r>
      <w:r w:rsidR="00737A57">
        <w:t xml:space="preserve">brand </w:t>
      </w:r>
      <w:r w:rsidR="00FA231D">
        <w:t>campaign.</w:t>
      </w:r>
      <w:r w:rsidR="006A0D70">
        <w:t xml:space="preserve"> </w:t>
      </w:r>
      <w:r w:rsidR="005F669A">
        <w:t>N</w:t>
      </w:r>
      <w:r w:rsidR="008F54B1">
        <w:t>et revenue margin increased</w:t>
      </w:r>
      <w:r w:rsidR="006A0D70">
        <w:t xml:space="preserve"> </w:t>
      </w:r>
      <w:r w:rsidR="0093091B">
        <w:t>2</w:t>
      </w:r>
      <w:r w:rsidR="003615B4">
        <w:t>6</w:t>
      </w:r>
      <w:r w:rsidR="0093091B">
        <w:t>0</w:t>
      </w:r>
      <w:r w:rsidR="00DC794C" w:rsidRPr="008F4447">
        <w:t>bp</w:t>
      </w:r>
      <w:r w:rsidR="0093091B">
        <w:t>s</w:t>
      </w:r>
      <w:r w:rsidR="00DC794C" w:rsidRPr="008F4447">
        <w:t xml:space="preserve"> year on year</w:t>
      </w:r>
      <w:r w:rsidR="008F54B1">
        <w:t xml:space="preserve"> to 11.7%</w:t>
      </w:r>
      <w:r w:rsidR="00693B37">
        <w:t xml:space="preserve">, with a 120 basis point increase in </w:t>
      </w:r>
      <w:r w:rsidR="008F54B1">
        <w:t>e</w:t>
      </w:r>
      <w:r w:rsidR="00891053" w:rsidRPr="008F4447">
        <w:t>xpected margin</w:t>
      </w:r>
      <w:r w:rsidR="00693B37">
        <w:t xml:space="preserve"> to 10.7%</w:t>
      </w:r>
      <w:r w:rsidR="003B01A9" w:rsidRPr="008F4447">
        <w:t xml:space="preserve">. </w:t>
      </w:r>
      <w:r w:rsidR="006044FE">
        <w:t xml:space="preserve">Favourable sports results accounted for a further 100bps improvement in margin. </w:t>
      </w:r>
      <w:r w:rsidR="00A67EAD">
        <w:t xml:space="preserve">Stakes grew </w:t>
      </w:r>
      <w:r w:rsidR="0093091B">
        <w:t>3</w:t>
      </w:r>
      <w:r w:rsidR="00A67EAD">
        <w:t>% despite</w:t>
      </w:r>
      <w:r w:rsidR="003B01A9" w:rsidRPr="009D3FB5">
        <w:t xml:space="preserve"> </w:t>
      </w:r>
      <w:r w:rsidR="00693B37">
        <w:t xml:space="preserve">the resultant reduction in customer </w:t>
      </w:r>
      <w:r w:rsidR="003B01A9" w:rsidRPr="009D3FB5">
        <w:t>recycling.</w:t>
      </w:r>
    </w:p>
    <w:p w14:paraId="20A2ED91" w14:textId="77777777" w:rsidR="00DE7388" w:rsidRPr="009D3FB5" w:rsidRDefault="006D6A05" w:rsidP="00B0104E">
      <w:pPr>
        <w:pStyle w:val="BodyText"/>
        <w:spacing w:after="40"/>
        <w:ind w:left="142" w:right="113"/>
        <w:jc w:val="both"/>
        <w:rPr>
          <w:rFonts w:cs="Calibri"/>
          <w:i/>
          <w:spacing w:val="-1"/>
          <w:vertAlign w:val="superscript"/>
        </w:rPr>
      </w:pPr>
      <w:r w:rsidRPr="009D3FB5">
        <w:rPr>
          <w:rFonts w:cs="Calibri"/>
          <w:b/>
          <w:i/>
          <w:spacing w:val="-1"/>
        </w:rPr>
        <w:t>US</w:t>
      </w:r>
      <w:r w:rsidR="00462739" w:rsidRPr="00462739">
        <w:rPr>
          <w:rFonts w:cs="Calibri"/>
          <w:b/>
          <w:i/>
          <w:spacing w:val="-1"/>
          <w:vertAlign w:val="superscript"/>
        </w:rPr>
        <w:t>3</w:t>
      </w:r>
    </w:p>
    <w:p w14:paraId="258095D7" w14:textId="240E02DD" w:rsidR="009D3FB5" w:rsidRPr="009D3FB5" w:rsidRDefault="009D3FB5" w:rsidP="005D3C77">
      <w:pPr>
        <w:pStyle w:val="BodyText"/>
        <w:spacing w:before="80" w:after="120"/>
        <w:ind w:left="142" w:right="113"/>
        <w:jc w:val="both"/>
      </w:pPr>
      <w:bookmarkStart w:id="8" w:name="_Hlk527562566"/>
      <w:r w:rsidRPr="009D3FB5">
        <w:t xml:space="preserve">US revenue </w:t>
      </w:r>
      <w:r w:rsidR="006044FE">
        <w:t xml:space="preserve">growth of 72% </w:t>
      </w:r>
      <w:r w:rsidRPr="009D3FB5">
        <w:t>reflect</w:t>
      </w:r>
      <w:r w:rsidR="00D80B21">
        <w:t>ed</w:t>
      </w:r>
      <w:r w:rsidRPr="009D3FB5">
        <w:t xml:space="preserve"> a strong performance across both sports and gaming. </w:t>
      </w:r>
    </w:p>
    <w:p w14:paraId="51011B7E" w14:textId="0BC49673" w:rsidR="007A09A5" w:rsidRDefault="006A0D70" w:rsidP="007A09A5">
      <w:pPr>
        <w:pStyle w:val="BodyText"/>
        <w:spacing w:before="120" w:after="120"/>
        <w:ind w:left="141" w:right="116"/>
        <w:jc w:val="both"/>
      </w:pPr>
      <w:r>
        <w:t xml:space="preserve">This was driven by </w:t>
      </w:r>
      <w:r w:rsidR="00E001AD">
        <w:t xml:space="preserve">further expansion into additional states and continued </w:t>
      </w:r>
      <w:r>
        <w:t xml:space="preserve">excellent customer acquisition. </w:t>
      </w:r>
      <w:r w:rsidR="007A09A5">
        <w:t xml:space="preserve">FanDuel has acquired over </w:t>
      </w:r>
      <w:r w:rsidR="007A09A5" w:rsidRPr="00C7418F">
        <w:t xml:space="preserve">100,000 </w:t>
      </w:r>
      <w:r w:rsidR="007A09A5">
        <w:t xml:space="preserve">new </w:t>
      </w:r>
      <w:r w:rsidR="007A09A5" w:rsidRPr="00C7418F">
        <w:t>customers</w:t>
      </w:r>
      <w:r w:rsidR="007A09A5">
        <w:t xml:space="preserve"> </w:t>
      </w:r>
      <w:r w:rsidR="007A09A5" w:rsidRPr="00C7418F">
        <w:t>since the beginning of the year</w:t>
      </w:r>
      <w:r w:rsidR="007A09A5">
        <w:t>, bringing total s</w:t>
      </w:r>
      <w:r w:rsidRPr="00C7418F">
        <w:t xml:space="preserve">portsbook customers acquired since launch </w:t>
      </w:r>
      <w:r w:rsidR="007A09A5">
        <w:t xml:space="preserve">to over </w:t>
      </w:r>
      <w:r w:rsidRPr="00C7418F">
        <w:t>450,000.</w:t>
      </w:r>
      <w:r>
        <w:t xml:space="preserve"> As a result, </w:t>
      </w:r>
      <w:r w:rsidR="009D3FB5" w:rsidRPr="009D3FB5">
        <w:t>FanDuel</w:t>
      </w:r>
      <w:r>
        <w:t>’s</w:t>
      </w:r>
      <w:r w:rsidR="009D3FB5" w:rsidRPr="009D3FB5">
        <w:t xml:space="preserve"> online sportsbook continue</w:t>
      </w:r>
      <w:r>
        <w:t>s</w:t>
      </w:r>
      <w:r w:rsidR="009D3FB5" w:rsidRPr="009D3FB5">
        <w:t xml:space="preserve"> to enjoy a leadership position with a</w:t>
      </w:r>
      <w:r>
        <w:t>n approximate</w:t>
      </w:r>
      <w:r w:rsidR="009D3FB5" w:rsidRPr="009D3FB5">
        <w:t xml:space="preserve"> </w:t>
      </w:r>
      <w:r w:rsidR="00E001AD" w:rsidRPr="009D3FB5">
        <w:t>4</w:t>
      </w:r>
      <w:r w:rsidR="00E001AD">
        <w:t>1</w:t>
      </w:r>
      <w:r w:rsidR="009D3FB5" w:rsidRPr="009D3FB5">
        <w:t xml:space="preserve">% </w:t>
      </w:r>
      <w:r w:rsidR="006044FE">
        <w:t xml:space="preserve">market </w:t>
      </w:r>
      <w:r w:rsidR="009D3FB5" w:rsidRPr="009D3FB5">
        <w:t>share</w:t>
      </w:r>
      <w:r w:rsidR="002252CC">
        <w:t>.</w:t>
      </w:r>
      <w:r w:rsidR="002252CC" w:rsidRPr="002252CC">
        <w:rPr>
          <w:vertAlign w:val="superscript"/>
        </w:rPr>
        <w:t>3</w:t>
      </w:r>
      <w:r w:rsidR="006A5FB2">
        <w:t xml:space="preserve"> </w:t>
      </w:r>
      <w:r w:rsidR="007A09A5">
        <w:t xml:space="preserve">During the </w:t>
      </w:r>
      <w:r w:rsidR="00311D2E">
        <w:t>period</w:t>
      </w:r>
      <w:r w:rsidR="007A09A5">
        <w:t xml:space="preserve"> w</w:t>
      </w:r>
      <w:r w:rsidR="00E001AD">
        <w:t xml:space="preserve">e also added to our </w:t>
      </w:r>
      <w:r w:rsidR="007A09A5">
        <w:t xml:space="preserve">US </w:t>
      </w:r>
      <w:r w:rsidR="00E001AD">
        <w:t xml:space="preserve">retail portfolio with expansion into 2 additional states, Mississippi and Michigan. </w:t>
      </w:r>
      <w:r w:rsidR="00B86DAD">
        <w:t>O</w:t>
      </w:r>
      <w:r w:rsidR="00E001AD">
        <w:t>ur partnership with Motor City casino in Detroit secur</w:t>
      </w:r>
      <w:r w:rsidR="007A09A5">
        <w:t>es</w:t>
      </w:r>
      <w:r w:rsidR="00E001AD">
        <w:t xml:space="preserve"> high quality first skin market access </w:t>
      </w:r>
      <w:r w:rsidR="007A09A5">
        <w:t xml:space="preserve">in Michigan and access to </w:t>
      </w:r>
      <w:r w:rsidR="00E001AD">
        <w:t>a marquee retail location.</w:t>
      </w:r>
      <w:r w:rsidR="00DF0A14">
        <w:t xml:space="preserve"> </w:t>
      </w:r>
    </w:p>
    <w:p w14:paraId="32888811" w14:textId="33D82231" w:rsidR="009D3FB5" w:rsidRPr="004D15FC" w:rsidRDefault="007A09A5" w:rsidP="00462739">
      <w:pPr>
        <w:pStyle w:val="BodyText"/>
        <w:spacing w:before="120" w:after="120"/>
        <w:ind w:left="141" w:right="116"/>
        <w:jc w:val="both"/>
      </w:pPr>
      <w:r>
        <w:t>US g</w:t>
      </w:r>
      <w:r w:rsidR="009D3FB5">
        <w:t xml:space="preserve">aming revenue </w:t>
      </w:r>
      <w:r w:rsidR="00A974CA">
        <w:t xml:space="preserve">increased </w:t>
      </w:r>
      <w:r w:rsidR="001D11C1">
        <w:t>by 260%</w:t>
      </w:r>
      <w:r w:rsidR="006B0903">
        <w:t>,</w:t>
      </w:r>
      <w:r w:rsidR="009D3FB5">
        <w:t xml:space="preserve"> driven by successful cross-sell strategies in </w:t>
      </w:r>
      <w:r>
        <w:t xml:space="preserve">both </w:t>
      </w:r>
      <w:r w:rsidR="009D3FB5">
        <w:t xml:space="preserve">New Jersey and </w:t>
      </w:r>
      <w:r w:rsidR="009D3FB5" w:rsidRPr="004D15FC">
        <w:t>Pennsylvania</w:t>
      </w:r>
      <w:r w:rsidR="009D3FB5">
        <w:t xml:space="preserve"> </w:t>
      </w:r>
      <w:r w:rsidR="006044FE">
        <w:t>(</w:t>
      </w:r>
      <w:r w:rsidR="009D3FB5">
        <w:t>where we launched our FanDuel online casino product</w:t>
      </w:r>
      <w:r w:rsidR="009D3FB5" w:rsidRPr="004D15FC">
        <w:t xml:space="preserve"> </w:t>
      </w:r>
      <w:r w:rsidR="009D3FB5">
        <w:t>on 2</w:t>
      </w:r>
      <w:r w:rsidR="00693B37">
        <w:t>0</w:t>
      </w:r>
      <w:r w:rsidR="009D3FB5">
        <w:t xml:space="preserve"> January</w:t>
      </w:r>
      <w:r w:rsidR="006044FE">
        <w:t>)</w:t>
      </w:r>
      <w:r w:rsidR="009D3FB5">
        <w:t xml:space="preserve">. </w:t>
      </w:r>
      <w:r>
        <w:t xml:space="preserve">FanDuel’s </w:t>
      </w:r>
      <w:r w:rsidR="009D3FB5">
        <w:t xml:space="preserve">combined online gaming market share in New Jersey and Pennsylvania </w:t>
      </w:r>
      <w:r>
        <w:t xml:space="preserve">reached </w:t>
      </w:r>
      <w:r w:rsidR="00E001AD">
        <w:t>25</w:t>
      </w:r>
      <w:r w:rsidR="009D3FB5">
        <w:t>%</w:t>
      </w:r>
      <w:r>
        <w:t xml:space="preserve"> in February</w:t>
      </w:r>
      <w:r w:rsidR="009D3FB5">
        <w:t xml:space="preserve">. </w:t>
      </w:r>
      <w:r>
        <w:t>Revenue across o</w:t>
      </w:r>
      <w:r w:rsidR="009D3FB5">
        <w:t xml:space="preserve">ur TVG racing and Daily Fantasy Sports businesses </w:t>
      </w:r>
      <w:r>
        <w:t>grew 3% year-on-year</w:t>
      </w:r>
      <w:r w:rsidR="0075374B">
        <w:t>.</w:t>
      </w:r>
      <w:r w:rsidR="00B86DAD">
        <w:t xml:space="preserve"> </w:t>
      </w:r>
    </w:p>
    <w:p w14:paraId="3AD8BF1B" w14:textId="77777777" w:rsidR="009B3714" w:rsidRPr="009D3FB5" w:rsidRDefault="00EE6EEC" w:rsidP="00B0104E">
      <w:pPr>
        <w:widowControl/>
        <w:spacing w:after="40"/>
        <w:ind w:left="142"/>
        <w:jc w:val="both"/>
        <w:rPr>
          <w:rFonts w:cs="Calibri"/>
          <w:b/>
        </w:rPr>
      </w:pPr>
      <w:r>
        <w:rPr>
          <w:rFonts w:cs="Calibri"/>
          <w:b/>
          <w:i/>
        </w:rPr>
        <w:lastRenderedPageBreak/>
        <w:t xml:space="preserve">PPB </w:t>
      </w:r>
      <w:r w:rsidR="00AF0E03" w:rsidRPr="009D3FB5">
        <w:rPr>
          <w:rFonts w:cs="Calibri"/>
          <w:b/>
          <w:i/>
        </w:rPr>
        <w:t>Retail</w:t>
      </w:r>
    </w:p>
    <w:p w14:paraId="28283ADD" w14:textId="09A4D4AD" w:rsidR="009D3FB5" w:rsidRPr="0090606A" w:rsidRDefault="006B0903" w:rsidP="006044FE">
      <w:pPr>
        <w:pStyle w:val="BodyText"/>
        <w:spacing w:before="80"/>
        <w:ind w:left="142" w:right="113"/>
        <w:jc w:val="both"/>
      </w:pPr>
      <w:bookmarkStart w:id="9" w:name="_Hlk37092449"/>
      <w:r>
        <w:t xml:space="preserve">In </w:t>
      </w:r>
      <w:r w:rsidR="00EE6EEC">
        <w:t xml:space="preserve">PPB </w:t>
      </w:r>
      <w:r w:rsidR="00E001AD">
        <w:t>R</w:t>
      </w:r>
      <w:r w:rsidR="00EE6EEC">
        <w:t>e</w:t>
      </w:r>
      <w:r w:rsidR="009D3FB5" w:rsidRPr="009D3FB5">
        <w:t>tail</w:t>
      </w:r>
      <w:r w:rsidR="00E001AD">
        <w:t>,</w:t>
      </w:r>
      <w:r w:rsidR="009D3FB5" w:rsidRPr="009D3FB5">
        <w:t xml:space="preserve"> revenue </w:t>
      </w:r>
      <w:r w:rsidR="00342835">
        <w:t>increased</w:t>
      </w:r>
      <w:r w:rsidR="00342835" w:rsidRPr="009D3FB5">
        <w:t xml:space="preserve"> </w:t>
      </w:r>
      <w:r w:rsidR="009D3FB5" w:rsidRPr="009D3FB5">
        <w:t xml:space="preserve">by 13% with sportsbook growth of 32% more than offsetting the 20% reduction in gaming </w:t>
      </w:r>
      <w:r w:rsidR="0078272B">
        <w:t>revenue</w:t>
      </w:r>
      <w:r w:rsidR="007B4400">
        <w:t>,</w:t>
      </w:r>
      <w:r w:rsidR="00B86DAD">
        <w:t xml:space="preserve"> </w:t>
      </w:r>
      <w:r w:rsidR="007B4400">
        <w:t xml:space="preserve">the latter </w:t>
      </w:r>
      <w:r w:rsidR="00B86DAD">
        <w:t xml:space="preserve">driven by reduced </w:t>
      </w:r>
      <w:r w:rsidR="00EA079D">
        <w:t xml:space="preserve">FOBT </w:t>
      </w:r>
      <w:r w:rsidR="00B86DAD">
        <w:t>limits</w:t>
      </w:r>
      <w:r w:rsidR="009D3FB5" w:rsidRPr="009D3FB5">
        <w:t xml:space="preserve">. </w:t>
      </w:r>
      <w:r w:rsidR="00B86DAD">
        <w:t xml:space="preserve">The strong relative performance of both our sportsbook and gaming </w:t>
      </w:r>
      <w:r w:rsidR="00A47DA3">
        <w:t xml:space="preserve">products </w:t>
      </w:r>
      <w:r w:rsidR="00A974CA">
        <w:t>reflect</w:t>
      </w:r>
      <w:r w:rsidR="00B86DAD">
        <w:t>s</w:t>
      </w:r>
      <w:r w:rsidR="00A974CA">
        <w:t xml:space="preserve"> the </w:t>
      </w:r>
      <w:r w:rsidR="00B86DAD">
        <w:t xml:space="preserve">ongoing </w:t>
      </w:r>
      <w:r w:rsidR="00A974CA">
        <w:t xml:space="preserve">benefit of competitor shop </w:t>
      </w:r>
      <w:r w:rsidR="00B86DAD">
        <w:t xml:space="preserve">closures </w:t>
      </w:r>
      <w:r w:rsidR="00A974CA">
        <w:t xml:space="preserve">in our </w:t>
      </w:r>
      <w:r w:rsidR="00A47DA3">
        <w:t xml:space="preserve">local </w:t>
      </w:r>
      <w:r w:rsidR="00A974CA">
        <w:t>market</w:t>
      </w:r>
      <w:r w:rsidR="00A47DA3">
        <w:t>s</w:t>
      </w:r>
      <w:r w:rsidR="00A974CA">
        <w:t>.</w:t>
      </w:r>
      <w:r>
        <w:t xml:space="preserve"> </w:t>
      </w:r>
      <w:r w:rsidR="009D3FB5" w:rsidRPr="009D3FB5">
        <w:t>Sportsbook</w:t>
      </w:r>
      <w:r w:rsidR="009D3FB5" w:rsidRPr="0090606A">
        <w:t xml:space="preserve"> revenue </w:t>
      </w:r>
      <w:r w:rsidR="00A974CA">
        <w:t xml:space="preserve">also </w:t>
      </w:r>
      <w:r w:rsidR="009D3FB5" w:rsidRPr="0090606A">
        <w:t>benefited from a strong net revenue margin of 14.7% which was</w:t>
      </w:r>
      <w:r w:rsidR="003B3480">
        <w:t xml:space="preserve"> </w:t>
      </w:r>
      <w:r w:rsidR="003B3480" w:rsidRPr="0090606A">
        <w:t>370bps</w:t>
      </w:r>
      <w:r w:rsidR="003B3480">
        <w:t xml:space="preserve"> higher than 2019 and</w:t>
      </w:r>
      <w:r w:rsidR="009D3FB5" w:rsidRPr="0090606A">
        <w:t xml:space="preserve"> 2</w:t>
      </w:r>
      <w:r w:rsidR="00450DD6">
        <w:t>4</w:t>
      </w:r>
      <w:r w:rsidR="009D3FB5" w:rsidRPr="0090606A">
        <w:t xml:space="preserve">0bps ahead of our expectations. </w:t>
      </w:r>
    </w:p>
    <w:bookmarkEnd w:id="9"/>
    <w:p w14:paraId="2A66F1C6" w14:textId="77777777" w:rsidR="00F906D8" w:rsidRPr="00446DD6" w:rsidRDefault="003B01A9" w:rsidP="006044FE">
      <w:pPr>
        <w:pStyle w:val="BodyText"/>
        <w:spacing w:before="240"/>
        <w:ind w:left="142" w:right="113"/>
        <w:jc w:val="both"/>
        <w:rPr>
          <w:sz w:val="24"/>
          <w:szCs w:val="24"/>
          <w:highlight w:val="yellow"/>
        </w:rPr>
      </w:pPr>
      <w:r w:rsidRPr="00446DD6">
        <w:rPr>
          <w:rFonts w:cs="Calibri"/>
          <w:b/>
          <w:sz w:val="24"/>
          <w:szCs w:val="24"/>
        </w:rPr>
        <w:t xml:space="preserve">Trading </w:t>
      </w:r>
      <w:r w:rsidR="00DD57ED">
        <w:rPr>
          <w:rFonts w:cs="Calibri"/>
          <w:b/>
          <w:sz w:val="24"/>
          <w:szCs w:val="24"/>
        </w:rPr>
        <w:t xml:space="preserve">since </w:t>
      </w:r>
      <w:r w:rsidRPr="00446DD6">
        <w:rPr>
          <w:rFonts w:cs="Calibri"/>
          <w:b/>
          <w:sz w:val="24"/>
          <w:szCs w:val="24"/>
        </w:rPr>
        <w:t xml:space="preserve">the </w:t>
      </w:r>
      <w:r w:rsidR="00F37E95">
        <w:rPr>
          <w:rFonts w:cs="Calibri"/>
          <w:b/>
          <w:sz w:val="24"/>
          <w:szCs w:val="24"/>
        </w:rPr>
        <w:t xml:space="preserve">disruption </w:t>
      </w:r>
      <w:r w:rsidR="00DD57ED">
        <w:rPr>
          <w:rFonts w:cs="Calibri"/>
          <w:b/>
          <w:sz w:val="24"/>
          <w:szCs w:val="24"/>
        </w:rPr>
        <w:t xml:space="preserve">to </w:t>
      </w:r>
      <w:r w:rsidR="00B20691">
        <w:rPr>
          <w:rFonts w:cs="Calibri"/>
          <w:b/>
          <w:sz w:val="24"/>
          <w:szCs w:val="24"/>
        </w:rPr>
        <w:t>sports</w:t>
      </w:r>
      <w:r w:rsidR="00693B37">
        <w:rPr>
          <w:rFonts w:cs="Calibri"/>
          <w:b/>
          <w:sz w:val="24"/>
          <w:szCs w:val="24"/>
        </w:rPr>
        <w:t xml:space="preserve"> </w:t>
      </w:r>
      <w:r w:rsidR="00DD57ED">
        <w:rPr>
          <w:rFonts w:cs="Calibri"/>
          <w:b/>
          <w:sz w:val="24"/>
          <w:szCs w:val="24"/>
        </w:rPr>
        <w:t xml:space="preserve">events </w:t>
      </w:r>
      <w:r w:rsidR="00693B37">
        <w:rPr>
          <w:rFonts w:cs="Calibri"/>
          <w:b/>
          <w:sz w:val="24"/>
          <w:szCs w:val="24"/>
        </w:rPr>
        <w:t>(</w:t>
      </w:r>
      <w:r w:rsidR="00D359D7">
        <w:rPr>
          <w:rFonts w:cs="Calibri"/>
          <w:b/>
          <w:sz w:val="24"/>
          <w:szCs w:val="24"/>
        </w:rPr>
        <w:t xml:space="preserve">from </w:t>
      </w:r>
      <w:r w:rsidR="00693B37">
        <w:rPr>
          <w:rFonts w:cs="Calibri"/>
          <w:b/>
          <w:sz w:val="24"/>
          <w:szCs w:val="24"/>
        </w:rPr>
        <w:t>March 16)</w:t>
      </w:r>
    </w:p>
    <w:p w14:paraId="4A560954" w14:textId="69F32FA7" w:rsidR="00F906D8" w:rsidRPr="00926A36" w:rsidRDefault="00E64ED1" w:rsidP="006044FE">
      <w:pPr>
        <w:pStyle w:val="BodyText"/>
        <w:spacing w:before="80"/>
        <w:ind w:left="142" w:right="113"/>
        <w:jc w:val="both"/>
      </w:pPr>
      <w:r>
        <w:t>In our market update o</w:t>
      </w:r>
      <w:r w:rsidR="00922C36">
        <w:t>f</w:t>
      </w:r>
      <w:r>
        <w:t xml:space="preserve"> </w:t>
      </w:r>
      <w:r w:rsidR="00926A36" w:rsidRPr="00926A36">
        <w:t xml:space="preserve">March 16, </w:t>
      </w:r>
      <w:r>
        <w:t xml:space="preserve">we signalled that we would anticipate </w:t>
      </w:r>
      <w:r w:rsidR="00926A36">
        <w:t xml:space="preserve">a significant impact to our business from the </w:t>
      </w:r>
      <w:r w:rsidR="00926A36" w:rsidRPr="00926A36">
        <w:t>widespread cancellation</w:t>
      </w:r>
      <w:r w:rsidR="00926A36">
        <w:t xml:space="preserve"> of sports events</w:t>
      </w:r>
      <w:r w:rsidR="00926A36" w:rsidRPr="00926A36">
        <w:t xml:space="preserve"> </w:t>
      </w:r>
      <w:r w:rsidR="00926A36">
        <w:t>due to</w:t>
      </w:r>
      <w:r w:rsidR="00926A36" w:rsidRPr="00926A36">
        <w:t xml:space="preserve"> COVID-19 restrictions.</w:t>
      </w:r>
      <w:r>
        <w:t xml:space="preserve"> </w:t>
      </w:r>
      <w:r w:rsidR="00685BA5">
        <w:t xml:space="preserve">While mindful that it has been a very short trading period since, in </w:t>
      </w:r>
      <w:r w:rsidR="006044FE">
        <w:t xml:space="preserve">the 4 weeks </w:t>
      </w:r>
      <w:r w:rsidR="00926A36" w:rsidRPr="00926A36">
        <w:t>from March 16 to April 1</w:t>
      </w:r>
      <w:r w:rsidR="002252CC">
        <w:t>2</w:t>
      </w:r>
      <w:r>
        <w:t xml:space="preserve">, the main trends experienced have been </w:t>
      </w:r>
      <w:r w:rsidR="00926A36" w:rsidRPr="00926A36">
        <w:t>as follows:</w:t>
      </w:r>
    </w:p>
    <w:p w14:paraId="61B0B188" w14:textId="16EB2D8E" w:rsidR="00926A36" w:rsidRPr="003E2942" w:rsidRDefault="006B0903" w:rsidP="00926A36">
      <w:pPr>
        <w:pStyle w:val="BodyText"/>
        <w:numPr>
          <w:ilvl w:val="0"/>
          <w:numId w:val="28"/>
        </w:numPr>
        <w:spacing w:before="120" w:after="120"/>
        <w:ind w:right="116"/>
        <w:jc w:val="both"/>
      </w:pPr>
      <w:r w:rsidRPr="00805FEB">
        <w:t xml:space="preserve">In </w:t>
      </w:r>
      <w:r w:rsidR="00D359D7" w:rsidRPr="00805FEB">
        <w:t xml:space="preserve">PPB </w:t>
      </w:r>
      <w:r w:rsidR="0078272B" w:rsidRPr="00805FEB">
        <w:t>Online</w:t>
      </w:r>
      <w:r w:rsidRPr="00805FEB">
        <w:t>, overall revenue has</w:t>
      </w:r>
      <w:r w:rsidR="0078272B" w:rsidRPr="00805FEB">
        <w:t xml:space="preserve"> declined</w:t>
      </w:r>
      <w:r w:rsidR="00926A36" w:rsidRPr="00805FEB">
        <w:t xml:space="preserve"> </w:t>
      </w:r>
      <w:r w:rsidR="00E64ED1" w:rsidRPr="00805FEB">
        <w:t xml:space="preserve">by </w:t>
      </w:r>
      <w:r w:rsidR="00BA7661" w:rsidRPr="00805FEB">
        <w:t>32</w:t>
      </w:r>
      <w:r w:rsidR="00926A36" w:rsidRPr="00805FEB">
        <w:t xml:space="preserve">% </w:t>
      </w:r>
      <w:r w:rsidRPr="00805FEB">
        <w:t>year on year</w:t>
      </w:r>
      <w:r w:rsidR="00D733F8" w:rsidRPr="00805FEB">
        <w:t>. Sport</w:t>
      </w:r>
      <w:r w:rsidR="006044FE" w:rsidRPr="00805FEB">
        <w:t>s</w:t>
      </w:r>
      <w:r w:rsidR="00D733F8" w:rsidRPr="00805FEB">
        <w:t xml:space="preserve"> revenue </w:t>
      </w:r>
      <w:r w:rsidR="00B96896" w:rsidRPr="00805FEB">
        <w:t xml:space="preserve">has decreased </w:t>
      </w:r>
      <w:r w:rsidR="00CB6023" w:rsidRPr="00805FEB">
        <w:t>5</w:t>
      </w:r>
      <w:r w:rsidR="00BA7661" w:rsidRPr="00805FEB">
        <w:t>7</w:t>
      </w:r>
      <w:r w:rsidR="00D733F8" w:rsidRPr="00805FEB">
        <w:t xml:space="preserve">% </w:t>
      </w:r>
      <w:r w:rsidR="00693B37" w:rsidRPr="00805FEB">
        <w:t xml:space="preserve">and </w:t>
      </w:r>
      <w:r w:rsidR="00E56390" w:rsidRPr="00805FEB">
        <w:t xml:space="preserve">by </w:t>
      </w:r>
      <w:r w:rsidR="00D733F8" w:rsidRPr="003C2888">
        <w:t>6</w:t>
      </w:r>
      <w:r w:rsidR="0047527D" w:rsidRPr="003C2888">
        <w:t>5</w:t>
      </w:r>
      <w:r w:rsidR="00D733F8" w:rsidRPr="003C2888">
        <w:t xml:space="preserve">% </w:t>
      </w:r>
      <w:r w:rsidR="00D733F8">
        <w:t xml:space="preserve">since the suspension of Irish racing </w:t>
      </w:r>
      <w:r w:rsidR="00462739">
        <w:t xml:space="preserve">from </w:t>
      </w:r>
      <w:r w:rsidR="00926A36" w:rsidRPr="00926A36">
        <w:t>March 25</w:t>
      </w:r>
      <w:r w:rsidR="00653225">
        <w:t xml:space="preserve">. Gaming revenue </w:t>
      </w:r>
      <w:r w:rsidR="00693B37">
        <w:t xml:space="preserve">has </w:t>
      </w:r>
      <w:r w:rsidR="00F37E95">
        <w:t>increased 1</w:t>
      </w:r>
      <w:r w:rsidR="00805FEB">
        <w:t>5</w:t>
      </w:r>
      <w:r w:rsidR="00F37E95">
        <w:t>%</w:t>
      </w:r>
      <w:r w:rsidR="00B86DAD">
        <w:t xml:space="preserve">. </w:t>
      </w:r>
    </w:p>
    <w:p w14:paraId="52979C53" w14:textId="12BE6944" w:rsidR="00F906D8" w:rsidRPr="003E2942" w:rsidRDefault="006B0903" w:rsidP="00926A36">
      <w:pPr>
        <w:pStyle w:val="BodyText"/>
        <w:numPr>
          <w:ilvl w:val="0"/>
          <w:numId w:val="28"/>
        </w:numPr>
        <w:spacing w:before="120" w:after="120"/>
        <w:ind w:right="116"/>
        <w:jc w:val="both"/>
      </w:pPr>
      <w:r>
        <w:t xml:space="preserve">In </w:t>
      </w:r>
      <w:r w:rsidR="007D1698">
        <w:t xml:space="preserve">Australia </w:t>
      </w:r>
      <w:r>
        <w:t xml:space="preserve">revenue </w:t>
      </w:r>
      <w:r w:rsidR="006044FE">
        <w:t xml:space="preserve">has </w:t>
      </w:r>
      <w:r w:rsidR="00753E31">
        <w:t xml:space="preserve">reduced </w:t>
      </w:r>
      <w:r w:rsidR="00AA47E4">
        <w:t>7</w:t>
      </w:r>
      <w:r w:rsidR="00926A36" w:rsidRPr="003E2942">
        <w:t xml:space="preserve">% </w:t>
      </w:r>
      <w:r>
        <w:t xml:space="preserve">year-on year with a limited impact from </w:t>
      </w:r>
      <w:r w:rsidR="0096604E">
        <w:t>sports cancellations</w:t>
      </w:r>
      <w:r>
        <w:t xml:space="preserve"> to date</w:t>
      </w:r>
      <w:r w:rsidR="002A1FF5">
        <w:t>,</w:t>
      </w:r>
      <w:r>
        <w:t xml:space="preserve"> reflecting continu</w:t>
      </w:r>
      <w:r w:rsidR="002B1EA3">
        <w:t>ed</w:t>
      </w:r>
      <w:r>
        <w:t xml:space="preserve"> </w:t>
      </w:r>
      <w:r w:rsidR="00926A36" w:rsidRPr="003E2942">
        <w:t>racing behind closed doors</w:t>
      </w:r>
      <w:r>
        <w:t>.</w:t>
      </w:r>
      <w:r w:rsidR="00926A36" w:rsidRPr="003E2942">
        <w:t xml:space="preserve"> </w:t>
      </w:r>
      <w:r w:rsidR="002A1FF5">
        <w:t xml:space="preserve">Sportsbet </w:t>
      </w:r>
      <w:r>
        <w:t xml:space="preserve">is </w:t>
      </w:r>
      <w:r w:rsidR="002A1FF5">
        <w:t xml:space="preserve">continuing to </w:t>
      </w:r>
      <w:r>
        <w:t>see good</w:t>
      </w:r>
      <w:r w:rsidR="002A1FF5">
        <w:t xml:space="preserve"> levels of</w:t>
      </w:r>
      <w:r>
        <w:t xml:space="preserve"> customer acquisition</w:t>
      </w:r>
      <w:r w:rsidR="002A1FF5">
        <w:t>,</w:t>
      </w:r>
      <w:r>
        <w:t xml:space="preserve"> a result of </w:t>
      </w:r>
      <w:r w:rsidR="00693B37">
        <w:t xml:space="preserve">the </w:t>
      </w:r>
      <w:r w:rsidR="00926A36" w:rsidRPr="003E2942">
        <w:t xml:space="preserve">migration </w:t>
      </w:r>
      <w:r w:rsidR="002A1FF5">
        <w:t xml:space="preserve">of </w:t>
      </w:r>
      <w:r w:rsidR="00E64ED1">
        <w:t>r</w:t>
      </w:r>
      <w:r w:rsidR="00497EBE" w:rsidRPr="003E2942">
        <w:t xml:space="preserve">etail </w:t>
      </w:r>
      <w:r w:rsidR="00926A36" w:rsidRPr="003E2942">
        <w:t>customers</w:t>
      </w:r>
      <w:r w:rsidR="00E64ED1">
        <w:t xml:space="preserve"> to online</w:t>
      </w:r>
      <w:r w:rsidR="00BB6B98">
        <w:t xml:space="preserve"> with </w:t>
      </w:r>
      <w:r w:rsidR="00965A18">
        <w:t>retail</w:t>
      </w:r>
      <w:r w:rsidR="00693B37">
        <w:t xml:space="preserve"> betting </w:t>
      </w:r>
      <w:r w:rsidR="00B96896">
        <w:t xml:space="preserve">outlets currently closed throughout </w:t>
      </w:r>
      <w:r w:rsidR="00693B37">
        <w:t>the country</w:t>
      </w:r>
      <w:r>
        <w:t>.</w:t>
      </w:r>
    </w:p>
    <w:p w14:paraId="1D5507E7" w14:textId="170EA1C4" w:rsidR="00926A36" w:rsidRDefault="00926A36" w:rsidP="00926A36">
      <w:pPr>
        <w:pStyle w:val="BodyText"/>
        <w:numPr>
          <w:ilvl w:val="0"/>
          <w:numId w:val="28"/>
        </w:numPr>
        <w:spacing w:before="120" w:after="120"/>
        <w:ind w:right="116"/>
        <w:jc w:val="both"/>
      </w:pPr>
      <w:r w:rsidRPr="003E2942">
        <w:t>US</w:t>
      </w:r>
      <w:r w:rsidR="007D1698">
        <w:t xml:space="preserve"> revenue </w:t>
      </w:r>
      <w:r w:rsidR="006044FE">
        <w:t xml:space="preserve">is </w:t>
      </w:r>
      <w:r w:rsidR="00AA47E4">
        <w:t>8</w:t>
      </w:r>
      <w:r w:rsidR="00C86777">
        <w:t>%</w:t>
      </w:r>
      <w:r w:rsidR="00753E31">
        <w:t xml:space="preserve"> lower</w:t>
      </w:r>
      <w:r w:rsidR="006B0903">
        <w:t xml:space="preserve"> year-on-year, </w:t>
      </w:r>
      <w:r w:rsidR="00481F7C">
        <w:t xml:space="preserve">with </w:t>
      </w:r>
      <w:r w:rsidR="00922C36">
        <w:t xml:space="preserve">a decline in </w:t>
      </w:r>
      <w:r w:rsidR="00481F7C">
        <w:t xml:space="preserve">sports revenue </w:t>
      </w:r>
      <w:r w:rsidR="00922C36">
        <w:t xml:space="preserve">of </w:t>
      </w:r>
      <w:r w:rsidR="00481F7C">
        <w:t>4</w:t>
      </w:r>
      <w:r w:rsidR="00AA47E4">
        <w:t>6</w:t>
      </w:r>
      <w:r w:rsidR="00481F7C">
        <w:t xml:space="preserve">% </w:t>
      </w:r>
      <w:r w:rsidR="003C2888">
        <w:t xml:space="preserve">and </w:t>
      </w:r>
      <w:r w:rsidR="00481F7C">
        <w:t>gaming revenue</w:t>
      </w:r>
      <w:r w:rsidR="00922C36">
        <w:t xml:space="preserve"> growth</w:t>
      </w:r>
      <w:r w:rsidR="00481F7C">
        <w:t xml:space="preserve"> </w:t>
      </w:r>
      <w:r w:rsidR="00922C36">
        <w:t xml:space="preserve">of </w:t>
      </w:r>
      <w:r w:rsidR="003C2888">
        <w:t>c.</w:t>
      </w:r>
      <w:r w:rsidR="00481F7C">
        <w:t xml:space="preserve">200%. This reflects our expanded US gaming footprint and the </w:t>
      </w:r>
      <w:r w:rsidR="006B0903">
        <w:t xml:space="preserve">continuation of </w:t>
      </w:r>
      <w:r w:rsidR="00DF0A14">
        <w:t xml:space="preserve">some </w:t>
      </w:r>
      <w:r w:rsidR="00263ECF" w:rsidRPr="003E2942">
        <w:t>racing</w:t>
      </w:r>
      <w:r w:rsidR="006B0903">
        <w:t xml:space="preserve">. </w:t>
      </w:r>
      <w:r w:rsidR="00481F7C">
        <w:t>Our r</w:t>
      </w:r>
      <w:r w:rsidR="006B0903">
        <w:t xml:space="preserve">acing </w:t>
      </w:r>
      <w:r w:rsidR="00481F7C">
        <w:t xml:space="preserve">coverage </w:t>
      </w:r>
      <w:r w:rsidR="006B0903">
        <w:t xml:space="preserve">is </w:t>
      </w:r>
      <w:r w:rsidR="002A1FF5">
        <w:t xml:space="preserve">increasingly </w:t>
      </w:r>
      <w:r w:rsidR="006B0903">
        <w:t>being televise</w:t>
      </w:r>
      <w:r w:rsidR="00E64ED1">
        <w:t>d</w:t>
      </w:r>
      <w:r w:rsidR="006B0903">
        <w:t xml:space="preserve"> </w:t>
      </w:r>
      <w:r w:rsidR="00D567B2">
        <w:t xml:space="preserve">on US mainstream </w:t>
      </w:r>
      <w:r w:rsidR="006B0903">
        <w:t>channels</w:t>
      </w:r>
      <w:r w:rsidR="00A47DA3">
        <w:t>,</w:t>
      </w:r>
      <w:r w:rsidR="006B0903">
        <w:t xml:space="preserve"> </w:t>
      </w:r>
      <w:r w:rsidR="00F74FA4">
        <w:t xml:space="preserve">introducing </w:t>
      </w:r>
      <w:r w:rsidR="00A47DA3">
        <w:t xml:space="preserve">our TVG product to a </w:t>
      </w:r>
      <w:r w:rsidR="00F22B23">
        <w:t xml:space="preserve">new </w:t>
      </w:r>
      <w:r w:rsidR="00A47DA3">
        <w:t xml:space="preserve">cohort of potential </w:t>
      </w:r>
      <w:r w:rsidR="00F22B23">
        <w:t>customers</w:t>
      </w:r>
      <w:r w:rsidR="006B0903">
        <w:t>.</w:t>
      </w:r>
    </w:p>
    <w:p w14:paraId="621CE409" w14:textId="6377E099" w:rsidR="00E64ED1" w:rsidRDefault="00E64ED1" w:rsidP="00926A36">
      <w:pPr>
        <w:pStyle w:val="BodyText"/>
        <w:numPr>
          <w:ilvl w:val="0"/>
          <w:numId w:val="28"/>
        </w:numPr>
        <w:spacing w:before="120" w:after="120"/>
        <w:ind w:right="116"/>
        <w:jc w:val="both"/>
      </w:pPr>
      <w:r>
        <w:t xml:space="preserve">All retail operations in </w:t>
      </w:r>
      <w:r w:rsidR="00922C36">
        <w:t xml:space="preserve">Ireland and </w:t>
      </w:r>
      <w:r>
        <w:t>the UK and have been suspended</w:t>
      </w:r>
      <w:r w:rsidR="00277902">
        <w:t xml:space="preserve"> since March 1</w:t>
      </w:r>
      <w:r w:rsidR="007068B2">
        <w:t>6</w:t>
      </w:r>
      <w:r w:rsidR="00277902">
        <w:t xml:space="preserve"> </w:t>
      </w:r>
      <w:r w:rsidR="00922C36">
        <w:t>and March 20 respectively</w:t>
      </w:r>
      <w:r w:rsidR="00277902">
        <w:t>,</w:t>
      </w:r>
      <w:r>
        <w:t xml:space="preserve"> with no revenue as a result.</w:t>
      </w:r>
    </w:p>
    <w:p w14:paraId="059D5A07" w14:textId="35F6D0E5" w:rsidR="000160FC" w:rsidRDefault="00DD57ED">
      <w:pPr>
        <w:pStyle w:val="BodyText"/>
        <w:spacing w:before="120" w:after="120"/>
        <w:ind w:right="116"/>
        <w:jc w:val="both"/>
      </w:pPr>
      <w:r w:rsidRPr="00700FBA">
        <w:t xml:space="preserve">On March 16 we </w:t>
      </w:r>
      <w:r w:rsidR="00922C36">
        <w:t xml:space="preserve">also </w:t>
      </w:r>
      <w:r w:rsidRPr="00700FBA">
        <w:t xml:space="preserve">provided an initial assessment of the likely sensitivity of Group earnings </w:t>
      </w:r>
      <w:r>
        <w:t xml:space="preserve">to </w:t>
      </w:r>
      <w:r w:rsidR="00462739">
        <w:t xml:space="preserve">the disruption of </w:t>
      </w:r>
      <w:r>
        <w:t>sport</w:t>
      </w:r>
      <w:r w:rsidR="001D11D3">
        <w:t>ing</w:t>
      </w:r>
      <w:r>
        <w:t xml:space="preserve"> event</w:t>
      </w:r>
      <w:r w:rsidR="001D11D3">
        <w:t>s</w:t>
      </w:r>
      <w:r>
        <w:t xml:space="preserve"> and </w:t>
      </w:r>
      <w:r w:rsidR="00555B65">
        <w:t xml:space="preserve">those </w:t>
      </w:r>
      <w:r w:rsidR="00493293">
        <w:t xml:space="preserve">indicative </w:t>
      </w:r>
      <w:r>
        <w:t xml:space="preserve">sensitivities continue to apply. </w:t>
      </w:r>
      <w:r w:rsidR="000160FC">
        <w:t>We are monitoring closely the outlook for re-commencement of sports and will provide further updates as and when appropriate.</w:t>
      </w:r>
    </w:p>
    <w:p w14:paraId="00936642" w14:textId="33148513" w:rsidR="00A47DA3" w:rsidRDefault="00175E78" w:rsidP="000160FC">
      <w:pPr>
        <w:pStyle w:val="BodyText"/>
        <w:spacing w:before="120" w:after="120"/>
        <w:ind w:right="116"/>
        <w:jc w:val="both"/>
      </w:pPr>
      <w:r w:rsidRPr="006E0594">
        <w:t xml:space="preserve">Since mid-March </w:t>
      </w:r>
      <w:r>
        <w:t>a</w:t>
      </w:r>
      <w:r w:rsidR="001D11D3">
        <w:t xml:space="preserve"> number of national Governments have announced schemes of financial support</w:t>
      </w:r>
      <w:r w:rsidR="00462739">
        <w:t>.</w:t>
      </w:r>
      <w:r w:rsidR="001D11D3">
        <w:t xml:space="preserve"> </w:t>
      </w:r>
      <w:r w:rsidR="00462739">
        <w:t>W</w:t>
      </w:r>
      <w:r w:rsidR="001D11D3" w:rsidRPr="001D11D3">
        <w:t xml:space="preserve">e have concluded that for as long as possible, we </w:t>
      </w:r>
      <w:r w:rsidR="00922C36">
        <w:t xml:space="preserve">will </w:t>
      </w:r>
      <w:r w:rsidR="001D11D3" w:rsidRPr="001D11D3">
        <w:t>endeavour to fund the salaries of all of our employees through the Group’s own financial resources. Should the duration of the crisis be such that not taking this support would jeopardise jobs, we will review our position.</w:t>
      </w:r>
      <w:r w:rsidR="000160FC" w:rsidRPr="000160FC">
        <w:t xml:space="preserve"> </w:t>
      </w:r>
    </w:p>
    <w:bookmarkEnd w:id="8"/>
    <w:p w14:paraId="31C6AFCB" w14:textId="77777777" w:rsidR="00AD47B6" w:rsidRPr="00BF0D88" w:rsidRDefault="003E260D" w:rsidP="00BF0D88">
      <w:pPr>
        <w:pStyle w:val="BodyText"/>
        <w:ind w:left="102" w:right="113"/>
        <w:jc w:val="both"/>
        <w:rPr>
          <w:sz w:val="17"/>
          <w:szCs w:val="17"/>
        </w:rPr>
      </w:pPr>
      <w:r w:rsidRPr="00BF0D88">
        <w:rPr>
          <w:sz w:val="17"/>
          <w:szCs w:val="17"/>
        </w:rPr>
        <w:t>Notes:</w:t>
      </w:r>
      <w:r w:rsidR="001071CD" w:rsidRPr="00BF0D88">
        <w:rPr>
          <w:sz w:val="17"/>
          <w:szCs w:val="17"/>
        </w:rPr>
        <w:t xml:space="preserve"> </w:t>
      </w:r>
    </w:p>
    <w:p w14:paraId="2E52D2F8" w14:textId="77777777" w:rsidR="005F46E2" w:rsidRPr="00BF0D88" w:rsidRDefault="00EE2D59" w:rsidP="00BF0D88">
      <w:pPr>
        <w:pStyle w:val="BodyText"/>
        <w:ind w:left="102" w:right="113"/>
        <w:jc w:val="both"/>
        <w:rPr>
          <w:sz w:val="17"/>
          <w:szCs w:val="17"/>
        </w:rPr>
      </w:pPr>
      <w:r w:rsidRPr="00BF0D88">
        <w:rPr>
          <w:sz w:val="17"/>
          <w:szCs w:val="17"/>
          <w:vertAlign w:val="superscript"/>
        </w:rPr>
        <w:t>1</w:t>
      </w:r>
      <w:r w:rsidR="0015793B" w:rsidRPr="00BF0D88">
        <w:rPr>
          <w:sz w:val="17"/>
          <w:szCs w:val="17"/>
        </w:rPr>
        <w:t xml:space="preserve"> </w:t>
      </w:r>
      <w:r w:rsidR="004F1B46" w:rsidRPr="00BF0D88">
        <w:rPr>
          <w:sz w:val="17"/>
          <w:szCs w:val="17"/>
        </w:rPr>
        <w:t>Growth rates are on a constant currency basis</w:t>
      </w:r>
    </w:p>
    <w:p w14:paraId="3A74395E" w14:textId="77777777" w:rsidR="004F1B46" w:rsidRPr="00BF0D88" w:rsidRDefault="004F1B46" w:rsidP="00BF0D88">
      <w:pPr>
        <w:pStyle w:val="BodyText"/>
        <w:ind w:left="102" w:right="113"/>
        <w:jc w:val="both"/>
        <w:rPr>
          <w:sz w:val="17"/>
          <w:szCs w:val="17"/>
        </w:rPr>
      </w:pPr>
      <w:r w:rsidRPr="00BF0D88">
        <w:rPr>
          <w:sz w:val="17"/>
          <w:szCs w:val="17"/>
          <w:vertAlign w:val="superscript"/>
        </w:rPr>
        <w:t xml:space="preserve">2 </w:t>
      </w:r>
      <w:r w:rsidRPr="00BF0D88">
        <w:rPr>
          <w:sz w:val="17"/>
          <w:szCs w:val="17"/>
        </w:rPr>
        <w:t>The period from 1 January to 15 March</w:t>
      </w:r>
      <w:r w:rsidR="00E41FBF" w:rsidRPr="00BF0D88">
        <w:rPr>
          <w:sz w:val="17"/>
          <w:szCs w:val="17"/>
        </w:rPr>
        <w:t xml:space="preserve"> reflect</w:t>
      </w:r>
      <w:r w:rsidR="00613DBE" w:rsidRPr="00BF0D88">
        <w:rPr>
          <w:sz w:val="17"/>
          <w:szCs w:val="17"/>
        </w:rPr>
        <w:t>s</w:t>
      </w:r>
      <w:r w:rsidR="00E41FBF" w:rsidRPr="00BF0D88">
        <w:rPr>
          <w:sz w:val="17"/>
          <w:szCs w:val="17"/>
        </w:rPr>
        <w:t xml:space="preserve"> the period prior to widespread sporting cancellation due to COVID-19 restrictions. Growth rates are against the comparative period in the prior year</w:t>
      </w:r>
      <w:r w:rsidRPr="00BF0D88">
        <w:rPr>
          <w:sz w:val="17"/>
          <w:szCs w:val="17"/>
        </w:rPr>
        <w:t>.</w:t>
      </w:r>
    </w:p>
    <w:p w14:paraId="2A7FA581" w14:textId="4B03ACC8" w:rsidR="009531DE" w:rsidRPr="00BF0D88" w:rsidRDefault="009531DE" w:rsidP="00BF0D88">
      <w:pPr>
        <w:pStyle w:val="BodyText"/>
        <w:spacing w:after="120"/>
        <w:ind w:left="102" w:right="113"/>
        <w:jc w:val="both"/>
        <w:rPr>
          <w:sz w:val="17"/>
          <w:szCs w:val="17"/>
        </w:rPr>
      </w:pPr>
      <w:r w:rsidRPr="00BF0D88">
        <w:rPr>
          <w:sz w:val="17"/>
          <w:szCs w:val="17"/>
          <w:vertAlign w:val="superscript"/>
        </w:rPr>
        <w:t xml:space="preserve">3 </w:t>
      </w:r>
      <w:r w:rsidRPr="00BF0D88">
        <w:rPr>
          <w:sz w:val="17"/>
          <w:szCs w:val="17"/>
        </w:rPr>
        <w:t>Online sportsbook market share is the combined New Jersey</w:t>
      </w:r>
      <w:r w:rsidR="00685BA5" w:rsidRPr="00BF0D88">
        <w:rPr>
          <w:sz w:val="17"/>
          <w:szCs w:val="17"/>
        </w:rPr>
        <w:t xml:space="preserve"> (NJ)</w:t>
      </w:r>
      <w:r w:rsidRPr="00BF0D88">
        <w:rPr>
          <w:sz w:val="17"/>
          <w:szCs w:val="17"/>
        </w:rPr>
        <w:t>, Pennsylvania</w:t>
      </w:r>
      <w:r w:rsidR="00685BA5" w:rsidRPr="00BF0D88">
        <w:rPr>
          <w:sz w:val="17"/>
          <w:szCs w:val="17"/>
        </w:rPr>
        <w:t xml:space="preserve"> (PA)</w:t>
      </w:r>
      <w:r w:rsidRPr="00BF0D88">
        <w:rPr>
          <w:sz w:val="17"/>
          <w:szCs w:val="17"/>
        </w:rPr>
        <w:t xml:space="preserve">, West Virginia </w:t>
      </w:r>
      <w:r w:rsidR="00685BA5" w:rsidRPr="00BF0D88">
        <w:rPr>
          <w:sz w:val="17"/>
          <w:szCs w:val="17"/>
        </w:rPr>
        <w:t xml:space="preserve">(WV) </w:t>
      </w:r>
      <w:r w:rsidRPr="00BF0D88">
        <w:rPr>
          <w:sz w:val="17"/>
          <w:szCs w:val="17"/>
        </w:rPr>
        <w:t xml:space="preserve">and Indiana </w:t>
      </w:r>
      <w:r w:rsidR="00685BA5" w:rsidRPr="00BF0D88">
        <w:rPr>
          <w:sz w:val="17"/>
          <w:szCs w:val="17"/>
        </w:rPr>
        <w:t xml:space="preserve">(IA) </w:t>
      </w:r>
      <w:r w:rsidRPr="00BF0D88">
        <w:rPr>
          <w:sz w:val="17"/>
          <w:szCs w:val="17"/>
        </w:rPr>
        <w:t>market share for Jan</w:t>
      </w:r>
      <w:r w:rsidR="00491EC4">
        <w:rPr>
          <w:sz w:val="17"/>
          <w:szCs w:val="17"/>
        </w:rPr>
        <w:t>uary</w:t>
      </w:r>
      <w:r w:rsidRPr="00BF0D88">
        <w:rPr>
          <w:sz w:val="17"/>
          <w:szCs w:val="17"/>
        </w:rPr>
        <w:t xml:space="preserve"> and Feb</w:t>
      </w:r>
      <w:r w:rsidR="00491EC4">
        <w:rPr>
          <w:sz w:val="17"/>
          <w:szCs w:val="17"/>
        </w:rPr>
        <w:t>ruary</w:t>
      </w:r>
      <w:r w:rsidRPr="00BF0D88">
        <w:rPr>
          <w:sz w:val="17"/>
          <w:szCs w:val="17"/>
        </w:rPr>
        <w:t xml:space="preserve"> 2020 based on </w:t>
      </w:r>
      <w:r w:rsidR="00685BA5" w:rsidRPr="00BF0D88">
        <w:rPr>
          <w:sz w:val="17"/>
          <w:szCs w:val="17"/>
        </w:rPr>
        <w:t xml:space="preserve">NJ </w:t>
      </w:r>
      <w:r w:rsidRPr="00BF0D88">
        <w:rPr>
          <w:sz w:val="17"/>
          <w:szCs w:val="17"/>
        </w:rPr>
        <w:t xml:space="preserve">DGE, </w:t>
      </w:r>
      <w:r w:rsidR="00685BA5" w:rsidRPr="00BF0D88">
        <w:rPr>
          <w:sz w:val="17"/>
          <w:szCs w:val="17"/>
        </w:rPr>
        <w:t xml:space="preserve">PA </w:t>
      </w:r>
      <w:r w:rsidRPr="00BF0D88">
        <w:rPr>
          <w:sz w:val="17"/>
          <w:szCs w:val="17"/>
        </w:rPr>
        <w:t xml:space="preserve">Gaming Control Board, </w:t>
      </w:r>
      <w:r w:rsidR="00685BA5" w:rsidRPr="00BF0D88">
        <w:rPr>
          <w:sz w:val="17"/>
          <w:szCs w:val="17"/>
        </w:rPr>
        <w:t xml:space="preserve">WV </w:t>
      </w:r>
      <w:r w:rsidRPr="00BF0D88">
        <w:rPr>
          <w:sz w:val="17"/>
          <w:szCs w:val="17"/>
        </w:rPr>
        <w:t xml:space="preserve">Lottery and </w:t>
      </w:r>
      <w:r w:rsidR="00685BA5" w:rsidRPr="00BF0D88">
        <w:rPr>
          <w:sz w:val="17"/>
          <w:szCs w:val="17"/>
        </w:rPr>
        <w:t xml:space="preserve">IA </w:t>
      </w:r>
      <w:r w:rsidRPr="00BF0D88">
        <w:rPr>
          <w:sz w:val="17"/>
          <w:szCs w:val="17"/>
        </w:rPr>
        <w:t xml:space="preserve">Gaming Commission published reports. Online gaming market share reflects the combined </w:t>
      </w:r>
      <w:r w:rsidR="00685BA5" w:rsidRPr="00BF0D88">
        <w:rPr>
          <w:sz w:val="17"/>
          <w:szCs w:val="17"/>
        </w:rPr>
        <w:t xml:space="preserve">NJ </w:t>
      </w:r>
      <w:r w:rsidRPr="00BF0D88">
        <w:rPr>
          <w:sz w:val="17"/>
          <w:szCs w:val="17"/>
        </w:rPr>
        <w:t xml:space="preserve">and </w:t>
      </w:r>
      <w:r w:rsidR="00685BA5" w:rsidRPr="00BF0D88">
        <w:rPr>
          <w:sz w:val="17"/>
          <w:szCs w:val="17"/>
        </w:rPr>
        <w:t xml:space="preserve">PA </w:t>
      </w:r>
      <w:r w:rsidRPr="00BF0D88">
        <w:rPr>
          <w:sz w:val="17"/>
          <w:szCs w:val="17"/>
        </w:rPr>
        <w:t>market share for Feb</w:t>
      </w:r>
      <w:r w:rsidR="00491EC4">
        <w:rPr>
          <w:sz w:val="17"/>
          <w:szCs w:val="17"/>
        </w:rPr>
        <w:t>ruary</w:t>
      </w:r>
      <w:r w:rsidRPr="00BF0D88">
        <w:rPr>
          <w:sz w:val="17"/>
          <w:szCs w:val="17"/>
        </w:rPr>
        <w:t xml:space="preserve"> as </w:t>
      </w:r>
      <w:r w:rsidR="00685BA5" w:rsidRPr="00BF0D88">
        <w:rPr>
          <w:sz w:val="17"/>
          <w:szCs w:val="17"/>
        </w:rPr>
        <w:t xml:space="preserve">PA </w:t>
      </w:r>
      <w:r w:rsidRPr="00BF0D88">
        <w:rPr>
          <w:sz w:val="17"/>
          <w:szCs w:val="17"/>
        </w:rPr>
        <w:t>was live for only a small portion of January.</w:t>
      </w:r>
    </w:p>
    <w:tbl>
      <w:tblPr>
        <w:tblW w:w="0" w:type="auto"/>
        <w:tblLook w:val="04A0" w:firstRow="1" w:lastRow="0" w:firstColumn="1" w:lastColumn="0" w:noHBand="0" w:noVBand="1"/>
      </w:tblPr>
      <w:tblGrid>
        <w:gridCol w:w="5812"/>
        <w:gridCol w:w="3696"/>
      </w:tblGrid>
      <w:tr w:rsidR="00B15D41" w:rsidRPr="00BF0D88" w14:paraId="2868B959" w14:textId="77777777" w:rsidTr="00F75927">
        <w:tc>
          <w:tcPr>
            <w:tcW w:w="5812" w:type="dxa"/>
          </w:tcPr>
          <w:p w14:paraId="7DFD09AC" w14:textId="77777777" w:rsidR="00B15D41" w:rsidRPr="00BF0D88" w:rsidRDefault="00B15D41" w:rsidP="00F75927">
            <w:pPr>
              <w:pStyle w:val="HTMLPreformatted"/>
              <w:tabs>
                <w:tab w:val="left" w:pos="5060"/>
                <w:tab w:val="left" w:pos="7786"/>
                <w:tab w:val="left" w:pos="8564"/>
                <w:tab w:val="left" w:pos="9343"/>
                <w:tab w:val="left" w:pos="10121"/>
                <w:tab w:val="left" w:pos="10900"/>
                <w:tab w:val="left" w:pos="11679"/>
                <w:tab w:val="left" w:pos="12457"/>
              </w:tabs>
              <w:rPr>
                <w:rFonts w:asciiTheme="minorHAnsi" w:hAnsiTheme="minorHAnsi" w:cs="Times New Roman"/>
                <w:b/>
                <w:i/>
                <w:sz w:val="19"/>
                <w:szCs w:val="19"/>
              </w:rPr>
            </w:pPr>
            <w:r w:rsidRPr="00BF0D88">
              <w:rPr>
                <w:rFonts w:asciiTheme="minorHAnsi" w:hAnsiTheme="minorHAnsi" w:cs="Times New Roman"/>
                <w:b/>
                <w:i/>
                <w:sz w:val="19"/>
                <w:szCs w:val="19"/>
              </w:rPr>
              <w:t>Investor Relations:</w:t>
            </w:r>
          </w:p>
        </w:tc>
        <w:tc>
          <w:tcPr>
            <w:tcW w:w="3696" w:type="dxa"/>
          </w:tcPr>
          <w:p w14:paraId="6F68F415" w14:textId="77777777" w:rsidR="00B15D41" w:rsidRPr="00BF0D88" w:rsidRDefault="00B15D41" w:rsidP="00F75927">
            <w:pPr>
              <w:pStyle w:val="HTMLPreformatted"/>
              <w:tabs>
                <w:tab w:val="left" w:pos="5060"/>
                <w:tab w:val="left" w:pos="7786"/>
                <w:tab w:val="left" w:pos="8564"/>
                <w:tab w:val="left" w:pos="9343"/>
                <w:tab w:val="left" w:pos="10121"/>
                <w:tab w:val="left" w:pos="10900"/>
                <w:tab w:val="left" w:pos="11679"/>
                <w:tab w:val="left" w:pos="12457"/>
              </w:tabs>
              <w:rPr>
                <w:rFonts w:asciiTheme="minorHAnsi" w:hAnsiTheme="minorHAnsi" w:cs="Times New Roman"/>
                <w:sz w:val="19"/>
                <w:szCs w:val="19"/>
              </w:rPr>
            </w:pPr>
          </w:p>
        </w:tc>
      </w:tr>
      <w:tr w:rsidR="00B15D41" w:rsidRPr="00BF0D88" w14:paraId="6D28120A" w14:textId="77777777" w:rsidTr="00F75927">
        <w:tc>
          <w:tcPr>
            <w:tcW w:w="5812" w:type="dxa"/>
          </w:tcPr>
          <w:p w14:paraId="549B5E94" w14:textId="77777777" w:rsidR="00B15D41" w:rsidRPr="00BF0D88" w:rsidRDefault="00B15D41" w:rsidP="00F75927">
            <w:pPr>
              <w:pStyle w:val="HTMLPreformatted"/>
              <w:tabs>
                <w:tab w:val="left" w:pos="5060"/>
                <w:tab w:val="left" w:pos="7786"/>
                <w:tab w:val="left" w:pos="8564"/>
                <w:tab w:val="left" w:pos="9343"/>
                <w:tab w:val="left" w:pos="10121"/>
                <w:tab w:val="left" w:pos="10900"/>
                <w:tab w:val="left" w:pos="11679"/>
                <w:tab w:val="left" w:pos="12457"/>
              </w:tabs>
              <w:rPr>
                <w:rFonts w:asciiTheme="minorHAnsi" w:hAnsiTheme="minorHAnsi" w:cs="Times New Roman"/>
                <w:sz w:val="19"/>
                <w:szCs w:val="19"/>
              </w:rPr>
            </w:pPr>
            <w:r w:rsidRPr="00BF0D88">
              <w:rPr>
                <w:rFonts w:asciiTheme="minorHAnsi" w:hAnsiTheme="minorHAnsi" w:cs="Times New Roman"/>
                <w:sz w:val="19"/>
                <w:szCs w:val="19"/>
              </w:rPr>
              <w:t>David Jennings, Corporate Finance &amp; Investor Relations</w:t>
            </w:r>
          </w:p>
        </w:tc>
        <w:tc>
          <w:tcPr>
            <w:tcW w:w="3696" w:type="dxa"/>
          </w:tcPr>
          <w:p w14:paraId="67882609" w14:textId="77777777" w:rsidR="00B15D41" w:rsidRPr="00BF0D88" w:rsidRDefault="00B15D41" w:rsidP="00F75927">
            <w:pPr>
              <w:pStyle w:val="HTMLPreformatted"/>
              <w:tabs>
                <w:tab w:val="left" w:pos="5060"/>
                <w:tab w:val="left" w:pos="7786"/>
                <w:tab w:val="left" w:pos="8564"/>
                <w:tab w:val="left" w:pos="9343"/>
                <w:tab w:val="left" w:pos="10121"/>
                <w:tab w:val="left" w:pos="10900"/>
                <w:tab w:val="left" w:pos="11679"/>
                <w:tab w:val="left" w:pos="12457"/>
              </w:tabs>
              <w:rPr>
                <w:rFonts w:asciiTheme="minorHAnsi" w:hAnsiTheme="minorHAnsi" w:cs="Times New Roman"/>
                <w:sz w:val="19"/>
                <w:szCs w:val="19"/>
              </w:rPr>
            </w:pPr>
            <w:r w:rsidRPr="00BF0D88">
              <w:rPr>
                <w:rFonts w:asciiTheme="minorHAnsi" w:hAnsiTheme="minorHAnsi" w:cs="Times New Roman"/>
                <w:sz w:val="19"/>
                <w:szCs w:val="19"/>
              </w:rPr>
              <w:t>+ 353 87 951 3560</w:t>
            </w:r>
          </w:p>
        </w:tc>
      </w:tr>
      <w:tr w:rsidR="00B15D41" w:rsidRPr="00BF0D88" w14:paraId="5C45EEF9" w14:textId="77777777" w:rsidTr="00F75927">
        <w:tc>
          <w:tcPr>
            <w:tcW w:w="5812" w:type="dxa"/>
          </w:tcPr>
          <w:p w14:paraId="3549039E" w14:textId="77777777" w:rsidR="00B15D41" w:rsidRPr="00BF0D88" w:rsidRDefault="00B15D41" w:rsidP="00F75927">
            <w:pPr>
              <w:pStyle w:val="HTMLPreformatted"/>
              <w:tabs>
                <w:tab w:val="left" w:pos="5060"/>
                <w:tab w:val="left" w:pos="7786"/>
                <w:tab w:val="left" w:pos="8564"/>
                <w:tab w:val="left" w:pos="9343"/>
                <w:tab w:val="left" w:pos="10121"/>
                <w:tab w:val="left" w:pos="10900"/>
                <w:tab w:val="left" w:pos="11679"/>
                <w:tab w:val="left" w:pos="12457"/>
              </w:tabs>
              <w:rPr>
                <w:rFonts w:asciiTheme="minorHAnsi" w:hAnsiTheme="minorHAnsi" w:cs="Times New Roman"/>
                <w:sz w:val="19"/>
                <w:szCs w:val="19"/>
              </w:rPr>
            </w:pPr>
            <w:r w:rsidRPr="00BF0D88">
              <w:rPr>
                <w:rFonts w:asciiTheme="minorHAnsi" w:hAnsiTheme="minorHAnsi" w:cs="Times New Roman"/>
                <w:sz w:val="19"/>
                <w:szCs w:val="19"/>
              </w:rPr>
              <w:t>Ciara O’Mullane, Investor Relations</w:t>
            </w:r>
          </w:p>
        </w:tc>
        <w:tc>
          <w:tcPr>
            <w:tcW w:w="3696" w:type="dxa"/>
          </w:tcPr>
          <w:p w14:paraId="4D1C9326" w14:textId="77777777" w:rsidR="00B15D41" w:rsidRPr="00BF0D88" w:rsidRDefault="00B15D41" w:rsidP="00F75927">
            <w:pPr>
              <w:pStyle w:val="HTMLPreformatted"/>
              <w:tabs>
                <w:tab w:val="left" w:pos="5060"/>
                <w:tab w:val="left" w:pos="7786"/>
                <w:tab w:val="left" w:pos="8564"/>
                <w:tab w:val="left" w:pos="9343"/>
                <w:tab w:val="left" w:pos="10121"/>
                <w:tab w:val="left" w:pos="10900"/>
                <w:tab w:val="left" w:pos="11679"/>
                <w:tab w:val="left" w:pos="12457"/>
              </w:tabs>
              <w:rPr>
                <w:rFonts w:asciiTheme="minorHAnsi" w:hAnsiTheme="minorHAnsi" w:cs="Times New Roman"/>
                <w:sz w:val="19"/>
                <w:szCs w:val="19"/>
              </w:rPr>
            </w:pPr>
            <w:r w:rsidRPr="00BF0D88">
              <w:rPr>
                <w:rFonts w:asciiTheme="minorHAnsi" w:hAnsiTheme="minorHAnsi" w:cs="Times New Roman"/>
                <w:sz w:val="19"/>
                <w:szCs w:val="19"/>
              </w:rPr>
              <w:t>+ 353 87 947 7862</w:t>
            </w:r>
          </w:p>
        </w:tc>
      </w:tr>
      <w:tr w:rsidR="00B15D41" w:rsidRPr="00BF0D88" w14:paraId="617F86E3" w14:textId="77777777" w:rsidTr="00F75927">
        <w:tc>
          <w:tcPr>
            <w:tcW w:w="5812" w:type="dxa"/>
          </w:tcPr>
          <w:p w14:paraId="01ED9BF4" w14:textId="77777777" w:rsidR="00B15D41" w:rsidRPr="00BF0D88" w:rsidRDefault="00B15D41" w:rsidP="00F75927">
            <w:pPr>
              <w:pStyle w:val="HTMLPreformatted"/>
              <w:tabs>
                <w:tab w:val="left" w:pos="5060"/>
                <w:tab w:val="left" w:pos="7786"/>
                <w:tab w:val="left" w:pos="8564"/>
                <w:tab w:val="left" w:pos="9343"/>
                <w:tab w:val="left" w:pos="10121"/>
                <w:tab w:val="left" w:pos="10900"/>
                <w:tab w:val="left" w:pos="11679"/>
                <w:tab w:val="left" w:pos="12457"/>
              </w:tabs>
              <w:rPr>
                <w:rFonts w:asciiTheme="minorHAnsi" w:hAnsiTheme="minorHAnsi" w:cs="Times New Roman"/>
                <w:sz w:val="19"/>
                <w:szCs w:val="19"/>
              </w:rPr>
            </w:pPr>
            <w:r w:rsidRPr="00BF0D88">
              <w:rPr>
                <w:rFonts w:asciiTheme="minorHAnsi" w:hAnsiTheme="minorHAnsi" w:cs="Times New Roman"/>
                <w:sz w:val="19"/>
                <w:szCs w:val="19"/>
              </w:rPr>
              <w:t>Liam Kealy, Investor Relations</w:t>
            </w:r>
          </w:p>
        </w:tc>
        <w:tc>
          <w:tcPr>
            <w:tcW w:w="3696" w:type="dxa"/>
          </w:tcPr>
          <w:p w14:paraId="13849CC9" w14:textId="77777777" w:rsidR="00B15D41" w:rsidRPr="00BF0D88" w:rsidRDefault="00B15D41" w:rsidP="00F75927">
            <w:pPr>
              <w:pStyle w:val="HTMLPreformatted"/>
              <w:tabs>
                <w:tab w:val="left" w:pos="5060"/>
                <w:tab w:val="left" w:pos="7786"/>
                <w:tab w:val="left" w:pos="8564"/>
                <w:tab w:val="left" w:pos="9343"/>
                <w:tab w:val="left" w:pos="10121"/>
                <w:tab w:val="left" w:pos="10900"/>
                <w:tab w:val="left" w:pos="11679"/>
                <w:tab w:val="left" w:pos="12457"/>
              </w:tabs>
              <w:rPr>
                <w:rFonts w:asciiTheme="minorHAnsi" w:hAnsiTheme="minorHAnsi" w:cs="Times New Roman"/>
                <w:sz w:val="19"/>
                <w:szCs w:val="19"/>
              </w:rPr>
            </w:pPr>
            <w:r w:rsidRPr="00BF0D88">
              <w:rPr>
                <w:rFonts w:asciiTheme="minorHAnsi" w:hAnsiTheme="minorHAnsi" w:cs="Times New Roman"/>
                <w:sz w:val="19"/>
                <w:szCs w:val="19"/>
              </w:rPr>
              <w:t>+ 353 87 665 2014</w:t>
            </w:r>
          </w:p>
        </w:tc>
      </w:tr>
      <w:tr w:rsidR="00B15D41" w:rsidRPr="00BF0D88" w14:paraId="3EFEFF39" w14:textId="77777777" w:rsidTr="00F75927">
        <w:tc>
          <w:tcPr>
            <w:tcW w:w="5812" w:type="dxa"/>
          </w:tcPr>
          <w:p w14:paraId="7466A853" w14:textId="19B33CE1" w:rsidR="00B15D41" w:rsidRPr="00BF0D88" w:rsidRDefault="00B15D41" w:rsidP="00F75927">
            <w:pPr>
              <w:pStyle w:val="HTMLPreformatted"/>
              <w:tabs>
                <w:tab w:val="left" w:pos="5060"/>
                <w:tab w:val="left" w:pos="7786"/>
                <w:tab w:val="left" w:pos="8564"/>
                <w:tab w:val="left" w:pos="9343"/>
                <w:tab w:val="left" w:pos="10121"/>
                <w:tab w:val="left" w:pos="10900"/>
                <w:tab w:val="left" w:pos="11679"/>
                <w:tab w:val="left" w:pos="12457"/>
              </w:tabs>
              <w:rPr>
                <w:rFonts w:asciiTheme="minorHAnsi" w:hAnsiTheme="minorHAnsi" w:cs="Times New Roman"/>
                <w:b/>
                <w:i/>
                <w:sz w:val="19"/>
                <w:szCs w:val="19"/>
              </w:rPr>
            </w:pPr>
            <w:r w:rsidRPr="00BF0D88">
              <w:rPr>
                <w:rFonts w:asciiTheme="minorHAnsi" w:hAnsiTheme="minorHAnsi" w:cs="Times New Roman"/>
                <w:b/>
                <w:i/>
                <w:sz w:val="19"/>
                <w:szCs w:val="19"/>
              </w:rPr>
              <w:t>Press:</w:t>
            </w:r>
          </w:p>
        </w:tc>
        <w:tc>
          <w:tcPr>
            <w:tcW w:w="3696" w:type="dxa"/>
          </w:tcPr>
          <w:p w14:paraId="21546DA4" w14:textId="77777777" w:rsidR="00B15D41" w:rsidRPr="00BF0D88" w:rsidRDefault="00B15D41" w:rsidP="00F75927">
            <w:pPr>
              <w:pStyle w:val="HTMLPreformatted"/>
              <w:tabs>
                <w:tab w:val="left" w:pos="5060"/>
                <w:tab w:val="left" w:pos="7786"/>
                <w:tab w:val="left" w:pos="8564"/>
                <w:tab w:val="left" w:pos="9343"/>
                <w:tab w:val="left" w:pos="10121"/>
                <w:tab w:val="left" w:pos="10900"/>
                <w:tab w:val="left" w:pos="11679"/>
                <w:tab w:val="left" w:pos="12457"/>
              </w:tabs>
              <w:rPr>
                <w:rFonts w:asciiTheme="minorHAnsi" w:hAnsiTheme="minorHAnsi" w:cs="Times New Roman"/>
                <w:sz w:val="19"/>
                <w:szCs w:val="19"/>
              </w:rPr>
            </w:pPr>
          </w:p>
        </w:tc>
      </w:tr>
      <w:tr w:rsidR="00B15D41" w:rsidRPr="00BF0D88" w14:paraId="5FBEE039" w14:textId="77777777" w:rsidTr="00F75927">
        <w:tc>
          <w:tcPr>
            <w:tcW w:w="5812" w:type="dxa"/>
          </w:tcPr>
          <w:p w14:paraId="579214F5" w14:textId="77777777" w:rsidR="00B15D41" w:rsidRPr="00BF0D88" w:rsidRDefault="00B15D41" w:rsidP="00F75927">
            <w:pPr>
              <w:pStyle w:val="HTMLPreformatted"/>
              <w:tabs>
                <w:tab w:val="left" w:pos="5060"/>
                <w:tab w:val="left" w:pos="7786"/>
                <w:tab w:val="left" w:pos="8564"/>
                <w:tab w:val="left" w:pos="9343"/>
                <w:tab w:val="left" w:pos="10121"/>
                <w:tab w:val="left" w:pos="10900"/>
                <w:tab w:val="left" w:pos="11679"/>
                <w:tab w:val="left" w:pos="12457"/>
              </w:tabs>
              <w:rPr>
                <w:rFonts w:asciiTheme="minorHAnsi" w:hAnsiTheme="minorHAnsi" w:cs="Times New Roman"/>
                <w:sz w:val="19"/>
                <w:szCs w:val="19"/>
              </w:rPr>
            </w:pPr>
            <w:r w:rsidRPr="00BF0D88">
              <w:rPr>
                <w:rFonts w:asciiTheme="minorHAnsi" w:hAnsiTheme="minorHAnsi" w:cs="Times New Roman"/>
                <w:sz w:val="19"/>
                <w:szCs w:val="19"/>
              </w:rPr>
              <w:t xml:space="preserve">Fi Thorne, Corporate Affairs  </w:t>
            </w:r>
          </w:p>
        </w:tc>
        <w:tc>
          <w:tcPr>
            <w:tcW w:w="3696" w:type="dxa"/>
          </w:tcPr>
          <w:p w14:paraId="1A3AE062" w14:textId="10DD5441" w:rsidR="00B15D41" w:rsidRPr="00BF0D88" w:rsidRDefault="00B15D41" w:rsidP="009B5B61">
            <w:pPr>
              <w:pStyle w:val="HTMLPreformatted"/>
              <w:tabs>
                <w:tab w:val="left" w:pos="5060"/>
                <w:tab w:val="left" w:pos="7786"/>
                <w:tab w:val="left" w:pos="8564"/>
                <w:tab w:val="left" w:pos="9343"/>
                <w:tab w:val="left" w:pos="10121"/>
                <w:tab w:val="left" w:pos="10900"/>
                <w:tab w:val="left" w:pos="11679"/>
                <w:tab w:val="left" w:pos="12457"/>
              </w:tabs>
              <w:rPr>
                <w:rFonts w:asciiTheme="minorHAnsi" w:hAnsiTheme="minorHAnsi" w:cs="Times New Roman"/>
                <w:sz w:val="19"/>
                <w:szCs w:val="19"/>
              </w:rPr>
            </w:pPr>
            <w:r w:rsidRPr="00BF0D88">
              <w:rPr>
                <w:rFonts w:asciiTheme="minorHAnsi" w:hAnsiTheme="minorHAnsi" w:cs="Times New Roman"/>
                <w:sz w:val="19"/>
                <w:szCs w:val="19"/>
              </w:rPr>
              <w:t xml:space="preserve">+ 44 </w:t>
            </w:r>
            <w:r w:rsidR="009B5B61">
              <w:rPr>
                <w:rFonts w:asciiTheme="minorHAnsi" w:hAnsiTheme="minorHAnsi" w:cs="Times New Roman"/>
                <w:sz w:val="19"/>
                <w:szCs w:val="19"/>
              </w:rPr>
              <w:t>75 2111 4787</w:t>
            </w:r>
          </w:p>
        </w:tc>
      </w:tr>
      <w:tr w:rsidR="00B15D41" w:rsidRPr="00BF0D88" w14:paraId="79C089DD" w14:textId="77777777" w:rsidTr="00F75927">
        <w:tc>
          <w:tcPr>
            <w:tcW w:w="5812" w:type="dxa"/>
          </w:tcPr>
          <w:p w14:paraId="38ACD5A1" w14:textId="77777777" w:rsidR="00B15D41" w:rsidRPr="00BF0D88" w:rsidRDefault="00B15D41" w:rsidP="00F75927">
            <w:pPr>
              <w:pStyle w:val="HTMLPreformatted"/>
              <w:tabs>
                <w:tab w:val="left" w:pos="5060"/>
                <w:tab w:val="left" w:pos="7786"/>
                <w:tab w:val="left" w:pos="8564"/>
                <w:tab w:val="left" w:pos="9343"/>
                <w:tab w:val="left" w:pos="10121"/>
                <w:tab w:val="left" w:pos="10900"/>
                <w:tab w:val="left" w:pos="11679"/>
                <w:tab w:val="left" w:pos="12457"/>
              </w:tabs>
              <w:rPr>
                <w:rFonts w:asciiTheme="minorHAnsi" w:hAnsiTheme="minorHAnsi" w:cs="Times New Roman"/>
                <w:sz w:val="19"/>
                <w:szCs w:val="19"/>
              </w:rPr>
            </w:pPr>
            <w:r w:rsidRPr="00BF0D88">
              <w:rPr>
                <w:rFonts w:asciiTheme="minorHAnsi" w:hAnsiTheme="minorHAnsi" w:cs="Times New Roman"/>
                <w:sz w:val="19"/>
                <w:szCs w:val="19"/>
              </w:rPr>
              <w:t xml:space="preserve">Billy Murphy, </w:t>
            </w:r>
            <w:r w:rsidRPr="00BF0D88">
              <w:rPr>
                <w:rFonts w:asciiTheme="minorHAnsi" w:hAnsiTheme="minorHAnsi"/>
                <w:sz w:val="19"/>
                <w:szCs w:val="19"/>
              </w:rPr>
              <w:t xml:space="preserve">Drury / Porter </w:t>
            </w:r>
            <w:proofErr w:type="spellStart"/>
            <w:r w:rsidRPr="00BF0D88">
              <w:rPr>
                <w:rFonts w:asciiTheme="minorHAnsi" w:hAnsiTheme="minorHAnsi"/>
                <w:sz w:val="19"/>
                <w:szCs w:val="19"/>
              </w:rPr>
              <w:t>Novelli</w:t>
            </w:r>
            <w:proofErr w:type="spellEnd"/>
          </w:p>
        </w:tc>
        <w:tc>
          <w:tcPr>
            <w:tcW w:w="3696" w:type="dxa"/>
          </w:tcPr>
          <w:p w14:paraId="598C630B" w14:textId="77777777" w:rsidR="00B15D41" w:rsidRPr="00BF0D88" w:rsidRDefault="00B15D41" w:rsidP="00F75927">
            <w:pPr>
              <w:pStyle w:val="HTMLPreformatted"/>
              <w:tabs>
                <w:tab w:val="left" w:pos="5060"/>
                <w:tab w:val="left" w:pos="7786"/>
                <w:tab w:val="left" w:pos="8564"/>
                <w:tab w:val="left" w:pos="9343"/>
                <w:tab w:val="left" w:pos="10121"/>
                <w:tab w:val="left" w:pos="10900"/>
                <w:tab w:val="left" w:pos="11679"/>
                <w:tab w:val="left" w:pos="12457"/>
              </w:tabs>
              <w:rPr>
                <w:rFonts w:asciiTheme="minorHAnsi" w:hAnsiTheme="minorHAnsi" w:cs="Times New Roman"/>
                <w:sz w:val="19"/>
                <w:szCs w:val="19"/>
              </w:rPr>
            </w:pPr>
            <w:r w:rsidRPr="00BF0D88">
              <w:rPr>
                <w:rFonts w:asciiTheme="minorHAnsi" w:hAnsiTheme="minorHAnsi"/>
                <w:sz w:val="19"/>
                <w:szCs w:val="19"/>
              </w:rPr>
              <w:t>+ 353 1 260 5000</w:t>
            </w:r>
          </w:p>
        </w:tc>
      </w:tr>
      <w:tr w:rsidR="00B15D41" w:rsidRPr="00BF0D88" w14:paraId="53E05148" w14:textId="77777777" w:rsidTr="00F75927">
        <w:tc>
          <w:tcPr>
            <w:tcW w:w="5812" w:type="dxa"/>
          </w:tcPr>
          <w:p w14:paraId="6A75E090" w14:textId="77777777" w:rsidR="00B15D41" w:rsidRPr="00BF0D88" w:rsidRDefault="00B15D41" w:rsidP="00F75927">
            <w:pPr>
              <w:pStyle w:val="HTMLPreformatted"/>
              <w:tabs>
                <w:tab w:val="left" w:pos="5060"/>
                <w:tab w:val="left" w:pos="7786"/>
                <w:tab w:val="left" w:pos="8564"/>
                <w:tab w:val="left" w:pos="9343"/>
                <w:tab w:val="left" w:pos="10121"/>
                <w:tab w:val="left" w:pos="10900"/>
                <w:tab w:val="left" w:pos="11679"/>
                <w:tab w:val="left" w:pos="12457"/>
              </w:tabs>
              <w:rPr>
                <w:rFonts w:asciiTheme="minorHAnsi" w:hAnsiTheme="minorHAnsi" w:cs="Times New Roman"/>
                <w:sz w:val="19"/>
                <w:szCs w:val="19"/>
              </w:rPr>
            </w:pPr>
            <w:r w:rsidRPr="00BF0D88">
              <w:rPr>
                <w:rFonts w:asciiTheme="minorHAnsi" w:hAnsiTheme="minorHAnsi" w:cs="Times New Roman"/>
                <w:sz w:val="19"/>
                <w:szCs w:val="19"/>
              </w:rPr>
              <w:t>James Murgatroyd, Finsbury</w:t>
            </w:r>
          </w:p>
        </w:tc>
        <w:tc>
          <w:tcPr>
            <w:tcW w:w="3696" w:type="dxa"/>
          </w:tcPr>
          <w:p w14:paraId="4734E920" w14:textId="77777777" w:rsidR="00B15D41" w:rsidRPr="00BF0D88" w:rsidRDefault="00B15D41" w:rsidP="00F75927">
            <w:pPr>
              <w:pStyle w:val="HTMLPreformatted"/>
              <w:tabs>
                <w:tab w:val="left" w:pos="5060"/>
                <w:tab w:val="left" w:pos="7786"/>
                <w:tab w:val="left" w:pos="8564"/>
                <w:tab w:val="left" w:pos="9343"/>
                <w:tab w:val="left" w:pos="10121"/>
                <w:tab w:val="left" w:pos="10900"/>
                <w:tab w:val="left" w:pos="11679"/>
                <w:tab w:val="left" w:pos="12457"/>
              </w:tabs>
              <w:rPr>
                <w:rFonts w:asciiTheme="minorHAnsi" w:hAnsiTheme="minorHAnsi" w:cs="Times New Roman"/>
                <w:sz w:val="19"/>
                <w:szCs w:val="19"/>
              </w:rPr>
            </w:pPr>
            <w:r w:rsidRPr="00BF0D88">
              <w:rPr>
                <w:rFonts w:asciiTheme="minorHAnsi" w:hAnsiTheme="minorHAnsi" w:cs="Times New Roman"/>
                <w:sz w:val="19"/>
                <w:szCs w:val="19"/>
              </w:rPr>
              <w:t>+ 44 20 7251 3801</w:t>
            </w:r>
          </w:p>
        </w:tc>
      </w:tr>
    </w:tbl>
    <w:p w14:paraId="5CB9835B" w14:textId="77777777" w:rsidR="00803FCF" w:rsidRPr="001923A3" w:rsidRDefault="00803FCF" w:rsidP="008A5FFA">
      <w:pPr>
        <w:spacing w:before="63"/>
        <w:ind w:left="142" w:right="118"/>
        <w:rPr>
          <w:rFonts w:ascii="Calibri" w:eastAsia="Calibri" w:hAnsi="Calibri" w:cs="Calibri"/>
          <w:b/>
          <w:i/>
          <w:sz w:val="18"/>
          <w:szCs w:val="18"/>
        </w:rPr>
      </w:pPr>
      <w:r w:rsidRPr="001923A3">
        <w:rPr>
          <w:rFonts w:ascii="Calibri" w:eastAsia="Calibri" w:hAnsi="Calibri" w:cs="Calibri"/>
          <w:b/>
          <w:i/>
          <w:sz w:val="18"/>
          <w:szCs w:val="18"/>
        </w:rPr>
        <w:lastRenderedPageBreak/>
        <w:t xml:space="preserve">About </w:t>
      </w:r>
      <w:r w:rsidR="00F10DB5" w:rsidRPr="001923A3">
        <w:rPr>
          <w:rFonts w:ascii="Calibri" w:eastAsia="Calibri" w:hAnsi="Calibri" w:cs="Calibri"/>
          <w:b/>
          <w:i/>
          <w:sz w:val="18"/>
          <w:szCs w:val="18"/>
        </w:rPr>
        <w:t xml:space="preserve">Flutter Entertainment plc </w:t>
      </w:r>
    </w:p>
    <w:p w14:paraId="53F12A60" w14:textId="77777777" w:rsidR="00BC57A3" w:rsidRPr="001923A3" w:rsidRDefault="00F10DB5" w:rsidP="008A5FFA">
      <w:pPr>
        <w:ind w:left="142"/>
        <w:rPr>
          <w:sz w:val="20"/>
          <w:szCs w:val="20"/>
          <w:lang w:val="en-US"/>
        </w:rPr>
      </w:pPr>
      <w:r w:rsidRPr="001923A3">
        <w:rPr>
          <w:sz w:val="20"/>
          <w:szCs w:val="20"/>
          <w:lang w:val="en-US"/>
        </w:rPr>
        <w:t>Flutter Entertainment plc</w:t>
      </w:r>
      <w:r w:rsidR="00BC57A3" w:rsidRPr="001923A3">
        <w:rPr>
          <w:sz w:val="20"/>
          <w:szCs w:val="20"/>
          <w:lang w:val="en-US"/>
        </w:rPr>
        <w:t xml:space="preserve"> (the “Group”) is a global sports betting and gaming operator and is divided into four divisions: </w:t>
      </w:r>
    </w:p>
    <w:p w14:paraId="65F3896D" w14:textId="7A2D2151" w:rsidR="00BC57A3" w:rsidRPr="001923A3" w:rsidRDefault="00CB6023" w:rsidP="007C42EF">
      <w:pPr>
        <w:pStyle w:val="ListParagraph"/>
        <w:widowControl/>
        <w:numPr>
          <w:ilvl w:val="0"/>
          <w:numId w:val="27"/>
        </w:numPr>
        <w:ind w:left="567" w:hanging="283"/>
        <w:rPr>
          <w:rFonts w:eastAsia="Times New Roman"/>
          <w:sz w:val="20"/>
          <w:szCs w:val="20"/>
          <w:lang w:val="en-US"/>
        </w:rPr>
      </w:pPr>
      <w:r>
        <w:rPr>
          <w:rFonts w:eastAsia="Times New Roman"/>
          <w:sz w:val="20"/>
          <w:szCs w:val="20"/>
          <w:lang w:val="en-US"/>
        </w:rPr>
        <w:t xml:space="preserve">PPB </w:t>
      </w:r>
      <w:r w:rsidR="00BC57A3" w:rsidRPr="001923A3">
        <w:rPr>
          <w:rFonts w:eastAsia="Times New Roman"/>
          <w:sz w:val="20"/>
          <w:szCs w:val="20"/>
          <w:lang w:val="en-US"/>
        </w:rPr>
        <w:t xml:space="preserve">Online; which runs the Paddy Power, Betfair and Adjarabet online sports betting and gaming brands; </w:t>
      </w:r>
    </w:p>
    <w:p w14:paraId="4AEC11A9" w14:textId="77777777" w:rsidR="00BC57A3" w:rsidRPr="001923A3" w:rsidRDefault="00BC57A3" w:rsidP="007C42EF">
      <w:pPr>
        <w:pStyle w:val="ListParagraph"/>
        <w:widowControl/>
        <w:numPr>
          <w:ilvl w:val="0"/>
          <w:numId w:val="27"/>
        </w:numPr>
        <w:spacing w:after="160" w:line="259" w:lineRule="auto"/>
        <w:ind w:left="567" w:hanging="283"/>
        <w:contextualSpacing/>
        <w:rPr>
          <w:rFonts w:eastAsia="Times New Roman"/>
          <w:sz w:val="20"/>
          <w:szCs w:val="20"/>
          <w:lang w:val="en-US"/>
        </w:rPr>
      </w:pPr>
      <w:r w:rsidRPr="001923A3">
        <w:rPr>
          <w:rFonts w:eastAsia="Times New Roman"/>
          <w:sz w:val="20"/>
          <w:szCs w:val="20"/>
          <w:lang w:val="en-US"/>
        </w:rPr>
        <w:t>Australia; which consists of the Sportsbet online sports betting brand, the #1 corporate bookmaker in Australia</w:t>
      </w:r>
      <w:r w:rsidR="00E76164" w:rsidRPr="001923A3">
        <w:rPr>
          <w:rFonts w:eastAsia="Times New Roman"/>
          <w:sz w:val="20"/>
          <w:szCs w:val="20"/>
          <w:lang w:val="en-US"/>
        </w:rPr>
        <w:t>;</w:t>
      </w:r>
    </w:p>
    <w:p w14:paraId="5D6E4BEC" w14:textId="77777777" w:rsidR="00BC57A3" w:rsidRPr="001923A3" w:rsidRDefault="00BC57A3" w:rsidP="007C42EF">
      <w:pPr>
        <w:pStyle w:val="ListParagraph"/>
        <w:widowControl/>
        <w:numPr>
          <w:ilvl w:val="0"/>
          <w:numId w:val="27"/>
        </w:numPr>
        <w:ind w:left="567" w:hanging="283"/>
        <w:rPr>
          <w:rFonts w:eastAsia="Times New Roman"/>
          <w:sz w:val="20"/>
          <w:szCs w:val="20"/>
          <w:lang w:val="en-US"/>
        </w:rPr>
      </w:pPr>
      <w:r w:rsidRPr="001923A3">
        <w:rPr>
          <w:rFonts w:eastAsia="Times New Roman"/>
          <w:sz w:val="20"/>
          <w:szCs w:val="20"/>
          <w:lang w:val="en-US"/>
        </w:rPr>
        <w:t>US; which operates as FanDuel Group and</w:t>
      </w:r>
      <w:r w:rsidR="001923A3">
        <w:rPr>
          <w:rFonts w:eastAsia="Times New Roman"/>
          <w:sz w:val="20"/>
          <w:szCs w:val="20"/>
          <w:lang w:val="en-US"/>
        </w:rPr>
        <w:t xml:space="preserve"> runs the FanDuel sportsbook,</w:t>
      </w:r>
      <w:r w:rsidRPr="001923A3">
        <w:rPr>
          <w:rFonts w:eastAsia="Times New Roman"/>
          <w:sz w:val="20"/>
          <w:szCs w:val="20"/>
          <w:lang w:val="en-US"/>
        </w:rPr>
        <w:t xml:space="preserve"> daily-fantasy-sports</w:t>
      </w:r>
      <w:r w:rsidR="001923A3" w:rsidRPr="001923A3">
        <w:rPr>
          <w:rFonts w:eastAsia="Times New Roman"/>
          <w:sz w:val="20"/>
          <w:szCs w:val="20"/>
          <w:lang w:val="en-US"/>
        </w:rPr>
        <w:t xml:space="preserve"> and </w:t>
      </w:r>
      <w:r w:rsidR="001923A3">
        <w:rPr>
          <w:rFonts w:eastAsia="Times New Roman"/>
          <w:sz w:val="20"/>
          <w:szCs w:val="20"/>
          <w:lang w:val="en-US"/>
        </w:rPr>
        <w:t xml:space="preserve">online </w:t>
      </w:r>
      <w:r w:rsidR="001923A3" w:rsidRPr="001923A3">
        <w:rPr>
          <w:rFonts w:eastAsia="Times New Roman"/>
          <w:sz w:val="20"/>
          <w:szCs w:val="20"/>
          <w:lang w:val="en-US"/>
        </w:rPr>
        <w:t>casino</w:t>
      </w:r>
      <w:r w:rsidRPr="001923A3">
        <w:rPr>
          <w:rFonts w:eastAsia="Times New Roman"/>
          <w:sz w:val="20"/>
          <w:szCs w:val="20"/>
          <w:lang w:val="en-US"/>
        </w:rPr>
        <w:t xml:space="preserve"> brands, the TVG broadcasting and advanced deposit wagering network and the </w:t>
      </w:r>
      <w:r w:rsidR="001923A3" w:rsidRPr="001923A3">
        <w:rPr>
          <w:rFonts w:eastAsia="Times New Roman"/>
          <w:sz w:val="20"/>
          <w:szCs w:val="20"/>
          <w:lang w:val="en-US"/>
        </w:rPr>
        <w:t>Betfair online casino</w:t>
      </w:r>
      <w:r w:rsidRPr="001923A3">
        <w:rPr>
          <w:rFonts w:eastAsia="Times New Roman"/>
          <w:sz w:val="20"/>
          <w:szCs w:val="20"/>
          <w:lang w:val="en-US"/>
        </w:rPr>
        <w:t xml:space="preserve"> and; </w:t>
      </w:r>
    </w:p>
    <w:p w14:paraId="6B637A2B" w14:textId="3064134B" w:rsidR="007C784C" w:rsidRPr="003F6DF4" w:rsidRDefault="00CB6023" w:rsidP="003F6DF4">
      <w:pPr>
        <w:pStyle w:val="ListParagraph"/>
        <w:widowControl/>
        <w:numPr>
          <w:ilvl w:val="0"/>
          <w:numId w:val="27"/>
        </w:numPr>
        <w:spacing w:after="120"/>
        <w:ind w:left="567" w:hanging="283"/>
        <w:rPr>
          <w:rFonts w:ascii="Calibri" w:eastAsia="Calibri" w:hAnsi="Calibri" w:cs="Calibri"/>
          <w:b/>
          <w:i/>
          <w:sz w:val="18"/>
          <w:szCs w:val="18"/>
        </w:rPr>
      </w:pPr>
      <w:r>
        <w:rPr>
          <w:rFonts w:eastAsia="Times New Roman"/>
          <w:sz w:val="20"/>
          <w:szCs w:val="20"/>
          <w:lang w:val="en-US"/>
        </w:rPr>
        <w:t xml:space="preserve">PPB </w:t>
      </w:r>
      <w:r w:rsidR="00BC57A3" w:rsidRPr="001923A3">
        <w:rPr>
          <w:rFonts w:eastAsia="Times New Roman"/>
          <w:sz w:val="20"/>
          <w:szCs w:val="20"/>
          <w:lang w:val="en-US"/>
        </w:rPr>
        <w:t xml:space="preserve">Retail; which runs over 620 Paddy Power retail betting shops across the UK and Ireland. </w:t>
      </w:r>
    </w:p>
    <w:sectPr w:rsidR="007C784C" w:rsidRPr="003F6DF4" w:rsidSect="0005204C">
      <w:headerReference w:type="default" r:id="rId12"/>
      <w:footerReference w:type="default" r:id="rId13"/>
      <w:pgSz w:w="12240" w:h="15840"/>
      <w:pgMar w:top="1276" w:right="1240" w:bottom="142" w:left="1120" w:header="0" w:footer="96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86DDC" w14:textId="77777777" w:rsidR="00462289" w:rsidRDefault="00462289">
      <w:r>
        <w:separator/>
      </w:r>
    </w:p>
  </w:endnote>
  <w:endnote w:type="continuationSeparator" w:id="0">
    <w:p w14:paraId="45AE1743" w14:textId="77777777" w:rsidR="00462289" w:rsidRDefault="00462289">
      <w:r>
        <w:continuationSeparator/>
      </w:r>
    </w:p>
  </w:endnote>
  <w:endnote w:type="continuationNotice" w:id="1">
    <w:p w14:paraId="40827B61" w14:textId="77777777" w:rsidR="00462289" w:rsidRDefault="00462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3911142"/>
      <w:docPartObj>
        <w:docPartGallery w:val="Page Numbers (Bottom of Page)"/>
        <w:docPartUnique/>
      </w:docPartObj>
    </w:sdtPr>
    <w:sdtEndPr>
      <w:rPr>
        <w:noProof/>
        <w:sz w:val="18"/>
        <w:szCs w:val="18"/>
      </w:rPr>
    </w:sdtEndPr>
    <w:sdtContent>
      <w:p w14:paraId="425A64FD" w14:textId="77777777" w:rsidR="00FF3C10" w:rsidRPr="00835A01" w:rsidRDefault="00FF3C10">
        <w:pPr>
          <w:pStyle w:val="Footer"/>
          <w:jc w:val="right"/>
          <w:rPr>
            <w:sz w:val="18"/>
            <w:szCs w:val="18"/>
          </w:rPr>
        </w:pPr>
        <w:r w:rsidRPr="00835A01">
          <w:rPr>
            <w:sz w:val="18"/>
            <w:szCs w:val="18"/>
          </w:rPr>
          <w:fldChar w:fldCharType="begin"/>
        </w:r>
        <w:r w:rsidRPr="00835A01">
          <w:rPr>
            <w:sz w:val="18"/>
            <w:szCs w:val="18"/>
          </w:rPr>
          <w:instrText xml:space="preserve"> PAGE   \* MERGEFORMAT </w:instrText>
        </w:r>
        <w:r w:rsidRPr="00835A01">
          <w:rPr>
            <w:sz w:val="18"/>
            <w:szCs w:val="18"/>
          </w:rPr>
          <w:fldChar w:fldCharType="separate"/>
        </w:r>
        <w:r w:rsidR="009B5B61">
          <w:rPr>
            <w:noProof/>
            <w:sz w:val="18"/>
            <w:szCs w:val="18"/>
          </w:rPr>
          <w:t>4</w:t>
        </w:r>
        <w:r w:rsidRPr="00835A01">
          <w:rPr>
            <w:noProof/>
            <w:sz w:val="18"/>
            <w:szCs w:val="18"/>
          </w:rPr>
          <w:fldChar w:fldCharType="end"/>
        </w:r>
      </w:p>
    </w:sdtContent>
  </w:sdt>
  <w:p w14:paraId="20E1094A" w14:textId="77777777" w:rsidR="00FF3C10" w:rsidRDefault="00FF3C10">
    <w:pPr>
      <w:spacing w:line="200" w:lineRule="exact"/>
      <w:rPr>
        <w:sz w:val="20"/>
        <w:szCs w:val="20"/>
      </w:rPr>
    </w:pPr>
  </w:p>
  <w:p w14:paraId="742E2B61" w14:textId="77777777" w:rsidR="00FF3C10" w:rsidRDefault="00FF3C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D115B" w14:textId="77777777" w:rsidR="00462289" w:rsidRDefault="00462289">
      <w:r>
        <w:separator/>
      </w:r>
    </w:p>
  </w:footnote>
  <w:footnote w:type="continuationSeparator" w:id="0">
    <w:p w14:paraId="10C9E407" w14:textId="77777777" w:rsidR="00462289" w:rsidRDefault="00462289">
      <w:r>
        <w:continuationSeparator/>
      </w:r>
    </w:p>
  </w:footnote>
  <w:footnote w:type="continuationNotice" w:id="1">
    <w:p w14:paraId="5546E8BE" w14:textId="77777777" w:rsidR="00462289" w:rsidRDefault="004622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7AFF5" w14:textId="77777777" w:rsidR="00846910" w:rsidRDefault="00846910">
    <w:pPr>
      <w:pStyle w:val="Header"/>
      <w:rPr>
        <w:color w:val="FF0000"/>
        <w:lang w:val="en-IE"/>
      </w:rPr>
    </w:pPr>
  </w:p>
  <w:p w14:paraId="54564BDB" w14:textId="77777777" w:rsidR="00846910" w:rsidRDefault="00846910">
    <w:pPr>
      <w:pStyle w:val="Header"/>
      <w:rPr>
        <w:color w:val="FF0000"/>
        <w:lang w:val="en-IE"/>
      </w:rPr>
    </w:pPr>
  </w:p>
  <w:p w14:paraId="0DA8E229" w14:textId="77777777" w:rsidR="00DB3690" w:rsidRPr="00B0104E" w:rsidRDefault="00846910">
    <w:pPr>
      <w:pStyle w:val="Header"/>
      <w:rPr>
        <w:color w:val="FF0000"/>
        <w:lang w:val="en-IE"/>
      </w:rPr>
    </w:pPr>
    <w:r>
      <w:rPr>
        <w:color w:val="FF0000"/>
        <w:lang w:val="en-IE"/>
      </w:rPr>
      <w:tab/>
    </w:r>
    <w:r>
      <w:rPr>
        <w:color w:val="FF0000"/>
        <w:lang w:val="en-IE"/>
      </w:rPr>
      <w:tab/>
    </w:r>
    <w:r>
      <w:rPr>
        <w:color w:val="FF0000"/>
        <w:lang w:val="en-IE"/>
      </w:rPr>
      <w:tab/>
    </w:r>
    <w:r>
      <w:rPr>
        <w:color w:val="FF0000"/>
        <w:lang w:val="en-IE"/>
      </w:rPr>
      <w:tab/>
    </w:r>
    <w:r>
      <w:rPr>
        <w:color w:val="FF0000"/>
        <w:lang w:val="en-I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C903A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58B1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699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B6CD47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90E2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1669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7E87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D6B0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643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2CF4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5A7899"/>
    <w:multiLevelType w:val="hybridMultilevel"/>
    <w:tmpl w:val="FFFFFFFF"/>
    <w:lvl w:ilvl="0" w:tplc="307C7800">
      <w:start w:val="30"/>
      <w:numFmt w:val="bullet"/>
      <w:lvlText w:val=""/>
      <w:lvlJc w:val="left"/>
      <w:pPr>
        <w:tabs>
          <w:tab w:val="num" w:pos="720"/>
        </w:tabs>
        <w:ind w:left="720" w:hanging="360"/>
      </w:pPr>
      <w:rPr>
        <w:rFonts w:ascii="Symbol" w:eastAsia="Calibri" w:hAnsi="Symbol" w:cs="Calibri" w:hint="default"/>
        <w:sz w:val="20"/>
      </w:rPr>
    </w:lvl>
    <w:lvl w:ilvl="1" w:tplc="004816FE">
      <w:start w:val="1"/>
      <w:numFmt w:val="bullet"/>
      <w:lvlText w:val="o"/>
      <w:lvlJc w:val="left"/>
      <w:pPr>
        <w:tabs>
          <w:tab w:val="num" w:pos="1440"/>
        </w:tabs>
        <w:ind w:left="1440" w:hanging="360"/>
      </w:pPr>
      <w:rPr>
        <w:rFonts w:ascii="Courier New" w:hAnsi="Courier New" w:cs="Times New Roman" w:hint="default"/>
        <w:sz w:val="20"/>
      </w:rPr>
    </w:lvl>
    <w:lvl w:ilvl="2" w:tplc="807A4A54">
      <w:start w:val="1"/>
      <w:numFmt w:val="bullet"/>
      <w:lvlText w:val=""/>
      <w:lvlJc w:val="left"/>
      <w:pPr>
        <w:tabs>
          <w:tab w:val="num" w:pos="2160"/>
        </w:tabs>
        <w:ind w:left="2160" w:hanging="360"/>
      </w:pPr>
      <w:rPr>
        <w:rFonts w:ascii="Wingdings" w:hAnsi="Wingdings" w:hint="default"/>
        <w:sz w:val="20"/>
      </w:rPr>
    </w:lvl>
    <w:lvl w:ilvl="3" w:tplc="CBBA1DC8">
      <w:start w:val="1"/>
      <w:numFmt w:val="bullet"/>
      <w:lvlText w:val=""/>
      <w:lvlJc w:val="left"/>
      <w:pPr>
        <w:tabs>
          <w:tab w:val="num" w:pos="2880"/>
        </w:tabs>
        <w:ind w:left="2880" w:hanging="360"/>
      </w:pPr>
      <w:rPr>
        <w:rFonts w:ascii="Wingdings" w:hAnsi="Wingdings" w:hint="default"/>
        <w:sz w:val="20"/>
      </w:rPr>
    </w:lvl>
    <w:lvl w:ilvl="4" w:tplc="EA5C4D1C">
      <w:start w:val="1"/>
      <w:numFmt w:val="bullet"/>
      <w:lvlText w:val=""/>
      <w:lvlJc w:val="left"/>
      <w:pPr>
        <w:tabs>
          <w:tab w:val="num" w:pos="3600"/>
        </w:tabs>
        <w:ind w:left="3600" w:hanging="360"/>
      </w:pPr>
      <w:rPr>
        <w:rFonts w:ascii="Wingdings" w:hAnsi="Wingdings" w:cs="Courier New" w:hint="default"/>
        <w:sz w:val="20"/>
      </w:rPr>
    </w:lvl>
    <w:lvl w:ilvl="5" w:tplc="B8CA8E2C">
      <w:start w:val="1"/>
      <w:numFmt w:val="bullet"/>
      <w:lvlText w:val=""/>
      <w:lvlJc w:val="left"/>
      <w:pPr>
        <w:tabs>
          <w:tab w:val="num" w:pos="4320"/>
        </w:tabs>
        <w:ind w:left="4320" w:hanging="360"/>
      </w:pPr>
      <w:rPr>
        <w:rFonts w:ascii="Wingdings" w:hAnsi="Wingdings" w:hint="default"/>
        <w:sz w:val="20"/>
      </w:rPr>
    </w:lvl>
    <w:lvl w:ilvl="6" w:tplc="9940CB10">
      <w:start w:val="1"/>
      <w:numFmt w:val="bullet"/>
      <w:lvlText w:val=""/>
      <w:lvlJc w:val="left"/>
      <w:pPr>
        <w:tabs>
          <w:tab w:val="num" w:pos="5040"/>
        </w:tabs>
        <w:ind w:left="5040" w:hanging="360"/>
      </w:pPr>
      <w:rPr>
        <w:rFonts w:ascii="Wingdings" w:hAnsi="Wingdings" w:hint="default"/>
        <w:sz w:val="20"/>
      </w:rPr>
    </w:lvl>
    <w:lvl w:ilvl="7" w:tplc="D65AF2E2">
      <w:start w:val="1"/>
      <w:numFmt w:val="bullet"/>
      <w:lvlText w:val=""/>
      <w:lvlJc w:val="left"/>
      <w:pPr>
        <w:tabs>
          <w:tab w:val="num" w:pos="5760"/>
        </w:tabs>
        <w:ind w:left="5760" w:hanging="360"/>
      </w:pPr>
      <w:rPr>
        <w:rFonts w:ascii="Wingdings" w:hAnsi="Wingdings" w:cs="Courier New" w:hint="default"/>
        <w:sz w:val="20"/>
      </w:rPr>
    </w:lvl>
    <w:lvl w:ilvl="8" w:tplc="6E3EAA06">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060B5"/>
    <w:multiLevelType w:val="hybridMultilevel"/>
    <w:tmpl w:val="F63E617A"/>
    <w:lvl w:ilvl="0" w:tplc="BF801F66">
      <w:start w:val="1"/>
      <w:numFmt w:val="bullet"/>
      <w:lvlText w:val="-"/>
      <w:lvlJc w:val="left"/>
      <w:pPr>
        <w:ind w:left="411" w:hanging="360"/>
      </w:pPr>
      <w:rPr>
        <w:rFonts w:ascii="Calibri" w:eastAsia="Calibri" w:hAnsi="Calibri" w:cs="Calibri" w:hint="default"/>
      </w:rPr>
    </w:lvl>
    <w:lvl w:ilvl="1" w:tplc="18090003" w:tentative="1">
      <w:start w:val="1"/>
      <w:numFmt w:val="bullet"/>
      <w:lvlText w:val="o"/>
      <w:lvlJc w:val="left"/>
      <w:pPr>
        <w:ind w:left="1131" w:hanging="360"/>
      </w:pPr>
      <w:rPr>
        <w:rFonts w:ascii="Courier New" w:hAnsi="Courier New" w:cs="Courier New" w:hint="default"/>
      </w:rPr>
    </w:lvl>
    <w:lvl w:ilvl="2" w:tplc="18090005" w:tentative="1">
      <w:start w:val="1"/>
      <w:numFmt w:val="bullet"/>
      <w:lvlText w:val=""/>
      <w:lvlJc w:val="left"/>
      <w:pPr>
        <w:ind w:left="1851" w:hanging="360"/>
      </w:pPr>
      <w:rPr>
        <w:rFonts w:ascii="Wingdings" w:hAnsi="Wingdings" w:hint="default"/>
      </w:rPr>
    </w:lvl>
    <w:lvl w:ilvl="3" w:tplc="18090001" w:tentative="1">
      <w:start w:val="1"/>
      <w:numFmt w:val="bullet"/>
      <w:lvlText w:val=""/>
      <w:lvlJc w:val="left"/>
      <w:pPr>
        <w:ind w:left="2571" w:hanging="360"/>
      </w:pPr>
      <w:rPr>
        <w:rFonts w:ascii="Symbol" w:hAnsi="Symbol" w:hint="default"/>
      </w:rPr>
    </w:lvl>
    <w:lvl w:ilvl="4" w:tplc="18090003" w:tentative="1">
      <w:start w:val="1"/>
      <w:numFmt w:val="bullet"/>
      <w:lvlText w:val="o"/>
      <w:lvlJc w:val="left"/>
      <w:pPr>
        <w:ind w:left="3291" w:hanging="360"/>
      </w:pPr>
      <w:rPr>
        <w:rFonts w:ascii="Courier New" w:hAnsi="Courier New" w:cs="Courier New" w:hint="default"/>
      </w:rPr>
    </w:lvl>
    <w:lvl w:ilvl="5" w:tplc="18090005" w:tentative="1">
      <w:start w:val="1"/>
      <w:numFmt w:val="bullet"/>
      <w:lvlText w:val=""/>
      <w:lvlJc w:val="left"/>
      <w:pPr>
        <w:ind w:left="4011" w:hanging="360"/>
      </w:pPr>
      <w:rPr>
        <w:rFonts w:ascii="Wingdings" w:hAnsi="Wingdings" w:hint="default"/>
      </w:rPr>
    </w:lvl>
    <w:lvl w:ilvl="6" w:tplc="18090001" w:tentative="1">
      <w:start w:val="1"/>
      <w:numFmt w:val="bullet"/>
      <w:lvlText w:val=""/>
      <w:lvlJc w:val="left"/>
      <w:pPr>
        <w:ind w:left="4731" w:hanging="360"/>
      </w:pPr>
      <w:rPr>
        <w:rFonts w:ascii="Symbol" w:hAnsi="Symbol" w:hint="default"/>
      </w:rPr>
    </w:lvl>
    <w:lvl w:ilvl="7" w:tplc="18090003" w:tentative="1">
      <w:start w:val="1"/>
      <w:numFmt w:val="bullet"/>
      <w:lvlText w:val="o"/>
      <w:lvlJc w:val="left"/>
      <w:pPr>
        <w:ind w:left="5451" w:hanging="360"/>
      </w:pPr>
      <w:rPr>
        <w:rFonts w:ascii="Courier New" w:hAnsi="Courier New" w:cs="Courier New" w:hint="default"/>
      </w:rPr>
    </w:lvl>
    <w:lvl w:ilvl="8" w:tplc="18090005" w:tentative="1">
      <w:start w:val="1"/>
      <w:numFmt w:val="bullet"/>
      <w:lvlText w:val=""/>
      <w:lvlJc w:val="left"/>
      <w:pPr>
        <w:ind w:left="6171" w:hanging="360"/>
      </w:pPr>
      <w:rPr>
        <w:rFonts w:ascii="Wingdings" w:hAnsi="Wingdings" w:hint="default"/>
      </w:rPr>
    </w:lvl>
  </w:abstractNum>
  <w:abstractNum w:abstractNumId="12" w15:restartNumberingAfterBreak="0">
    <w:nsid w:val="1F3C799E"/>
    <w:multiLevelType w:val="hybridMultilevel"/>
    <w:tmpl w:val="F88C93D4"/>
    <w:lvl w:ilvl="0" w:tplc="CB54013C">
      <w:start w:val="1"/>
      <w:numFmt w:val="decimal"/>
      <w:lvlText w:val="%1"/>
      <w:lvlJc w:val="left"/>
      <w:pPr>
        <w:ind w:hanging="125"/>
      </w:pPr>
      <w:rPr>
        <w:rFonts w:ascii="Calibri" w:eastAsia="Calibri" w:hAnsi="Calibri" w:hint="default"/>
        <w:w w:val="99"/>
        <w:position w:val="5"/>
        <w:sz w:val="12"/>
        <w:szCs w:val="12"/>
      </w:rPr>
    </w:lvl>
    <w:lvl w:ilvl="1" w:tplc="DCB0026A">
      <w:start w:val="1"/>
      <w:numFmt w:val="bullet"/>
      <w:lvlText w:val="•"/>
      <w:lvlJc w:val="left"/>
      <w:rPr>
        <w:rFonts w:hint="default"/>
      </w:rPr>
    </w:lvl>
    <w:lvl w:ilvl="2" w:tplc="00367066">
      <w:start w:val="1"/>
      <w:numFmt w:val="bullet"/>
      <w:lvlText w:val="•"/>
      <w:lvlJc w:val="left"/>
      <w:rPr>
        <w:rFonts w:hint="default"/>
      </w:rPr>
    </w:lvl>
    <w:lvl w:ilvl="3" w:tplc="51860998">
      <w:start w:val="1"/>
      <w:numFmt w:val="bullet"/>
      <w:lvlText w:val="•"/>
      <w:lvlJc w:val="left"/>
      <w:rPr>
        <w:rFonts w:hint="default"/>
      </w:rPr>
    </w:lvl>
    <w:lvl w:ilvl="4" w:tplc="5D645230">
      <w:start w:val="1"/>
      <w:numFmt w:val="bullet"/>
      <w:lvlText w:val="•"/>
      <w:lvlJc w:val="left"/>
      <w:rPr>
        <w:rFonts w:hint="default"/>
      </w:rPr>
    </w:lvl>
    <w:lvl w:ilvl="5" w:tplc="5502BB0C">
      <w:start w:val="1"/>
      <w:numFmt w:val="bullet"/>
      <w:lvlText w:val="•"/>
      <w:lvlJc w:val="left"/>
      <w:rPr>
        <w:rFonts w:hint="default"/>
      </w:rPr>
    </w:lvl>
    <w:lvl w:ilvl="6" w:tplc="2B8AAD02">
      <w:start w:val="1"/>
      <w:numFmt w:val="bullet"/>
      <w:lvlText w:val="•"/>
      <w:lvlJc w:val="left"/>
      <w:rPr>
        <w:rFonts w:hint="default"/>
      </w:rPr>
    </w:lvl>
    <w:lvl w:ilvl="7" w:tplc="CED08E4A">
      <w:start w:val="1"/>
      <w:numFmt w:val="bullet"/>
      <w:lvlText w:val="•"/>
      <w:lvlJc w:val="left"/>
      <w:rPr>
        <w:rFonts w:hint="default"/>
      </w:rPr>
    </w:lvl>
    <w:lvl w:ilvl="8" w:tplc="369C664C">
      <w:start w:val="1"/>
      <w:numFmt w:val="bullet"/>
      <w:lvlText w:val="•"/>
      <w:lvlJc w:val="left"/>
      <w:rPr>
        <w:rFonts w:hint="default"/>
      </w:rPr>
    </w:lvl>
  </w:abstractNum>
  <w:abstractNum w:abstractNumId="13" w15:restartNumberingAfterBreak="0">
    <w:nsid w:val="220553BA"/>
    <w:multiLevelType w:val="hybridMultilevel"/>
    <w:tmpl w:val="B612696C"/>
    <w:lvl w:ilvl="0" w:tplc="4678BBFE">
      <w:start w:val="1"/>
      <w:numFmt w:val="bullet"/>
      <w:lvlText w:val="-"/>
      <w:lvlJc w:val="left"/>
      <w:pPr>
        <w:ind w:left="609" w:hanging="360"/>
      </w:pPr>
      <w:rPr>
        <w:rFonts w:ascii="Calibri" w:eastAsia="Calibri" w:hAnsi="Calibri" w:cs="Calibri" w:hint="default"/>
      </w:rPr>
    </w:lvl>
    <w:lvl w:ilvl="1" w:tplc="18090003" w:tentative="1">
      <w:start w:val="1"/>
      <w:numFmt w:val="bullet"/>
      <w:lvlText w:val="o"/>
      <w:lvlJc w:val="left"/>
      <w:pPr>
        <w:ind w:left="1329" w:hanging="360"/>
      </w:pPr>
      <w:rPr>
        <w:rFonts w:ascii="Courier New" w:hAnsi="Courier New" w:cs="Courier New" w:hint="default"/>
      </w:rPr>
    </w:lvl>
    <w:lvl w:ilvl="2" w:tplc="18090005" w:tentative="1">
      <w:start w:val="1"/>
      <w:numFmt w:val="bullet"/>
      <w:lvlText w:val=""/>
      <w:lvlJc w:val="left"/>
      <w:pPr>
        <w:ind w:left="2049" w:hanging="360"/>
      </w:pPr>
      <w:rPr>
        <w:rFonts w:ascii="Wingdings" w:hAnsi="Wingdings" w:hint="default"/>
      </w:rPr>
    </w:lvl>
    <w:lvl w:ilvl="3" w:tplc="18090001" w:tentative="1">
      <w:start w:val="1"/>
      <w:numFmt w:val="bullet"/>
      <w:lvlText w:val=""/>
      <w:lvlJc w:val="left"/>
      <w:pPr>
        <w:ind w:left="2769" w:hanging="360"/>
      </w:pPr>
      <w:rPr>
        <w:rFonts w:ascii="Symbol" w:hAnsi="Symbol" w:hint="default"/>
      </w:rPr>
    </w:lvl>
    <w:lvl w:ilvl="4" w:tplc="18090003" w:tentative="1">
      <w:start w:val="1"/>
      <w:numFmt w:val="bullet"/>
      <w:lvlText w:val="o"/>
      <w:lvlJc w:val="left"/>
      <w:pPr>
        <w:ind w:left="3489" w:hanging="360"/>
      </w:pPr>
      <w:rPr>
        <w:rFonts w:ascii="Courier New" w:hAnsi="Courier New" w:cs="Courier New" w:hint="default"/>
      </w:rPr>
    </w:lvl>
    <w:lvl w:ilvl="5" w:tplc="18090005" w:tentative="1">
      <w:start w:val="1"/>
      <w:numFmt w:val="bullet"/>
      <w:lvlText w:val=""/>
      <w:lvlJc w:val="left"/>
      <w:pPr>
        <w:ind w:left="4209" w:hanging="360"/>
      </w:pPr>
      <w:rPr>
        <w:rFonts w:ascii="Wingdings" w:hAnsi="Wingdings" w:hint="default"/>
      </w:rPr>
    </w:lvl>
    <w:lvl w:ilvl="6" w:tplc="18090001" w:tentative="1">
      <w:start w:val="1"/>
      <w:numFmt w:val="bullet"/>
      <w:lvlText w:val=""/>
      <w:lvlJc w:val="left"/>
      <w:pPr>
        <w:ind w:left="4929" w:hanging="360"/>
      </w:pPr>
      <w:rPr>
        <w:rFonts w:ascii="Symbol" w:hAnsi="Symbol" w:hint="default"/>
      </w:rPr>
    </w:lvl>
    <w:lvl w:ilvl="7" w:tplc="18090003" w:tentative="1">
      <w:start w:val="1"/>
      <w:numFmt w:val="bullet"/>
      <w:lvlText w:val="o"/>
      <w:lvlJc w:val="left"/>
      <w:pPr>
        <w:ind w:left="5649" w:hanging="360"/>
      </w:pPr>
      <w:rPr>
        <w:rFonts w:ascii="Courier New" w:hAnsi="Courier New" w:cs="Courier New" w:hint="default"/>
      </w:rPr>
    </w:lvl>
    <w:lvl w:ilvl="8" w:tplc="18090005" w:tentative="1">
      <w:start w:val="1"/>
      <w:numFmt w:val="bullet"/>
      <w:lvlText w:val=""/>
      <w:lvlJc w:val="left"/>
      <w:pPr>
        <w:ind w:left="6369" w:hanging="360"/>
      </w:pPr>
      <w:rPr>
        <w:rFonts w:ascii="Wingdings" w:hAnsi="Wingdings" w:hint="default"/>
      </w:rPr>
    </w:lvl>
  </w:abstractNum>
  <w:abstractNum w:abstractNumId="14" w15:restartNumberingAfterBreak="0">
    <w:nsid w:val="25457632"/>
    <w:multiLevelType w:val="hybridMultilevel"/>
    <w:tmpl w:val="769EEAC6"/>
    <w:lvl w:ilvl="0" w:tplc="57CA68FE">
      <w:start w:val="1"/>
      <w:numFmt w:val="bullet"/>
      <w:lvlText w:val=""/>
      <w:lvlJc w:val="left"/>
      <w:pPr>
        <w:tabs>
          <w:tab w:val="num" w:pos="720"/>
        </w:tabs>
        <w:ind w:left="720" w:hanging="360"/>
      </w:pPr>
      <w:rPr>
        <w:rFonts w:ascii="Wingdings" w:hAnsi="Wingdings" w:hint="default"/>
      </w:rPr>
    </w:lvl>
    <w:lvl w:ilvl="1" w:tplc="4C7EFEF8" w:tentative="1">
      <w:start w:val="1"/>
      <w:numFmt w:val="bullet"/>
      <w:lvlText w:val=""/>
      <w:lvlJc w:val="left"/>
      <w:pPr>
        <w:tabs>
          <w:tab w:val="num" w:pos="1440"/>
        </w:tabs>
        <w:ind w:left="1440" w:hanging="360"/>
      </w:pPr>
      <w:rPr>
        <w:rFonts w:ascii="Wingdings" w:hAnsi="Wingdings" w:hint="default"/>
      </w:rPr>
    </w:lvl>
    <w:lvl w:ilvl="2" w:tplc="FF2A7850" w:tentative="1">
      <w:start w:val="1"/>
      <w:numFmt w:val="bullet"/>
      <w:lvlText w:val=""/>
      <w:lvlJc w:val="left"/>
      <w:pPr>
        <w:tabs>
          <w:tab w:val="num" w:pos="2160"/>
        </w:tabs>
        <w:ind w:left="2160" w:hanging="360"/>
      </w:pPr>
      <w:rPr>
        <w:rFonts w:ascii="Wingdings" w:hAnsi="Wingdings" w:hint="default"/>
      </w:rPr>
    </w:lvl>
    <w:lvl w:ilvl="3" w:tplc="3B84BCD6" w:tentative="1">
      <w:start w:val="1"/>
      <w:numFmt w:val="bullet"/>
      <w:lvlText w:val=""/>
      <w:lvlJc w:val="left"/>
      <w:pPr>
        <w:tabs>
          <w:tab w:val="num" w:pos="2880"/>
        </w:tabs>
        <w:ind w:left="2880" w:hanging="360"/>
      </w:pPr>
      <w:rPr>
        <w:rFonts w:ascii="Wingdings" w:hAnsi="Wingdings" w:hint="default"/>
      </w:rPr>
    </w:lvl>
    <w:lvl w:ilvl="4" w:tplc="F5FEA0CE" w:tentative="1">
      <w:start w:val="1"/>
      <w:numFmt w:val="bullet"/>
      <w:lvlText w:val=""/>
      <w:lvlJc w:val="left"/>
      <w:pPr>
        <w:tabs>
          <w:tab w:val="num" w:pos="3600"/>
        </w:tabs>
        <w:ind w:left="3600" w:hanging="360"/>
      </w:pPr>
      <w:rPr>
        <w:rFonts w:ascii="Wingdings" w:hAnsi="Wingdings" w:hint="default"/>
      </w:rPr>
    </w:lvl>
    <w:lvl w:ilvl="5" w:tplc="687AAEC0" w:tentative="1">
      <w:start w:val="1"/>
      <w:numFmt w:val="bullet"/>
      <w:lvlText w:val=""/>
      <w:lvlJc w:val="left"/>
      <w:pPr>
        <w:tabs>
          <w:tab w:val="num" w:pos="4320"/>
        </w:tabs>
        <w:ind w:left="4320" w:hanging="360"/>
      </w:pPr>
      <w:rPr>
        <w:rFonts w:ascii="Wingdings" w:hAnsi="Wingdings" w:hint="default"/>
      </w:rPr>
    </w:lvl>
    <w:lvl w:ilvl="6" w:tplc="9B50EF66" w:tentative="1">
      <w:start w:val="1"/>
      <w:numFmt w:val="bullet"/>
      <w:lvlText w:val=""/>
      <w:lvlJc w:val="left"/>
      <w:pPr>
        <w:tabs>
          <w:tab w:val="num" w:pos="5040"/>
        </w:tabs>
        <w:ind w:left="5040" w:hanging="360"/>
      </w:pPr>
      <w:rPr>
        <w:rFonts w:ascii="Wingdings" w:hAnsi="Wingdings" w:hint="default"/>
      </w:rPr>
    </w:lvl>
    <w:lvl w:ilvl="7" w:tplc="ADCE6594" w:tentative="1">
      <w:start w:val="1"/>
      <w:numFmt w:val="bullet"/>
      <w:lvlText w:val=""/>
      <w:lvlJc w:val="left"/>
      <w:pPr>
        <w:tabs>
          <w:tab w:val="num" w:pos="5760"/>
        </w:tabs>
        <w:ind w:left="5760" w:hanging="360"/>
      </w:pPr>
      <w:rPr>
        <w:rFonts w:ascii="Wingdings" w:hAnsi="Wingdings" w:hint="default"/>
      </w:rPr>
    </w:lvl>
    <w:lvl w:ilvl="8" w:tplc="765892E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7D4D8B"/>
    <w:multiLevelType w:val="hybridMultilevel"/>
    <w:tmpl w:val="1FD6CA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BB576B4"/>
    <w:multiLevelType w:val="hybridMultilevel"/>
    <w:tmpl w:val="2C8C46D8"/>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17" w15:restartNumberingAfterBreak="0">
    <w:nsid w:val="358B5C07"/>
    <w:multiLevelType w:val="hybridMultilevel"/>
    <w:tmpl w:val="9E5CD8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6F73FF2"/>
    <w:multiLevelType w:val="hybridMultilevel"/>
    <w:tmpl w:val="8A92A3DE"/>
    <w:lvl w:ilvl="0" w:tplc="E3549A86">
      <w:start w:val="7"/>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FF707F3"/>
    <w:multiLevelType w:val="hybridMultilevel"/>
    <w:tmpl w:val="3E4EC804"/>
    <w:lvl w:ilvl="0" w:tplc="99F82C8A">
      <w:numFmt w:val="bullet"/>
      <w:lvlText w:val="-"/>
      <w:lvlJc w:val="left"/>
      <w:pPr>
        <w:ind w:left="888" w:hanging="360"/>
      </w:pPr>
      <w:rPr>
        <w:rFonts w:ascii="Calibri" w:eastAsia="Calibri" w:hAnsi="Calibri" w:cs="Calibri"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20" w15:restartNumberingAfterBreak="0">
    <w:nsid w:val="52F12EC3"/>
    <w:multiLevelType w:val="hybridMultilevel"/>
    <w:tmpl w:val="51F46A60"/>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21" w15:restartNumberingAfterBreak="0">
    <w:nsid w:val="568877C9"/>
    <w:multiLevelType w:val="hybridMultilevel"/>
    <w:tmpl w:val="46360B84"/>
    <w:lvl w:ilvl="0" w:tplc="18090001">
      <w:start w:val="1"/>
      <w:numFmt w:val="bullet"/>
      <w:lvlText w:val=""/>
      <w:lvlJc w:val="left"/>
      <w:pPr>
        <w:ind w:left="501" w:hanging="360"/>
      </w:pPr>
      <w:rPr>
        <w:rFonts w:ascii="Symbol" w:hAnsi="Symbol" w:hint="default"/>
      </w:rPr>
    </w:lvl>
    <w:lvl w:ilvl="1" w:tplc="18090003" w:tentative="1">
      <w:start w:val="1"/>
      <w:numFmt w:val="bullet"/>
      <w:lvlText w:val="o"/>
      <w:lvlJc w:val="left"/>
      <w:pPr>
        <w:ind w:left="1221" w:hanging="360"/>
      </w:pPr>
      <w:rPr>
        <w:rFonts w:ascii="Courier New" w:hAnsi="Courier New" w:cs="Courier New" w:hint="default"/>
      </w:rPr>
    </w:lvl>
    <w:lvl w:ilvl="2" w:tplc="18090005" w:tentative="1">
      <w:start w:val="1"/>
      <w:numFmt w:val="bullet"/>
      <w:lvlText w:val=""/>
      <w:lvlJc w:val="left"/>
      <w:pPr>
        <w:ind w:left="1941" w:hanging="360"/>
      </w:pPr>
      <w:rPr>
        <w:rFonts w:ascii="Wingdings" w:hAnsi="Wingdings" w:hint="default"/>
      </w:rPr>
    </w:lvl>
    <w:lvl w:ilvl="3" w:tplc="18090001" w:tentative="1">
      <w:start w:val="1"/>
      <w:numFmt w:val="bullet"/>
      <w:lvlText w:val=""/>
      <w:lvlJc w:val="left"/>
      <w:pPr>
        <w:ind w:left="2661" w:hanging="360"/>
      </w:pPr>
      <w:rPr>
        <w:rFonts w:ascii="Symbol" w:hAnsi="Symbol" w:hint="default"/>
      </w:rPr>
    </w:lvl>
    <w:lvl w:ilvl="4" w:tplc="18090003" w:tentative="1">
      <w:start w:val="1"/>
      <w:numFmt w:val="bullet"/>
      <w:lvlText w:val="o"/>
      <w:lvlJc w:val="left"/>
      <w:pPr>
        <w:ind w:left="3381" w:hanging="360"/>
      </w:pPr>
      <w:rPr>
        <w:rFonts w:ascii="Courier New" w:hAnsi="Courier New" w:cs="Courier New" w:hint="default"/>
      </w:rPr>
    </w:lvl>
    <w:lvl w:ilvl="5" w:tplc="18090005" w:tentative="1">
      <w:start w:val="1"/>
      <w:numFmt w:val="bullet"/>
      <w:lvlText w:val=""/>
      <w:lvlJc w:val="left"/>
      <w:pPr>
        <w:ind w:left="4101" w:hanging="360"/>
      </w:pPr>
      <w:rPr>
        <w:rFonts w:ascii="Wingdings" w:hAnsi="Wingdings" w:hint="default"/>
      </w:rPr>
    </w:lvl>
    <w:lvl w:ilvl="6" w:tplc="18090001" w:tentative="1">
      <w:start w:val="1"/>
      <w:numFmt w:val="bullet"/>
      <w:lvlText w:val=""/>
      <w:lvlJc w:val="left"/>
      <w:pPr>
        <w:ind w:left="4821" w:hanging="360"/>
      </w:pPr>
      <w:rPr>
        <w:rFonts w:ascii="Symbol" w:hAnsi="Symbol" w:hint="default"/>
      </w:rPr>
    </w:lvl>
    <w:lvl w:ilvl="7" w:tplc="18090003" w:tentative="1">
      <w:start w:val="1"/>
      <w:numFmt w:val="bullet"/>
      <w:lvlText w:val="o"/>
      <w:lvlJc w:val="left"/>
      <w:pPr>
        <w:ind w:left="5541" w:hanging="360"/>
      </w:pPr>
      <w:rPr>
        <w:rFonts w:ascii="Courier New" w:hAnsi="Courier New" w:cs="Courier New" w:hint="default"/>
      </w:rPr>
    </w:lvl>
    <w:lvl w:ilvl="8" w:tplc="18090005" w:tentative="1">
      <w:start w:val="1"/>
      <w:numFmt w:val="bullet"/>
      <w:lvlText w:val=""/>
      <w:lvlJc w:val="left"/>
      <w:pPr>
        <w:ind w:left="6261" w:hanging="360"/>
      </w:pPr>
      <w:rPr>
        <w:rFonts w:ascii="Wingdings" w:hAnsi="Wingdings" w:hint="default"/>
      </w:rPr>
    </w:lvl>
  </w:abstractNum>
  <w:abstractNum w:abstractNumId="22" w15:restartNumberingAfterBreak="0">
    <w:nsid w:val="5B4826B9"/>
    <w:multiLevelType w:val="hybridMultilevel"/>
    <w:tmpl w:val="12547614"/>
    <w:lvl w:ilvl="0" w:tplc="99F82C8A">
      <w:numFmt w:val="bullet"/>
      <w:lvlText w:val="-"/>
      <w:lvlJc w:val="left"/>
      <w:pPr>
        <w:ind w:left="746" w:hanging="360"/>
      </w:pPr>
      <w:rPr>
        <w:rFonts w:ascii="Calibri" w:eastAsia="Calibri" w:hAnsi="Calibri" w:cs="Calibri"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23" w15:restartNumberingAfterBreak="0">
    <w:nsid w:val="64457575"/>
    <w:multiLevelType w:val="hybridMultilevel"/>
    <w:tmpl w:val="DA101BC4"/>
    <w:lvl w:ilvl="0" w:tplc="04090001">
      <w:start w:val="1"/>
      <w:numFmt w:val="bullet"/>
      <w:lvlText w:val=""/>
      <w:lvlJc w:val="left"/>
      <w:pPr>
        <w:ind w:left="1298" w:hanging="360"/>
      </w:pPr>
      <w:rPr>
        <w:rFonts w:ascii="Symbol" w:hAnsi="Symbol" w:hint="default"/>
      </w:rPr>
    </w:lvl>
    <w:lvl w:ilvl="1" w:tplc="04090003">
      <w:start w:val="1"/>
      <w:numFmt w:val="bullet"/>
      <w:lvlText w:val="o"/>
      <w:lvlJc w:val="left"/>
      <w:pPr>
        <w:ind w:left="2018" w:hanging="360"/>
      </w:pPr>
      <w:rPr>
        <w:rFonts w:ascii="Courier New" w:hAnsi="Courier New" w:cs="Courier New" w:hint="default"/>
      </w:rPr>
    </w:lvl>
    <w:lvl w:ilvl="2" w:tplc="04090005">
      <w:start w:val="1"/>
      <w:numFmt w:val="bullet"/>
      <w:lvlText w:val=""/>
      <w:lvlJc w:val="left"/>
      <w:pPr>
        <w:ind w:left="2738" w:hanging="360"/>
      </w:pPr>
      <w:rPr>
        <w:rFonts w:ascii="Wingdings" w:hAnsi="Wingdings" w:hint="default"/>
      </w:rPr>
    </w:lvl>
    <w:lvl w:ilvl="3" w:tplc="04090001">
      <w:start w:val="1"/>
      <w:numFmt w:val="bullet"/>
      <w:lvlText w:val=""/>
      <w:lvlJc w:val="left"/>
      <w:pPr>
        <w:ind w:left="3458" w:hanging="360"/>
      </w:pPr>
      <w:rPr>
        <w:rFonts w:ascii="Symbol" w:hAnsi="Symbol" w:hint="default"/>
      </w:rPr>
    </w:lvl>
    <w:lvl w:ilvl="4" w:tplc="04090003">
      <w:start w:val="1"/>
      <w:numFmt w:val="bullet"/>
      <w:lvlText w:val="o"/>
      <w:lvlJc w:val="left"/>
      <w:pPr>
        <w:ind w:left="4178" w:hanging="360"/>
      </w:pPr>
      <w:rPr>
        <w:rFonts w:ascii="Courier New" w:hAnsi="Courier New" w:cs="Courier New" w:hint="default"/>
      </w:rPr>
    </w:lvl>
    <w:lvl w:ilvl="5" w:tplc="04090005">
      <w:start w:val="1"/>
      <w:numFmt w:val="bullet"/>
      <w:lvlText w:val=""/>
      <w:lvlJc w:val="left"/>
      <w:pPr>
        <w:ind w:left="4898" w:hanging="360"/>
      </w:pPr>
      <w:rPr>
        <w:rFonts w:ascii="Wingdings" w:hAnsi="Wingdings" w:hint="default"/>
      </w:rPr>
    </w:lvl>
    <w:lvl w:ilvl="6" w:tplc="04090001">
      <w:start w:val="1"/>
      <w:numFmt w:val="bullet"/>
      <w:lvlText w:val=""/>
      <w:lvlJc w:val="left"/>
      <w:pPr>
        <w:ind w:left="5618" w:hanging="360"/>
      </w:pPr>
      <w:rPr>
        <w:rFonts w:ascii="Symbol" w:hAnsi="Symbol" w:hint="default"/>
      </w:rPr>
    </w:lvl>
    <w:lvl w:ilvl="7" w:tplc="04090003">
      <w:start w:val="1"/>
      <w:numFmt w:val="bullet"/>
      <w:lvlText w:val="o"/>
      <w:lvlJc w:val="left"/>
      <w:pPr>
        <w:ind w:left="6338" w:hanging="360"/>
      </w:pPr>
      <w:rPr>
        <w:rFonts w:ascii="Courier New" w:hAnsi="Courier New" w:cs="Courier New" w:hint="default"/>
      </w:rPr>
    </w:lvl>
    <w:lvl w:ilvl="8" w:tplc="04090005">
      <w:start w:val="1"/>
      <w:numFmt w:val="bullet"/>
      <w:lvlText w:val=""/>
      <w:lvlJc w:val="left"/>
      <w:pPr>
        <w:ind w:left="7058" w:hanging="360"/>
      </w:pPr>
      <w:rPr>
        <w:rFonts w:ascii="Wingdings" w:hAnsi="Wingdings" w:hint="default"/>
      </w:rPr>
    </w:lvl>
  </w:abstractNum>
  <w:abstractNum w:abstractNumId="24" w15:restartNumberingAfterBreak="0">
    <w:nsid w:val="66662385"/>
    <w:multiLevelType w:val="hybridMultilevel"/>
    <w:tmpl w:val="B2340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4A0D17"/>
    <w:multiLevelType w:val="hybridMultilevel"/>
    <w:tmpl w:val="D8D4E2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34D29EC"/>
    <w:multiLevelType w:val="hybridMultilevel"/>
    <w:tmpl w:val="F08CD7D4"/>
    <w:lvl w:ilvl="0" w:tplc="99A6F8E6">
      <w:start w:val="1"/>
      <w:numFmt w:val="bullet"/>
      <w:lvlText w:val=""/>
      <w:lvlJc w:val="left"/>
      <w:pPr>
        <w:ind w:hanging="284"/>
      </w:pPr>
      <w:rPr>
        <w:rFonts w:ascii="Symbol" w:eastAsia="Symbol" w:hAnsi="Symbol" w:hint="default"/>
        <w:sz w:val="22"/>
        <w:szCs w:val="22"/>
      </w:rPr>
    </w:lvl>
    <w:lvl w:ilvl="1" w:tplc="39B42610">
      <w:start w:val="1"/>
      <w:numFmt w:val="bullet"/>
      <w:lvlText w:val="•"/>
      <w:lvlJc w:val="left"/>
      <w:rPr>
        <w:rFonts w:hint="default"/>
      </w:rPr>
    </w:lvl>
    <w:lvl w:ilvl="2" w:tplc="A980354A">
      <w:start w:val="1"/>
      <w:numFmt w:val="bullet"/>
      <w:lvlText w:val="•"/>
      <w:lvlJc w:val="left"/>
      <w:rPr>
        <w:rFonts w:hint="default"/>
      </w:rPr>
    </w:lvl>
    <w:lvl w:ilvl="3" w:tplc="AFB2C154">
      <w:start w:val="1"/>
      <w:numFmt w:val="bullet"/>
      <w:lvlText w:val="•"/>
      <w:lvlJc w:val="left"/>
      <w:rPr>
        <w:rFonts w:hint="default"/>
      </w:rPr>
    </w:lvl>
    <w:lvl w:ilvl="4" w:tplc="3F66A3DA">
      <w:start w:val="1"/>
      <w:numFmt w:val="bullet"/>
      <w:lvlText w:val="•"/>
      <w:lvlJc w:val="left"/>
      <w:rPr>
        <w:rFonts w:hint="default"/>
      </w:rPr>
    </w:lvl>
    <w:lvl w:ilvl="5" w:tplc="7E6ED1DE">
      <w:start w:val="1"/>
      <w:numFmt w:val="bullet"/>
      <w:lvlText w:val="•"/>
      <w:lvlJc w:val="left"/>
      <w:rPr>
        <w:rFonts w:hint="default"/>
      </w:rPr>
    </w:lvl>
    <w:lvl w:ilvl="6" w:tplc="B6D46732">
      <w:start w:val="1"/>
      <w:numFmt w:val="bullet"/>
      <w:lvlText w:val="•"/>
      <w:lvlJc w:val="left"/>
      <w:rPr>
        <w:rFonts w:hint="default"/>
      </w:rPr>
    </w:lvl>
    <w:lvl w:ilvl="7" w:tplc="425051C6">
      <w:start w:val="1"/>
      <w:numFmt w:val="bullet"/>
      <w:lvlText w:val="•"/>
      <w:lvlJc w:val="left"/>
      <w:rPr>
        <w:rFonts w:hint="default"/>
      </w:rPr>
    </w:lvl>
    <w:lvl w:ilvl="8" w:tplc="902EC1BE">
      <w:start w:val="1"/>
      <w:numFmt w:val="bullet"/>
      <w:lvlText w:val="•"/>
      <w:lvlJc w:val="left"/>
      <w:rPr>
        <w:rFonts w:hint="default"/>
      </w:rPr>
    </w:lvl>
  </w:abstractNum>
  <w:abstractNum w:abstractNumId="27" w15:restartNumberingAfterBreak="0">
    <w:nsid w:val="7E972FD7"/>
    <w:multiLevelType w:val="hybridMultilevel"/>
    <w:tmpl w:val="4EB60A52"/>
    <w:lvl w:ilvl="0" w:tplc="99F82C8A">
      <w:numFmt w:val="bullet"/>
      <w:lvlText w:val="-"/>
      <w:lvlJc w:val="left"/>
      <w:pPr>
        <w:ind w:left="915" w:hanging="360"/>
      </w:pPr>
      <w:rPr>
        <w:rFonts w:ascii="Calibri" w:eastAsia="Calibri" w:hAnsi="Calibri" w:cs="Calibri" w:hint="default"/>
      </w:rPr>
    </w:lvl>
    <w:lvl w:ilvl="1" w:tplc="18090003" w:tentative="1">
      <w:start w:val="1"/>
      <w:numFmt w:val="bullet"/>
      <w:lvlText w:val="o"/>
      <w:lvlJc w:val="left"/>
      <w:pPr>
        <w:ind w:left="1635" w:hanging="360"/>
      </w:pPr>
      <w:rPr>
        <w:rFonts w:ascii="Courier New" w:hAnsi="Courier New" w:cs="Courier New" w:hint="default"/>
      </w:rPr>
    </w:lvl>
    <w:lvl w:ilvl="2" w:tplc="18090005" w:tentative="1">
      <w:start w:val="1"/>
      <w:numFmt w:val="bullet"/>
      <w:lvlText w:val=""/>
      <w:lvlJc w:val="left"/>
      <w:pPr>
        <w:ind w:left="2355" w:hanging="360"/>
      </w:pPr>
      <w:rPr>
        <w:rFonts w:ascii="Wingdings" w:hAnsi="Wingdings" w:hint="default"/>
      </w:rPr>
    </w:lvl>
    <w:lvl w:ilvl="3" w:tplc="18090001" w:tentative="1">
      <w:start w:val="1"/>
      <w:numFmt w:val="bullet"/>
      <w:lvlText w:val=""/>
      <w:lvlJc w:val="left"/>
      <w:pPr>
        <w:ind w:left="3075" w:hanging="360"/>
      </w:pPr>
      <w:rPr>
        <w:rFonts w:ascii="Symbol" w:hAnsi="Symbol" w:hint="default"/>
      </w:rPr>
    </w:lvl>
    <w:lvl w:ilvl="4" w:tplc="18090003" w:tentative="1">
      <w:start w:val="1"/>
      <w:numFmt w:val="bullet"/>
      <w:lvlText w:val="o"/>
      <w:lvlJc w:val="left"/>
      <w:pPr>
        <w:ind w:left="3795" w:hanging="360"/>
      </w:pPr>
      <w:rPr>
        <w:rFonts w:ascii="Courier New" w:hAnsi="Courier New" w:cs="Courier New" w:hint="default"/>
      </w:rPr>
    </w:lvl>
    <w:lvl w:ilvl="5" w:tplc="18090005" w:tentative="1">
      <w:start w:val="1"/>
      <w:numFmt w:val="bullet"/>
      <w:lvlText w:val=""/>
      <w:lvlJc w:val="left"/>
      <w:pPr>
        <w:ind w:left="4515" w:hanging="360"/>
      </w:pPr>
      <w:rPr>
        <w:rFonts w:ascii="Wingdings" w:hAnsi="Wingdings" w:hint="default"/>
      </w:rPr>
    </w:lvl>
    <w:lvl w:ilvl="6" w:tplc="18090001" w:tentative="1">
      <w:start w:val="1"/>
      <w:numFmt w:val="bullet"/>
      <w:lvlText w:val=""/>
      <w:lvlJc w:val="left"/>
      <w:pPr>
        <w:ind w:left="5235" w:hanging="360"/>
      </w:pPr>
      <w:rPr>
        <w:rFonts w:ascii="Symbol" w:hAnsi="Symbol" w:hint="default"/>
      </w:rPr>
    </w:lvl>
    <w:lvl w:ilvl="7" w:tplc="18090003" w:tentative="1">
      <w:start w:val="1"/>
      <w:numFmt w:val="bullet"/>
      <w:lvlText w:val="o"/>
      <w:lvlJc w:val="left"/>
      <w:pPr>
        <w:ind w:left="5955" w:hanging="360"/>
      </w:pPr>
      <w:rPr>
        <w:rFonts w:ascii="Courier New" w:hAnsi="Courier New" w:cs="Courier New" w:hint="default"/>
      </w:rPr>
    </w:lvl>
    <w:lvl w:ilvl="8" w:tplc="18090005" w:tentative="1">
      <w:start w:val="1"/>
      <w:numFmt w:val="bullet"/>
      <w:lvlText w:val=""/>
      <w:lvlJc w:val="left"/>
      <w:pPr>
        <w:ind w:left="6675" w:hanging="360"/>
      </w:pPr>
      <w:rPr>
        <w:rFonts w:ascii="Wingdings" w:hAnsi="Wingdings" w:hint="default"/>
      </w:rPr>
    </w:lvl>
  </w:abstractNum>
  <w:num w:numId="1">
    <w:abstractNumId w:val="12"/>
  </w:num>
  <w:num w:numId="2">
    <w:abstractNumId w:val="26"/>
  </w:num>
  <w:num w:numId="3">
    <w:abstractNumId w:val="11"/>
  </w:num>
  <w:num w:numId="4">
    <w:abstractNumId w:val="13"/>
  </w:num>
  <w:num w:numId="5">
    <w:abstractNumId w:val="18"/>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2"/>
  </w:num>
  <w:num w:numId="17">
    <w:abstractNumId w:val="24"/>
  </w:num>
  <w:num w:numId="18">
    <w:abstractNumId w:val="14"/>
  </w:num>
  <w:num w:numId="19">
    <w:abstractNumId w:val="10"/>
  </w:num>
  <w:num w:numId="20">
    <w:abstractNumId w:val="19"/>
  </w:num>
  <w:num w:numId="21">
    <w:abstractNumId w:val="27"/>
  </w:num>
  <w:num w:numId="22">
    <w:abstractNumId w:val="23"/>
  </w:num>
  <w:num w:numId="23">
    <w:abstractNumId w:val="25"/>
  </w:num>
  <w:num w:numId="24">
    <w:abstractNumId w:val="17"/>
  </w:num>
  <w:num w:numId="25">
    <w:abstractNumId w:val="16"/>
  </w:num>
  <w:num w:numId="26">
    <w:abstractNumId w:val="15"/>
  </w:num>
  <w:num w:numId="27">
    <w:abstractNumId w:val="2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6E2"/>
    <w:rsid w:val="00004F4E"/>
    <w:rsid w:val="00005167"/>
    <w:rsid w:val="00011296"/>
    <w:rsid w:val="00011BBA"/>
    <w:rsid w:val="00012B3F"/>
    <w:rsid w:val="000138AC"/>
    <w:rsid w:val="000160FC"/>
    <w:rsid w:val="0002053A"/>
    <w:rsid w:val="000207D0"/>
    <w:rsid w:val="000236FC"/>
    <w:rsid w:val="0002438B"/>
    <w:rsid w:val="000275E4"/>
    <w:rsid w:val="000277D4"/>
    <w:rsid w:val="00032E11"/>
    <w:rsid w:val="0003504E"/>
    <w:rsid w:val="000365F3"/>
    <w:rsid w:val="00037156"/>
    <w:rsid w:val="0003791E"/>
    <w:rsid w:val="00037F3C"/>
    <w:rsid w:val="00040168"/>
    <w:rsid w:val="00040B08"/>
    <w:rsid w:val="000429B4"/>
    <w:rsid w:val="00042E97"/>
    <w:rsid w:val="00043E5D"/>
    <w:rsid w:val="00043F4C"/>
    <w:rsid w:val="00044488"/>
    <w:rsid w:val="00045116"/>
    <w:rsid w:val="000453CE"/>
    <w:rsid w:val="0004572B"/>
    <w:rsid w:val="000465A2"/>
    <w:rsid w:val="00047139"/>
    <w:rsid w:val="00047578"/>
    <w:rsid w:val="000476AC"/>
    <w:rsid w:val="00047D14"/>
    <w:rsid w:val="00047EA2"/>
    <w:rsid w:val="00051327"/>
    <w:rsid w:val="0005204C"/>
    <w:rsid w:val="00052F17"/>
    <w:rsid w:val="000534C3"/>
    <w:rsid w:val="0005420A"/>
    <w:rsid w:val="00054A17"/>
    <w:rsid w:val="00054EA2"/>
    <w:rsid w:val="00055066"/>
    <w:rsid w:val="00055A17"/>
    <w:rsid w:val="00057256"/>
    <w:rsid w:val="000578DE"/>
    <w:rsid w:val="00057EA5"/>
    <w:rsid w:val="000609E3"/>
    <w:rsid w:val="00061C5A"/>
    <w:rsid w:val="0006384B"/>
    <w:rsid w:val="00065D1A"/>
    <w:rsid w:val="000665E4"/>
    <w:rsid w:val="000669A3"/>
    <w:rsid w:val="0006727E"/>
    <w:rsid w:val="00067627"/>
    <w:rsid w:val="00070452"/>
    <w:rsid w:val="000716D8"/>
    <w:rsid w:val="000756C4"/>
    <w:rsid w:val="00075D24"/>
    <w:rsid w:val="000766FC"/>
    <w:rsid w:val="0008006B"/>
    <w:rsid w:val="00080247"/>
    <w:rsid w:val="0008262C"/>
    <w:rsid w:val="00082BF2"/>
    <w:rsid w:val="0008331F"/>
    <w:rsid w:val="000841D6"/>
    <w:rsid w:val="000854BA"/>
    <w:rsid w:val="000858B6"/>
    <w:rsid w:val="00090C8D"/>
    <w:rsid w:val="0009298D"/>
    <w:rsid w:val="0009349A"/>
    <w:rsid w:val="00094185"/>
    <w:rsid w:val="0009469B"/>
    <w:rsid w:val="00097CFB"/>
    <w:rsid w:val="000A00D1"/>
    <w:rsid w:val="000A0134"/>
    <w:rsid w:val="000A04E0"/>
    <w:rsid w:val="000A1D33"/>
    <w:rsid w:val="000A3A23"/>
    <w:rsid w:val="000A4D92"/>
    <w:rsid w:val="000A6697"/>
    <w:rsid w:val="000B0D81"/>
    <w:rsid w:val="000B2E7B"/>
    <w:rsid w:val="000B386D"/>
    <w:rsid w:val="000B3DFD"/>
    <w:rsid w:val="000B450E"/>
    <w:rsid w:val="000B4E5D"/>
    <w:rsid w:val="000B503A"/>
    <w:rsid w:val="000B516B"/>
    <w:rsid w:val="000B6626"/>
    <w:rsid w:val="000B785F"/>
    <w:rsid w:val="000C03D5"/>
    <w:rsid w:val="000C2E01"/>
    <w:rsid w:val="000C35B9"/>
    <w:rsid w:val="000C48E5"/>
    <w:rsid w:val="000C4DD2"/>
    <w:rsid w:val="000C5F80"/>
    <w:rsid w:val="000D1B85"/>
    <w:rsid w:val="000D350E"/>
    <w:rsid w:val="000D4610"/>
    <w:rsid w:val="000D494F"/>
    <w:rsid w:val="000D666C"/>
    <w:rsid w:val="000D7280"/>
    <w:rsid w:val="000D7CD5"/>
    <w:rsid w:val="000D7E2A"/>
    <w:rsid w:val="000E0345"/>
    <w:rsid w:val="000E24C9"/>
    <w:rsid w:val="000E33AB"/>
    <w:rsid w:val="000E35B2"/>
    <w:rsid w:val="000E6286"/>
    <w:rsid w:val="000E6B0D"/>
    <w:rsid w:val="000E7D40"/>
    <w:rsid w:val="000F254F"/>
    <w:rsid w:val="000F62AF"/>
    <w:rsid w:val="000F7679"/>
    <w:rsid w:val="001003CD"/>
    <w:rsid w:val="0010424A"/>
    <w:rsid w:val="001071CD"/>
    <w:rsid w:val="0011120D"/>
    <w:rsid w:val="00111609"/>
    <w:rsid w:val="00111AAE"/>
    <w:rsid w:val="00112451"/>
    <w:rsid w:val="0011444B"/>
    <w:rsid w:val="00114C28"/>
    <w:rsid w:val="0011543A"/>
    <w:rsid w:val="00115471"/>
    <w:rsid w:val="00117153"/>
    <w:rsid w:val="001207FB"/>
    <w:rsid w:val="00120B7A"/>
    <w:rsid w:val="00121291"/>
    <w:rsid w:val="001234B7"/>
    <w:rsid w:val="001254EB"/>
    <w:rsid w:val="001257AA"/>
    <w:rsid w:val="00126759"/>
    <w:rsid w:val="00127804"/>
    <w:rsid w:val="0013038B"/>
    <w:rsid w:val="00132CE6"/>
    <w:rsid w:val="00135B33"/>
    <w:rsid w:val="00136042"/>
    <w:rsid w:val="00136BE5"/>
    <w:rsid w:val="00137A84"/>
    <w:rsid w:val="00137DF8"/>
    <w:rsid w:val="00137F0B"/>
    <w:rsid w:val="001405F2"/>
    <w:rsid w:val="001406C0"/>
    <w:rsid w:val="00140BB9"/>
    <w:rsid w:val="00145999"/>
    <w:rsid w:val="00145CEA"/>
    <w:rsid w:val="001535D2"/>
    <w:rsid w:val="00153A7B"/>
    <w:rsid w:val="00153CDB"/>
    <w:rsid w:val="00155EE3"/>
    <w:rsid w:val="00156564"/>
    <w:rsid w:val="001572E7"/>
    <w:rsid w:val="0015793B"/>
    <w:rsid w:val="00157CD7"/>
    <w:rsid w:val="00162519"/>
    <w:rsid w:val="001631A8"/>
    <w:rsid w:val="00163764"/>
    <w:rsid w:val="00164919"/>
    <w:rsid w:val="001649D0"/>
    <w:rsid w:val="001659C9"/>
    <w:rsid w:val="00167D3B"/>
    <w:rsid w:val="00172A2B"/>
    <w:rsid w:val="00172D8B"/>
    <w:rsid w:val="00173A72"/>
    <w:rsid w:val="00173B9B"/>
    <w:rsid w:val="001759DA"/>
    <w:rsid w:val="00175E78"/>
    <w:rsid w:val="00177227"/>
    <w:rsid w:val="0017784A"/>
    <w:rsid w:val="00180E63"/>
    <w:rsid w:val="00183225"/>
    <w:rsid w:val="00183B0F"/>
    <w:rsid w:val="0018501C"/>
    <w:rsid w:val="0018516D"/>
    <w:rsid w:val="001853F4"/>
    <w:rsid w:val="00186055"/>
    <w:rsid w:val="001862C3"/>
    <w:rsid w:val="00186EE4"/>
    <w:rsid w:val="00192088"/>
    <w:rsid w:val="001923A3"/>
    <w:rsid w:val="00192D9C"/>
    <w:rsid w:val="00193BDC"/>
    <w:rsid w:val="00194FB4"/>
    <w:rsid w:val="00195965"/>
    <w:rsid w:val="00195F8B"/>
    <w:rsid w:val="00197579"/>
    <w:rsid w:val="001979DC"/>
    <w:rsid w:val="001A0952"/>
    <w:rsid w:val="001A1017"/>
    <w:rsid w:val="001A1459"/>
    <w:rsid w:val="001A3B17"/>
    <w:rsid w:val="001A4101"/>
    <w:rsid w:val="001A5FDE"/>
    <w:rsid w:val="001A6FB5"/>
    <w:rsid w:val="001B0305"/>
    <w:rsid w:val="001B0CE1"/>
    <w:rsid w:val="001B158D"/>
    <w:rsid w:val="001B2760"/>
    <w:rsid w:val="001B33BE"/>
    <w:rsid w:val="001B6493"/>
    <w:rsid w:val="001B6BAC"/>
    <w:rsid w:val="001B6C11"/>
    <w:rsid w:val="001C01FD"/>
    <w:rsid w:val="001C06D6"/>
    <w:rsid w:val="001C1685"/>
    <w:rsid w:val="001C283E"/>
    <w:rsid w:val="001C3195"/>
    <w:rsid w:val="001C3595"/>
    <w:rsid w:val="001C6F26"/>
    <w:rsid w:val="001C729C"/>
    <w:rsid w:val="001D07AE"/>
    <w:rsid w:val="001D11C1"/>
    <w:rsid w:val="001D11D3"/>
    <w:rsid w:val="001D1ACB"/>
    <w:rsid w:val="001D2768"/>
    <w:rsid w:val="001D3052"/>
    <w:rsid w:val="001D34DF"/>
    <w:rsid w:val="001D621F"/>
    <w:rsid w:val="001D6F9D"/>
    <w:rsid w:val="001D7C24"/>
    <w:rsid w:val="001E1542"/>
    <w:rsid w:val="001E1659"/>
    <w:rsid w:val="001E3DE7"/>
    <w:rsid w:val="001E4C9D"/>
    <w:rsid w:val="001E5B08"/>
    <w:rsid w:val="001E7B79"/>
    <w:rsid w:val="001F01F0"/>
    <w:rsid w:val="001F37C7"/>
    <w:rsid w:val="001F5616"/>
    <w:rsid w:val="001F56BE"/>
    <w:rsid w:val="001F5817"/>
    <w:rsid w:val="001F6083"/>
    <w:rsid w:val="001F722B"/>
    <w:rsid w:val="00201DAC"/>
    <w:rsid w:val="00201E38"/>
    <w:rsid w:val="00202249"/>
    <w:rsid w:val="00202908"/>
    <w:rsid w:val="00202D81"/>
    <w:rsid w:val="00203201"/>
    <w:rsid w:val="00206219"/>
    <w:rsid w:val="00207B95"/>
    <w:rsid w:val="002109E9"/>
    <w:rsid w:val="00210D19"/>
    <w:rsid w:val="00210FC3"/>
    <w:rsid w:val="002124BD"/>
    <w:rsid w:val="002142FD"/>
    <w:rsid w:val="0021438C"/>
    <w:rsid w:val="0021652F"/>
    <w:rsid w:val="00216BC9"/>
    <w:rsid w:val="00216CEF"/>
    <w:rsid w:val="00217681"/>
    <w:rsid w:val="00220F3D"/>
    <w:rsid w:val="0022298F"/>
    <w:rsid w:val="00222F6A"/>
    <w:rsid w:val="0022318E"/>
    <w:rsid w:val="00224668"/>
    <w:rsid w:val="002252CC"/>
    <w:rsid w:val="002278E7"/>
    <w:rsid w:val="00230DF5"/>
    <w:rsid w:val="00233AD9"/>
    <w:rsid w:val="002360BA"/>
    <w:rsid w:val="00236160"/>
    <w:rsid w:val="00237C21"/>
    <w:rsid w:val="002406C1"/>
    <w:rsid w:val="002414F9"/>
    <w:rsid w:val="00241635"/>
    <w:rsid w:val="0024411F"/>
    <w:rsid w:val="00244662"/>
    <w:rsid w:val="00244D10"/>
    <w:rsid w:val="002452AA"/>
    <w:rsid w:val="002461F2"/>
    <w:rsid w:val="002465E6"/>
    <w:rsid w:val="002469FF"/>
    <w:rsid w:val="002479BA"/>
    <w:rsid w:val="00250A47"/>
    <w:rsid w:val="0025303C"/>
    <w:rsid w:val="00254A6D"/>
    <w:rsid w:val="00255B0B"/>
    <w:rsid w:val="002567B2"/>
    <w:rsid w:val="00260894"/>
    <w:rsid w:val="00260F71"/>
    <w:rsid w:val="0026105E"/>
    <w:rsid w:val="00261C31"/>
    <w:rsid w:val="0026297A"/>
    <w:rsid w:val="00263735"/>
    <w:rsid w:val="00263ECF"/>
    <w:rsid w:val="00264FD2"/>
    <w:rsid w:val="00265BAF"/>
    <w:rsid w:val="002664CC"/>
    <w:rsid w:val="002664F3"/>
    <w:rsid w:val="00272447"/>
    <w:rsid w:val="0027407D"/>
    <w:rsid w:val="00274835"/>
    <w:rsid w:val="002755BB"/>
    <w:rsid w:val="00276EE0"/>
    <w:rsid w:val="00277902"/>
    <w:rsid w:val="00277AFF"/>
    <w:rsid w:val="00281352"/>
    <w:rsid w:val="00282B85"/>
    <w:rsid w:val="00283211"/>
    <w:rsid w:val="00283DAF"/>
    <w:rsid w:val="00284C4D"/>
    <w:rsid w:val="00284D21"/>
    <w:rsid w:val="00284E42"/>
    <w:rsid w:val="00286314"/>
    <w:rsid w:val="00287187"/>
    <w:rsid w:val="002872ED"/>
    <w:rsid w:val="002873C4"/>
    <w:rsid w:val="00287CB0"/>
    <w:rsid w:val="0029010D"/>
    <w:rsid w:val="002902E7"/>
    <w:rsid w:val="00290745"/>
    <w:rsid w:val="00291351"/>
    <w:rsid w:val="002915FA"/>
    <w:rsid w:val="0029224D"/>
    <w:rsid w:val="00292D4F"/>
    <w:rsid w:val="0029431F"/>
    <w:rsid w:val="00295EFE"/>
    <w:rsid w:val="00296991"/>
    <w:rsid w:val="00297263"/>
    <w:rsid w:val="0029772B"/>
    <w:rsid w:val="002A005A"/>
    <w:rsid w:val="002A10C0"/>
    <w:rsid w:val="002A1FF5"/>
    <w:rsid w:val="002A2811"/>
    <w:rsid w:val="002A319A"/>
    <w:rsid w:val="002A4794"/>
    <w:rsid w:val="002B015F"/>
    <w:rsid w:val="002B0216"/>
    <w:rsid w:val="002B056D"/>
    <w:rsid w:val="002B1EA3"/>
    <w:rsid w:val="002B2664"/>
    <w:rsid w:val="002B2B69"/>
    <w:rsid w:val="002B2CFD"/>
    <w:rsid w:val="002B31DA"/>
    <w:rsid w:val="002B4267"/>
    <w:rsid w:val="002B4916"/>
    <w:rsid w:val="002B5972"/>
    <w:rsid w:val="002B5B7B"/>
    <w:rsid w:val="002C077E"/>
    <w:rsid w:val="002C2D63"/>
    <w:rsid w:val="002C4E3F"/>
    <w:rsid w:val="002C70B3"/>
    <w:rsid w:val="002D3156"/>
    <w:rsid w:val="002D4505"/>
    <w:rsid w:val="002D7074"/>
    <w:rsid w:val="002D729D"/>
    <w:rsid w:val="002D7337"/>
    <w:rsid w:val="002E0DE8"/>
    <w:rsid w:val="002E1ADF"/>
    <w:rsid w:val="002E237F"/>
    <w:rsid w:val="002E481F"/>
    <w:rsid w:val="002E4CC0"/>
    <w:rsid w:val="002E5668"/>
    <w:rsid w:val="002E581A"/>
    <w:rsid w:val="002E5AB9"/>
    <w:rsid w:val="002E68F0"/>
    <w:rsid w:val="002E6AE4"/>
    <w:rsid w:val="002F175A"/>
    <w:rsid w:val="002F1D07"/>
    <w:rsid w:val="002F202A"/>
    <w:rsid w:val="002F3CCB"/>
    <w:rsid w:val="002F4E6C"/>
    <w:rsid w:val="002F5F44"/>
    <w:rsid w:val="003000E8"/>
    <w:rsid w:val="003014F5"/>
    <w:rsid w:val="00301524"/>
    <w:rsid w:val="00302E30"/>
    <w:rsid w:val="00304F16"/>
    <w:rsid w:val="00305BCD"/>
    <w:rsid w:val="0030792F"/>
    <w:rsid w:val="00311D2E"/>
    <w:rsid w:val="00311EE5"/>
    <w:rsid w:val="00314F6A"/>
    <w:rsid w:val="00317DE4"/>
    <w:rsid w:val="003206D0"/>
    <w:rsid w:val="0032195C"/>
    <w:rsid w:val="003257B1"/>
    <w:rsid w:val="00325CEB"/>
    <w:rsid w:val="00326754"/>
    <w:rsid w:val="00326DC7"/>
    <w:rsid w:val="003313D4"/>
    <w:rsid w:val="00331FCE"/>
    <w:rsid w:val="00332E23"/>
    <w:rsid w:val="003367AC"/>
    <w:rsid w:val="00337706"/>
    <w:rsid w:val="0033799B"/>
    <w:rsid w:val="0034204D"/>
    <w:rsid w:val="00342835"/>
    <w:rsid w:val="003455D8"/>
    <w:rsid w:val="00347A5E"/>
    <w:rsid w:val="00350061"/>
    <w:rsid w:val="00353428"/>
    <w:rsid w:val="0035351E"/>
    <w:rsid w:val="00354472"/>
    <w:rsid w:val="003550B3"/>
    <w:rsid w:val="00355159"/>
    <w:rsid w:val="00356411"/>
    <w:rsid w:val="00357368"/>
    <w:rsid w:val="00357B7B"/>
    <w:rsid w:val="00357FB4"/>
    <w:rsid w:val="003615B4"/>
    <w:rsid w:val="00363CC9"/>
    <w:rsid w:val="00364B6F"/>
    <w:rsid w:val="00364C7D"/>
    <w:rsid w:val="00365395"/>
    <w:rsid w:val="00366AD7"/>
    <w:rsid w:val="003701BC"/>
    <w:rsid w:val="0037090E"/>
    <w:rsid w:val="00373C81"/>
    <w:rsid w:val="00374D6B"/>
    <w:rsid w:val="003754EB"/>
    <w:rsid w:val="003759FA"/>
    <w:rsid w:val="0038166A"/>
    <w:rsid w:val="00381DE1"/>
    <w:rsid w:val="00382420"/>
    <w:rsid w:val="00382D50"/>
    <w:rsid w:val="00383142"/>
    <w:rsid w:val="00384DA4"/>
    <w:rsid w:val="00385B45"/>
    <w:rsid w:val="00385B7F"/>
    <w:rsid w:val="00386F90"/>
    <w:rsid w:val="00387CFB"/>
    <w:rsid w:val="00387EDE"/>
    <w:rsid w:val="00391EAA"/>
    <w:rsid w:val="003925C2"/>
    <w:rsid w:val="00392EA7"/>
    <w:rsid w:val="0039309D"/>
    <w:rsid w:val="00393115"/>
    <w:rsid w:val="00394986"/>
    <w:rsid w:val="00395601"/>
    <w:rsid w:val="00395F9C"/>
    <w:rsid w:val="00396C52"/>
    <w:rsid w:val="00396FF5"/>
    <w:rsid w:val="00397484"/>
    <w:rsid w:val="003A2EE5"/>
    <w:rsid w:val="003A3DF0"/>
    <w:rsid w:val="003A465B"/>
    <w:rsid w:val="003A495B"/>
    <w:rsid w:val="003A5356"/>
    <w:rsid w:val="003A67FD"/>
    <w:rsid w:val="003A6A37"/>
    <w:rsid w:val="003A6D78"/>
    <w:rsid w:val="003B01A9"/>
    <w:rsid w:val="003B020E"/>
    <w:rsid w:val="003B0BD5"/>
    <w:rsid w:val="003B3480"/>
    <w:rsid w:val="003B4369"/>
    <w:rsid w:val="003B45E8"/>
    <w:rsid w:val="003B4784"/>
    <w:rsid w:val="003B5D32"/>
    <w:rsid w:val="003B67BC"/>
    <w:rsid w:val="003B7EE0"/>
    <w:rsid w:val="003C0865"/>
    <w:rsid w:val="003C209E"/>
    <w:rsid w:val="003C2888"/>
    <w:rsid w:val="003C2A8C"/>
    <w:rsid w:val="003C2D36"/>
    <w:rsid w:val="003C3950"/>
    <w:rsid w:val="003C4AF2"/>
    <w:rsid w:val="003C5F28"/>
    <w:rsid w:val="003C623A"/>
    <w:rsid w:val="003C7417"/>
    <w:rsid w:val="003D0BA8"/>
    <w:rsid w:val="003D1423"/>
    <w:rsid w:val="003D14AA"/>
    <w:rsid w:val="003D1EC7"/>
    <w:rsid w:val="003D1F3F"/>
    <w:rsid w:val="003D3788"/>
    <w:rsid w:val="003E073C"/>
    <w:rsid w:val="003E0B4B"/>
    <w:rsid w:val="003E12A0"/>
    <w:rsid w:val="003E260D"/>
    <w:rsid w:val="003E2942"/>
    <w:rsid w:val="003E4CB6"/>
    <w:rsid w:val="003E52FF"/>
    <w:rsid w:val="003E54CC"/>
    <w:rsid w:val="003E5AF5"/>
    <w:rsid w:val="003E61B9"/>
    <w:rsid w:val="003E6323"/>
    <w:rsid w:val="003E70F1"/>
    <w:rsid w:val="003F0E2C"/>
    <w:rsid w:val="003F13AD"/>
    <w:rsid w:val="003F476C"/>
    <w:rsid w:val="003F5C3D"/>
    <w:rsid w:val="003F6DF4"/>
    <w:rsid w:val="004004EA"/>
    <w:rsid w:val="00401F01"/>
    <w:rsid w:val="00402E2F"/>
    <w:rsid w:val="00403590"/>
    <w:rsid w:val="00404D4D"/>
    <w:rsid w:val="0040612E"/>
    <w:rsid w:val="00411C63"/>
    <w:rsid w:val="00412215"/>
    <w:rsid w:val="00413A00"/>
    <w:rsid w:val="004145E2"/>
    <w:rsid w:val="004162D3"/>
    <w:rsid w:val="00417CDC"/>
    <w:rsid w:val="00420E6D"/>
    <w:rsid w:val="00425D19"/>
    <w:rsid w:val="0042625F"/>
    <w:rsid w:val="00426674"/>
    <w:rsid w:val="00427A79"/>
    <w:rsid w:val="00427DDE"/>
    <w:rsid w:val="00427EC7"/>
    <w:rsid w:val="004315A1"/>
    <w:rsid w:val="00432011"/>
    <w:rsid w:val="00434127"/>
    <w:rsid w:val="00434E01"/>
    <w:rsid w:val="004357AB"/>
    <w:rsid w:val="00440462"/>
    <w:rsid w:val="0044090C"/>
    <w:rsid w:val="00441BEA"/>
    <w:rsid w:val="00444608"/>
    <w:rsid w:val="00444A37"/>
    <w:rsid w:val="004451B2"/>
    <w:rsid w:val="0044553F"/>
    <w:rsid w:val="0044627B"/>
    <w:rsid w:val="00446DD6"/>
    <w:rsid w:val="00447B44"/>
    <w:rsid w:val="00450DD6"/>
    <w:rsid w:val="0045139D"/>
    <w:rsid w:val="00453668"/>
    <w:rsid w:val="00454F8D"/>
    <w:rsid w:val="00456D1B"/>
    <w:rsid w:val="00457177"/>
    <w:rsid w:val="004600D5"/>
    <w:rsid w:val="00462289"/>
    <w:rsid w:val="00462739"/>
    <w:rsid w:val="004639D8"/>
    <w:rsid w:val="00463B8F"/>
    <w:rsid w:val="00464915"/>
    <w:rsid w:val="004653FE"/>
    <w:rsid w:val="00466543"/>
    <w:rsid w:val="0046795C"/>
    <w:rsid w:val="00470441"/>
    <w:rsid w:val="00471A1C"/>
    <w:rsid w:val="00472608"/>
    <w:rsid w:val="00472ED1"/>
    <w:rsid w:val="00473C6C"/>
    <w:rsid w:val="00473E1F"/>
    <w:rsid w:val="00474480"/>
    <w:rsid w:val="00474F5C"/>
    <w:rsid w:val="0047527D"/>
    <w:rsid w:val="00477185"/>
    <w:rsid w:val="004809BA"/>
    <w:rsid w:val="00480F7A"/>
    <w:rsid w:val="00481F7C"/>
    <w:rsid w:val="00483B6D"/>
    <w:rsid w:val="00484A65"/>
    <w:rsid w:val="00485537"/>
    <w:rsid w:val="00485EDE"/>
    <w:rsid w:val="00486674"/>
    <w:rsid w:val="004869B6"/>
    <w:rsid w:val="00487499"/>
    <w:rsid w:val="00491530"/>
    <w:rsid w:val="00491EC4"/>
    <w:rsid w:val="0049323D"/>
    <w:rsid w:val="00493293"/>
    <w:rsid w:val="00494539"/>
    <w:rsid w:val="004955D2"/>
    <w:rsid w:val="0049713F"/>
    <w:rsid w:val="0049782B"/>
    <w:rsid w:val="00497EBE"/>
    <w:rsid w:val="004A2866"/>
    <w:rsid w:val="004A2C72"/>
    <w:rsid w:val="004A308E"/>
    <w:rsid w:val="004A3F4D"/>
    <w:rsid w:val="004A56A9"/>
    <w:rsid w:val="004A5EA1"/>
    <w:rsid w:val="004A6208"/>
    <w:rsid w:val="004A6224"/>
    <w:rsid w:val="004A7574"/>
    <w:rsid w:val="004B0ED1"/>
    <w:rsid w:val="004B1034"/>
    <w:rsid w:val="004B1B66"/>
    <w:rsid w:val="004B1DB6"/>
    <w:rsid w:val="004B2FC1"/>
    <w:rsid w:val="004B3A0D"/>
    <w:rsid w:val="004B3E0C"/>
    <w:rsid w:val="004B5ACE"/>
    <w:rsid w:val="004B605E"/>
    <w:rsid w:val="004B66D4"/>
    <w:rsid w:val="004C0344"/>
    <w:rsid w:val="004C2085"/>
    <w:rsid w:val="004C267A"/>
    <w:rsid w:val="004C3EB6"/>
    <w:rsid w:val="004C41A5"/>
    <w:rsid w:val="004C46BA"/>
    <w:rsid w:val="004C50EF"/>
    <w:rsid w:val="004C7953"/>
    <w:rsid w:val="004C7E6B"/>
    <w:rsid w:val="004D0C19"/>
    <w:rsid w:val="004D4BF0"/>
    <w:rsid w:val="004D69DA"/>
    <w:rsid w:val="004D7324"/>
    <w:rsid w:val="004D7DD8"/>
    <w:rsid w:val="004E008D"/>
    <w:rsid w:val="004E0492"/>
    <w:rsid w:val="004E04C2"/>
    <w:rsid w:val="004E15A0"/>
    <w:rsid w:val="004E1EF0"/>
    <w:rsid w:val="004E33F3"/>
    <w:rsid w:val="004E4F13"/>
    <w:rsid w:val="004E715F"/>
    <w:rsid w:val="004E7CA9"/>
    <w:rsid w:val="004F0C2F"/>
    <w:rsid w:val="004F0FC6"/>
    <w:rsid w:val="004F1B46"/>
    <w:rsid w:val="004F2956"/>
    <w:rsid w:val="004F3138"/>
    <w:rsid w:val="00501E96"/>
    <w:rsid w:val="005031A9"/>
    <w:rsid w:val="0050398C"/>
    <w:rsid w:val="005044AC"/>
    <w:rsid w:val="005047FD"/>
    <w:rsid w:val="00504969"/>
    <w:rsid w:val="0050563D"/>
    <w:rsid w:val="00505D81"/>
    <w:rsid w:val="0050602A"/>
    <w:rsid w:val="00506D15"/>
    <w:rsid w:val="005117BC"/>
    <w:rsid w:val="00514B8B"/>
    <w:rsid w:val="00515E4B"/>
    <w:rsid w:val="0051615B"/>
    <w:rsid w:val="00517A4C"/>
    <w:rsid w:val="00520628"/>
    <w:rsid w:val="005206FD"/>
    <w:rsid w:val="00520EF7"/>
    <w:rsid w:val="00523522"/>
    <w:rsid w:val="005242E6"/>
    <w:rsid w:val="00524FC8"/>
    <w:rsid w:val="00525B80"/>
    <w:rsid w:val="00525E67"/>
    <w:rsid w:val="00526F07"/>
    <w:rsid w:val="00526F9D"/>
    <w:rsid w:val="005272E3"/>
    <w:rsid w:val="00527585"/>
    <w:rsid w:val="00530586"/>
    <w:rsid w:val="00531C35"/>
    <w:rsid w:val="0053225C"/>
    <w:rsid w:val="005331F6"/>
    <w:rsid w:val="00534EBE"/>
    <w:rsid w:val="00535AE5"/>
    <w:rsid w:val="00535F5A"/>
    <w:rsid w:val="00536DDC"/>
    <w:rsid w:val="00537229"/>
    <w:rsid w:val="00540CF2"/>
    <w:rsid w:val="0054103B"/>
    <w:rsid w:val="00541D86"/>
    <w:rsid w:val="005428AB"/>
    <w:rsid w:val="00543FB1"/>
    <w:rsid w:val="005448B4"/>
    <w:rsid w:val="00544BB0"/>
    <w:rsid w:val="0054636A"/>
    <w:rsid w:val="005463F3"/>
    <w:rsid w:val="00550852"/>
    <w:rsid w:val="00552D0A"/>
    <w:rsid w:val="00553E34"/>
    <w:rsid w:val="00554730"/>
    <w:rsid w:val="00555B65"/>
    <w:rsid w:val="00555BAB"/>
    <w:rsid w:val="0055602F"/>
    <w:rsid w:val="0055646A"/>
    <w:rsid w:val="00560791"/>
    <w:rsid w:val="00563C43"/>
    <w:rsid w:val="0056411D"/>
    <w:rsid w:val="00564631"/>
    <w:rsid w:val="005652E5"/>
    <w:rsid w:val="00567F5A"/>
    <w:rsid w:val="00570AB3"/>
    <w:rsid w:val="005717CD"/>
    <w:rsid w:val="00572A97"/>
    <w:rsid w:val="00572BA4"/>
    <w:rsid w:val="00573572"/>
    <w:rsid w:val="00574C33"/>
    <w:rsid w:val="0057695F"/>
    <w:rsid w:val="00576F30"/>
    <w:rsid w:val="00580022"/>
    <w:rsid w:val="005819C8"/>
    <w:rsid w:val="00581EE4"/>
    <w:rsid w:val="0058409F"/>
    <w:rsid w:val="00584682"/>
    <w:rsid w:val="00584A03"/>
    <w:rsid w:val="00586567"/>
    <w:rsid w:val="00586FCA"/>
    <w:rsid w:val="00590FDF"/>
    <w:rsid w:val="005921DC"/>
    <w:rsid w:val="00593671"/>
    <w:rsid w:val="005964F5"/>
    <w:rsid w:val="00596F26"/>
    <w:rsid w:val="005A06E6"/>
    <w:rsid w:val="005A1679"/>
    <w:rsid w:val="005A4EE4"/>
    <w:rsid w:val="005A5A5B"/>
    <w:rsid w:val="005A6266"/>
    <w:rsid w:val="005A6775"/>
    <w:rsid w:val="005A6865"/>
    <w:rsid w:val="005A7AA8"/>
    <w:rsid w:val="005B06C4"/>
    <w:rsid w:val="005B103B"/>
    <w:rsid w:val="005B1574"/>
    <w:rsid w:val="005B39D7"/>
    <w:rsid w:val="005B42A3"/>
    <w:rsid w:val="005B4924"/>
    <w:rsid w:val="005B5C25"/>
    <w:rsid w:val="005B7E6E"/>
    <w:rsid w:val="005C001F"/>
    <w:rsid w:val="005C1BC5"/>
    <w:rsid w:val="005C1BFE"/>
    <w:rsid w:val="005C1EC7"/>
    <w:rsid w:val="005C3D22"/>
    <w:rsid w:val="005C7269"/>
    <w:rsid w:val="005C7DE7"/>
    <w:rsid w:val="005D0EDE"/>
    <w:rsid w:val="005D25C1"/>
    <w:rsid w:val="005D3C77"/>
    <w:rsid w:val="005D485E"/>
    <w:rsid w:val="005D54BD"/>
    <w:rsid w:val="005D5A3F"/>
    <w:rsid w:val="005D6349"/>
    <w:rsid w:val="005D6730"/>
    <w:rsid w:val="005D6F30"/>
    <w:rsid w:val="005E040A"/>
    <w:rsid w:val="005E3702"/>
    <w:rsid w:val="005E4FB4"/>
    <w:rsid w:val="005E53FA"/>
    <w:rsid w:val="005E5A39"/>
    <w:rsid w:val="005E647C"/>
    <w:rsid w:val="005E6D94"/>
    <w:rsid w:val="005E7616"/>
    <w:rsid w:val="005E7DC6"/>
    <w:rsid w:val="005F267C"/>
    <w:rsid w:val="005F26A3"/>
    <w:rsid w:val="005F2F45"/>
    <w:rsid w:val="005F3D0A"/>
    <w:rsid w:val="005F42D7"/>
    <w:rsid w:val="005F46E2"/>
    <w:rsid w:val="005F4804"/>
    <w:rsid w:val="005F4BA5"/>
    <w:rsid w:val="005F6515"/>
    <w:rsid w:val="005F6520"/>
    <w:rsid w:val="005F669A"/>
    <w:rsid w:val="005F79DA"/>
    <w:rsid w:val="00600A43"/>
    <w:rsid w:val="0060228A"/>
    <w:rsid w:val="006024BA"/>
    <w:rsid w:val="00603B46"/>
    <w:rsid w:val="006044D2"/>
    <w:rsid w:val="006044FE"/>
    <w:rsid w:val="00604841"/>
    <w:rsid w:val="00604B07"/>
    <w:rsid w:val="00605C28"/>
    <w:rsid w:val="00606154"/>
    <w:rsid w:val="00606A99"/>
    <w:rsid w:val="00606D01"/>
    <w:rsid w:val="0061107C"/>
    <w:rsid w:val="0061122F"/>
    <w:rsid w:val="00611230"/>
    <w:rsid w:val="00611530"/>
    <w:rsid w:val="006126C8"/>
    <w:rsid w:val="00613DBE"/>
    <w:rsid w:val="00615387"/>
    <w:rsid w:val="006153B5"/>
    <w:rsid w:val="0061545E"/>
    <w:rsid w:val="006155D1"/>
    <w:rsid w:val="00616570"/>
    <w:rsid w:val="00616924"/>
    <w:rsid w:val="0061754A"/>
    <w:rsid w:val="00622199"/>
    <w:rsid w:val="00625562"/>
    <w:rsid w:val="00625672"/>
    <w:rsid w:val="00625DF8"/>
    <w:rsid w:val="006263DF"/>
    <w:rsid w:val="0063235E"/>
    <w:rsid w:val="006353F2"/>
    <w:rsid w:val="00637200"/>
    <w:rsid w:val="00640DCF"/>
    <w:rsid w:val="006442E6"/>
    <w:rsid w:val="006446ED"/>
    <w:rsid w:val="00644FDD"/>
    <w:rsid w:val="0064521F"/>
    <w:rsid w:val="0064525B"/>
    <w:rsid w:val="00651905"/>
    <w:rsid w:val="00653225"/>
    <w:rsid w:val="006538D6"/>
    <w:rsid w:val="006549B1"/>
    <w:rsid w:val="00655D4F"/>
    <w:rsid w:val="00655F5A"/>
    <w:rsid w:val="00657021"/>
    <w:rsid w:val="00661030"/>
    <w:rsid w:val="006618CD"/>
    <w:rsid w:val="0066306E"/>
    <w:rsid w:val="00663407"/>
    <w:rsid w:val="00663420"/>
    <w:rsid w:val="0066529E"/>
    <w:rsid w:val="00666CCC"/>
    <w:rsid w:val="006676C4"/>
    <w:rsid w:val="00671151"/>
    <w:rsid w:val="0067543B"/>
    <w:rsid w:val="00675533"/>
    <w:rsid w:val="00675E36"/>
    <w:rsid w:val="00675FFC"/>
    <w:rsid w:val="00681AF7"/>
    <w:rsid w:val="00683AD7"/>
    <w:rsid w:val="00684B58"/>
    <w:rsid w:val="00685BA5"/>
    <w:rsid w:val="006878BC"/>
    <w:rsid w:val="00690A48"/>
    <w:rsid w:val="00691265"/>
    <w:rsid w:val="00691857"/>
    <w:rsid w:val="00692EE3"/>
    <w:rsid w:val="006937FC"/>
    <w:rsid w:val="00693B37"/>
    <w:rsid w:val="0069487C"/>
    <w:rsid w:val="00697CAB"/>
    <w:rsid w:val="006A05F4"/>
    <w:rsid w:val="006A0D70"/>
    <w:rsid w:val="006A2792"/>
    <w:rsid w:val="006A5FB2"/>
    <w:rsid w:val="006B0903"/>
    <w:rsid w:val="006B10CD"/>
    <w:rsid w:val="006B18F0"/>
    <w:rsid w:val="006B2001"/>
    <w:rsid w:val="006B26E3"/>
    <w:rsid w:val="006B4F8C"/>
    <w:rsid w:val="006B5657"/>
    <w:rsid w:val="006B5B7A"/>
    <w:rsid w:val="006B7421"/>
    <w:rsid w:val="006C0A70"/>
    <w:rsid w:val="006C1586"/>
    <w:rsid w:val="006C259C"/>
    <w:rsid w:val="006C2EB6"/>
    <w:rsid w:val="006C4309"/>
    <w:rsid w:val="006C6071"/>
    <w:rsid w:val="006C7580"/>
    <w:rsid w:val="006C790C"/>
    <w:rsid w:val="006D1757"/>
    <w:rsid w:val="006D1EEC"/>
    <w:rsid w:val="006D3B65"/>
    <w:rsid w:val="006D46B5"/>
    <w:rsid w:val="006D6A05"/>
    <w:rsid w:val="006D76A9"/>
    <w:rsid w:val="006E034A"/>
    <w:rsid w:val="006E0594"/>
    <w:rsid w:val="006E1A3E"/>
    <w:rsid w:val="006E4911"/>
    <w:rsid w:val="006E5AF9"/>
    <w:rsid w:val="006E6A5B"/>
    <w:rsid w:val="006E725B"/>
    <w:rsid w:val="006F1649"/>
    <w:rsid w:val="006F257B"/>
    <w:rsid w:val="006F2D1E"/>
    <w:rsid w:val="006F54EA"/>
    <w:rsid w:val="006F59D3"/>
    <w:rsid w:val="006F5C3F"/>
    <w:rsid w:val="006F606B"/>
    <w:rsid w:val="006F615A"/>
    <w:rsid w:val="006F65AE"/>
    <w:rsid w:val="006F738E"/>
    <w:rsid w:val="00700FBA"/>
    <w:rsid w:val="00701377"/>
    <w:rsid w:val="00702B9C"/>
    <w:rsid w:val="007030E7"/>
    <w:rsid w:val="00703B42"/>
    <w:rsid w:val="00704E22"/>
    <w:rsid w:val="0070608B"/>
    <w:rsid w:val="007068B2"/>
    <w:rsid w:val="00707E01"/>
    <w:rsid w:val="00707FD4"/>
    <w:rsid w:val="007142F5"/>
    <w:rsid w:val="00714F9A"/>
    <w:rsid w:val="00716206"/>
    <w:rsid w:val="00716A31"/>
    <w:rsid w:val="00716EDA"/>
    <w:rsid w:val="0071770D"/>
    <w:rsid w:val="00720836"/>
    <w:rsid w:val="007208A9"/>
    <w:rsid w:val="00721071"/>
    <w:rsid w:val="00721434"/>
    <w:rsid w:val="00723D2D"/>
    <w:rsid w:val="00724BB3"/>
    <w:rsid w:val="00725449"/>
    <w:rsid w:val="00726C7F"/>
    <w:rsid w:val="00732DB0"/>
    <w:rsid w:val="00734179"/>
    <w:rsid w:val="00734744"/>
    <w:rsid w:val="00734A64"/>
    <w:rsid w:val="00737A57"/>
    <w:rsid w:val="00737C1A"/>
    <w:rsid w:val="00741DF0"/>
    <w:rsid w:val="00742447"/>
    <w:rsid w:val="00742DC1"/>
    <w:rsid w:val="00742F76"/>
    <w:rsid w:val="0074327B"/>
    <w:rsid w:val="00744C9D"/>
    <w:rsid w:val="007473CD"/>
    <w:rsid w:val="00747D2F"/>
    <w:rsid w:val="00747E27"/>
    <w:rsid w:val="00750D17"/>
    <w:rsid w:val="00752112"/>
    <w:rsid w:val="00752BF1"/>
    <w:rsid w:val="00753527"/>
    <w:rsid w:val="0075374B"/>
    <w:rsid w:val="0075381B"/>
    <w:rsid w:val="0075383E"/>
    <w:rsid w:val="00753AB9"/>
    <w:rsid w:val="00753B8B"/>
    <w:rsid w:val="00753E31"/>
    <w:rsid w:val="007545F3"/>
    <w:rsid w:val="00755AF0"/>
    <w:rsid w:val="007567D5"/>
    <w:rsid w:val="00757E85"/>
    <w:rsid w:val="007605EB"/>
    <w:rsid w:val="00760911"/>
    <w:rsid w:val="00761186"/>
    <w:rsid w:val="0076205C"/>
    <w:rsid w:val="00762B28"/>
    <w:rsid w:val="00763B4A"/>
    <w:rsid w:val="00763F71"/>
    <w:rsid w:val="007644D1"/>
    <w:rsid w:val="00765B5F"/>
    <w:rsid w:val="0076680F"/>
    <w:rsid w:val="00767749"/>
    <w:rsid w:val="00772CD7"/>
    <w:rsid w:val="00772DCE"/>
    <w:rsid w:val="007736F2"/>
    <w:rsid w:val="0077401B"/>
    <w:rsid w:val="0077730A"/>
    <w:rsid w:val="00780B37"/>
    <w:rsid w:val="00780E09"/>
    <w:rsid w:val="007817C2"/>
    <w:rsid w:val="0078272B"/>
    <w:rsid w:val="00783380"/>
    <w:rsid w:val="0078477A"/>
    <w:rsid w:val="00785C3F"/>
    <w:rsid w:val="00786032"/>
    <w:rsid w:val="007862A7"/>
    <w:rsid w:val="00786F55"/>
    <w:rsid w:val="00790B59"/>
    <w:rsid w:val="007911F2"/>
    <w:rsid w:val="007913A0"/>
    <w:rsid w:val="00791658"/>
    <w:rsid w:val="0079236D"/>
    <w:rsid w:val="007934C3"/>
    <w:rsid w:val="00793AC8"/>
    <w:rsid w:val="0079416B"/>
    <w:rsid w:val="007966E5"/>
    <w:rsid w:val="00796EE5"/>
    <w:rsid w:val="0079745E"/>
    <w:rsid w:val="00797470"/>
    <w:rsid w:val="007A0037"/>
    <w:rsid w:val="007A091F"/>
    <w:rsid w:val="007A09A5"/>
    <w:rsid w:val="007A1E8F"/>
    <w:rsid w:val="007A1EF5"/>
    <w:rsid w:val="007A49F1"/>
    <w:rsid w:val="007A4C22"/>
    <w:rsid w:val="007A6EA7"/>
    <w:rsid w:val="007A77E5"/>
    <w:rsid w:val="007B1D18"/>
    <w:rsid w:val="007B2236"/>
    <w:rsid w:val="007B2CA2"/>
    <w:rsid w:val="007B4400"/>
    <w:rsid w:val="007B49E7"/>
    <w:rsid w:val="007B5005"/>
    <w:rsid w:val="007B644B"/>
    <w:rsid w:val="007B7C18"/>
    <w:rsid w:val="007C2B68"/>
    <w:rsid w:val="007C3A7D"/>
    <w:rsid w:val="007C42EF"/>
    <w:rsid w:val="007C4AAD"/>
    <w:rsid w:val="007C4CE7"/>
    <w:rsid w:val="007C69F0"/>
    <w:rsid w:val="007C784C"/>
    <w:rsid w:val="007C78DF"/>
    <w:rsid w:val="007D0B6D"/>
    <w:rsid w:val="007D1698"/>
    <w:rsid w:val="007D1DDE"/>
    <w:rsid w:val="007D43DA"/>
    <w:rsid w:val="007D47AA"/>
    <w:rsid w:val="007D4E31"/>
    <w:rsid w:val="007D5640"/>
    <w:rsid w:val="007D648B"/>
    <w:rsid w:val="007D6777"/>
    <w:rsid w:val="007D6831"/>
    <w:rsid w:val="007D7012"/>
    <w:rsid w:val="007D7192"/>
    <w:rsid w:val="007E150D"/>
    <w:rsid w:val="007E1A30"/>
    <w:rsid w:val="007E1A43"/>
    <w:rsid w:val="007E2003"/>
    <w:rsid w:val="007E2081"/>
    <w:rsid w:val="007E25C9"/>
    <w:rsid w:val="007E274E"/>
    <w:rsid w:val="007E2D05"/>
    <w:rsid w:val="007E3624"/>
    <w:rsid w:val="007E58CD"/>
    <w:rsid w:val="007E5F99"/>
    <w:rsid w:val="007E71D8"/>
    <w:rsid w:val="007E735E"/>
    <w:rsid w:val="007E7A91"/>
    <w:rsid w:val="007F1A09"/>
    <w:rsid w:val="007F36DE"/>
    <w:rsid w:val="007F4C47"/>
    <w:rsid w:val="007F6ECD"/>
    <w:rsid w:val="008012E8"/>
    <w:rsid w:val="00801858"/>
    <w:rsid w:val="0080243F"/>
    <w:rsid w:val="008029AD"/>
    <w:rsid w:val="00803FCF"/>
    <w:rsid w:val="00805863"/>
    <w:rsid w:val="00805FEB"/>
    <w:rsid w:val="008100A4"/>
    <w:rsid w:val="00811AA0"/>
    <w:rsid w:val="00812380"/>
    <w:rsid w:val="00812F9A"/>
    <w:rsid w:val="00813B25"/>
    <w:rsid w:val="008141C2"/>
    <w:rsid w:val="00815522"/>
    <w:rsid w:val="008156D9"/>
    <w:rsid w:val="0081629E"/>
    <w:rsid w:val="0081675D"/>
    <w:rsid w:val="008202CC"/>
    <w:rsid w:val="00822D52"/>
    <w:rsid w:val="00824FDC"/>
    <w:rsid w:val="008277A2"/>
    <w:rsid w:val="008304DA"/>
    <w:rsid w:val="0083074E"/>
    <w:rsid w:val="0083307B"/>
    <w:rsid w:val="008346BF"/>
    <w:rsid w:val="00835587"/>
    <w:rsid w:val="00835A01"/>
    <w:rsid w:val="008375E1"/>
    <w:rsid w:val="008410FC"/>
    <w:rsid w:val="00841E78"/>
    <w:rsid w:val="008436FF"/>
    <w:rsid w:val="00845859"/>
    <w:rsid w:val="00846910"/>
    <w:rsid w:val="00846F82"/>
    <w:rsid w:val="00847C6B"/>
    <w:rsid w:val="00850338"/>
    <w:rsid w:val="00850856"/>
    <w:rsid w:val="00850A6C"/>
    <w:rsid w:val="00852364"/>
    <w:rsid w:val="008541AB"/>
    <w:rsid w:val="00854B9E"/>
    <w:rsid w:val="00855530"/>
    <w:rsid w:val="008575B3"/>
    <w:rsid w:val="00857B1E"/>
    <w:rsid w:val="00857F84"/>
    <w:rsid w:val="00860032"/>
    <w:rsid w:val="008603D9"/>
    <w:rsid w:val="0086131C"/>
    <w:rsid w:val="00865331"/>
    <w:rsid w:val="00866B96"/>
    <w:rsid w:val="00866EFF"/>
    <w:rsid w:val="008705F6"/>
    <w:rsid w:val="008714CD"/>
    <w:rsid w:val="008760DD"/>
    <w:rsid w:val="0088117B"/>
    <w:rsid w:val="0088126F"/>
    <w:rsid w:val="00882D06"/>
    <w:rsid w:val="00883444"/>
    <w:rsid w:val="00883C42"/>
    <w:rsid w:val="00886945"/>
    <w:rsid w:val="00891053"/>
    <w:rsid w:val="00891FB7"/>
    <w:rsid w:val="0089207F"/>
    <w:rsid w:val="00892A7B"/>
    <w:rsid w:val="008A0A70"/>
    <w:rsid w:val="008A104F"/>
    <w:rsid w:val="008A39D2"/>
    <w:rsid w:val="008A5109"/>
    <w:rsid w:val="008A5A34"/>
    <w:rsid w:val="008A5FFA"/>
    <w:rsid w:val="008A7162"/>
    <w:rsid w:val="008B179F"/>
    <w:rsid w:val="008B187B"/>
    <w:rsid w:val="008B187D"/>
    <w:rsid w:val="008B4474"/>
    <w:rsid w:val="008B5817"/>
    <w:rsid w:val="008B5B7B"/>
    <w:rsid w:val="008B624D"/>
    <w:rsid w:val="008C1ADF"/>
    <w:rsid w:val="008C31B4"/>
    <w:rsid w:val="008C362E"/>
    <w:rsid w:val="008C3636"/>
    <w:rsid w:val="008C47BE"/>
    <w:rsid w:val="008C5231"/>
    <w:rsid w:val="008C5A1F"/>
    <w:rsid w:val="008C5C7E"/>
    <w:rsid w:val="008C6920"/>
    <w:rsid w:val="008C73DE"/>
    <w:rsid w:val="008C77C2"/>
    <w:rsid w:val="008D1017"/>
    <w:rsid w:val="008D3B50"/>
    <w:rsid w:val="008D3D4B"/>
    <w:rsid w:val="008D442B"/>
    <w:rsid w:val="008D4523"/>
    <w:rsid w:val="008D5FC9"/>
    <w:rsid w:val="008D68CE"/>
    <w:rsid w:val="008D7144"/>
    <w:rsid w:val="008E0A9C"/>
    <w:rsid w:val="008E12FE"/>
    <w:rsid w:val="008E251B"/>
    <w:rsid w:val="008E2672"/>
    <w:rsid w:val="008E2BBB"/>
    <w:rsid w:val="008E543A"/>
    <w:rsid w:val="008E592D"/>
    <w:rsid w:val="008E6EAD"/>
    <w:rsid w:val="008E6F99"/>
    <w:rsid w:val="008F021F"/>
    <w:rsid w:val="008F0267"/>
    <w:rsid w:val="008F2980"/>
    <w:rsid w:val="008F2BCF"/>
    <w:rsid w:val="008F317E"/>
    <w:rsid w:val="008F4447"/>
    <w:rsid w:val="008F4C8E"/>
    <w:rsid w:val="008F5017"/>
    <w:rsid w:val="008F54B1"/>
    <w:rsid w:val="008F6759"/>
    <w:rsid w:val="008F6E92"/>
    <w:rsid w:val="0090038F"/>
    <w:rsid w:val="009024EC"/>
    <w:rsid w:val="00904B1B"/>
    <w:rsid w:val="009070C4"/>
    <w:rsid w:val="00910863"/>
    <w:rsid w:val="0091266D"/>
    <w:rsid w:val="00912851"/>
    <w:rsid w:val="00913431"/>
    <w:rsid w:val="00917CFF"/>
    <w:rsid w:val="00920823"/>
    <w:rsid w:val="00922C0D"/>
    <w:rsid w:val="00922C36"/>
    <w:rsid w:val="00923ABD"/>
    <w:rsid w:val="00925AB2"/>
    <w:rsid w:val="00926A36"/>
    <w:rsid w:val="00927625"/>
    <w:rsid w:val="009305C7"/>
    <w:rsid w:val="0093079F"/>
    <w:rsid w:val="0093091B"/>
    <w:rsid w:val="0093107E"/>
    <w:rsid w:val="0093120F"/>
    <w:rsid w:val="00931DFA"/>
    <w:rsid w:val="00933804"/>
    <w:rsid w:val="00934288"/>
    <w:rsid w:val="00934BEC"/>
    <w:rsid w:val="00934CB8"/>
    <w:rsid w:val="00935CAF"/>
    <w:rsid w:val="00936456"/>
    <w:rsid w:val="00937B3B"/>
    <w:rsid w:val="00941610"/>
    <w:rsid w:val="00942908"/>
    <w:rsid w:val="00942AD0"/>
    <w:rsid w:val="00943E91"/>
    <w:rsid w:val="00944341"/>
    <w:rsid w:val="009449A9"/>
    <w:rsid w:val="00944BC7"/>
    <w:rsid w:val="00944CBA"/>
    <w:rsid w:val="00950B27"/>
    <w:rsid w:val="00951D2D"/>
    <w:rsid w:val="00951EB2"/>
    <w:rsid w:val="009525DE"/>
    <w:rsid w:val="009531DE"/>
    <w:rsid w:val="00953C80"/>
    <w:rsid w:val="0095473A"/>
    <w:rsid w:val="009548AE"/>
    <w:rsid w:val="0095672F"/>
    <w:rsid w:val="00956F9F"/>
    <w:rsid w:val="009619A2"/>
    <w:rsid w:val="00962568"/>
    <w:rsid w:val="009628AD"/>
    <w:rsid w:val="00965013"/>
    <w:rsid w:val="00965925"/>
    <w:rsid w:val="00965A18"/>
    <w:rsid w:val="00965B29"/>
    <w:rsid w:val="0096604E"/>
    <w:rsid w:val="009660B2"/>
    <w:rsid w:val="00966BA8"/>
    <w:rsid w:val="009717E0"/>
    <w:rsid w:val="00972B7E"/>
    <w:rsid w:val="00973176"/>
    <w:rsid w:val="00973BD0"/>
    <w:rsid w:val="00975EFE"/>
    <w:rsid w:val="00980B73"/>
    <w:rsid w:val="00981260"/>
    <w:rsid w:val="009813D9"/>
    <w:rsid w:val="00982A69"/>
    <w:rsid w:val="00986EB4"/>
    <w:rsid w:val="00990DF7"/>
    <w:rsid w:val="00991E8C"/>
    <w:rsid w:val="0099218F"/>
    <w:rsid w:val="009924AB"/>
    <w:rsid w:val="00994223"/>
    <w:rsid w:val="00994B72"/>
    <w:rsid w:val="00994DF7"/>
    <w:rsid w:val="00995BE7"/>
    <w:rsid w:val="009A0C32"/>
    <w:rsid w:val="009A136D"/>
    <w:rsid w:val="009A28C2"/>
    <w:rsid w:val="009A2AEC"/>
    <w:rsid w:val="009A33EF"/>
    <w:rsid w:val="009A3DEC"/>
    <w:rsid w:val="009A5342"/>
    <w:rsid w:val="009A6ED4"/>
    <w:rsid w:val="009A72DE"/>
    <w:rsid w:val="009A7807"/>
    <w:rsid w:val="009A78AA"/>
    <w:rsid w:val="009B1B23"/>
    <w:rsid w:val="009B255D"/>
    <w:rsid w:val="009B3714"/>
    <w:rsid w:val="009B5B61"/>
    <w:rsid w:val="009B5C4B"/>
    <w:rsid w:val="009B724F"/>
    <w:rsid w:val="009B7F82"/>
    <w:rsid w:val="009C079D"/>
    <w:rsid w:val="009C07B9"/>
    <w:rsid w:val="009C0AA9"/>
    <w:rsid w:val="009C13C1"/>
    <w:rsid w:val="009C1914"/>
    <w:rsid w:val="009C2723"/>
    <w:rsid w:val="009C34FD"/>
    <w:rsid w:val="009C64E2"/>
    <w:rsid w:val="009C64F0"/>
    <w:rsid w:val="009D0547"/>
    <w:rsid w:val="009D13B6"/>
    <w:rsid w:val="009D1829"/>
    <w:rsid w:val="009D26E5"/>
    <w:rsid w:val="009D3835"/>
    <w:rsid w:val="009D3FB5"/>
    <w:rsid w:val="009D5038"/>
    <w:rsid w:val="009D73BB"/>
    <w:rsid w:val="009D74DD"/>
    <w:rsid w:val="009D7C47"/>
    <w:rsid w:val="009E0609"/>
    <w:rsid w:val="009E2CE5"/>
    <w:rsid w:val="009E39FB"/>
    <w:rsid w:val="009E3EF8"/>
    <w:rsid w:val="009E4ACF"/>
    <w:rsid w:val="009E4ECD"/>
    <w:rsid w:val="009E55BD"/>
    <w:rsid w:val="009E605C"/>
    <w:rsid w:val="009E6F3E"/>
    <w:rsid w:val="009E7167"/>
    <w:rsid w:val="009E746D"/>
    <w:rsid w:val="009F03DE"/>
    <w:rsid w:val="009F061E"/>
    <w:rsid w:val="009F0731"/>
    <w:rsid w:val="009F13DF"/>
    <w:rsid w:val="009F2E54"/>
    <w:rsid w:val="009F3773"/>
    <w:rsid w:val="009F3D69"/>
    <w:rsid w:val="009F6689"/>
    <w:rsid w:val="009F7048"/>
    <w:rsid w:val="00A003B0"/>
    <w:rsid w:val="00A00D57"/>
    <w:rsid w:val="00A021A7"/>
    <w:rsid w:val="00A03E79"/>
    <w:rsid w:val="00A049BD"/>
    <w:rsid w:val="00A050A0"/>
    <w:rsid w:val="00A051F7"/>
    <w:rsid w:val="00A07123"/>
    <w:rsid w:val="00A07220"/>
    <w:rsid w:val="00A101A1"/>
    <w:rsid w:val="00A1057C"/>
    <w:rsid w:val="00A11712"/>
    <w:rsid w:val="00A11AEE"/>
    <w:rsid w:val="00A12E5F"/>
    <w:rsid w:val="00A1397D"/>
    <w:rsid w:val="00A14F65"/>
    <w:rsid w:val="00A240CE"/>
    <w:rsid w:val="00A24B77"/>
    <w:rsid w:val="00A258C8"/>
    <w:rsid w:val="00A25BB6"/>
    <w:rsid w:val="00A25E4C"/>
    <w:rsid w:val="00A2675C"/>
    <w:rsid w:val="00A31641"/>
    <w:rsid w:val="00A3285E"/>
    <w:rsid w:val="00A32934"/>
    <w:rsid w:val="00A34513"/>
    <w:rsid w:val="00A347A1"/>
    <w:rsid w:val="00A35CF1"/>
    <w:rsid w:val="00A37233"/>
    <w:rsid w:val="00A37560"/>
    <w:rsid w:val="00A37D46"/>
    <w:rsid w:val="00A37F8C"/>
    <w:rsid w:val="00A40840"/>
    <w:rsid w:val="00A40FB4"/>
    <w:rsid w:val="00A43192"/>
    <w:rsid w:val="00A44FD8"/>
    <w:rsid w:val="00A469B8"/>
    <w:rsid w:val="00A47DA3"/>
    <w:rsid w:val="00A50728"/>
    <w:rsid w:val="00A5233D"/>
    <w:rsid w:val="00A525EB"/>
    <w:rsid w:val="00A5291F"/>
    <w:rsid w:val="00A52C02"/>
    <w:rsid w:val="00A53B76"/>
    <w:rsid w:val="00A5776A"/>
    <w:rsid w:val="00A57DF3"/>
    <w:rsid w:val="00A57F6D"/>
    <w:rsid w:val="00A64D25"/>
    <w:rsid w:val="00A65EDF"/>
    <w:rsid w:val="00A66F08"/>
    <w:rsid w:val="00A67EAD"/>
    <w:rsid w:val="00A71540"/>
    <w:rsid w:val="00A71746"/>
    <w:rsid w:val="00A71A3C"/>
    <w:rsid w:val="00A721C2"/>
    <w:rsid w:val="00A72C0B"/>
    <w:rsid w:val="00A7377D"/>
    <w:rsid w:val="00A74DBA"/>
    <w:rsid w:val="00A756C6"/>
    <w:rsid w:val="00A76C0E"/>
    <w:rsid w:val="00A77780"/>
    <w:rsid w:val="00A77794"/>
    <w:rsid w:val="00A8639D"/>
    <w:rsid w:val="00A8658B"/>
    <w:rsid w:val="00A8729D"/>
    <w:rsid w:val="00A90B40"/>
    <w:rsid w:val="00A91425"/>
    <w:rsid w:val="00A9153C"/>
    <w:rsid w:val="00A91C20"/>
    <w:rsid w:val="00A92C17"/>
    <w:rsid w:val="00A94CE1"/>
    <w:rsid w:val="00A954D0"/>
    <w:rsid w:val="00A95602"/>
    <w:rsid w:val="00A95760"/>
    <w:rsid w:val="00A9689F"/>
    <w:rsid w:val="00A974CA"/>
    <w:rsid w:val="00AA0E62"/>
    <w:rsid w:val="00AA1F4F"/>
    <w:rsid w:val="00AA2FAB"/>
    <w:rsid w:val="00AA459D"/>
    <w:rsid w:val="00AA47E4"/>
    <w:rsid w:val="00AA548B"/>
    <w:rsid w:val="00AA6067"/>
    <w:rsid w:val="00AB34DE"/>
    <w:rsid w:val="00AB3AE3"/>
    <w:rsid w:val="00AB711F"/>
    <w:rsid w:val="00AC1425"/>
    <w:rsid w:val="00AC1769"/>
    <w:rsid w:val="00AC3FE7"/>
    <w:rsid w:val="00AC50BB"/>
    <w:rsid w:val="00AC5793"/>
    <w:rsid w:val="00AC749E"/>
    <w:rsid w:val="00AC76D0"/>
    <w:rsid w:val="00AD2CDF"/>
    <w:rsid w:val="00AD45D9"/>
    <w:rsid w:val="00AD47B6"/>
    <w:rsid w:val="00AD4B20"/>
    <w:rsid w:val="00AD547A"/>
    <w:rsid w:val="00AD6D6B"/>
    <w:rsid w:val="00AD7ACB"/>
    <w:rsid w:val="00AE06F2"/>
    <w:rsid w:val="00AE0ADA"/>
    <w:rsid w:val="00AE0B2D"/>
    <w:rsid w:val="00AE1D6F"/>
    <w:rsid w:val="00AE2BBD"/>
    <w:rsid w:val="00AE3467"/>
    <w:rsid w:val="00AE6093"/>
    <w:rsid w:val="00AE618B"/>
    <w:rsid w:val="00AE6EA9"/>
    <w:rsid w:val="00AF0E03"/>
    <w:rsid w:val="00AF15C3"/>
    <w:rsid w:val="00AF2CA9"/>
    <w:rsid w:val="00AF3523"/>
    <w:rsid w:val="00AF56B0"/>
    <w:rsid w:val="00AF6FFD"/>
    <w:rsid w:val="00B004A3"/>
    <w:rsid w:val="00B0085B"/>
    <w:rsid w:val="00B0104E"/>
    <w:rsid w:val="00B02331"/>
    <w:rsid w:val="00B03B1A"/>
    <w:rsid w:val="00B0567A"/>
    <w:rsid w:val="00B057BF"/>
    <w:rsid w:val="00B072A6"/>
    <w:rsid w:val="00B10462"/>
    <w:rsid w:val="00B112F2"/>
    <w:rsid w:val="00B11E48"/>
    <w:rsid w:val="00B1200D"/>
    <w:rsid w:val="00B13D6C"/>
    <w:rsid w:val="00B14217"/>
    <w:rsid w:val="00B1510D"/>
    <w:rsid w:val="00B15D41"/>
    <w:rsid w:val="00B175F2"/>
    <w:rsid w:val="00B20554"/>
    <w:rsid w:val="00B20691"/>
    <w:rsid w:val="00B21F4B"/>
    <w:rsid w:val="00B23FC8"/>
    <w:rsid w:val="00B25171"/>
    <w:rsid w:val="00B25D64"/>
    <w:rsid w:val="00B26ECE"/>
    <w:rsid w:val="00B307A9"/>
    <w:rsid w:val="00B30F28"/>
    <w:rsid w:val="00B3100A"/>
    <w:rsid w:val="00B34011"/>
    <w:rsid w:val="00B3445C"/>
    <w:rsid w:val="00B35396"/>
    <w:rsid w:val="00B3638C"/>
    <w:rsid w:val="00B412B8"/>
    <w:rsid w:val="00B46A94"/>
    <w:rsid w:val="00B52969"/>
    <w:rsid w:val="00B5317F"/>
    <w:rsid w:val="00B53A5E"/>
    <w:rsid w:val="00B53FDB"/>
    <w:rsid w:val="00B55534"/>
    <w:rsid w:val="00B55ABB"/>
    <w:rsid w:val="00B565C6"/>
    <w:rsid w:val="00B57262"/>
    <w:rsid w:val="00B576DE"/>
    <w:rsid w:val="00B61533"/>
    <w:rsid w:val="00B62628"/>
    <w:rsid w:val="00B62629"/>
    <w:rsid w:val="00B63637"/>
    <w:rsid w:val="00B65828"/>
    <w:rsid w:val="00B66C4D"/>
    <w:rsid w:val="00B7020C"/>
    <w:rsid w:val="00B708EA"/>
    <w:rsid w:val="00B73107"/>
    <w:rsid w:val="00B737DC"/>
    <w:rsid w:val="00B75B4B"/>
    <w:rsid w:val="00B779EC"/>
    <w:rsid w:val="00B77F2A"/>
    <w:rsid w:val="00B810D9"/>
    <w:rsid w:val="00B828F5"/>
    <w:rsid w:val="00B82BCB"/>
    <w:rsid w:val="00B844F3"/>
    <w:rsid w:val="00B846D2"/>
    <w:rsid w:val="00B85D21"/>
    <w:rsid w:val="00B86545"/>
    <w:rsid w:val="00B86A3D"/>
    <w:rsid w:val="00B86DAD"/>
    <w:rsid w:val="00B908DF"/>
    <w:rsid w:val="00B91F3E"/>
    <w:rsid w:val="00B93C59"/>
    <w:rsid w:val="00B93D1B"/>
    <w:rsid w:val="00B94312"/>
    <w:rsid w:val="00B9658F"/>
    <w:rsid w:val="00B96896"/>
    <w:rsid w:val="00BA144C"/>
    <w:rsid w:val="00BA16EA"/>
    <w:rsid w:val="00BA22CD"/>
    <w:rsid w:val="00BA3CCE"/>
    <w:rsid w:val="00BA57DC"/>
    <w:rsid w:val="00BA5807"/>
    <w:rsid w:val="00BA6D92"/>
    <w:rsid w:val="00BA727A"/>
    <w:rsid w:val="00BA7661"/>
    <w:rsid w:val="00BA7AF8"/>
    <w:rsid w:val="00BB0853"/>
    <w:rsid w:val="00BB2DC8"/>
    <w:rsid w:val="00BB2FB9"/>
    <w:rsid w:val="00BB3CD4"/>
    <w:rsid w:val="00BB48A7"/>
    <w:rsid w:val="00BB6859"/>
    <w:rsid w:val="00BB6B98"/>
    <w:rsid w:val="00BB6D91"/>
    <w:rsid w:val="00BB74B4"/>
    <w:rsid w:val="00BC0799"/>
    <w:rsid w:val="00BC20BA"/>
    <w:rsid w:val="00BC2E44"/>
    <w:rsid w:val="00BC4504"/>
    <w:rsid w:val="00BC57A3"/>
    <w:rsid w:val="00BC5F74"/>
    <w:rsid w:val="00BC6528"/>
    <w:rsid w:val="00BC7F8E"/>
    <w:rsid w:val="00BD1414"/>
    <w:rsid w:val="00BD219E"/>
    <w:rsid w:val="00BD247D"/>
    <w:rsid w:val="00BD6980"/>
    <w:rsid w:val="00BD721B"/>
    <w:rsid w:val="00BD7A0A"/>
    <w:rsid w:val="00BD7E86"/>
    <w:rsid w:val="00BE17F7"/>
    <w:rsid w:val="00BE1F61"/>
    <w:rsid w:val="00BE2512"/>
    <w:rsid w:val="00BE5A1F"/>
    <w:rsid w:val="00BE61F3"/>
    <w:rsid w:val="00BE6DCD"/>
    <w:rsid w:val="00BE742A"/>
    <w:rsid w:val="00BE7C81"/>
    <w:rsid w:val="00BE7E03"/>
    <w:rsid w:val="00BF00F8"/>
    <w:rsid w:val="00BF0829"/>
    <w:rsid w:val="00BF0D88"/>
    <w:rsid w:val="00BF2AD2"/>
    <w:rsid w:val="00BF4843"/>
    <w:rsid w:val="00BF5E08"/>
    <w:rsid w:val="00BF679E"/>
    <w:rsid w:val="00C007BB"/>
    <w:rsid w:val="00C00895"/>
    <w:rsid w:val="00C02078"/>
    <w:rsid w:val="00C03FA5"/>
    <w:rsid w:val="00C0402A"/>
    <w:rsid w:val="00C04866"/>
    <w:rsid w:val="00C065F0"/>
    <w:rsid w:val="00C0721F"/>
    <w:rsid w:val="00C07685"/>
    <w:rsid w:val="00C10F17"/>
    <w:rsid w:val="00C13F4B"/>
    <w:rsid w:val="00C151CC"/>
    <w:rsid w:val="00C1562D"/>
    <w:rsid w:val="00C158CB"/>
    <w:rsid w:val="00C15B9D"/>
    <w:rsid w:val="00C15C7D"/>
    <w:rsid w:val="00C15D9D"/>
    <w:rsid w:val="00C16123"/>
    <w:rsid w:val="00C16726"/>
    <w:rsid w:val="00C16F8D"/>
    <w:rsid w:val="00C1762B"/>
    <w:rsid w:val="00C179BD"/>
    <w:rsid w:val="00C20CE9"/>
    <w:rsid w:val="00C24601"/>
    <w:rsid w:val="00C253ED"/>
    <w:rsid w:val="00C25A22"/>
    <w:rsid w:val="00C264ED"/>
    <w:rsid w:val="00C27064"/>
    <w:rsid w:val="00C303E3"/>
    <w:rsid w:val="00C31849"/>
    <w:rsid w:val="00C31F57"/>
    <w:rsid w:val="00C334B7"/>
    <w:rsid w:val="00C342A1"/>
    <w:rsid w:val="00C356C2"/>
    <w:rsid w:val="00C35AC3"/>
    <w:rsid w:val="00C401F7"/>
    <w:rsid w:val="00C40A72"/>
    <w:rsid w:val="00C42F81"/>
    <w:rsid w:val="00C44C4D"/>
    <w:rsid w:val="00C45970"/>
    <w:rsid w:val="00C45C40"/>
    <w:rsid w:val="00C47EC7"/>
    <w:rsid w:val="00C5090A"/>
    <w:rsid w:val="00C50916"/>
    <w:rsid w:val="00C50C6C"/>
    <w:rsid w:val="00C515A4"/>
    <w:rsid w:val="00C51C01"/>
    <w:rsid w:val="00C55D76"/>
    <w:rsid w:val="00C560A4"/>
    <w:rsid w:val="00C57C3B"/>
    <w:rsid w:val="00C57F3C"/>
    <w:rsid w:val="00C607CA"/>
    <w:rsid w:val="00C609C2"/>
    <w:rsid w:val="00C61449"/>
    <w:rsid w:val="00C6206E"/>
    <w:rsid w:val="00C637A7"/>
    <w:rsid w:val="00C64326"/>
    <w:rsid w:val="00C656B1"/>
    <w:rsid w:val="00C67505"/>
    <w:rsid w:val="00C67CAC"/>
    <w:rsid w:val="00C70A01"/>
    <w:rsid w:val="00C7222E"/>
    <w:rsid w:val="00C72907"/>
    <w:rsid w:val="00C73379"/>
    <w:rsid w:val="00C7409A"/>
    <w:rsid w:val="00C7590C"/>
    <w:rsid w:val="00C7696C"/>
    <w:rsid w:val="00C77307"/>
    <w:rsid w:val="00C812A4"/>
    <w:rsid w:val="00C81E50"/>
    <w:rsid w:val="00C82789"/>
    <w:rsid w:val="00C86701"/>
    <w:rsid w:val="00C86777"/>
    <w:rsid w:val="00C867BE"/>
    <w:rsid w:val="00C86F62"/>
    <w:rsid w:val="00C9137C"/>
    <w:rsid w:val="00C919FA"/>
    <w:rsid w:val="00C91E32"/>
    <w:rsid w:val="00C9401E"/>
    <w:rsid w:val="00C9576F"/>
    <w:rsid w:val="00C96B0B"/>
    <w:rsid w:val="00CA1D9F"/>
    <w:rsid w:val="00CA2177"/>
    <w:rsid w:val="00CA49E6"/>
    <w:rsid w:val="00CA7A3D"/>
    <w:rsid w:val="00CA7FCA"/>
    <w:rsid w:val="00CB09DF"/>
    <w:rsid w:val="00CB3118"/>
    <w:rsid w:val="00CB35A9"/>
    <w:rsid w:val="00CB40E9"/>
    <w:rsid w:val="00CB487C"/>
    <w:rsid w:val="00CB6023"/>
    <w:rsid w:val="00CB7F10"/>
    <w:rsid w:val="00CC3703"/>
    <w:rsid w:val="00CC5721"/>
    <w:rsid w:val="00CC5746"/>
    <w:rsid w:val="00CC668A"/>
    <w:rsid w:val="00CC6BDB"/>
    <w:rsid w:val="00CC7DF4"/>
    <w:rsid w:val="00CD1736"/>
    <w:rsid w:val="00CD1BF5"/>
    <w:rsid w:val="00CD2DF7"/>
    <w:rsid w:val="00CD3367"/>
    <w:rsid w:val="00CD3DBB"/>
    <w:rsid w:val="00CD4CD0"/>
    <w:rsid w:val="00CD718E"/>
    <w:rsid w:val="00CE0637"/>
    <w:rsid w:val="00CE0C8B"/>
    <w:rsid w:val="00CE2C92"/>
    <w:rsid w:val="00CE4EE3"/>
    <w:rsid w:val="00CE5698"/>
    <w:rsid w:val="00CE67A3"/>
    <w:rsid w:val="00CF1A6F"/>
    <w:rsid w:val="00CF460D"/>
    <w:rsid w:val="00CF4B78"/>
    <w:rsid w:val="00CF630D"/>
    <w:rsid w:val="00CF66F5"/>
    <w:rsid w:val="00CF6D93"/>
    <w:rsid w:val="00CF72AC"/>
    <w:rsid w:val="00D00257"/>
    <w:rsid w:val="00D00CC8"/>
    <w:rsid w:val="00D01816"/>
    <w:rsid w:val="00D01E82"/>
    <w:rsid w:val="00D01F19"/>
    <w:rsid w:val="00D02194"/>
    <w:rsid w:val="00D02686"/>
    <w:rsid w:val="00D04224"/>
    <w:rsid w:val="00D05E92"/>
    <w:rsid w:val="00D06D4D"/>
    <w:rsid w:val="00D10B7A"/>
    <w:rsid w:val="00D12A46"/>
    <w:rsid w:val="00D1600C"/>
    <w:rsid w:val="00D16471"/>
    <w:rsid w:val="00D16BC0"/>
    <w:rsid w:val="00D16FED"/>
    <w:rsid w:val="00D171DD"/>
    <w:rsid w:val="00D174D6"/>
    <w:rsid w:val="00D1791B"/>
    <w:rsid w:val="00D17D10"/>
    <w:rsid w:val="00D200BA"/>
    <w:rsid w:val="00D20AF7"/>
    <w:rsid w:val="00D21640"/>
    <w:rsid w:val="00D224CC"/>
    <w:rsid w:val="00D23014"/>
    <w:rsid w:val="00D2333D"/>
    <w:rsid w:val="00D2355E"/>
    <w:rsid w:val="00D23B89"/>
    <w:rsid w:val="00D23C27"/>
    <w:rsid w:val="00D23CAD"/>
    <w:rsid w:val="00D242F4"/>
    <w:rsid w:val="00D26302"/>
    <w:rsid w:val="00D271C4"/>
    <w:rsid w:val="00D2747A"/>
    <w:rsid w:val="00D2757E"/>
    <w:rsid w:val="00D31526"/>
    <w:rsid w:val="00D3291A"/>
    <w:rsid w:val="00D33076"/>
    <w:rsid w:val="00D343C0"/>
    <w:rsid w:val="00D35242"/>
    <w:rsid w:val="00D359D7"/>
    <w:rsid w:val="00D35E8E"/>
    <w:rsid w:val="00D37ADB"/>
    <w:rsid w:val="00D416F0"/>
    <w:rsid w:val="00D435C4"/>
    <w:rsid w:val="00D479BB"/>
    <w:rsid w:val="00D50738"/>
    <w:rsid w:val="00D5141A"/>
    <w:rsid w:val="00D51C95"/>
    <w:rsid w:val="00D51E41"/>
    <w:rsid w:val="00D53B03"/>
    <w:rsid w:val="00D54FA4"/>
    <w:rsid w:val="00D5576F"/>
    <w:rsid w:val="00D562B8"/>
    <w:rsid w:val="00D562E5"/>
    <w:rsid w:val="00D567B2"/>
    <w:rsid w:val="00D57600"/>
    <w:rsid w:val="00D63B3D"/>
    <w:rsid w:val="00D63F93"/>
    <w:rsid w:val="00D64148"/>
    <w:rsid w:val="00D650E0"/>
    <w:rsid w:val="00D661E4"/>
    <w:rsid w:val="00D6798B"/>
    <w:rsid w:val="00D70490"/>
    <w:rsid w:val="00D70BCF"/>
    <w:rsid w:val="00D71BC5"/>
    <w:rsid w:val="00D733F8"/>
    <w:rsid w:val="00D73D75"/>
    <w:rsid w:val="00D7428A"/>
    <w:rsid w:val="00D7497F"/>
    <w:rsid w:val="00D76A21"/>
    <w:rsid w:val="00D76DB6"/>
    <w:rsid w:val="00D800BC"/>
    <w:rsid w:val="00D80B21"/>
    <w:rsid w:val="00D81CE7"/>
    <w:rsid w:val="00D8257C"/>
    <w:rsid w:val="00D86367"/>
    <w:rsid w:val="00D87258"/>
    <w:rsid w:val="00D91638"/>
    <w:rsid w:val="00D91EF6"/>
    <w:rsid w:val="00D9450D"/>
    <w:rsid w:val="00DA0346"/>
    <w:rsid w:val="00DA061D"/>
    <w:rsid w:val="00DA17C9"/>
    <w:rsid w:val="00DA4A1D"/>
    <w:rsid w:val="00DA4CCF"/>
    <w:rsid w:val="00DA70ED"/>
    <w:rsid w:val="00DA7F55"/>
    <w:rsid w:val="00DB09A2"/>
    <w:rsid w:val="00DB13E4"/>
    <w:rsid w:val="00DB2EE9"/>
    <w:rsid w:val="00DB3690"/>
    <w:rsid w:val="00DB6ECB"/>
    <w:rsid w:val="00DB79E1"/>
    <w:rsid w:val="00DC1EAF"/>
    <w:rsid w:val="00DC34FD"/>
    <w:rsid w:val="00DC3820"/>
    <w:rsid w:val="00DC40D5"/>
    <w:rsid w:val="00DC59B2"/>
    <w:rsid w:val="00DC6B6B"/>
    <w:rsid w:val="00DC794C"/>
    <w:rsid w:val="00DC7CA2"/>
    <w:rsid w:val="00DD021C"/>
    <w:rsid w:val="00DD2856"/>
    <w:rsid w:val="00DD4009"/>
    <w:rsid w:val="00DD57ED"/>
    <w:rsid w:val="00DD596D"/>
    <w:rsid w:val="00DD794B"/>
    <w:rsid w:val="00DE1302"/>
    <w:rsid w:val="00DE1656"/>
    <w:rsid w:val="00DE21F9"/>
    <w:rsid w:val="00DE38FA"/>
    <w:rsid w:val="00DE41D9"/>
    <w:rsid w:val="00DE47DB"/>
    <w:rsid w:val="00DE4E41"/>
    <w:rsid w:val="00DE522D"/>
    <w:rsid w:val="00DE60FA"/>
    <w:rsid w:val="00DE61CF"/>
    <w:rsid w:val="00DE6C69"/>
    <w:rsid w:val="00DE7388"/>
    <w:rsid w:val="00DF0009"/>
    <w:rsid w:val="00DF09E4"/>
    <w:rsid w:val="00DF0A14"/>
    <w:rsid w:val="00DF0C9A"/>
    <w:rsid w:val="00DF322E"/>
    <w:rsid w:val="00DF5546"/>
    <w:rsid w:val="00DF61CC"/>
    <w:rsid w:val="00DF752C"/>
    <w:rsid w:val="00DF75C1"/>
    <w:rsid w:val="00DF7FF8"/>
    <w:rsid w:val="00E001AD"/>
    <w:rsid w:val="00E00ADE"/>
    <w:rsid w:val="00E011B0"/>
    <w:rsid w:val="00E012D2"/>
    <w:rsid w:val="00E01741"/>
    <w:rsid w:val="00E02597"/>
    <w:rsid w:val="00E02765"/>
    <w:rsid w:val="00E03323"/>
    <w:rsid w:val="00E03622"/>
    <w:rsid w:val="00E03F23"/>
    <w:rsid w:val="00E044E3"/>
    <w:rsid w:val="00E04EB6"/>
    <w:rsid w:val="00E05DC2"/>
    <w:rsid w:val="00E0629A"/>
    <w:rsid w:val="00E07B27"/>
    <w:rsid w:val="00E07B2F"/>
    <w:rsid w:val="00E07D83"/>
    <w:rsid w:val="00E10817"/>
    <w:rsid w:val="00E10C1A"/>
    <w:rsid w:val="00E110C1"/>
    <w:rsid w:val="00E1152A"/>
    <w:rsid w:val="00E12074"/>
    <w:rsid w:val="00E129A7"/>
    <w:rsid w:val="00E12BD3"/>
    <w:rsid w:val="00E13F83"/>
    <w:rsid w:val="00E144B7"/>
    <w:rsid w:val="00E17B54"/>
    <w:rsid w:val="00E20ADB"/>
    <w:rsid w:val="00E21A2D"/>
    <w:rsid w:val="00E222E8"/>
    <w:rsid w:val="00E24210"/>
    <w:rsid w:val="00E244BE"/>
    <w:rsid w:val="00E26C47"/>
    <w:rsid w:val="00E27E44"/>
    <w:rsid w:val="00E309A2"/>
    <w:rsid w:val="00E30FC2"/>
    <w:rsid w:val="00E31FFD"/>
    <w:rsid w:val="00E32DDD"/>
    <w:rsid w:val="00E33CEE"/>
    <w:rsid w:val="00E33EB7"/>
    <w:rsid w:val="00E34DB9"/>
    <w:rsid w:val="00E358C0"/>
    <w:rsid w:val="00E40075"/>
    <w:rsid w:val="00E401D1"/>
    <w:rsid w:val="00E4039B"/>
    <w:rsid w:val="00E4061E"/>
    <w:rsid w:val="00E41FBF"/>
    <w:rsid w:val="00E4224F"/>
    <w:rsid w:val="00E433D9"/>
    <w:rsid w:val="00E45262"/>
    <w:rsid w:val="00E501F2"/>
    <w:rsid w:val="00E505AE"/>
    <w:rsid w:val="00E52F1E"/>
    <w:rsid w:val="00E533CE"/>
    <w:rsid w:val="00E537FA"/>
    <w:rsid w:val="00E53E78"/>
    <w:rsid w:val="00E54611"/>
    <w:rsid w:val="00E56390"/>
    <w:rsid w:val="00E56A86"/>
    <w:rsid w:val="00E63830"/>
    <w:rsid w:val="00E63951"/>
    <w:rsid w:val="00E64ED1"/>
    <w:rsid w:val="00E650A3"/>
    <w:rsid w:val="00E65DED"/>
    <w:rsid w:val="00E66F7A"/>
    <w:rsid w:val="00E721B9"/>
    <w:rsid w:val="00E75315"/>
    <w:rsid w:val="00E755CB"/>
    <w:rsid w:val="00E755E5"/>
    <w:rsid w:val="00E75A76"/>
    <w:rsid w:val="00E75F44"/>
    <w:rsid w:val="00E76164"/>
    <w:rsid w:val="00E76DB7"/>
    <w:rsid w:val="00E801D0"/>
    <w:rsid w:val="00E8031A"/>
    <w:rsid w:val="00E80F8B"/>
    <w:rsid w:val="00E80FD4"/>
    <w:rsid w:val="00E83A77"/>
    <w:rsid w:val="00E83D4E"/>
    <w:rsid w:val="00E84472"/>
    <w:rsid w:val="00E849B5"/>
    <w:rsid w:val="00E84A38"/>
    <w:rsid w:val="00E85641"/>
    <w:rsid w:val="00E85AB7"/>
    <w:rsid w:val="00E85DC0"/>
    <w:rsid w:val="00E87117"/>
    <w:rsid w:val="00E8785E"/>
    <w:rsid w:val="00E908A4"/>
    <w:rsid w:val="00E92F62"/>
    <w:rsid w:val="00E93EBB"/>
    <w:rsid w:val="00E95483"/>
    <w:rsid w:val="00E95509"/>
    <w:rsid w:val="00E96278"/>
    <w:rsid w:val="00EA079D"/>
    <w:rsid w:val="00EA0B7C"/>
    <w:rsid w:val="00EA0D54"/>
    <w:rsid w:val="00EA12AB"/>
    <w:rsid w:val="00EA2071"/>
    <w:rsid w:val="00EA2319"/>
    <w:rsid w:val="00EA2CA1"/>
    <w:rsid w:val="00EA30D3"/>
    <w:rsid w:val="00EA347F"/>
    <w:rsid w:val="00EA366A"/>
    <w:rsid w:val="00EA367D"/>
    <w:rsid w:val="00EA3A96"/>
    <w:rsid w:val="00EA76EB"/>
    <w:rsid w:val="00EB280D"/>
    <w:rsid w:val="00EB2945"/>
    <w:rsid w:val="00EB4BBE"/>
    <w:rsid w:val="00EB554D"/>
    <w:rsid w:val="00EB688E"/>
    <w:rsid w:val="00EC03A2"/>
    <w:rsid w:val="00EC0C5D"/>
    <w:rsid w:val="00EC1F63"/>
    <w:rsid w:val="00EC2291"/>
    <w:rsid w:val="00EC2A99"/>
    <w:rsid w:val="00EC2ADB"/>
    <w:rsid w:val="00EC3835"/>
    <w:rsid w:val="00EC46C8"/>
    <w:rsid w:val="00EC52CE"/>
    <w:rsid w:val="00EC64A3"/>
    <w:rsid w:val="00ED4DDA"/>
    <w:rsid w:val="00ED545B"/>
    <w:rsid w:val="00ED5EFE"/>
    <w:rsid w:val="00ED722A"/>
    <w:rsid w:val="00ED7A8A"/>
    <w:rsid w:val="00ED7F0F"/>
    <w:rsid w:val="00EE28D6"/>
    <w:rsid w:val="00EE2D59"/>
    <w:rsid w:val="00EE2DE0"/>
    <w:rsid w:val="00EE3D57"/>
    <w:rsid w:val="00EE4132"/>
    <w:rsid w:val="00EE4FC9"/>
    <w:rsid w:val="00EE61BE"/>
    <w:rsid w:val="00EE6626"/>
    <w:rsid w:val="00EE6672"/>
    <w:rsid w:val="00EE6EEC"/>
    <w:rsid w:val="00EE74C7"/>
    <w:rsid w:val="00EF055B"/>
    <w:rsid w:val="00EF0BDB"/>
    <w:rsid w:val="00EF11B2"/>
    <w:rsid w:val="00EF1F06"/>
    <w:rsid w:val="00EF68E2"/>
    <w:rsid w:val="00EF76E5"/>
    <w:rsid w:val="00EF7904"/>
    <w:rsid w:val="00EF7C5B"/>
    <w:rsid w:val="00F00E48"/>
    <w:rsid w:val="00F01417"/>
    <w:rsid w:val="00F01FF1"/>
    <w:rsid w:val="00F023C0"/>
    <w:rsid w:val="00F02603"/>
    <w:rsid w:val="00F063BC"/>
    <w:rsid w:val="00F07E6A"/>
    <w:rsid w:val="00F107D3"/>
    <w:rsid w:val="00F10DB5"/>
    <w:rsid w:val="00F11FA0"/>
    <w:rsid w:val="00F13009"/>
    <w:rsid w:val="00F13BFC"/>
    <w:rsid w:val="00F15B71"/>
    <w:rsid w:val="00F206EC"/>
    <w:rsid w:val="00F21124"/>
    <w:rsid w:val="00F21F3A"/>
    <w:rsid w:val="00F22B23"/>
    <w:rsid w:val="00F22E9B"/>
    <w:rsid w:val="00F23A32"/>
    <w:rsid w:val="00F240F9"/>
    <w:rsid w:val="00F2433C"/>
    <w:rsid w:val="00F276F6"/>
    <w:rsid w:val="00F27C4E"/>
    <w:rsid w:val="00F30206"/>
    <w:rsid w:val="00F30307"/>
    <w:rsid w:val="00F32671"/>
    <w:rsid w:val="00F32DE8"/>
    <w:rsid w:val="00F33AC0"/>
    <w:rsid w:val="00F34EAF"/>
    <w:rsid w:val="00F35EDB"/>
    <w:rsid w:val="00F362CF"/>
    <w:rsid w:val="00F373AB"/>
    <w:rsid w:val="00F3759B"/>
    <w:rsid w:val="00F378C7"/>
    <w:rsid w:val="00F378EB"/>
    <w:rsid w:val="00F37E95"/>
    <w:rsid w:val="00F417DF"/>
    <w:rsid w:val="00F42194"/>
    <w:rsid w:val="00F42483"/>
    <w:rsid w:val="00F42923"/>
    <w:rsid w:val="00F43BB3"/>
    <w:rsid w:val="00F44BC7"/>
    <w:rsid w:val="00F47181"/>
    <w:rsid w:val="00F47531"/>
    <w:rsid w:val="00F50BA5"/>
    <w:rsid w:val="00F51B91"/>
    <w:rsid w:val="00F532DA"/>
    <w:rsid w:val="00F53301"/>
    <w:rsid w:val="00F53A8F"/>
    <w:rsid w:val="00F54A78"/>
    <w:rsid w:val="00F5523B"/>
    <w:rsid w:val="00F56F10"/>
    <w:rsid w:val="00F60A01"/>
    <w:rsid w:val="00F63976"/>
    <w:rsid w:val="00F6562C"/>
    <w:rsid w:val="00F67ED9"/>
    <w:rsid w:val="00F70A35"/>
    <w:rsid w:val="00F7252E"/>
    <w:rsid w:val="00F72C16"/>
    <w:rsid w:val="00F73A76"/>
    <w:rsid w:val="00F73BD2"/>
    <w:rsid w:val="00F74FA4"/>
    <w:rsid w:val="00F75822"/>
    <w:rsid w:val="00F75E16"/>
    <w:rsid w:val="00F80B12"/>
    <w:rsid w:val="00F80F73"/>
    <w:rsid w:val="00F838B5"/>
    <w:rsid w:val="00F86171"/>
    <w:rsid w:val="00F86B9E"/>
    <w:rsid w:val="00F906D8"/>
    <w:rsid w:val="00F9150F"/>
    <w:rsid w:val="00F92595"/>
    <w:rsid w:val="00F92698"/>
    <w:rsid w:val="00F92DE1"/>
    <w:rsid w:val="00F92E9E"/>
    <w:rsid w:val="00F93636"/>
    <w:rsid w:val="00F93CD9"/>
    <w:rsid w:val="00F947A8"/>
    <w:rsid w:val="00F9501B"/>
    <w:rsid w:val="00F951DC"/>
    <w:rsid w:val="00F954A3"/>
    <w:rsid w:val="00F95C08"/>
    <w:rsid w:val="00F97E22"/>
    <w:rsid w:val="00FA046E"/>
    <w:rsid w:val="00FA0715"/>
    <w:rsid w:val="00FA1EB7"/>
    <w:rsid w:val="00FA231D"/>
    <w:rsid w:val="00FA30D4"/>
    <w:rsid w:val="00FA3D18"/>
    <w:rsid w:val="00FA5E06"/>
    <w:rsid w:val="00FA5FF1"/>
    <w:rsid w:val="00FA758E"/>
    <w:rsid w:val="00FB0943"/>
    <w:rsid w:val="00FB2593"/>
    <w:rsid w:val="00FB4870"/>
    <w:rsid w:val="00FB5599"/>
    <w:rsid w:val="00FC1483"/>
    <w:rsid w:val="00FC3CDD"/>
    <w:rsid w:val="00FC4BCC"/>
    <w:rsid w:val="00FD0230"/>
    <w:rsid w:val="00FD04F8"/>
    <w:rsid w:val="00FD1C6D"/>
    <w:rsid w:val="00FE0C3A"/>
    <w:rsid w:val="00FE13C6"/>
    <w:rsid w:val="00FE2649"/>
    <w:rsid w:val="00FE2826"/>
    <w:rsid w:val="00FE4B9B"/>
    <w:rsid w:val="00FE5161"/>
    <w:rsid w:val="00FE7D32"/>
    <w:rsid w:val="00FF0A78"/>
    <w:rsid w:val="00FF291A"/>
    <w:rsid w:val="00FF2B35"/>
    <w:rsid w:val="00FF3C10"/>
    <w:rsid w:val="00FF5318"/>
    <w:rsid w:val="00FF55B3"/>
    <w:rsid w:val="00FF5F21"/>
    <w:rsid w:val="00FF616A"/>
    <w:rsid w:val="00FF7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9780F6"/>
  <w15:docId w15:val="{B83D7727-5223-4CFB-8B3C-131EB0FF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ind w:left="101"/>
      <w:outlineLvl w:val="0"/>
    </w:pPr>
    <w:rPr>
      <w:rFonts w:ascii="Calibri" w:eastAsia="Calibri" w:hAnsi="Calibri"/>
      <w:b/>
      <w:bCs/>
      <w:sz w:val="24"/>
      <w:szCs w:val="24"/>
    </w:rPr>
  </w:style>
  <w:style w:type="paragraph" w:styleId="Heading2">
    <w:name w:val="heading 2"/>
    <w:basedOn w:val="Normal"/>
    <w:uiPriority w:val="1"/>
    <w:qFormat/>
    <w:pPr>
      <w:ind w:left="101"/>
      <w:outlineLvl w:val="1"/>
    </w:pPr>
    <w:rPr>
      <w:rFonts w:ascii="Calibri" w:eastAsia="Calibri" w:hAnsi="Calibri"/>
      <w:b/>
      <w:bCs/>
    </w:rPr>
  </w:style>
  <w:style w:type="paragraph" w:styleId="Heading3">
    <w:name w:val="heading 3"/>
    <w:basedOn w:val="Normal"/>
    <w:next w:val="Normal"/>
    <w:link w:val="Heading3Char"/>
    <w:uiPriority w:val="9"/>
    <w:semiHidden/>
    <w:unhideWhenUsed/>
    <w:qFormat/>
    <w:rsid w:val="00D12A4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12A4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12A4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12A4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12A4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12A4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12A4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1"/>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C3FE7"/>
    <w:pPr>
      <w:tabs>
        <w:tab w:val="center" w:pos="4513"/>
        <w:tab w:val="right" w:pos="9026"/>
      </w:tabs>
    </w:pPr>
  </w:style>
  <w:style w:type="character" w:customStyle="1" w:styleId="HeaderChar">
    <w:name w:val="Header Char"/>
    <w:basedOn w:val="DefaultParagraphFont"/>
    <w:link w:val="Header"/>
    <w:uiPriority w:val="99"/>
    <w:rsid w:val="00AC3FE7"/>
  </w:style>
  <w:style w:type="paragraph" w:styleId="Footer">
    <w:name w:val="footer"/>
    <w:basedOn w:val="Normal"/>
    <w:link w:val="FooterChar"/>
    <w:uiPriority w:val="99"/>
    <w:unhideWhenUsed/>
    <w:rsid w:val="00AC3FE7"/>
    <w:pPr>
      <w:tabs>
        <w:tab w:val="center" w:pos="4513"/>
        <w:tab w:val="right" w:pos="9026"/>
      </w:tabs>
    </w:pPr>
  </w:style>
  <w:style w:type="character" w:customStyle="1" w:styleId="FooterChar">
    <w:name w:val="Footer Char"/>
    <w:basedOn w:val="DefaultParagraphFont"/>
    <w:link w:val="Footer"/>
    <w:uiPriority w:val="99"/>
    <w:rsid w:val="00AC3FE7"/>
  </w:style>
  <w:style w:type="paragraph" w:styleId="BalloonText">
    <w:name w:val="Balloon Text"/>
    <w:basedOn w:val="Normal"/>
    <w:link w:val="BalloonTextChar"/>
    <w:uiPriority w:val="99"/>
    <w:semiHidden/>
    <w:unhideWhenUsed/>
    <w:rsid w:val="00D31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526"/>
    <w:rPr>
      <w:rFonts w:ascii="Segoe UI" w:hAnsi="Segoe UI" w:cs="Segoe UI"/>
      <w:sz w:val="18"/>
      <w:szCs w:val="18"/>
    </w:rPr>
  </w:style>
  <w:style w:type="character" w:styleId="Hyperlink">
    <w:name w:val="Hyperlink"/>
    <w:basedOn w:val="DefaultParagraphFont"/>
    <w:uiPriority w:val="99"/>
    <w:unhideWhenUsed/>
    <w:rsid w:val="00541D86"/>
    <w:rPr>
      <w:color w:val="0000FF" w:themeColor="hyperlink"/>
      <w:u w:val="single"/>
    </w:rPr>
  </w:style>
  <w:style w:type="character" w:styleId="CommentReference">
    <w:name w:val="annotation reference"/>
    <w:basedOn w:val="DefaultParagraphFont"/>
    <w:uiPriority w:val="99"/>
    <w:semiHidden/>
    <w:unhideWhenUsed/>
    <w:rsid w:val="00F07E6A"/>
    <w:rPr>
      <w:sz w:val="16"/>
      <w:szCs w:val="16"/>
    </w:rPr>
  </w:style>
  <w:style w:type="paragraph" w:styleId="CommentText">
    <w:name w:val="annotation text"/>
    <w:basedOn w:val="Normal"/>
    <w:link w:val="CommentTextChar"/>
    <w:uiPriority w:val="99"/>
    <w:unhideWhenUsed/>
    <w:rsid w:val="00C07685"/>
    <w:rPr>
      <w:sz w:val="20"/>
      <w:szCs w:val="20"/>
    </w:rPr>
  </w:style>
  <w:style w:type="character" w:customStyle="1" w:styleId="CommentTextChar">
    <w:name w:val="Comment Text Char"/>
    <w:basedOn w:val="DefaultParagraphFont"/>
    <w:link w:val="CommentText"/>
    <w:uiPriority w:val="99"/>
    <w:rsid w:val="00F07E6A"/>
    <w:rPr>
      <w:sz w:val="20"/>
      <w:szCs w:val="20"/>
      <w:lang w:val="en-GB"/>
    </w:rPr>
  </w:style>
  <w:style w:type="paragraph" w:styleId="CommentSubject">
    <w:name w:val="annotation subject"/>
    <w:basedOn w:val="CommentText"/>
    <w:next w:val="CommentText"/>
    <w:link w:val="CommentSubjectChar"/>
    <w:uiPriority w:val="99"/>
    <w:semiHidden/>
    <w:unhideWhenUsed/>
    <w:rsid w:val="00F07E6A"/>
    <w:rPr>
      <w:b/>
      <w:bCs/>
    </w:rPr>
  </w:style>
  <w:style w:type="character" w:customStyle="1" w:styleId="CommentSubjectChar">
    <w:name w:val="Comment Subject Char"/>
    <w:basedOn w:val="CommentTextChar"/>
    <w:link w:val="CommentSubject"/>
    <w:uiPriority w:val="99"/>
    <w:semiHidden/>
    <w:rsid w:val="00F07E6A"/>
    <w:rPr>
      <w:b/>
      <w:bCs/>
      <w:sz w:val="20"/>
      <w:szCs w:val="20"/>
      <w:lang w:val="en-GB"/>
    </w:rPr>
  </w:style>
  <w:style w:type="character" w:styleId="FollowedHyperlink">
    <w:name w:val="FollowedHyperlink"/>
    <w:basedOn w:val="DefaultParagraphFont"/>
    <w:uiPriority w:val="99"/>
    <w:semiHidden/>
    <w:unhideWhenUsed/>
    <w:rsid w:val="00783380"/>
    <w:rPr>
      <w:color w:val="800080" w:themeColor="followedHyperlink"/>
      <w:u w:val="single"/>
    </w:rPr>
  </w:style>
  <w:style w:type="paragraph" w:styleId="Revision">
    <w:name w:val="Revision"/>
    <w:hidden/>
    <w:uiPriority w:val="99"/>
    <w:semiHidden/>
    <w:rsid w:val="00DB09A2"/>
    <w:pPr>
      <w:widowControl/>
    </w:pPr>
    <w:rPr>
      <w:lang w:val="en-GB"/>
    </w:rPr>
  </w:style>
  <w:style w:type="paragraph" w:styleId="Bibliography">
    <w:name w:val="Bibliography"/>
    <w:basedOn w:val="Normal"/>
    <w:next w:val="Normal"/>
    <w:uiPriority w:val="37"/>
    <w:semiHidden/>
    <w:unhideWhenUsed/>
    <w:rsid w:val="00D12A46"/>
  </w:style>
  <w:style w:type="paragraph" w:styleId="BlockText">
    <w:name w:val="Block Text"/>
    <w:basedOn w:val="Normal"/>
    <w:uiPriority w:val="99"/>
    <w:semiHidden/>
    <w:unhideWhenUsed/>
    <w:rsid w:val="00D12A4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D12A46"/>
    <w:pPr>
      <w:spacing w:after="120" w:line="480" w:lineRule="auto"/>
    </w:pPr>
  </w:style>
  <w:style w:type="character" w:customStyle="1" w:styleId="BodyText2Char">
    <w:name w:val="Body Text 2 Char"/>
    <w:basedOn w:val="DefaultParagraphFont"/>
    <w:link w:val="BodyText2"/>
    <w:uiPriority w:val="99"/>
    <w:semiHidden/>
    <w:rsid w:val="00D12A46"/>
    <w:rPr>
      <w:lang w:val="en-GB"/>
    </w:rPr>
  </w:style>
  <w:style w:type="paragraph" w:styleId="BodyText3">
    <w:name w:val="Body Text 3"/>
    <w:basedOn w:val="Normal"/>
    <w:link w:val="BodyText3Char"/>
    <w:uiPriority w:val="99"/>
    <w:semiHidden/>
    <w:unhideWhenUsed/>
    <w:rsid w:val="00D12A46"/>
    <w:pPr>
      <w:spacing w:after="120"/>
    </w:pPr>
    <w:rPr>
      <w:sz w:val="16"/>
      <w:szCs w:val="16"/>
    </w:rPr>
  </w:style>
  <w:style w:type="character" w:customStyle="1" w:styleId="BodyText3Char">
    <w:name w:val="Body Text 3 Char"/>
    <w:basedOn w:val="DefaultParagraphFont"/>
    <w:link w:val="BodyText3"/>
    <w:uiPriority w:val="99"/>
    <w:semiHidden/>
    <w:rsid w:val="00D12A46"/>
    <w:rPr>
      <w:sz w:val="16"/>
      <w:szCs w:val="16"/>
      <w:lang w:val="en-GB"/>
    </w:rPr>
  </w:style>
  <w:style w:type="paragraph" w:styleId="BodyTextFirstIndent">
    <w:name w:val="Body Text First Indent"/>
    <w:basedOn w:val="BodyText"/>
    <w:link w:val="BodyTextFirstIndentChar"/>
    <w:uiPriority w:val="99"/>
    <w:semiHidden/>
    <w:unhideWhenUsed/>
    <w:rsid w:val="00D12A46"/>
    <w:pPr>
      <w:ind w:left="0" w:firstLine="360"/>
    </w:pPr>
    <w:rPr>
      <w:rFonts w:asciiTheme="minorHAnsi" w:eastAsiaTheme="minorHAnsi" w:hAnsiTheme="minorHAnsi"/>
    </w:rPr>
  </w:style>
  <w:style w:type="character" w:customStyle="1" w:styleId="BodyTextChar">
    <w:name w:val="Body Text Char"/>
    <w:basedOn w:val="DefaultParagraphFont"/>
    <w:link w:val="BodyText"/>
    <w:uiPriority w:val="1"/>
    <w:rsid w:val="00D12A46"/>
    <w:rPr>
      <w:rFonts w:ascii="Calibri" w:eastAsia="Calibri" w:hAnsi="Calibri"/>
      <w:lang w:val="en-GB"/>
    </w:rPr>
  </w:style>
  <w:style w:type="character" w:customStyle="1" w:styleId="BodyTextFirstIndentChar">
    <w:name w:val="Body Text First Indent Char"/>
    <w:basedOn w:val="BodyTextChar"/>
    <w:link w:val="BodyTextFirstIndent"/>
    <w:uiPriority w:val="99"/>
    <w:semiHidden/>
    <w:rsid w:val="00D12A46"/>
    <w:rPr>
      <w:rFonts w:ascii="Calibri" w:eastAsia="Calibri" w:hAnsi="Calibri"/>
      <w:lang w:val="en-GB"/>
    </w:rPr>
  </w:style>
  <w:style w:type="paragraph" w:styleId="BodyTextIndent">
    <w:name w:val="Body Text Indent"/>
    <w:basedOn w:val="Normal"/>
    <w:link w:val="BodyTextIndentChar"/>
    <w:uiPriority w:val="99"/>
    <w:semiHidden/>
    <w:unhideWhenUsed/>
    <w:rsid w:val="00D12A46"/>
    <w:pPr>
      <w:spacing w:after="120"/>
      <w:ind w:left="283"/>
    </w:pPr>
  </w:style>
  <w:style w:type="character" w:customStyle="1" w:styleId="BodyTextIndentChar">
    <w:name w:val="Body Text Indent Char"/>
    <w:basedOn w:val="DefaultParagraphFont"/>
    <w:link w:val="BodyTextIndent"/>
    <w:uiPriority w:val="99"/>
    <w:semiHidden/>
    <w:rsid w:val="00D12A46"/>
    <w:rPr>
      <w:lang w:val="en-GB"/>
    </w:rPr>
  </w:style>
  <w:style w:type="paragraph" w:styleId="BodyTextFirstIndent2">
    <w:name w:val="Body Text First Indent 2"/>
    <w:basedOn w:val="BodyTextIndent"/>
    <w:link w:val="BodyTextFirstIndent2Char"/>
    <w:uiPriority w:val="99"/>
    <w:semiHidden/>
    <w:unhideWhenUsed/>
    <w:rsid w:val="00D12A46"/>
    <w:pPr>
      <w:spacing w:after="0"/>
      <w:ind w:left="360" w:firstLine="360"/>
    </w:pPr>
  </w:style>
  <w:style w:type="character" w:customStyle="1" w:styleId="BodyTextFirstIndent2Char">
    <w:name w:val="Body Text First Indent 2 Char"/>
    <w:basedOn w:val="BodyTextIndentChar"/>
    <w:link w:val="BodyTextFirstIndent2"/>
    <w:uiPriority w:val="99"/>
    <w:semiHidden/>
    <w:rsid w:val="00D12A46"/>
    <w:rPr>
      <w:lang w:val="en-GB"/>
    </w:rPr>
  </w:style>
  <w:style w:type="paragraph" w:styleId="BodyTextIndent2">
    <w:name w:val="Body Text Indent 2"/>
    <w:basedOn w:val="Normal"/>
    <w:link w:val="BodyTextIndent2Char"/>
    <w:uiPriority w:val="99"/>
    <w:semiHidden/>
    <w:unhideWhenUsed/>
    <w:rsid w:val="00D12A46"/>
    <w:pPr>
      <w:spacing w:after="120" w:line="480" w:lineRule="auto"/>
      <w:ind w:left="283"/>
    </w:pPr>
  </w:style>
  <w:style w:type="character" w:customStyle="1" w:styleId="BodyTextIndent2Char">
    <w:name w:val="Body Text Indent 2 Char"/>
    <w:basedOn w:val="DefaultParagraphFont"/>
    <w:link w:val="BodyTextIndent2"/>
    <w:uiPriority w:val="99"/>
    <w:semiHidden/>
    <w:rsid w:val="00D12A46"/>
    <w:rPr>
      <w:lang w:val="en-GB"/>
    </w:rPr>
  </w:style>
  <w:style w:type="paragraph" w:styleId="BodyTextIndent3">
    <w:name w:val="Body Text Indent 3"/>
    <w:basedOn w:val="Normal"/>
    <w:link w:val="BodyTextIndent3Char"/>
    <w:uiPriority w:val="99"/>
    <w:semiHidden/>
    <w:unhideWhenUsed/>
    <w:rsid w:val="00D12A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12A46"/>
    <w:rPr>
      <w:sz w:val="16"/>
      <w:szCs w:val="16"/>
      <w:lang w:val="en-GB"/>
    </w:rPr>
  </w:style>
  <w:style w:type="paragraph" w:styleId="Caption">
    <w:name w:val="caption"/>
    <w:basedOn w:val="Normal"/>
    <w:next w:val="Normal"/>
    <w:uiPriority w:val="35"/>
    <w:semiHidden/>
    <w:unhideWhenUsed/>
    <w:qFormat/>
    <w:rsid w:val="00D12A46"/>
    <w:pPr>
      <w:spacing w:after="200"/>
    </w:pPr>
    <w:rPr>
      <w:i/>
      <w:iCs/>
      <w:color w:val="1F497D" w:themeColor="text2"/>
      <w:sz w:val="18"/>
      <w:szCs w:val="18"/>
    </w:rPr>
  </w:style>
  <w:style w:type="paragraph" w:styleId="Closing">
    <w:name w:val="Closing"/>
    <w:basedOn w:val="Normal"/>
    <w:link w:val="ClosingChar"/>
    <w:uiPriority w:val="99"/>
    <w:semiHidden/>
    <w:unhideWhenUsed/>
    <w:rsid w:val="00D12A46"/>
    <w:pPr>
      <w:ind w:left="4252"/>
    </w:pPr>
  </w:style>
  <w:style w:type="character" w:customStyle="1" w:styleId="ClosingChar">
    <w:name w:val="Closing Char"/>
    <w:basedOn w:val="DefaultParagraphFont"/>
    <w:link w:val="Closing"/>
    <w:uiPriority w:val="99"/>
    <w:semiHidden/>
    <w:rsid w:val="00D12A46"/>
    <w:rPr>
      <w:lang w:val="en-GB"/>
    </w:rPr>
  </w:style>
  <w:style w:type="paragraph" w:styleId="Date">
    <w:name w:val="Date"/>
    <w:basedOn w:val="Normal"/>
    <w:next w:val="Normal"/>
    <w:link w:val="DateChar"/>
    <w:uiPriority w:val="99"/>
    <w:semiHidden/>
    <w:unhideWhenUsed/>
    <w:rsid w:val="00D12A46"/>
  </w:style>
  <w:style w:type="character" w:customStyle="1" w:styleId="DateChar">
    <w:name w:val="Date Char"/>
    <w:basedOn w:val="DefaultParagraphFont"/>
    <w:link w:val="Date"/>
    <w:uiPriority w:val="99"/>
    <w:semiHidden/>
    <w:rsid w:val="00D12A46"/>
    <w:rPr>
      <w:lang w:val="en-GB"/>
    </w:rPr>
  </w:style>
  <w:style w:type="paragraph" w:styleId="DocumentMap">
    <w:name w:val="Document Map"/>
    <w:basedOn w:val="Normal"/>
    <w:link w:val="DocumentMapChar"/>
    <w:uiPriority w:val="99"/>
    <w:semiHidden/>
    <w:unhideWhenUsed/>
    <w:rsid w:val="00D12A4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12A46"/>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D12A46"/>
  </w:style>
  <w:style w:type="character" w:customStyle="1" w:styleId="E-mailSignatureChar">
    <w:name w:val="E-mail Signature Char"/>
    <w:basedOn w:val="DefaultParagraphFont"/>
    <w:link w:val="E-mailSignature"/>
    <w:uiPriority w:val="99"/>
    <w:semiHidden/>
    <w:rsid w:val="00D12A46"/>
    <w:rPr>
      <w:lang w:val="en-GB"/>
    </w:rPr>
  </w:style>
  <w:style w:type="paragraph" w:styleId="EndnoteText">
    <w:name w:val="endnote text"/>
    <w:basedOn w:val="Normal"/>
    <w:link w:val="EndnoteTextChar"/>
    <w:uiPriority w:val="99"/>
    <w:semiHidden/>
    <w:unhideWhenUsed/>
    <w:rsid w:val="00D12A46"/>
    <w:rPr>
      <w:sz w:val="20"/>
      <w:szCs w:val="20"/>
    </w:rPr>
  </w:style>
  <w:style w:type="character" w:customStyle="1" w:styleId="EndnoteTextChar">
    <w:name w:val="Endnote Text Char"/>
    <w:basedOn w:val="DefaultParagraphFont"/>
    <w:link w:val="EndnoteText"/>
    <w:uiPriority w:val="99"/>
    <w:semiHidden/>
    <w:rsid w:val="00D12A46"/>
    <w:rPr>
      <w:sz w:val="20"/>
      <w:szCs w:val="20"/>
      <w:lang w:val="en-GB"/>
    </w:rPr>
  </w:style>
  <w:style w:type="paragraph" w:styleId="EnvelopeAddress">
    <w:name w:val="envelope address"/>
    <w:basedOn w:val="Normal"/>
    <w:uiPriority w:val="99"/>
    <w:semiHidden/>
    <w:unhideWhenUsed/>
    <w:rsid w:val="00D12A4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12A4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12A46"/>
    <w:rPr>
      <w:sz w:val="20"/>
      <w:szCs w:val="20"/>
    </w:rPr>
  </w:style>
  <w:style w:type="character" w:customStyle="1" w:styleId="FootnoteTextChar">
    <w:name w:val="Footnote Text Char"/>
    <w:basedOn w:val="DefaultParagraphFont"/>
    <w:link w:val="FootnoteText"/>
    <w:uiPriority w:val="99"/>
    <w:semiHidden/>
    <w:rsid w:val="00D12A46"/>
    <w:rPr>
      <w:sz w:val="20"/>
      <w:szCs w:val="20"/>
      <w:lang w:val="en-GB"/>
    </w:rPr>
  </w:style>
  <w:style w:type="character" w:customStyle="1" w:styleId="Heading3Char">
    <w:name w:val="Heading 3 Char"/>
    <w:basedOn w:val="DefaultParagraphFont"/>
    <w:link w:val="Heading3"/>
    <w:uiPriority w:val="9"/>
    <w:semiHidden/>
    <w:rsid w:val="00D12A46"/>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D12A46"/>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D12A46"/>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D12A46"/>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D12A46"/>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D12A4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12A46"/>
    <w:rPr>
      <w:rFonts w:asciiTheme="majorHAnsi" w:eastAsiaTheme="majorEastAsia" w:hAnsiTheme="majorHAnsi" w:cstheme="majorBidi"/>
      <w:i/>
      <w:iCs/>
      <w:color w:val="272727" w:themeColor="text1" w:themeTint="D8"/>
      <w:sz w:val="21"/>
      <w:szCs w:val="21"/>
      <w:lang w:val="en-GB"/>
    </w:rPr>
  </w:style>
  <w:style w:type="paragraph" w:styleId="HTMLAddress">
    <w:name w:val="HTML Address"/>
    <w:basedOn w:val="Normal"/>
    <w:link w:val="HTMLAddressChar"/>
    <w:uiPriority w:val="99"/>
    <w:semiHidden/>
    <w:unhideWhenUsed/>
    <w:rsid w:val="00D12A46"/>
    <w:rPr>
      <w:i/>
      <w:iCs/>
    </w:rPr>
  </w:style>
  <w:style w:type="character" w:customStyle="1" w:styleId="HTMLAddressChar">
    <w:name w:val="HTML Address Char"/>
    <w:basedOn w:val="DefaultParagraphFont"/>
    <w:link w:val="HTMLAddress"/>
    <w:uiPriority w:val="99"/>
    <w:semiHidden/>
    <w:rsid w:val="00D12A46"/>
    <w:rPr>
      <w:i/>
      <w:iCs/>
      <w:lang w:val="en-GB"/>
    </w:rPr>
  </w:style>
  <w:style w:type="paragraph" w:styleId="HTMLPreformatted">
    <w:name w:val="HTML Preformatted"/>
    <w:basedOn w:val="Normal"/>
    <w:link w:val="HTMLPreformattedChar"/>
    <w:unhideWhenUsed/>
    <w:rsid w:val="00D12A46"/>
    <w:rPr>
      <w:rFonts w:ascii="Consolas" w:hAnsi="Consolas"/>
      <w:sz w:val="20"/>
      <w:szCs w:val="20"/>
    </w:rPr>
  </w:style>
  <w:style w:type="character" w:customStyle="1" w:styleId="HTMLPreformattedChar">
    <w:name w:val="HTML Preformatted Char"/>
    <w:basedOn w:val="DefaultParagraphFont"/>
    <w:link w:val="HTMLPreformatted"/>
    <w:rsid w:val="00D12A46"/>
    <w:rPr>
      <w:rFonts w:ascii="Consolas" w:hAnsi="Consolas"/>
      <w:sz w:val="20"/>
      <w:szCs w:val="20"/>
      <w:lang w:val="en-GB"/>
    </w:rPr>
  </w:style>
  <w:style w:type="paragraph" w:styleId="Index1">
    <w:name w:val="index 1"/>
    <w:basedOn w:val="Normal"/>
    <w:next w:val="Normal"/>
    <w:autoRedefine/>
    <w:uiPriority w:val="99"/>
    <w:semiHidden/>
    <w:unhideWhenUsed/>
    <w:rsid w:val="00D12A46"/>
    <w:pPr>
      <w:ind w:left="220" w:hanging="220"/>
    </w:pPr>
  </w:style>
  <w:style w:type="paragraph" w:styleId="Index2">
    <w:name w:val="index 2"/>
    <w:basedOn w:val="Normal"/>
    <w:next w:val="Normal"/>
    <w:autoRedefine/>
    <w:uiPriority w:val="99"/>
    <w:semiHidden/>
    <w:unhideWhenUsed/>
    <w:rsid w:val="00D12A46"/>
    <w:pPr>
      <w:ind w:left="440" w:hanging="220"/>
    </w:pPr>
  </w:style>
  <w:style w:type="paragraph" w:styleId="Index3">
    <w:name w:val="index 3"/>
    <w:basedOn w:val="Normal"/>
    <w:next w:val="Normal"/>
    <w:autoRedefine/>
    <w:uiPriority w:val="99"/>
    <w:semiHidden/>
    <w:unhideWhenUsed/>
    <w:rsid w:val="00D12A46"/>
    <w:pPr>
      <w:ind w:left="660" w:hanging="220"/>
    </w:pPr>
  </w:style>
  <w:style w:type="paragraph" w:styleId="Index4">
    <w:name w:val="index 4"/>
    <w:basedOn w:val="Normal"/>
    <w:next w:val="Normal"/>
    <w:autoRedefine/>
    <w:uiPriority w:val="99"/>
    <w:semiHidden/>
    <w:unhideWhenUsed/>
    <w:rsid w:val="00D12A46"/>
    <w:pPr>
      <w:ind w:left="880" w:hanging="220"/>
    </w:pPr>
  </w:style>
  <w:style w:type="paragraph" w:styleId="Index5">
    <w:name w:val="index 5"/>
    <w:basedOn w:val="Normal"/>
    <w:next w:val="Normal"/>
    <w:autoRedefine/>
    <w:uiPriority w:val="99"/>
    <w:semiHidden/>
    <w:unhideWhenUsed/>
    <w:rsid w:val="00D12A46"/>
    <w:pPr>
      <w:ind w:left="1100" w:hanging="220"/>
    </w:pPr>
  </w:style>
  <w:style w:type="paragraph" w:styleId="Index6">
    <w:name w:val="index 6"/>
    <w:basedOn w:val="Normal"/>
    <w:next w:val="Normal"/>
    <w:autoRedefine/>
    <w:uiPriority w:val="99"/>
    <w:semiHidden/>
    <w:unhideWhenUsed/>
    <w:rsid w:val="00D12A46"/>
    <w:pPr>
      <w:ind w:left="1320" w:hanging="220"/>
    </w:pPr>
  </w:style>
  <w:style w:type="paragraph" w:styleId="Index7">
    <w:name w:val="index 7"/>
    <w:basedOn w:val="Normal"/>
    <w:next w:val="Normal"/>
    <w:autoRedefine/>
    <w:uiPriority w:val="99"/>
    <w:semiHidden/>
    <w:unhideWhenUsed/>
    <w:rsid w:val="00D12A46"/>
    <w:pPr>
      <w:ind w:left="1540" w:hanging="220"/>
    </w:pPr>
  </w:style>
  <w:style w:type="paragraph" w:styleId="Index8">
    <w:name w:val="index 8"/>
    <w:basedOn w:val="Normal"/>
    <w:next w:val="Normal"/>
    <w:autoRedefine/>
    <w:uiPriority w:val="99"/>
    <w:semiHidden/>
    <w:unhideWhenUsed/>
    <w:rsid w:val="00D12A46"/>
    <w:pPr>
      <w:ind w:left="1760" w:hanging="220"/>
    </w:pPr>
  </w:style>
  <w:style w:type="paragraph" w:styleId="Index9">
    <w:name w:val="index 9"/>
    <w:basedOn w:val="Normal"/>
    <w:next w:val="Normal"/>
    <w:autoRedefine/>
    <w:uiPriority w:val="99"/>
    <w:semiHidden/>
    <w:unhideWhenUsed/>
    <w:rsid w:val="00D12A46"/>
    <w:pPr>
      <w:ind w:left="1980" w:hanging="220"/>
    </w:pPr>
  </w:style>
  <w:style w:type="paragraph" w:styleId="IndexHeading">
    <w:name w:val="index heading"/>
    <w:basedOn w:val="Normal"/>
    <w:next w:val="Index1"/>
    <w:uiPriority w:val="99"/>
    <w:semiHidden/>
    <w:unhideWhenUsed/>
    <w:rsid w:val="00D12A4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12A4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12A46"/>
    <w:rPr>
      <w:i/>
      <w:iCs/>
      <w:color w:val="4F81BD" w:themeColor="accent1"/>
      <w:lang w:val="en-GB"/>
    </w:rPr>
  </w:style>
  <w:style w:type="paragraph" w:styleId="List">
    <w:name w:val="List"/>
    <w:basedOn w:val="Normal"/>
    <w:uiPriority w:val="99"/>
    <w:semiHidden/>
    <w:unhideWhenUsed/>
    <w:rsid w:val="00D12A46"/>
    <w:pPr>
      <w:ind w:left="283" w:hanging="283"/>
      <w:contextualSpacing/>
    </w:pPr>
  </w:style>
  <w:style w:type="paragraph" w:styleId="List2">
    <w:name w:val="List 2"/>
    <w:basedOn w:val="Normal"/>
    <w:uiPriority w:val="99"/>
    <w:semiHidden/>
    <w:unhideWhenUsed/>
    <w:rsid w:val="00D12A46"/>
    <w:pPr>
      <w:ind w:left="566" w:hanging="283"/>
      <w:contextualSpacing/>
    </w:pPr>
  </w:style>
  <w:style w:type="paragraph" w:styleId="List3">
    <w:name w:val="List 3"/>
    <w:basedOn w:val="Normal"/>
    <w:uiPriority w:val="99"/>
    <w:semiHidden/>
    <w:unhideWhenUsed/>
    <w:rsid w:val="00D12A46"/>
    <w:pPr>
      <w:ind w:left="849" w:hanging="283"/>
      <w:contextualSpacing/>
    </w:pPr>
  </w:style>
  <w:style w:type="paragraph" w:styleId="List4">
    <w:name w:val="List 4"/>
    <w:basedOn w:val="Normal"/>
    <w:uiPriority w:val="99"/>
    <w:semiHidden/>
    <w:unhideWhenUsed/>
    <w:rsid w:val="00D12A46"/>
    <w:pPr>
      <w:ind w:left="1132" w:hanging="283"/>
      <w:contextualSpacing/>
    </w:pPr>
  </w:style>
  <w:style w:type="paragraph" w:styleId="List5">
    <w:name w:val="List 5"/>
    <w:basedOn w:val="Normal"/>
    <w:uiPriority w:val="99"/>
    <w:semiHidden/>
    <w:unhideWhenUsed/>
    <w:rsid w:val="00D12A46"/>
    <w:pPr>
      <w:ind w:left="1415" w:hanging="283"/>
      <w:contextualSpacing/>
    </w:pPr>
  </w:style>
  <w:style w:type="paragraph" w:styleId="ListBullet">
    <w:name w:val="List Bullet"/>
    <w:basedOn w:val="Normal"/>
    <w:uiPriority w:val="99"/>
    <w:semiHidden/>
    <w:unhideWhenUsed/>
    <w:rsid w:val="00D12A46"/>
    <w:pPr>
      <w:numPr>
        <w:numId w:val="6"/>
      </w:numPr>
      <w:contextualSpacing/>
    </w:pPr>
  </w:style>
  <w:style w:type="paragraph" w:styleId="ListBullet2">
    <w:name w:val="List Bullet 2"/>
    <w:basedOn w:val="Normal"/>
    <w:uiPriority w:val="99"/>
    <w:semiHidden/>
    <w:unhideWhenUsed/>
    <w:rsid w:val="00D12A46"/>
    <w:pPr>
      <w:numPr>
        <w:numId w:val="7"/>
      </w:numPr>
      <w:contextualSpacing/>
    </w:pPr>
  </w:style>
  <w:style w:type="paragraph" w:styleId="ListBullet3">
    <w:name w:val="List Bullet 3"/>
    <w:basedOn w:val="Normal"/>
    <w:uiPriority w:val="99"/>
    <w:semiHidden/>
    <w:unhideWhenUsed/>
    <w:rsid w:val="00D12A46"/>
    <w:pPr>
      <w:numPr>
        <w:numId w:val="8"/>
      </w:numPr>
      <w:contextualSpacing/>
    </w:pPr>
  </w:style>
  <w:style w:type="paragraph" w:styleId="ListBullet4">
    <w:name w:val="List Bullet 4"/>
    <w:basedOn w:val="Normal"/>
    <w:uiPriority w:val="99"/>
    <w:semiHidden/>
    <w:unhideWhenUsed/>
    <w:rsid w:val="00D12A46"/>
    <w:pPr>
      <w:numPr>
        <w:numId w:val="9"/>
      </w:numPr>
      <w:contextualSpacing/>
    </w:pPr>
  </w:style>
  <w:style w:type="paragraph" w:styleId="ListBullet5">
    <w:name w:val="List Bullet 5"/>
    <w:basedOn w:val="Normal"/>
    <w:uiPriority w:val="99"/>
    <w:semiHidden/>
    <w:unhideWhenUsed/>
    <w:rsid w:val="00D12A46"/>
    <w:pPr>
      <w:numPr>
        <w:numId w:val="10"/>
      </w:numPr>
      <w:contextualSpacing/>
    </w:pPr>
  </w:style>
  <w:style w:type="paragraph" w:styleId="ListContinue">
    <w:name w:val="List Continue"/>
    <w:basedOn w:val="Normal"/>
    <w:uiPriority w:val="99"/>
    <w:semiHidden/>
    <w:unhideWhenUsed/>
    <w:rsid w:val="00D12A46"/>
    <w:pPr>
      <w:spacing w:after="120"/>
      <w:ind w:left="283"/>
      <w:contextualSpacing/>
    </w:pPr>
  </w:style>
  <w:style w:type="paragraph" w:styleId="ListContinue2">
    <w:name w:val="List Continue 2"/>
    <w:basedOn w:val="Normal"/>
    <w:uiPriority w:val="99"/>
    <w:semiHidden/>
    <w:unhideWhenUsed/>
    <w:rsid w:val="00D12A46"/>
    <w:pPr>
      <w:spacing w:after="120"/>
      <w:ind w:left="566"/>
      <w:contextualSpacing/>
    </w:pPr>
  </w:style>
  <w:style w:type="paragraph" w:styleId="ListContinue3">
    <w:name w:val="List Continue 3"/>
    <w:basedOn w:val="Normal"/>
    <w:uiPriority w:val="99"/>
    <w:semiHidden/>
    <w:unhideWhenUsed/>
    <w:rsid w:val="00D12A46"/>
    <w:pPr>
      <w:spacing w:after="120"/>
      <w:ind w:left="849"/>
      <w:contextualSpacing/>
    </w:pPr>
  </w:style>
  <w:style w:type="paragraph" w:styleId="ListContinue4">
    <w:name w:val="List Continue 4"/>
    <w:basedOn w:val="Normal"/>
    <w:uiPriority w:val="99"/>
    <w:semiHidden/>
    <w:unhideWhenUsed/>
    <w:rsid w:val="00D12A46"/>
    <w:pPr>
      <w:spacing w:after="120"/>
      <w:ind w:left="1132"/>
      <w:contextualSpacing/>
    </w:pPr>
  </w:style>
  <w:style w:type="paragraph" w:styleId="ListContinue5">
    <w:name w:val="List Continue 5"/>
    <w:basedOn w:val="Normal"/>
    <w:uiPriority w:val="99"/>
    <w:semiHidden/>
    <w:unhideWhenUsed/>
    <w:rsid w:val="00D12A46"/>
    <w:pPr>
      <w:spacing w:after="120"/>
      <w:ind w:left="1415"/>
      <w:contextualSpacing/>
    </w:pPr>
  </w:style>
  <w:style w:type="paragraph" w:styleId="ListNumber">
    <w:name w:val="List Number"/>
    <w:basedOn w:val="Normal"/>
    <w:uiPriority w:val="99"/>
    <w:semiHidden/>
    <w:unhideWhenUsed/>
    <w:rsid w:val="00D12A46"/>
    <w:pPr>
      <w:numPr>
        <w:numId w:val="11"/>
      </w:numPr>
      <w:contextualSpacing/>
    </w:pPr>
  </w:style>
  <w:style w:type="paragraph" w:styleId="ListNumber2">
    <w:name w:val="List Number 2"/>
    <w:basedOn w:val="Normal"/>
    <w:uiPriority w:val="99"/>
    <w:semiHidden/>
    <w:unhideWhenUsed/>
    <w:rsid w:val="00D12A46"/>
    <w:pPr>
      <w:numPr>
        <w:numId w:val="12"/>
      </w:numPr>
      <w:contextualSpacing/>
    </w:pPr>
  </w:style>
  <w:style w:type="paragraph" w:styleId="ListNumber3">
    <w:name w:val="List Number 3"/>
    <w:basedOn w:val="Normal"/>
    <w:uiPriority w:val="99"/>
    <w:semiHidden/>
    <w:unhideWhenUsed/>
    <w:rsid w:val="00D12A46"/>
    <w:pPr>
      <w:numPr>
        <w:numId w:val="13"/>
      </w:numPr>
      <w:contextualSpacing/>
    </w:pPr>
  </w:style>
  <w:style w:type="paragraph" w:styleId="ListNumber4">
    <w:name w:val="List Number 4"/>
    <w:basedOn w:val="Normal"/>
    <w:uiPriority w:val="99"/>
    <w:semiHidden/>
    <w:unhideWhenUsed/>
    <w:rsid w:val="00D12A46"/>
    <w:pPr>
      <w:numPr>
        <w:numId w:val="14"/>
      </w:numPr>
      <w:contextualSpacing/>
    </w:pPr>
  </w:style>
  <w:style w:type="paragraph" w:styleId="ListNumber5">
    <w:name w:val="List Number 5"/>
    <w:basedOn w:val="Normal"/>
    <w:uiPriority w:val="99"/>
    <w:semiHidden/>
    <w:unhideWhenUsed/>
    <w:rsid w:val="00D12A46"/>
    <w:pPr>
      <w:numPr>
        <w:numId w:val="15"/>
      </w:numPr>
      <w:contextualSpacing/>
    </w:pPr>
  </w:style>
  <w:style w:type="paragraph" w:styleId="MacroText">
    <w:name w:val="macro"/>
    <w:link w:val="MacroTextChar"/>
    <w:uiPriority w:val="99"/>
    <w:semiHidden/>
    <w:unhideWhenUsed/>
    <w:rsid w:val="00D12A4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D12A46"/>
    <w:rPr>
      <w:rFonts w:ascii="Consolas" w:hAnsi="Consolas"/>
      <w:sz w:val="20"/>
      <w:szCs w:val="20"/>
      <w:lang w:val="en-GB"/>
    </w:rPr>
  </w:style>
  <w:style w:type="paragraph" w:styleId="MessageHeader">
    <w:name w:val="Message Header"/>
    <w:basedOn w:val="Normal"/>
    <w:link w:val="MessageHeaderChar"/>
    <w:uiPriority w:val="99"/>
    <w:semiHidden/>
    <w:unhideWhenUsed/>
    <w:rsid w:val="00D12A4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12A46"/>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D12A46"/>
    <w:rPr>
      <w:lang w:val="en-GB"/>
    </w:rPr>
  </w:style>
  <w:style w:type="paragraph" w:styleId="NormalWeb">
    <w:name w:val="Normal (Web)"/>
    <w:basedOn w:val="Normal"/>
    <w:uiPriority w:val="99"/>
    <w:semiHidden/>
    <w:unhideWhenUsed/>
    <w:rsid w:val="00D12A46"/>
    <w:rPr>
      <w:rFonts w:ascii="Times New Roman" w:hAnsi="Times New Roman" w:cs="Times New Roman"/>
      <w:sz w:val="24"/>
      <w:szCs w:val="24"/>
    </w:rPr>
  </w:style>
  <w:style w:type="paragraph" w:styleId="NormalIndent">
    <w:name w:val="Normal Indent"/>
    <w:basedOn w:val="Normal"/>
    <w:uiPriority w:val="99"/>
    <w:semiHidden/>
    <w:unhideWhenUsed/>
    <w:rsid w:val="00D12A46"/>
    <w:pPr>
      <w:ind w:left="720"/>
    </w:pPr>
  </w:style>
  <w:style w:type="paragraph" w:styleId="NoteHeading">
    <w:name w:val="Note Heading"/>
    <w:basedOn w:val="Normal"/>
    <w:next w:val="Normal"/>
    <w:link w:val="NoteHeadingChar"/>
    <w:uiPriority w:val="99"/>
    <w:semiHidden/>
    <w:unhideWhenUsed/>
    <w:rsid w:val="00D12A46"/>
  </w:style>
  <w:style w:type="character" w:customStyle="1" w:styleId="NoteHeadingChar">
    <w:name w:val="Note Heading Char"/>
    <w:basedOn w:val="DefaultParagraphFont"/>
    <w:link w:val="NoteHeading"/>
    <w:uiPriority w:val="99"/>
    <w:semiHidden/>
    <w:rsid w:val="00D12A46"/>
    <w:rPr>
      <w:lang w:val="en-GB"/>
    </w:rPr>
  </w:style>
  <w:style w:type="paragraph" w:styleId="PlainText">
    <w:name w:val="Plain Text"/>
    <w:basedOn w:val="Normal"/>
    <w:link w:val="PlainTextChar"/>
    <w:uiPriority w:val="99"/>
    <w:semiHidden/>
    <w:unhideWhenUsed/>
    <w:rsid w:val="00D12A46"/>
    <w:rPr>
      <w:rFonts w:ascii="Consolas" w:hAnsi="Consolas"/>
      <w:sz w:val="21"/>
      <w:szCs w:val="21"/>
    </w:rPr>
  </w:style>
  <w:style w:type="character" w:customStyle="1" w:styleId="PlainTextChar">
    <w:name w:val="Plain Text Char"/>
    <w:basedOn w:val="DefaultParagraphFont"/>
    <w:link w:val="PlainText"/>
    <w:uiPriority w:val="99"/>
    <w:semiHidden/>
    <w:rsid w:val="00D12A46"/>
    <w:rPr>
      <w:rFonts w:ascii="Consolas" w:hAnsi="Consolas"/>
      <w:sz w:val="21"/>
      <w:szCs w:val="21"/>
      <w:lang w:val="en-GB"/>
    </w:rPr>
  </w:style>
  <w:style w:type="paragraph" w:styleId="Quote">
    <w:name w:val="Quote"/>
    <w:basedOn w:val="Normal"/>
    <w:next w:val="Normal"/>
    <w:link w:val="QuoteChar"/>
    <w:uiPriority w:val="29"/>
    <w:qFormat/>
    <w:rsid w:val="00D12A4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12A46"/>
    <w:rPr>
      <w:i/>
      <w:iCs/>
      <w:color w:val="404040" w:themeColor="text1" w:themeTint="BF"/>
      <w:lang w:val="en-GB"/>
    </w:rPr>
  </w:style>
  <w:style w:type="paragraph" w:styleId="Salutation">
    <w:name w:val="Salutation"/>
    <w:basedOn w:val="Normal"/>
    <w:next w:val="Normal"/>
    <w:link w:val="SalutationChar"/>
    <w:uiPriority w:val="99"/>
    <w:semiHidden/>
    <w:unhideWhenUsed/>
    <w:rsid w:val="00D12A46"/>
  </w:style>
  <w:style w:type="character" w:customStyle="1" w:styleId="SalutationChar">
    <w:name w:val="Salutation Char"/>
    <w:basedOn w:val="DefaultParagraphFont"/>
    <w:link w:val="Salutation"/>
    <w:uiPriority w:val="99"/>
    <w:semiHidden/>
    <w:rsid w:val="00D12A46"/>
    <w:rPr>
      <w:lang w:val="en-GB"/>
    </w:rPr>
  </w:style>
  <w:style w:type="paragraph" w:styleId="Signature">
    <w:name w:val="Signature"/>
    <w:basedOn w:val="Normal"/>
    <w:link w:val="SignatureChar"/>
    <w:uiPriority w:val="99"/>
    <w:semiHidden/>
    <w:unhideWhenUsed/>
    <w:rsid w:val="00D12A46"/>
    <w:pPr>
      <w:ind w:left="4252"/>
    </w:pPr>
  </w:style>
  <w:style w:type="character" w:customStyle="1" w:styleId="SignatureChar">
    <w:name w:val="Signature Char"/>
    <w:basedOn w:val="DefaultParagraphFont"/>
    <w:link w:val="Signature"/>
    <w:uiPriority w:val="99"/>
    <w:semiHidden/>
    <w:rsid w:val="00D12A46"/>
    <w:rPr>
      <w:lang w:val="en-GB"/>
    </w:rPr>
  </w:style>
  <w:style w:type="paragraph" w:styleId="Subtitle">
    <w:name w:val="Subtitle"/>
    <w:basedOn w:val="Normal"/>
    <w:next w:val="Normal"/>
    <w:link w:val="SubtitleChar"/>
    <w:uiPriority w:val="11"/>
    <w:qFormat/>
    <w:rsid w:val="00D12A4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12A46"/>
    <w:rPr>
      <w:rFonts w:eastAsiaTheme="minorEastAsia"/>
      <w:color w:val="5A5A5A" w:themeColor="text1" w:themeTint="A5"/>
      <w:spacing w:val="15"/>
      <w:lang w:val="en-GB"/>
    </w:rPr>
  </w:style>
  <w:style w:type="paragraph" w:styleId="TableofAuthorities">
    <w:name w:val="table of authorities"/>
    <w:basedOn w:val="Normal"/>
    <w:next w:val="Normal"/>
    <w:uiPriority w:val="99"/>
    <w:semiHidden/>
    <w:unhideWhenUsed/>
    <w:rsid w:val="00D12A46"/>
    <w:pPr>
      <w:ind w:left="220" w:hanging="220"/>
    </w:pPr>
  </w:style>
  <w:style w:type="paragraph" w:styleId="TableofFigures">
    <w:name w:val="table of figures"/>
    <w:basedOn w:val="Normal"/>
    <w:next w:val="Normal"/>
    <w:uiPriority w:val="99"/>
    <w:semiHidden/>
    <w:unhideWhenUsed/>
    <w:rsid w:val="00D12A46"/>
  </w:style>
  <w:style w:type="paragraph" w:styleId="Title">
    <w:name w:val="Title"/>
    <w:basedOn w:val="Normal"/>
    <w:next w:val="Normal"/>
    <w:link w:val="TitleChar"/>
    <w:uiPriority w:val="10"/>
    <w:qFormat/>
    <w:rsid w:val="00D12A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A46"/>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uiPriority w:val="99"/>
    <w:semiHidden/>
    <w:unhideWhenUsed/>
    <w:rsid w:val="00D12A4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12A46"/>
    <w:pPr>
      <w:spacing w:after="100"/>
    </w:pPr>
  </w:style>
  <w:style w:type="paragraph" w:styleId="TOC2">
    <w:name w:val="toc 2"/>
    <w:basedOn w:val="Normal"/>
    <w:next w:val="Normal"/>
    <w:autoRedefine/>
    <w:uiPriority w:val="39"/>
    <w:semiHidden/>
    <w:unhideWhenUsed/>
    <w:rsid w:val="00D12A46"/>
    <w:pPr>
      <w:spacing w:after="100"/>
      <w:ind w:left="220"/>
    </w:pPr>
  </w:style>
  <w:style w:type="paragraph" w:styleId="TOC3">
    <w:name w:val="toc 3"/>
    <w:basedOn w:val="Normal"/>
    <w:next w:val="Normal"/>
    <w:autoRedefine/>
    <w:uiPriority w:val="39"/>
    <w:semiHidden/>
    <w:unhideWhenUsed/>
    <w:rsid w:val="00D12A46"/>
    <w:pPr>
      <w:spacing w:after="100"/>
      <w:ind w:left="440"/>
    </w:pPr>
  </w:style>
  <w:style w:type="paragraph" w:styleId="TOC4">
    <w:name w:val="toc 4"/>
    <w:basedOn w:val="Normal"/>
    <w:next w:val="Normal"/>
    <w:autoRedefine/>
    <w:uiPriority w:val="39"/>
    <w:semiHidden/>
    <w:unhideWhenUsed/>
    <w:rsid w:val="00D12A46"/>
    <w:pPr>
      <w:spacing w:after="100"/>
      <w:ind w:left="660"/>
    </w:pPr>
  </w:style>
  <w:style w:type="paragraph" w:styleId="TOC5">
    <w:name w:val="toc 5"/>
    <w:basedOn w:val="Normal"/>
    <w:next w:val="Normal"/>
    <w:autoRedefine/>
    <w:uiPriority w:val="39"/>
    <w:semiHidden/>
    <w:unhideWhenUsed/>
    <w:rsid w:val="00D12A46"/>
    <w:pPr>
      <w:spacing w:after="100"/>
      <w:ind w:left="880"/>
    </w:pPr>
  </w:style>
  <w:style w:type="paragraph" w:styleId="TOC6">
    <w:name w:val="toc 6"/>
    <w:basedOn w:val="Normal"/>
    <w:next w:val="Normal"/>
    <w:autoRedefine/>
    <w:uiPriority w:val="39"/>
    <w:semiHidden/>
    <w:unhideWhenUsed/>
    <w:rsid w:val="00D12A46"/>
    <w:pPr>
      <w:spacing w:after="100"/>
      <w:ind w:left="1100"/>
    </w:pPr>
  </w:style>
  <w:style w:type="paragraph" w:styleId="TOC7">
    <w:name w:val="toc 7"/>
    <w:basedOn w:val="Normal"/>
    <w:next w:val="Normal"/>
    <w:autoRedefine/>
    <w:uiPriority w:val="39"/>
    <w:semiHidden/>
    <w:unhideWhenUsed/>
    <w:rsid w:val="00D12A46"/>
    <w:pPr>
      <w:spacing w:after="100"/>
      <w:ind w:left="1320"/>
    </w:pPr>
  </w:style>
  <w:style w:type="paragraph" w:styleId="TOC8">
    <w:name w:val="toc 8"/>
    <w:basedOn w:val="Normal"/>
    <w:next w:val="Normal"/>
    <w:autoRedefine/>
    <w:uiPriority w:val="39"/>
    <w:semiHidden/>
    <w:unhideWhenUsed/>
    <w:rsid w:val="00D12A46"/>
    <w:pPr>
      <w:spacing w:after="100"/>
      <w:ind w:left="1540"/>
    </w:pPr>
  </w:style>
  <w:style w:type="paragraph" w:styleId="TOC9">
    <w:name w:val="toc 9"/>
    <w:basedOn w:val="Normal"/>
    <w:next w:val="Normal"/>
    <w:autoRedefine/>
    <w:uiPriority w:val="39"/>
    <w:semiHidden/>
    <w:unhideWhenUsed/>
    <w:rsid w:val="00D12A46"/>
    <w:pPr>
      <w:spacing w:after="100"/>
      <w:ind w:left="1760"/>
    </w:pPr>
  </w:style>
  <w:style w:type="paragraph" w:styleId="TOCHeading">
    <w:name w:val="TOC Heading"/>
    <w:basedOn w:val="Heading1"/>
    <w:next w:val="Normal"/>
    <w:uiPriority w:val="39"/>
    <w:semiHidden/>
    <w:unhideWhenUsed/>
    <w:qFormat/>
    <w:rsid w:val="00D12A46"/>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table" w:styleId="TableGrid">
    <w:name w:val="Table Grid"/>
    <w:basedOn w:val="TableNormal"/>
    <w:uiPriority w:val="39"/>
    <w:rsid w:val="00DA0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B53FDB"/>
    <w:rPr>
      <w:vertAlign w:val="superscript"/>
    </w:rPr>
  </w:style>
  <w:style w:type="character" w:styleId="EndnoteReference">
    <w:name w:val="endnote reference"/>
    <w:basedOn w:val="DefaultParagraphFont"/>
    <w:uiPriority w:val="99"/>
    <w:semiHidden/>
    <w:unhideWhenUsed/>
    <w:rsid w:val="00B53FDB"/>
    <w:rPr>
      <w:vertAlign w:val="superscript"/>
    </w:rPr>
  </w:style>
  <w:style w:type="character" w:customStyle="1" w:styleId="UnresolvedMention1">
    <w:name w:val="Unresolved Mention1"/>
    <w:basedOn w:val="DefaultParagraphFont"/>
    <w:uiPriority w:val="99"/>
    <w:semiHidden/>
    <w:unhideWhenUsed/>
    <w:rsid w:val="00E76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343470">
      <w:bodyDiv w:val="1"/>
      <w:marLeft w:val="0"/>
      <w:marRight w:val="0"/>
      <w:marTop w:val="0"/>
      <w:marBottom w:val="0"/>
      <w:divBdr>
        <w:top w:val="none" w:sz="0" w:space="0" w:color="auto"/>
        <w:left w:val="none" w:sz="0" w:space="0" w:color="auto"/>
        <w:bottom w:val="none" w:sz="0" w:space="0" w:color="auto"/>
        <w:right w:val="none" w:sz="0" w:space="0" w:color="auto"/>
      </w:divBdr>
    </w:div>
    <w:div w:id="640697141">
      <w:bodyDiv w:val="1"/>
      <w:marLeft w:val="0"/>
      <w:marRight w:val="0"/>
      <w:marTop w:val="0"/>
      <w:marBottom w:val="0"/>
      <w:divBdr>
        <w:top w:val="none" w:sz="0" w:space="0" w:color="auto"/>
        <w:left w:val="none" w:sz="0" w:space="0" w:color="auto"/>
        <w:bottom w:val="none" w:sz="0" w:space="0" w:color="auto"/>
        <w:right w:val="none" w:sz="0" w:space="0" w:color="auto"/>
      </w:divBdr>
    </w:div>
    <w:div w:id="641274465">
      <w:bodyDiv w:val="1"/>
      <w:marLeft w:val="0"/>
      <w:marRight w:val="0"/>
      <w:marTop w:val="0"/>
      <w:marBottom w:val="0"/>
      <w:divBdr>
        <w:top w:val="none" w:sz="0" w:space="0" w:color="auto"/>
        <w:left w:val="none" w:sz="0" w:space="0" w:color="auto"/>
        <w:bottom w:val="none" w:sz="0" w:space="0" w:color="auto"/>
        <w:right w:val="none" w:sz="0" w:space="0" w:color="auto"/>
      </w:divBdr>
    </w:div>
    <w:div w:id="765854952">
      <w:bodyDiv w:val="1"/>
      <w:marLeft w:val="0"/>
      <w:marRight w:val="0"/>
      <w:marTop w:val="0"/>
      <w:marBottom w:val="0"/>
      <w:divBdr>
        <w:top w:val="none" w:sz="0" w:space="0" w:color="auto"/>
        <w:left w:val="none" w:sz="0" w:space="0" w:color="auto"/>
        <w:bottom w:val="none" w:sz="0" w:space="0" w:color="auto"/>
        <w:right w:val="none" w:sz="0" w:space="0" w:color="auto"/>
      </w:divBdr>
    </w:div>
    <w:div w:id="908618788">
      <w:bodyDiv w:val="1"/>
      <w:marLeft w:val="0"/>
      <w:marRight w:val="0"/>
      <w:marTop w:val="0"/>
      <w:marBottom w:val="0"/>
      <w:divBdr>
        <w:top w:val="none" w:sz="0" w:space="0" w:color="auto"/>
        <w:left w:val="none" w:sz="0" w:space="0" w:color="auto"/>
        <w:bottom w:val="none" w:sz="0" w:space="0" w:color="auto"/>
        <w:right w:val="none" w:sz="0" w:space="0" w:color="auto"/>
      </w:divBdr>
    </w:div>
    <w:div w:id="938224198">
      <w:bodyDiv w:val="1"/>
      <w:marLeft w:val="0"/>
      <w:marRight w:val="0"/>
      <w:marTop w:val="0"/>
      <w:marBottom w:val="0"/>
      <w:divBdr>
        <w:top w:val="none" w:sz="0" w:space="0" w:color="auto"/>
        <w:left w:val="none" w:sz="0" w:space="0" w:color="auto"/>
        <w:bottom w:val="none" w:sz="0" w:space="0" w:color="auto"/>
        <w:right w:val="none" w:sz="0" w:space="0" w:color="auto"/>
      </w:divBdr>
    </w:div>
    <w:div w:id="1065176396">
      <w:bodyDiv w:val="1"/>
      <w:marLeft w:val="0"/>
      <w:marRight w:val="0"/>
      <w:marTop w:val="0"/>
      <w:marBottom w:val="0"/>
      <w:divBdr>
        <w:top w:val="none" w:sz="0" w:space="0" w:color="auto"/>
        <w:left w:val="none" w:sz="0" w:space="0" w:color="auto"/>
        <w:bottom w:val="none" w:sz="0" w:space="0" w:color="auto"/>
        <w:right w:val="none" w:sz="0" w:space="0" w:color="auto"/>
      </w:divBdr>
    </w:div>
    <w:div w:id="1114055047">
      <w:bodyDiv w:val="1"/>
      <w:marLeft w:val="0"/>
      <w:marRight w:val="0"/>
      <w:marTop w:val="0"/>
      <w:marBottom w:val="0"/>
      <w:divBdr>
        <w:top w:val="none" w:sz="0" w:space="0" w:color="auto"/>
        <w:left w:val="none" w:sz="0" w:space="0" w:color="auto"/>
        <w:bottom w:val="none" w:sz="0" w:space="0" w:color="auto"/>
        <w:right w:val="none" w:sz="0" w:space="0" w:color="auto"/>
      </w:divBdr>
    </w:div>
    <w:div w:id="1392001843">
      <w:bodyDiv w:val="1"/>
      <w:marLeft w:val="0"/>
      <w:marRight w:val="0"/>
      <w:marTop w:val="0"/>
      <w:marBottom w:val="0"/>
      <w:divBdr>
        <w:top w:val="none" w:sz="0" w:space="0" w:color="auto"/>
        <w:left w:val="none" w:sz="0" w:space="0" w:color="auto"/>
        <w:bottom w:val="none" w:sz="0" w:space="0" w:color="auto"/>
        <w:right w:val="none" w:sz="0" w:space="0" w:color="auto"/>
      </w:divBdr>
    </w:div>
    <w:div w:id="2037852289">
      <w:bodyDiv w:val="1"/>
      <w:marLeft w:val="0"/>
      <w:marRight w:val="0"/>
      <w:marTop w:val="0"/>
      <w:marBottom w:val="0"/>
      <w:divBdr>
        <w:top w:val="none" w:sz="0" w:space="0" w:color="auto"/>
        <w:left w:val="none" w:sz="0" w:space="0" w:color="auto"/>
        <w:bottom w:val="none" w:sz="0" w:space="0" w:color="auto"/>
        <w:right w:val="none" w:sz="0" w:space="0" w:color="auto"/>
      </w:divBdr>
      <w:divsChild>
        <w:div w:id="348482487">
          <w:marLeft w:val="360"/>
          <w:marRight w:val="0"/>
          <w:marTop w:val="80"/>
          <w:marBottom w:val="80"/>
          <w:divBdr>
            <w:top w:val="none" w:sz="0" w:space="0" w:color="auto"/>
            <w:left w:val="none" w:sz="0" w:space="0" w:color="auto"/>
            <w:bottom w:val="none" w:sz="0" w:space="0" w:color="auto"/>
            <w:right w:val="none" w:sz="0" w:space="0" w:color="auto"/>
          </w:divBdr>
        </w:div>
      </w:divsChild>
    </w:div>
    <w:div w:id="2139910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Received xmlns="http://schemas.microsoft.com/sharepoint/v3/fields">2020-04-17T08:30:13+00:00</DateReceived>
    <JobId xmlns="http://schemas.microsoft.com/sharepoint/v3/fields" xsi:nil="true"/>
    <SendToFR xmlns="http://schemas.microsoft.com/sharepoint/v3/fields">false</SendToFR>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4D78D-6AB7-483A-AF80-89C406763D39}"/>
</file>

<file path=customXml/itemProps2.xml><?xml version="1.0" encoding="utf-8"?>
<ds:datastoreItem xmlns:ds="http://schemas.openxmlformats.org/officeDocument/2006/customXml" ds:itemID="{41ED6D07-E613-4BAE-BD26-9589839742FC}"/>
</file>

<file path=customXml/itemProps3.xml><?xml version="1.0" encoding="utf-8"?>
<ds:datastoreItem xmlns:ds="http://schemas.openxmlformats.org/officeDocument/2006/customXml" ds:itemID="{563F880B-0422-4C0A-9FDD-C6E7CB6EC7D8}"/>
</file>

<file path=customXml/itemProps4.xml><?xml version="1.0" encoding="utf-8"?>
<ds:datastoreItem xmlns:ds="http://schemas.openxmlformats.org/officeDocument/2006/customXml" ds:itemID="{F36BFDC1-526D-4D96-9110-DBF8A9680D94}"/>
</file>

<file path=docProps/app.xml><?xml version="1.0" encoding="utf-8"?>
<Properties xmlns="http://schemas.openxmlformats.org/officeDocument/2006/extended-properties" xmlns:vt="http://schemas.openxmlformats.org/officeDocument/2006/docPropsVTypes">
  <Template>Normal</Template>
  <TotalTime>0</TotalTime>
  <Pages>4</Pages>
  <Words>1596</Words>
  <Characters>8527</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16 May 2006</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May 2006</dc:title>
  <dc:creator>Paul Rushton</dc:creator>
  <cp:lastModifiedBy>Jonathan Seeley</cp:lastModifiedBy>
  <cp:revision>2</cp:revision>
  <cp:lastPrinted>2020-04-10T17:12:00Z</cp:lastPrinted>
  <dcterms:created xsi:type="dcterms:W3CDTF">2020-04-16T17:50:00Z</dcterms:created>
  <dcterms:modified xsi:type="dcterms:W3CDTF">2020-04-16T17:50:00Z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2016-10-21T00:00:00Z</vt:filetime>
  </property>
  <property fmtid="{D5CDD505-2E9C-101B-9397-08002B2CF9AE}" pid="3" name="LastSaved">
    <vt:filetime>2016-10-26T00:00:00Z</vt:filetime>
  </property>
  <property fmtid="{D5CDD505-2E9C-101B-9397-08002B2CF9AE}" pid="4" name="ContentTypeId">
    <vt:lpwstr>0x010100BE156B1CF39149A8843C57AB06C49AFE0011B886BEF4CCD94F85F46E94360FD412</vt:lpwstr>
  </property>
  <property fmtid="{D5CDD505-2E9C-101B-9397-08002B2CF9AE}" pid="5" name="DocType_MarketServicesEquity">
    <vt:lpwstr>Miscellaneous</vt:lpwstr>
  </property>
  <property fmtid="{D5CDD505-2E9C-101B-9397-08002B2CF9AE}" pid="7" name="IssuerID">
    <vt:lpwstr/>
  </property>
  <property fmtid="{D5CDD505-2E9C-101B-9397-08002B2CF9AE}" pid="8" name="JobContentType">
    <vt:lpwstr/>
  </property>
  <property fmtid="{D5CDD505-2E9C-101B-9397-08002B2CF9AE}" pid="9" name="Organisation">
    <vt:lpwstr/>
  </property>
  <property fmtid="{D5CDD505-2E9C-101B-9397-08002B2CF9AE}" pid="10" name="MediaServiceImageTags">
    <vt:lpwstr/>
  </property>
  <property fmtid="{D5CDD505-2E9C-101B-9397-08002B2CF9AE}" pid="11" name="JobType">
    <vt:lpwstr/>
  </property>
  <property fmtid="{D5CDD505-2E9C-101B-9397-08002B2CF9AE}" pid="12" name="Contact">
    <vt:lpwstr/>
  </property>
  <property fmtid="{D5CDD505-2E9C-101B-9397-08002B2CF9AE}" pid="14" name="IssuerName">
    <vt:lpwstr/>
  </property>
</Properties>
</file>