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14D9B" w14:textId="77777777" w:rsidR="0021305E" w:rsidRDefault="0021305E" w:rsidP="00FD060C">
      <w:pPr>
        <w:pStyle w:val="Heading2"/>
        <w:spacing w:before="80" w:after="40"/>
        <w:ind w:left="102" w:right="49"/>
        <w:jc w:val="center"/>
        <w:rPr>
          <w:sz w:val="24"/>
          <w:highlight w:val="yellow"/>
        </w:rPr>
      </w:pPr>
    </w:p>
    <w:p w14:paraId="74F6F0A5" w14:textId="4FC2ADC5" w:rsidR="00BD7A0A" w:rsidRPr="00DF54A9" w:rsidRDefault="00C7590C" w:rsidP="00FD060C">
      <w:pPr>
        <w:pStyle w:val="Heading2"/>
        <w:spacing w:before="80" w:after="40"/>
        <w:ind w:left="102" w:right="49"/>
        <w:jc w:val="center"/>
        <w:rPr>
          <w:sz w:val="24"/>
          <w:highlight w:val="yellow"/>
        </w:rPr>
      </w:pPr>
      <w:r w:rsidRPr="00DF54A9">
        <w:rPr>
          <w:noProof/>
          <w:highlight w:val="yellow"/>
          <w:lang w:val="en-IE" w:eastAsia="en-IE"/>
        </w:rPr>
        <w:drawing>
          <wp:inline distT="0" distB="0" distL="0" distR="0" wp14:anchorId="0086FF38" wp14:editId="55F9B7BF">
            <wp:extent cx="1543050" cy="4953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AF023" w14:textId="0AE15688" w:rsidR="00BD7A0A" w:rsidRPr="00DF54A9" w:rsidRDefault="00BD7A0A" w:rsidP="00FD060C">
      <w:pPr>
        <w:spacing w:before="97"/>
        <w:ind w:left="2678" w:right="49"/>
        <w:jc w:val="both"/>
        <w:rPr>
          <w:rFonts w:ascii="Calibri" w:eastAsia="Calibri" w:hAnsi="Calibri" w:cs="Calibri"/>
          <w:sz w:val="24"/>
          <w:szCs w:val="24"/>
        </w:rPr>
      </w:pPr>
      <w:r w:rsidRPr="00DF54A9">
        <w:rPr>
          <w:noProof/>
          <w:lang w:eastAsia="en-GB"/>
        </w:rPr>
        <w:t xml:space="preserve">      </w:t>
      </w:r>
      <w:r w:rsidRPr="00DF54A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4D52D5" w:rsidRPr="00DF54A9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DF54A9" w:rsidRPr="00DF54A9">
        <w:rPr>
          <w:rFonts w:ascii="Calibri" w:eastAsia="Calibri" w:hAnsi="Calibri" w:cs="Calibri"/>
          <w:b/>
          <w:bCs/>
          <w:spacing w:val="-4"/>
          <w:sz w:val="24"/>
          <w:szCs w:val="24"/>
        </w:rPr>
        <w:t>29 April</w:t>
      </w:r>
      <w:r w:rsidR="00FF55B3" w:rsidRPr="00DF54A9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202</w:t>
      </w:r>
      <w:r w:rsidR="00DF54A9" w:rsidRPr="00DF54A9">
        <w:rPr>
          <w:rFonts w:ascii="Calibri" w:eastAsia="Calibri" w:hAnsi="Calibri" w:cs="Calibri"/>
          <w:b/>
          <w:bCs/>
          <w:spacing w:val="-4"/>
          <w:sz w:val="24"/>
          <w:szCs w:val="24"/>
        </w:rPr>
        <w:t>1</w:t>
      </w:r>
    </w:p>
    <w:p w14:paraId="475B54D8" w14:textId="3327342B" w:rsidR="00923ABD" w:rsidRPr="00DF54A9" w:rsidRDefault="00BD7A0A" w:rsidP="00FD060C">
      <w:pPr>
        <w:pStyle w:val="Heading2"/>
        <w:spacing w:before="80" w:after="40"/>
        <w:ind w:left="102" w:right="49"/>
        <w:jc w:val="center"/>
        <w:rPr>
          <w:sz w:val="24"/>
        </w:rPr>
      </w:pPr>
      <w:r w:rsidRPr="00DF54A9">
        <w:rPr>
          <w:sz w:val="24"/>
        </w:rPr>
        <w:t>Q</w:t>
      </w:r>
      <w:r w:rsidR="00DF54A9" w:rsidRPr="00DF54A9">
        <w:rPr>
          <w:sz w:val="24"/>
        </w:rPr>
        <w:t>1</w:t>
      </w:r>
      <w:r w:rsidRPr="00DF54A9">
        <w:rPr>
          <w:sz w:val="24"/>
        </w:rPr>
        <w:t xml:space="preserve"> 20</w:t>
      </w:r>
      <w:r w:rsidR="001E1542" w:rsidRPr="00DF54A9">
        <w:rPr>
          <w:sz w:val="24"/>
        </w:rPr>
        <w:t>2</w:t>
      </w:r>
      <w:r w:rsidR="00DF54A9" w:rsidRPr="00DF54A9">
        <w:rPr>
          <w:sz w:val="24"/>
        </w:rPr>
        <w:t>1</w:t>
      </w:r>
      <w:r w:rsidR="001E1542" w:rsidRPr="00DF54A9">
        <w:rPr>
          <w:sz w:val="24"/>
        </w:rPr>
        <w:t xml:space="preserve"> </w:t>
      </w:r>
      <w:r w:rsidRPr="00DF54A9">
        <w:rPr>
          <w:sz w:val="24"/>
        </w:rPr>
        <w:t>Trading Update</w:t>
      </w:r>
      <w:r w:rsidR="00AC1769" w:rsidRPr="00DF54A9">
        <w:rPr>
          <w:sz w:val="24"/>
        </w:rPr>
        <w:t xml:space="preserve"> </w:t>
      </w:r>
    </w:p>
    <w:p w14:paraId="4ED2D2A4" w14:textId="7F393D9D" w:rsidR="00F930BB" w:rsidRPr="00DF54A9" w:rsidRDefault="006C2A94" w:rsidP="00D765BC">
      <w:pPr>
        <w:pStyle w:val="Heading2"/>
        <w:spacing w:before="80" w:after="120"/>
        <w:ind w:left="102" w:right="51"/>
        <w:jc w:val="center"/>
        <w:rPr>
          <w:sz w:val="23"/>
          <w:szCs w:val="23"/>
          <w:highlight w:val="yellow"/>
        </w:rPr>
      </w:pPr>
      <w:r w:rsidRPr="006C2A94">
        <w:rPr>
          <w:sz w:val="23"/>
          <w:szCs w:val="23"/>
        </w:rPr>
        <w:t>Online revenue growth of</w:t>
      </w:r>
      <w:r w:rsidR="00766A9E" w:rsidRPr="006C2A94">
        <w:rPr>
          <w:sz w:val="23"/>
          <w:szCs w:val="23"/>
        </w:rPr>
        <w:t xml:space="preserve"> </w:t>
      </w:r>
      <w:r w:rsidRPr="006C2A94">
        <w:rPr>
          <w:sz w:val="23"/>
          <w:szCs w:val="23"/>
        </w:rPr>
        <w:t>42</w:t>
      </w:r>
      <w:r w:rsidR="00766A9E" w:rsidRPr="006C2A94">
        <w:rPr>
          <w:sz w:val="23"/>
          <w:szCs w:val="23"/>
        </w:rPr>
        <w:t>%</w:t>
      </w:r>
      <w:r w:rsidR="002903FC">
        <w:rPr>
          <w:sz w:val="23"/>
          <w:szCs w:val="23"/>
        </w:rPr>
        <w:t xml:space="preserve">, </w:t>
      </w:r>
      <w:r w:rsidR="00510FC7">
        <w:rPr>
          <w:sz w:val="23"/>
          <w:szCs w:val="23"/>
        </w:rPr>
        <w:t xml:space="preserve">driven by </w:t>
      </w:r>
      <w:r w:rsidR="002903FC">
        <w:rPr>
          <w:sz w:val="23"/>
          <w:szCs w:val="23"/>
        </w:rPr>
        <w:t>o</w:t>
      </w:r>
      <w:r w:rsidR="0092065A">
        <w:rPr>
          <w:sz w:val="23"/>
          <w:szCs w:val="23"/>
        </w:rPr>
        <w:t xml:space="preserve">nline </w:t>
      </w:r>
      <w:r w:rsidR="007A73F5">
        <w:rPr>
          <w:sz w:val="23"/>
          <w:szCs w:val="23"/>
        </w:rPr>
        <w:t>player</w:t>
      </w:r>
      <w:r w:rsidR="0092065A">
        <w:rPr>
          <w:sz w:val="23"/>
          <w:szCs w:val="23"/>
        </w:rPr>
        <w:t xml:space="preserve"> growth</w:t>
      </w:r>
      <w:r w:rsidR="001E07BB">
        <w:rPr>
          <w:sz w:val="23"/>
          <w:szCs w:val="23"/>
        </w:rPr>
        <w:t xml:space="preserve"> </w:t>
      </w:r>
      <w:r w:rsidR="0092065A">
        <w:rPr>
          <w:sz w:val="23"/>
          <w:szCs w:val="23"/>
        </w:rPr>
        <w:t>of 36%</w:t>
      </w:r>
    </w:p>
    <w:p w14:paraId="4E1F306F" w14:textId="40942DD9" w:rsidR="0029010D" w:rsidRPr="00DF54A9" w:rsidRDefault="009C07B9" w:rsidP="00D765BC">
      <w:pPr>
        <w:pStyle w:val="BodyText"/>
        <w:spacing w:after="80" w:line="266" w:lineRule="exact"/>
        <w:ind w:left="0" w:right="51"/>
        <w:rPr>
          <w:rFonts w:cs="Calibri"/>
          <w:sz w:val="21"/>
          <w:szCs w:val="21"/>
        </w:rPr>
      </w:pPr>
      <w:r w:rsidRPr="00DF54A9">
        <w:rPr>
          <w:sz w:val="21"/>
          <w:szCs w:val="21"/>
        </w:rPr>
        <w:t xml:space="preserve">Flutter </w:t>
      </w:r>
      <w:r w:rsidR="00F10DB5" w:rsidRPr="00DF54A9">
        <w:rPr>
          <w:sz w:val="21"/>
          <w:szCs w:val="21"/>
        </w:rPr>
        <w:t xml:space="preserve">Entertainment plc </w:t>
      </w:r>
      <w:r w:rsidR="00AC3FE7" w:rsidRPr="00DF54A9">
        <w:rPr>
          <w:spacing w:val="-3"/>
          <w:sz w:val="21"/>
          <w:szCs w:val="21"/>
        </w:rPr>
        <w:t>(</w:t>
      </w:r>
      <w:r w:rsidR="00AC3FE7" w:rsidRPr="00DF54A9">
        <w:rPr>
          <w:sz w:val="21"/>
          <w:szCs w:val="21"/>
        </w:rPr>
        <w:t>the</w:t>
      </w:r>
      <w:r w:rsidR="00AC3FE7" w:rsidRPr="00DF54A9">
        <w:rPr>
          <w:spacing w:val="-7"/>
          <w:sz w:val="21"/>
          <w:szCs w:val="21"/>
        </w:rPr>
        <w:t xml:space="preserve"> </w:t>
      </w:r>
      <w:r w:rsidR="00AC3FE7" w:rsidRPr="00DF54A9">
        <w:rPr>
          <w:rFonts w:cs="Calibri"/>
          <w:spacing w:val="1"/>
          <w:sz w:val="21"/>
          <w:szCs w:val="21"/>
        </w:rPr>
        <w:t>“</w:t>
      </w:r>
      <w:r w:rsidR="00AC3FE7" w:rsidRPr="00DF54A9">
        <w:rPr>
          <w:rFonts w:cs="Calibri"/>
          <w:sz w:val="21"/>
          <w:szCs w:val="21"/>
        </w:rPr>
        <w:t>G</w:t>
      </w:r>
      <w:r w:rsidR="00AC3FE7" w:rsidRPr="00DF54A9">
        <w:rPr>
          <w:rFonts w:cs="Calibri"/>
          <w:spacing w:val="-3"/>
          <w:sz w:val="21"/>
          <w:szCs w:val="21"/>
        </w:rPr>
        <w:t>r</w:t>
      </w:r>
      <w:r w:rsidR="00AC3FE7" w:rsidRPr="00DF54A9">
        <w:rPr>
          <w:rFonts w:cs="Calibri"/>
          <w:spacing w:val="1"/>
          <w:sz w:val="21"/>
          <w:szCs w:val="21"/>
        </w:rPr>
        <w:t>o</w:t>
      </w:r>
      <w:r w:rsidR="00AC3FE7" w:rsidRPr="00DF54A9">
        <w:rPr>
          <w:rFonts w:cs="Calibri"/>
          <w:spacing w:val="-1"/>
          <w:sz w:val="21"/>
          <w:szCs w:val="21"/>
        </w:rPr>
        <w:t>up</w:t>
      </w:r>
      <w:r w:rsidR="00AC3FE7" w:rsidRPr="00DF54A9">
        <w:rPr>
          <w:rFonts w:cs="Calibri"/>
          <w:spacing w:val="1"/>
          <w:sz w:val="21"/>
          <w:szCs w:val="21"/>
        </w:rPr>
        <w:t>”</w:t>
      </w:r>
      <w:r w:rsidR="00AC3FE7" w:rsidRPr="00DF54A9">
        <w:rPr>
          <w:rFonts w:cs="Calibri"/>
          <w:sz w:val="21"/>
          <w:szCs w:val="21"/>
        </w:rPr>
        <w:t>)</w:t>
      </w:r>
      <w:r w:rsidR="00AC3FE7" w:rsidRPr="00DF54A9">
        <w:rPr>
          <w:rFonts w:cs="Calibri"/>
          <w:spacing w:val="-6"/>
          <w:sz w:val="21"/>
          <w:szCs w:val="21"/>
        </w:rPr>
        <w:t xml:space="preserve"> </w:t>
      </w:r>
      <w:r w:rsidR="00AC3FE7" w:rsidRPr="00DF54A9">
        <w:rPr>
          <w:sz w:val="21"/>
          <w:szCs w:val="21"/>
        </w:rPr>
        <w:t>a</w:t>
      </w:r>
      <w:r w:rsidR="00AC3FE7" w:rsidRPr="00DF54A9">
        <w:rPr>
          <w:spacing w:val="-1"/>
          <w:sz w:val="21"/>
          <w:szCs w:val="21"/>
        </w:rPr>
        <w:t>nn</w:t>
      </w:r>
      <w:r w:rsidR="00AC3FE7" w:rsidRPr="00DF54A9">
        <w:rPr>
          <w:spacing w:val="1"/>
          <w:sz w:val="21"/>
          <w:szCs w:val="21"/>
        </w:rPr>
        <w:t>o</w:t>
      </w:r>
      <w:r w:rsidR="00AC3FE7" w:rsidRPr="00DF54A9">
        <w:rPr>
          <w:spacing w:val="-1"/>
          <w:sz w:val="21"/>
          <w:szCs w:val="21"/>
        </w:rPr>
        <w:t>un</w:t>
      </w:r>
      <w:r w:rsidR="00AC3FE7" w:rsidRPr="00DF54A9">
        <w:rPr>
          <w:spacing w:val="-3"/>
          <w:sz w:val="21"/>
          <w:szCs w:val="21"/>
        </w:rPr>
        <w:t>c</w:t>
      </w:r>
      <w:r w:rsidR="00AC3FE7" w:rsidRPr="00DF54A9">
        <w:rPr>
          <w:spacing w:val="-2"/>
          <w:sz w:val="21"/>
          <w:szCs w:val="21"/>
        </w:rPr>
        <w:t>e</w:t>
      </w:r>
      <w:r w:rsidR="00AC3FE7" w:rsidRPr="00DF54A9">
        <w:rPr>
          <w:sz w:val="21"/>
          <w:szCs w:val="21"/>
        </w:rPr>
        <w:t>s</w:t>
      </w:r>
      <w:r w:rsidR="00AC3FE7" w:rsidRPr="00DF54A9">
        <w:rPr>
          <w:spacing w:val="-5"/>
          <w:sz w:val="21"/>
          <w:szCs w:val="21"/>
        </w:rPr>
        <w:t xml:space="preserve"> </w:t>
      </w:r>
      <w:r w:rsidR="00AC3FE7" w:rsidRPr="00DF54A9">
        <w:rPr>
          <w:sz w:val="21"/>
          <w:szCs w:val="21"/>
        </w:rPr>
        <w:t>a</w:t>
      </w:r>
      <w:r w:rsidR="00AC3FE7" w:rsidRPr="00DF54A9">
        <w:rPr>
          <w:spacing w:val="-7"/>
          <w:sz w:val="21"/>
          <w:szCs w:val="21"/>
        </w:rPr>
        <w:t xml:space="preserve"> </w:t>
      </w:r>
      <w:r w:rsidR="00AC3FE7" w:rsidRPr="00DF54A9">
        <w:rPr>
          <w:sz w:val="21"/>
          <w:szCs w:val="21"/>
        </w:rPr>
        <w:t>tra</w:t>
      </w:r>
      <w:r w:rsidR="00AC3FE7" w:rsidRPr="00DF54A9">
        <w:rPr>
          <w:spacing w:val="-1"/>
          <w:sz w:val="21"/>
          <w:szCs w:val="21"/>
        </w:rPr>
        <w:t>d</w:t>
      </w:r>
      <w:r w:rsidR="00AC3FE7" w:rsidRPr="00DF54A9">
        <w:rPr>
          <w:sz w:val="21"/>
          <w:szCs w:val="21"/>
        </w:rPr>
        <w:t>i</w:t>
      </w:r>
      <w:r w:rsidR="00AC3FE7" w:rsidRPr="00DF54A9">
        <w:rPr>
          <w:spacing w:val="-2"/>
          <w:sz w:val="21"/>
          <w:szCs w:val="21"/>
        </w:rPr>
        <w:t>n</w:t>
      </w:r>
      <w:r w:rsidR="00AC3FE7" w:rsidRPr="00DF54A9">
        <w:rPr>
          <w:sz w:val="21"/>
          <w:szCs w:val="21"/>
        </w:rPr>
        <w:t>g</w:t>
      </w:r>
      <w:r w:rsidR="00AC3FE7" w:rsidRPr="00DF54A9">
        <w:rPr>
          <w:spacing w:val="-5"/>
          <w:sz w:val="21"/>
          <w:szCs w:val="21"/>
        </w:rPr>
        <w:t xml:space="preserve"> </w:t>
      </w:r>
      <w:r w:rsidR="00AC3FE7" w:rsidRPr="00DF54A9">
        <w:rPr>
          <w:spacing w:val="-1"/>
          <w:sz w:val="21"/>
          <w:szCs w:val="21"/>
        </w:rPr>
        <w:t>upd</w:t>
      </w:r>
      <w:r w:rsidR="00AC3FE7" w:rsidRPr="00DF54A9">
        <w:rPr>
          <w:sz w:val="21"/>
          <w:szCs w:val="21"/>
        </w:rPr>
        <w:t>a</w:t>
      </w:r>
      <w:r w:rsidR="00AC3FE7" w:rsidRPr="00DF54A9">
        <w:rPr>
          <w:spacing w:val="-3"/>
          <w:sz w:val="21"/>
          <w:szCs w:val="21"/>
        </w:rPr>
        <w:t>t</w:t>
      </w:r>
      <w:r w:rsidR="00AC3FE7" w:rsidRPr="00DF54A9">
        <w:rPr>
          <w:sz w:val="21"/>
          <w:szCs w:val="21"/>
        </w:rPr>
        <w:t>e</w:t>
      </w:r>
      <w:r w:rsidR="00AC3FE7" w:rsidRPr="00DF54A9">
        <w:rPr>
          <w:spacing w:val="-4"/>
          <w:sz w:val="21"/>
          <w:szCs w:val="21"/>
        </w:rPr>
        <w:t xml:space="preserve"> </w:t>
      </w:r>
      <w:r w:rsidR="00AC3FE7" w:rsidRPr="00DF54A9">
        <w:rPr>
          <w:spacing w:val="-3"/>
          <w:sz w:val="21"/>
          <w:szCs w:val="21"/>
        </w:rPr>
        <w:t>f</w:t>
      </w:r>
      <w:r w:rsidR="00AC3FE7" w:rsidRPr="00DF54A9">
        <w:rPr>
          <w:spacing w:val="1"/>
          <w:sz w:val="21"/>
          <w:szCs w:val="21"/>
        </w:rPr>
        <w:t>o</w:t>
      </w:r>
      <w:r w:rsidR="00AC3FE7" w:rsidRPr="00DF54A9">
        <w:rPr>
          <w:sz w:val="21"/>
          <w:szCs w:val="21"/>
        </w:rPr>
        <w:t>r</w:t>
      </w:r>
      <w:r w:rsidR="00AC3FE7" w:rsidRPr="00DF54A9">
        <w:rPr>
          <w:spacing w:val="-7"/>
          <w:sz w:val="21"/>
          <w:szCs w:val="21"/>
        </w:rPr>
        <w:t xml:space="preserve"> </w:t>
      </w:r>
      <w:r w:rsidR="00AC3FE7" w:rsidRPr="00DF54A9">
        <w:rPr>
          <w:sz w:val="21"/>
          <w:szCs w:val="21"/>
        </w:rPr>
        <w:t>the</w:t>
      </w:r>
      <w:r w:rsidR="00AC3FE7" w:rsidRPr="00DF54A9">
        <w:rPr>
          <w:spacing w:val="-7"/>
          <w:sz w:val="21"/>
          <w:szCs w:val="21"/>
        </w:rPr>
        <w:t xml:space="preserve"> </w:t>
      </w:r>
      <w:r w:rsidR="00291D94" w:rsidRPr="00DF54A9">
        <w:rPr>
          <w:spacing w:val="-7"/>
          <w:sz w:val="21"/>
          <w:szCs w:val="21"/>
        </w:rPr>
        <w:t xml:space="preserve">3 </w:t>
      </w:r>
      <w:r w:rsidR="00AC3FE7" w:rsidRPr="00DF54A9">
        <w:rPr>
          <w:spacing w:val="-2"/>
          <w:sz w:val="21"/>
          <w:szCs w:val="21"/>
        </w:rPr>
        <w:t>m</w:t>
      </w:r>
      <w:r w:rsidR="00AC3FE7" w:rsidRPr="00DF54A9">
        <w:rPr>
          <w:spacing w:val="1"/>
          <w:sz w:val="21"/>
          <w:szCs w:val="21"/>
        </w:rPr>
        <w:t>o</w:t>
      </w:r>
      <w:r w:rsidR="00AC3FE7" w:rsidRPr="00DF54A9">
        <w:rPr>
          <w:spacing w:val="-1"/>
          <w:sz w:val="21"/>
          <w:szCs w:val="21"/>
        </w:rPr>
        <w:t>n</w:t>
      </w:r>
      <w:r w:rsidR="00AC3FE7" w:rsidRPr="00DF54A9">
        <w:rPr>
          <w:sz w:val="21"/>
          <w:szCs w:val="21"/>
        </w:rPr>
        <w:t>th</w:t>
      </w:r>
      <w:r w:rsidR="00A5291F" w:rsidRPr="00DF54A9">
        <w:rPr>
          <w:sz w:val="21"/>
          <w:szCs w:val="21"/>
        </w:rPr>
        <w:t>s</w:t>
      </w:r>
      <w:r w:rsidR="00AC3FE7" w:rsidRPr="00DF54A9">
        <w:rPr>
          <w:spacing w:val="-8"/>
          <w:sz w:val="21"/>
          <w:szCs w:val="21"/>
        </w:rPr>
        <w:t xml:space="preserve"> </w:t>
      </w:r>
      <w:r w:rsidR="00AC3FE7" w:rsidRPr="00DF54A9">
        <w:rPr>
          <w:sz w:val="21"/>
          <w:szCs w:val="21"/>
        </w:rPr>
        <w:t>en</w:t>
      </w:r>
      <w:r w:rsidR="00AC3FE7" w:rsidRPr="00DF54A9">
        <w:rPr>
          <w:spacing w:val="-2"/>
          <w:sz w:val="21"/>
          <w:szCs w:val="21"/>
        </w:rPr>
        <w:t>de</w:t>
      </w:r>
      <w:r w:rsidR="00AC3FE7" w:rsidRPr="00DF54A9">
        <w:rPr>
          <w:sz w:val="21"/>
          <w:szCs w:val="21"/>
        </w:rPr>
        <w:t xml:space="preserve">d </w:t>
      </w:r>
      <w:r w:rsidR="00230636" w:rsidRPr="00DF54A9">
        <w:rPr>
          <w:rFonts w:cs="Calibri"/>
          <w:sz w:val="21"/>
          <w:szCs w:val="21"/>
        </w:rPr>
        <w:t>3</w:t>
      </w:r>
      <w:r w:rsidR="00DF54A9">
        <w:rPr>
          <w:rFonts w:cs="Calibri"/>
          <w:sz w:val="21"/>
          <w:szCs w:val="21"/>
        </w:rPr>
        <w:t>1</w:t>
      </w:r>
      <w:r w:rsidR="00230636" w:rsidRPr="00DF54A9">
        <w:rPr>
          <w:rFonts w:cs="Calibri"/>
          <w:sz w:val="21"/>
          <w:szCs w:val="21"/>
        </w:rPr>
        <w:t xml:space="preserve"> </w:t>
      </w:r>
      <w:r w:rsidR="00DF54A9">
        <w:rPr>
          <w:rFonts w:cs="Calibri"/>
          <w:sz w:val="21"/>
          <w:szCs w:val="21"/>
        </w:rPr>
        <w:t>March</w:t>
      </w:r>
      <w:r w:rsidR="00636C13" w:rsidRPr="00DF54A9">
        <w:rPr>
          <w:rFonts w:cs="Calibri"/>
          <w:sz w:val="21"/>
          <w:szCs w:val="21"/>
        </w:rPr>
        <w:t xml:space="preserve"> 202</w:t>
      </w:r>
      <w:r w:rsidR="00DF54A9">
        <w:rPr>
          <w:rFonts w:cs="Calibri"/>
          <w:sz w:val="21"/>
          <w:szCs w:val="21"/>
        </w:rPr>
        <w:t>1</w:t>
      </w:r>
      <w:r w:rsidR="00FA41B5" w:rsidRPr="00DF54A9">
        <w:rPr>
          <w:rFonts w:cs="Calibri"/>
          <w:sz w:val="21"/>
          <w:szCs w:val="21"/>
        </w:rPr>
        <w:t>.</w:t>
      </w:r>
    </w:p>
    <w:tbl>
      <w:tblPr>
        <w:tblpPr w:leftFromText="180" w:rightFromText="180" w:vertAnchor="text" w:horzAnchor="margin" w:tblpX="215" w:tblpY="88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1565"/>
        <w:gridCol w:w="1565"/>
        <w:gridCol w:w="1565"/>
        <w:gridCol w:w="1565"/>
      </w:tblGrid>
      <w:tr w:rsidR="0011120D" w:rsidRPr="00DF54A9" w14:paraId="5A8C6C93" w14:textId="77777777" w:rsidTr="00D765BC">
        <w:trPr>
          <w:trHeight w:hRule="exact" w:val="397"/>
        </w:trPr>
        <w:tc>
          <w:tcPr>
            <w:tcW w:w="3271" w:type="dxa"/>
            <w:shd w:val="clear" w:color="auto" w:fill="auto"/>
            <w:vAlign w:val="center"/>
          </w:tcPr>
          <w:p w14:paraId="1D91F7A1" w14:textId="77777777" w:rsidR="0011120D" w:rsidRPr="00DF54A9" w:rsidRDefault="0011120D" w:rsidP="00FD060C">
            <w:pPr>
              <w:pStyle w:val="TableParagraph"/>
              <w:spacing w:line="204" w:lineRule="exact"/>
              <w:ind w:left="1134" w:right="49" w:hanging="1083"/>
              <w:rPr>
                <w:rFonts w:ascii="Calibri" w:eastAsia="Calibri" w:hAnsi="Calibri" w:cs="Calibri"/>
                <w:sz w:val="16"/>
                <w:szCs w:val="16"/>
              </w:rPr>
            </w:pPr>
            <w:r w:rsidRPr="00DF54A9">
              <w:rPr>
                <w:rFonts w:ascii="Calibri" w:eastAsia="Calibri" w:hAnsi="Calibri" w:cs="Calibri"/>
                <w:bCs/>
                <w:i/>
                <w:sz w:val="16"/>
                <w:szCs w:val="16"/>
              </w:rPr>
              <w:t xml:space="preserve">Unaudited </w:t>
            </w:r>
            <w:r w:rsidR="00636C13" w:rsidRPr="00DF54A9">
              <w:rPr>
                <w:rFonts w:ascii="Calibri" w:eastAsia="Calibri" w:hAnsi="Calibri" w:cs="Calibri"/>
                <w:bCs/>
                <w:i/>
                <w:sz w:val="16"/>
                <w:szCs w:val="16"/>
              </w:rPr>
              <w:t>pro forma</w:t>
            </w:r>
            <w:r w:rsidR="00D95E4A" w:rsidRPr="00DF54A9">
              <w:rPr>
                <w:rFonts w:ascii="Calibri" w:eastAsia="Calibri" w:hAnsi="Calibri" w:cs="Calibri"/>
                <w:bCs/>
                <w:i/>
                <w:sz w:val="16"/>
                <w:szCs w:val="16"/>
                <w:vertAlign w:val="superscript"/>
              </w:rPr>
              <w:t>1</w:t>
            </w:r>
            <w:r w:rsidR="00636C13" w:rsidRPr="00DF54A9">
              <w:rPr>
                <w:rFonts w:ascii="Calibri" w:eastAsia="Calibri" w:hAnsi="Calibri" w:cs="Calibri"/>
                <w:bCs/>
                <w:i/>
                <w:sz w:val="16"/>
                <w:szCs w:val="16"/>
              </w:rPr>
              <w:t xml:space="preserve"> </w:t>
            </w:r>
            <w:r w:rsidRPr="00DF54A9">
              <w:rPr>
                <w:rFonts w:ascii="Calibri" w:eastAsia="Calibri" w:hAnsi="Calibri" w:cs="Calibri"/>
                <w:bCs/>
                <w:i/>
                <w:sz w:val="16"/>
                <w:szCs w:val="16"/>
              </w:rPr>
              <w:t xml:space="preserve">£m   </w:t>
            </w:r>
          </w:p>
        </w:tc>
        <w:tc>
          <w:tcPr>
            <w:tcW w:w="15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5A526" w14:textId="0A89B52C" w:rsidR="0011120D" w:rsidRPr="00DF54A9" w:rsidRDefault="00636C13" w:rsidP="00FD060C">
            <w:pPr>
              <w:pStyle w:val="TableParagraph"/>
              <w:spacing w:before="1" w:line="238" w:lineRule="auto"/>
              <w:ind w:left="1134" w:right="49" w:hanging="108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F54A9">
              <w:rPr>
                <w:rFonts w:ascii="Calibri" w:eastAsia="Calibri" w:hAnsi="Calibri" w:cs="Calibri"/>
                <w:b/>
                <w:bCs/>
              </w:rPr>
              <w:t>Q</w:t>
            </w:r>
            <w:r w:rsidR="00DF54A9" w:rsidRPr="00DF54A9">
              <w:rPr>
                <w:rFonts w:ascii="Calibri" w:eastAsia="Calibri" w:hAnsi="Calibri" w:cs="Calibri"/>
                <w:b/>
                <w:bCs/>
              </w:rPr>
              <w:t>1</w:t>
            </w:r>
            <w:r w:rsidR="0011120D" w:rsidRPr="00DF54A9">
              <w:rPr>
                <w:rFonts w:ascii="Calibri" w:eastAsia="Calibri" w:hAnsi="Calibri" w:cs="Calibri"/>
                <w:b/>
                <w:bCs/>
              </w:rPr>
              <w:t xml:space="preserve"> 202</w:t>
            </w:r>
            <w:r w:rsidR="00DF54A9" w:rsidRPr="00DF54A9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15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D451F" w14:textId="3971B827" w:rsidR="0011120D" w:rsidRPr="00DF54A9" w:rsidRDefault="00636C13" w:rsidP="00FD060C">
            <w:pPr>
              <w:pStyle w:val="TableParagraph"/>
              <w:spacing w:before="1" w:line="238" w:lineRule="auto"/>
              <w:ind w:left="1134" w:right="49" w:hanging="108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F54A9">
              <w:rPr>
                <w:rFonts w:ascii="Calibri" w:eastAsia="Calibri" w:hAnsi="Calibri" w:cs="Calibri"/>
                <w:b/>
                <w:bCs/>
              </w:rPr>
              <w:t>Q</w:t>
            </w:r>
            <w:r w:rsidR="00DF54A9" w:rsidRPr="00DF54A9">
              <w:rPr>
                <w:rFonts w:ascii="Calibri" w:eastAsia="Calibri" w:hAnsi="Calibri" w:cs="Calibri"/>
                <w:b/>
                <w:bCs/>
              </w:rPr>
              <w:t>1</w:t>
            </w:r>
            <w:r w:rsidR="0011120D" w:rsidRPr="00DF54A9">
              <w:rPr>
                <w:rFonts w:ascii="Calibri" w:eastAsia="Calibri" w:hAnsi="Calibri" w:cs="Calibri"/>
                <w:b/>
                <w:bCs/>
              </w:rPr>
              <w:t xml:space="preserve"> 20</w:t>
            </w:r>
            <w:r w:rsidR="00DF54A9" w:rsidRPr="00DF54A9">
              <w:rPr>
                <w:rFonts w:ascii="Calibri" w:eastAsia="Calibri" w:hAnsi="Calibri" w:cs="Calibri"/>
                <w:b/>
                <w:bCs/>
              </w:rPr>
              <w:t>20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1C19773" w14:textId="77777777" w:rsidR="0011120D" w:rsidRPr="00DF54A9" w:rsidRDefault="0011120D" w:rsidP="00FD060C">
            <w:pPr>
              <w:pStyle w:val="TableParagraph"/>
              <w:spacing w:before="1" w:line="238" w:lineRule="auto"/>
              <w:ind w:left="1134" w:right="49" w:hanging="108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F54A9">
              <w:rPr>
                <w:rFonts w:ascii="Calibri" w:eastAsia="Calibri" w:hAnsi="Calibri" w:cs="Calibri"/>
                <w:b/>
                <w:bCs/>
              </w:rPr>
              <w:t>YoY %</w:t>
            </w:r>
          </w:p>
        </w:tc>
        <w:tc>
          <w:tcPr>
            <w:tcW w:w="156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BBA71" w14:textId="77777777" w:rsidR="0011120D" w:rsidRPr="00DF54A9" w:rsidRDefault="0011120D" w:rsidP="00FD060C">
            <w:pPr>
              <w:pStyle w:val="TableParagraph"/>
              <w:spacing w:before="1" w:line="238" w:lineRule="auto"/>
              <w:ind w:left="1134" w:right="49" w:hanging="108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F54A9">
              <w:rPr>
                <w:rFonts w:ascii="Calibri" w:eastAsia="Calibri" w:hAnsi="Calibri" w:cs="Calibri"/>
                <w:b/>
                <w:bCs/>
              </w:rPr>
              <w:t>YoY %</w:t>
            </w:r>
            <w:r w:rsidR="00EA6790" w:rsidRPr="00DF54A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A57F3E" w:rsidRPr="00DF54A9">
              <w:rPr>
                <w:rFonts w:ascii="Calibri" w:eastAsia="Calibri" w:hAnsi="Calibri" w:cs="Calibri"/>
                <w:b/>
                <w:bCs/>
              </w:rPr>
              <w:t>cc</w:t>
            </w:r>
            <w:r w:rsidR="00D95E4A" w:rsidRPr="00DF54A9">
              <w:rPr>
                <w:rFonts w:ascii="Calibri" w:eastAsia="Calibri" w:hAnsi="Calibri" w:cs="Calibri"/>
                <w:b/>
                <w:bCs/>
                <w:vertAlign w:val="superscript"/>
              </w:rPr>
              <w:t>2</w:t>
            </w:r>
          </w:p>
        </w:tc>
      </w:tr>
      <w:tr w:rsidR="0011120D" w:rsidRPr="00DF54A9" w14:paraId="2DDEF322" w14:textId="77777777" w:rsidTr="00D765BC">
        <w:trPr>
          <w:trHeight w:val="176"/>
        </w:trPr>
        <w:tc>
          <w:tcPr>
            <w:tcW w:w="3271" w:type="dxa"/>
            <w:vAlign w:val="center"/>
          </w:tcPr>
          <w:p w14:paraId="582E26FB" w14:textId="77777777" w:rsidR="0011120D" w:rsidRPr="008D7DE3" w:rsidRDefault="0011120D" w:rsidP="00FD060C">
            <w:pPr>
              <w:pStyle w:val="TableParagraph"/>
              <w:spacing w:line="204" w:lineRule="exact"/>
              <w:ind w:left="1134" w:right="49" w:hanging="1083"/>
              <w:rPr>
                <w:rFonts w:ascii="Calibri" w:eastAsia="Calibri" w:hAnsi="Calibri" w:cs="Calibri"/>
              </w:rPr>
            </w:pPr>
            <w:r w:rsidRPr="008D7DE3">
              <w:rPr>
                <w:rFonts w:ascii="Calibri" w:eastAsia="Calibri" w:hAnsi="Calibri" w:cs="Calibri"/>
              </w:rPr>
              <w:t>Sports revenue</w:t>
            </w:r>
          </w:p>
        </w:tc>
        <w:tc>
          <w:tcPr>
            <w:tcW w:w="1565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9A5461" w14:textId="468858BD" w:rsidR="0011120D" w:rsidRPr="008D7DE3" w:rsidRDefault="008D7DE3" w:rsidP="00FD060C">
            <w:pPr>
              <w:ind w:left="1134" w:right="49" w:hanging="1083"/>
              <w:jc w:val="center"/>
            </w:pPr>
            <w:r w:rsidRPr="008D7DE3">
              <w:t>89</w:t>
            </w:r>
            <w:r w:rsidR="00F57956">
              <w:t>6</w:t>
            </w:r>
          </w:p>
        </w:tc>
        <w:tc>
          <w:tcPr>
            <w:tcW w:w="1565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40E57" w14:textId="6E913A37" w:rsidR="0011120D" w:rsidRPr="008D7DE3" w:rsidRDefault="00EA6790" w:rsidP="00FD060C">
            <w:pPr>
              <w:ind w:left="1134" w:right="49" w:hanging="1083"/>
              <w:jc w:val="center"/>
            </w:pPr>
            <w:r w:rsidRPr="008D7DE3">
              <w:t>6</w:t>
            </w:r>
            <w:r w:rsidR="008D7DE3" w:rsidRPr="008D7DE3">
              <w:t>27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14:paraId="44C6F83F" w14:textId="1E6E7D2A" w:rsidR="0011120D" w:rsidRPr="008D7DE3" w:rsidRDefault="00EA6790" w:rsidP="00FD060C">
            <w:pPr>
              <w:ind w:left="1134" w:right="49" w:hanging="1083"/>
              <w:jc w:val="center"/>
            </w:pPr>
            <w:r w:rsidRPr="008D7DE3">
              <w:rPr>
                <w:rFonts w:ascii="Calibri" w:eastAsia="Calibri" w:hAnsi="Calibri" w:cs="Calibri"/>
                <w:bCs/>
                <w:spacing w:val="-1"/>
              </w:rPr>
              <w:t>+</w:t>
            </w:r>
            <w:r w:rsidR="008D7DE3" w:rsidRPr="008D7DE3">
              <w:rPr>
                <w:rFonts w:ascii="Calibri" w:eastAsia="Calibri" w:hAnsi="Calibri" w:cs="Calibri"/>
                <w:bCs/>
                <w:spacing w:val="-1"/>
              </w:rPr>
              <w:t>43</w:t>
            </w:r>
            <w:r w:rsidR="0011120D" w:rsidRPr="008D7DE3">
              <w:rPr>
                <w:rFonts w:ascii="Calibri" w:eastAsia="Calibri" w:hAnsi="Calibri" w:cs="Calibri"/>
                <w:bCs/>
              </w:rPr>
              <w:t>%</w:t>
            </w:r>
          </w:p>
        </w:tc>
        <w:tc>
          <w:tcPr>
            <w:tcW w:w="1565" w:type="dxa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E5E28" w14:textId="35C6B619" w:rsidR="0011120D" w:rsidRPr="008D7DE3" w:rsidRDefault="0011120D" w:rsidP="00FD060C">
            <w:pPr>
              <w:ind w:left="1134" w:right="49" w:hanging="1083"/>
              <w:jc w:val="center"/>
            </w:pPr>
            <w:r w:rsidRPr="008D7DE3">
              <w:rPr>
                <w:rFonts w:ascii="Calibri" w:eastAsia="Calibri" w:hAnsi="Calibri" w:cs="Calibri"/>
                <w:bCs/>
                <w:spacing w:val="-1"/>
              </w:rPr>
              <w:t>+</w:t>
            </w:r>
            <w:r w:rsidR="008D7DE3" w:rsidRPr="008D7DE3">
              <w:rPr>
                <w:rFonts w:ascii="Calibri" w:eastAsia="Calibri" w:hAnsi="Calibri" w:cs="Calibri"/>
                <w:bCs/>
                <w:spacing w:val="-1"/>
              </w:rPr>
              <w:t>41</w:t>
            </w:r>
            <w:r w:rsidRPr="008D7DE3">
              <w:rPr>
                <w:rFonts w:ascii="Calibri" w:eastAsia="Calibri" w:hAnsi="Calibri" w:cs="Calibri"/>
                <w:bCs/>
              </w:rPr>
              <w:t>%</w:t>
            </w:r>
          </w:p>
        </w:tc>
      </w:tr>
      <w:tr w:rsidR="0011120D" w:rsidRPr="00DF54A9" w14:paraId="15EBF0A7" w14:textId="77777777" w:rsidTr="00D765BC">
        <w:trPr>
          <w:trHeight w:val="97"/>
        </w:trPr>
        <w:tc>
          <w:tcPr>
            <w:tcW w:w="3271" w:type="dxa"/>
            <w:vAlign w:val="center"/>
          </w:tcPr>
          <w:p w14:paraId="5D222795" w14:textId="77777777" w:rsidR="0011120D" w:rsidRPr="008D7DE3" w:rsidRDefault="0011120D" w:rsidP="00FD060C">
            <w:pPr>
              <w:pStyle w:val="TableParagraph"/>
              <w:spacing w:line="205" w:lineRule="exact"/>
              <w:ind w:left="1134" w:right="49" w:hanging="1083"/>
              <w:rPr>
                <w:rFonts w:ascii="Calibri" w:eastAsia="Calibri" w:hAnsi="Calibri" w:cs="Calibri"/>
              </w:rPr>
            </w:pPr>
            <w:r w:rsidRPr="008D7DE3">
              <w:rPr>
                <w:rFonts w:ascii="Calibri" w:eastAsia="Calibri" w:hAnsi="Calibri" w:cs="Calibri"/>
              </w:rPr>
              <w:t>Gaming revenue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55CDE" w14:textId="77C1241F" w:rsidR="0011120D" w:rsidRPr="008D7DE3" w:rsidRDefault="00AB39C2" w:rsidP="00FD060C">
            <w:pPr>
              <w:pStyle w:val="TableParagraph"/>
              <w:spacing w:line="205" w:lineRule="exact"/>
              <w:ind w:left="1134" w:right="49" w:hanging="1083"/>
              <w:jc w:val="center"/>
              <w:rPr>
                <w:rFonts w:ascii="Calibri" w:eastAsia="Calibri" w:hAnsi="Calibri" w:cs="Calibri"/>
              </w:rPr>
            </w:pPr>
            <w:r w:rsidRPr="008D7DE3">
              <w:rPr>
                <w:rFonts w:ascii="Calibri" w:eastAsia="Calibri" w:hAnsi="Calibri" w:cs="Calibri"/>
              </w:rPr>
              <w:t>5</w:t>
            </w:r>
            <w:r w:rsidR="00F57956"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86D0B" w14:textId="655ECE28" w:rsidR="0011120D" w:rsidRPr="008D7DE3" w:rsidRDefault="00EA6790" w:rsidP="00FD060C">
            <w:pPr>
              <w:pStyle w:val="TableParagraph"/>
              <w:spacing w:line="205" w:lineRule="exact"/>
              <w:ind w:left="1134" w:right="49" w:hanging="1083"/>
              <w:jc w:val="center"/>
              <w:rPr>
                <w:rFonts w:ascii="Calibri" w:eastAsia="Calibri" w:hAnsi="Calibri" w:cs="Calibri"/>
              </w:rPr>
            </w:pPr>
            <w:r w:rsidRPr="008D7DE3">
              <w:rPr>
                <w:rFonts w:ascii="Calibri" w:eastAsia="Calibri" w:hAnsi="Calibri" w:cs="Calibri"/>
              </w:rPr>
              <w:t>4</w:t>
            </w:r>
            <w:r w:rsidR="008D7DE3" w:rsidRPr="008D7DE3"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  <w:vAlign w:val="center"/>
          </w:tcPr>
          <w:p w14:paraId="4CDC01E9" w14:textId="49FFC636" w:rsidR="0011120D" w:rsidRPr="008D7DE3" w:rsidRDefault="00EA6790" w:rsidP="00FD060C">
            <w:pPr>
              <w:pStyle w:val="TableParagraph"/>
              <w:spacing w:line="205" w:lineRule="exact"/>
              <w:ind w:left="1134" w:right="49" w:hanging="1083"/>
              <w:jc w:val="center"/>
              <w:rPr>
                <w:rFonts w:ascii="Calibri" w:eastAsia="Calibri" w:hAnsi="Calibri" w:cs="Calibri"/>
              </w:rPr>
            </w:pPr>
            <w:r w:rsidRPr="008D7DE3">
              <w:rPr>
                <w:rFonts w:ascii="Calibri" w:eastAsia="Calibri" w:hAnsi="Calibri" w:cs="Calibri"/>
              </w:rPr>
              <w:t>+</w:t>
            </w:r>
            <w:r w:rsidR="008D7DE3" w:rsidRPr="008D7DE3">
              <w:rPr>
                <w:rFonts w:ascii="Calibri" w:eastAsia="Calibri" w:hAnsi="Calibri" w:cs="Calibri"/>
              </w:rPr>
              <w:t>18</w:t>
            </w:r>
            <w:r w:rsidR="0011120D" w:rsidRPr="008D7DE3"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565" w:type="dxa"/>
            <w:tcBorders>
              <w:top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219FE" w14:textId="6584EB39" w:rsidR="0011120D" w:rsidRPr="008D7DE3" w:rsidRDefault="0011120D" w:rsidP="00FD060C">
            <w:pPr>
              <w:pStyle w:val="TableParagraph"/>
              <w:spacing w:line="205" w:lineRule="exact"/>
              <w:ind w:left="1134" w:right="49" w:hanging="1083"/>
              <w:jc w:val="center"/>
              <w:rPr>
                <w:rFonts w:ascii="Calibri" w:eastAsia="Calibri" w:hAnsi="Calibri" w:cs="Calibri"/>
              </w:rPr>
            </w:pPr>
            <w:r w:rsidRPr="008D7DE3">
              <w:rPr>
                <w:rFonts w:ascii="Calibri" w:eastAsia="Calibri" w:hAnsi="Calibri" w:cs="Calibri"/>
              </w:rPr>
              <w:t>+</w:t>
            </w:r>
            <w:r w:rsidR="008D7DE3" w:rsidRPr="008D7DE3">
              <w:rPr>
                <w:rFonts w:ascii="Calibri" w:eastAsia="Calibri" w:hAnsi="Calibri" w:cs="Calibri"/>
              </w:rPr>
              <w:t>2</w:t>
            </w:r>
            <w:r w:rsidR="008C03BA">
              <w:rPr>
                <w:rFonts w:ascii="Calibri" w:eastAsia="Calibri" w:hAnsi="Calibri" w:cs="Calibri"/>
              </w:rPr>
              <w:t>2</w:t>
            </w:r>
            <w:r w:rsidRPr="008D7DE3">
              <w:rPr>
                <w:rFonts w:ascii="Calibri" w:eastAsia="Calibri" w:hAnsi="Calibri" w:cs="Calibri"/>
              </w:rPr>
              <w:t>%</w:t>
            </w:r>
          </w:p>
        </w:tc>
      </w:tr>
      <w:tr w:rsidR="0011120D" w:rsidRPr="00DF54A9" w14:paraId="6A92A444" w14:textId="77777777" w:rsidTr="00D765BC">
        <w:trPr>
          <w:trHeight w:val="187"/>
        </w:trPr>
        <w:tc>
          <w:tcPr>
            <w:tcW w:w="3271" w:type="dxa"/>
            <w:vAlign w:val="center"/>
          </w:tcPr>
          <w:p w14:paraId="177C062B" w14:textId="77777777" w:rsidR="0011120D" w:rsidRPr="008D7DE3" w:rsidRDefault="0011120D" w:rsidP="00FD060C">
            <w:pPr>
              <w:pStyle w:val="TableParagraph"/>
              <w:spacing w:line="204" w:lineRule="exact"/>
              <w:ind w:left="1134" w:right="49" w:hanging="1083"/>
              <w:rPr>
                <w:rFonts w:ascii="Calibri" w:eastAsia="Calibri" w:hAnsi="Calibri" w:cs="Calibri"/>
              </w:rPr>
            </w:pPr>
            <w:r w:rsidRPr="008D7DE3">
              <w:rPr>
                <w:rFonts w:ascii="Calibri" w:eastAsia="Calibri" w:hAnsi="Calibri" w:cs="Calibri"/>
                <w:b/>
                <w:bCs/>
              </w:rPr>
              <w:t>Total revenue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56EC0" w14:textId="4793B4D1" w:rsidR="0011120D" w:rsidRPr="008D7DE3" w:rsidRDefault="00EA6790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</w:rPr>
            </w:pPr>
            <w:r w:rsidRPr="008D7DE3">
              <w:rPr>
                <w:rFonts w:ascii="Calibri" w:eastAsia="Calibri" w:hAnsi="Calibri" w:cs="Calibri"/>
                <w:b/>
              </w:rPr>
              <w:t>1,</w:t>
            </w:r>
            <w:r w:rsidR="008D7DE3" w:rsidRPr="008D7DE3">
              <w:rPr>
                <w:rFonts w:ascii="Calibri" w:eastAsia="Calibri" w:hAnsi="Calibri" w:cs="Calibri"/>
                <w:b/>
              </w:rPr>
              <w:t>48</w:t>
            </w:r>
            <w:r w:rsidR="00F57956">
              <w:rPr>
                <w:rFonts w:ascii="Calibri" w:eastAsia="Calibri" w:hAnsi="Calibri" w:cs="Calibri"/>
                <w:b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66808" w14:textId="729928CF" w:rsidR="0011120D" w:rsidRPr="008D7DE3" w:rsidRDefault="00EA6790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</w:rPr>
            </w:pPr>
            <w:r w:rsidRPr="008D7DE3">
              <w:rPr>
                <w:rFonts w:ascii="Calibri" w:eastAsia="Calibri" w:hAnsi="Calibri" w:cs="Calibri"/>
                <w:b/>
              </w:rPr>
              <w:t>1,</w:t>
            </w:r>
            <w:r w:rsidR="008D7DE3" w:rsidRPr="008D7DE3">
              <w:rPr>
                <w:rFonts w:ascii="Calibri" w:eastAsia="Calibri" w:hAnsi="Calibri" w:cs="Calibri"/>
                <w:b/>
              </w:rPr>
              <w:t>126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1E229" w14:textId="6109D041" w:rsidR="0011120D" w:rsidRPr="008D7DE3" w:rsidRDefault="0011120D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</w:rPr>
            </w:pPr>
            <w:r w:rsidRPr="008D7DE3">
              <w:rPr>
                <w:rFonts w:ascii="Calibri" w:eastAsia="Calibri" w:hAnsi="Calibri" w:cs="Calibri"/>
                <w:b/>
                <w:bCs/>
                <w:spacing w:val="-1"/>
              </w:rPr>
              <w:t>+</w:t>
            </w:r>
            <w:r w:rsidR="008D7DE3" w:rsidRPr="008D7DE3">
              <w:rPr>
                <w:rFonts w:ascii="Calibri" w:eastAsia="Calibri" w:hAnsi="Calibri" w:cs="Calibri"/>
                <w:b/>
                <w:bCs/>
                <w:spacing w:val="-1"/>
              </w:rPr>
              <w:t>32</w:t>
            </w:r>
            <w:r w:rsidRPr="008D7DE3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DFDE9" w14:textId="7F394D08" w:rsidR="0011120D" w:rsidRPr="008D7DE3" w:rsidRDefault="0011120D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</w:rPr>
            </w:pPr>
            <w:r w:rsidRPr="008D7DE3">
              <w:rPr>
                <w:rFonts w:ascii="Calibri" w:eastAsia="Calibri" w:hAnsi="Calibri" w:cs="Calibri"/>
                <w:b/>
                <w:bCs/>
                <w:spacing w:val="-1"/>
              </w:rPr>
              <w:t>+</w:t>
            </w:r>
            <w:r w:rsidR="00EA6790" w:rsidRPr="008D7DE3">
              <w:rPr>
                <w:rFonts w:ascii="Calibri" w:eastAsia="Calibri" w:hAnsi="Calibri" w:cs="Calibri"/>
                <w:b/>
                <w:bCs/>
                <w:spacing w:val="-1"/>
              </w:rPr>
              <w:t>3</w:t>
            </w:r>
            <w:r w:rsidR="008D7DE3" w:rsidRPr="008D7DE3">
              <w:rPr>
                <w:rFonts w:ascii="Calibri" w:eastAsia="Calibri" w:hAnsi="Calibri" w:cs="Calibri"/>
                <w:b/>
                <w:bCs/>
                <w:spacing w:val="-1"/>
              </w:rPr>
              <w:t>3</w:t>
            </w:r>
            <w:r w:rsidRPr="008D7DE3">
              <w:rPr>
                <w:rFonts w:ascii="Calibri" w:eastAsia="Calibri" w:hAnsi="Calibri" w:cs="Calibri"/>
                <w:b/>
                <w:bCs/>
              </w:rPr>
              <w:t>%</w:t>
            </w:r>
          </w:p>
        </w:tc>
      </w:tr>
      <w:tr w:rsidR="007E6529" w:rsidRPr="00DF54A9" w14:paraId="7E9F6E56" w14:textId="77777777" w:rsidTr="00D765BC">
        <w:trPr>
          <w:trHeight w:val="187"/>
        </w:trPr>
        <w:tc>
          <w:tcPr>
            <w:tcW w:w="3271" w:type="dxa"/>
            <w:vAlign w:val="center"/>
          </w:tcPr>
          <w:p w14:paraId="65F197FD" w14:textId="4204E20E" w:rsidR="007E6529" w:rsidRPr="00F52882" w:rsidRDefault="007E6529" w:rsidP="00FD060C">
            <w:pPr>
              <w:pStyle w:val="TableParagraph"/>
              <w:spacing w:line="204" w:lineRule="exact"/>
              <w:ind w:left="1134" w:right="49" w:hanging="1083"/>
              <w:rPr>
                <w:rFonts w:ascii="Calibri" w:hAnsi="Calibri"/>
                <w:i/>
                <w:sz w:val="18"/>
              </w:rPr>
            </w:pPr>
            <w:r w:rsidRPr="00F52882">
              <w:rPr>
                <w:rFonts w:ascii="Calibri" w:hAnsi="Calibri"/>
                <w:i/>
                <w:sz w:val="18"/>
              </w:rPr>
              <w:t>Of which online</w:t>
            </w:r>
            <w:r w:rsidR="00992CFA">
              <w:rPr>
                <w:rFonts w:ascii="Calibri" w:eastAsia="Calibri" w:hAnsi="Calibri" w:cs="Calibri"/>
                <w:bCs/>
                <w:i/>
                <w:sz w:val="18"/>
                <w:szCs w:val="18"/>
              </w:rPr>
              <w:t xml:space="preserve"> was</w:t>
            </w: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0B8AE" w14:textId="0EBF27FB" w:rsidR="007E6529" w:rsidRPr="00F52882" w:rsidRDefault="007E6529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hAnsi="Calibri"/>
                <w:i/>
                <w:sz w:val="18"/>
              </w:rPr>
            </w:pPr>
            <w:r w:rsidRPr="00F52882">
              <w:rPr>
                <w:rFonts w:ascii="Calibri" w:hAnsi="Calibri"/>
                <w:i/>
                <w:sz w:val="18"/>
              </w:rPr>
              <w:t>1,471</w:t>
            </w: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990AE" w14:textId="5C7B7068" w:rsidR="007E6529" w:rsidRPr="00F52882" w:rsidRDefault="007E6529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hAnsi="Calibri"/>
                <w:i/>
                <w:sz w:val="18"/>
              </w:rPr>
            </w:pPr>
            <w:r w:rsidRPr="00F52882">
              <w:rPr>
                <w:rFonts w:ascii="Calibri" w:hAnsi="Calibri"/>
                <w:i/>
                <w:sz w:val="18"/>
              </w:rPr>
              <w:t>1,047</w:t>
            </w:r>
          </w:p>
        </w:tc>
        <w:tc>
          <w:tcPr>
            <w:tcW w:w="1565" w:type="dxa"/>
            <w:tcBorders>
              <w:top w:val="single" w:sz="4" w:space="0" w:color="auto"/>
              <w:bottom w:val="nil"/>
            </w:tcBorders>
            <w:vAlign w:val="center"/>
          </w:tcPr>
          <w:p w14:paraId="33500FCC" w14:textId="73756CF6" w:rsidR="007E6529" w:rsidRPr="00F52882" w:rsidRDefault="007E6529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hAnsi="Calibri"/>
                <w:i/>
                <w:spacing w:val="-1"/>
                <w:sz w:val="18"/>
              </w:rPr>
            </w:pPr>
            <w:r w:rsidRPr="00F52882">
              <w:rPr>
                <w:rFonts w:ascii="Calibri" w:hAnsi="Calibri"/>
                <w:i/>
                <w:spacing w:val="-1"/>
                <w:sz w:val="18"/>
              </w:rPr>
              <w:t>+41%</w:t>
            </w:r>
          </w:p>
        </w:tc>
        <w:tc>
          <w:tcPr>
            <w:tcW w:w="1565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AC9E1" w14:textId="14C46CBD" w:rsidR="007E6529" w:rsidRPr="00F52882" w:rsidRDefault="007E6529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hAnsi="Calibri"/>
                <w:i/>
                <w:spacing w:val="-1"/>
                <w:sz w:val="18"/>
              </w:rPr>
            </w:pPr>
            <w:r w:rsidRPr="00F52882">
              <w:rPr>
                <w:rFonts w:ascii="Calibri" w:hAnsi="Calibri"/>
                <w:i/>
                <w:spacing w:val="-1"/>
                <w:sz w:val="18"/>
              </w:rPr>
              <w:t>+42%</w:t>
            </w:r>
          </w:p>
        </w:tc>
      </w:tr>
      <w:tr w:rsidR="00D35913" w:rsidRPr="00DF54A9" w14:paraId="374FDAC4" w14:textId="77777777" w:rsidTr="00D765BC">
        <w:trPr>
          <w:trHeight w:val="80"/>
        </w:trPr>
        <w:tc>
          <w:tcPr>
            <w:tcW w:w="3271" w:type="dxa"/>
            <w:vAlign w:val="center"/>
          </w:tcPr>
          <w:p w14:paraId="5120F01F" w14:textId="77777777" w:rsidR="00D35913" w:rsidRPr="00515CF2" w:rsidRDefault="00D35913" w:rsidP="00FD060C">
            <w:pPr>
              <w:pStyle w:val="TableParagraph"/>
              <w:spacing w:line="204" w:lineRule="exact"/>
              <w:ind w:left="1134" w:right="49" w:hanging="1083"/>
              <w:rPr>
                <w:rFonts w:ascii="Calibri" w:eastAsia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8C401" w14:textId="77777777" w:rsidR="00D35913" w:rsidRPr="008D7DE3" w:rsidRDefault="00D35913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4460A" w14:textId="77777777" w:rsidR="00D35913" w:rsidRPr="00515CF2" w:rsidRDefault="00D35913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  <w:sz w:val="6"/>
              </w:rPr>
            </w:pPr>
          </w:p>
        </w:tc>
        <w:tc>
          <w:tcPr>
            <w:tcW w:w="1565" w:type="dxa"/>
            <w:tcBorders>
              <w:top w:val="nil"/>
              <w:bottom w:val="nil"/>
            </w:tcBorders>
            <w:vAlign w:val="center"/>
          </w:tcPr>
          <w:p w14:paraId="27AFA1DC" w14:textId="77777777" w:rsidR="00D35913" w:rsidRPr="008D7DE3" w:rsidRDefault="00D35913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</w:tc>
        <w:tc>
          <w:tcPr>
            <w:tcW w:w="1565" w:type="dxa"/>
            <w:tcBorders>
              <w:top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13F8E" w14:textId="77777777" w:rsidR="00D35913" w:rsidRPr="008D7DE3" w:rsidRDefault="00D35913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</w:tc>
      </w:tr>
      <w:tr w:rsidR="00D35913" w:rsidRPr="00DF54A9" w14:paraId="3EAB21B4" w14:textId="77777777" w:rsidTr="00D765BC">
        <w:trPr>
          <w:trHeight w:val="187"/>
        </w:trPr>
        <w:tc>
          <w:tcPr>
            <w:tcW w:w="3271" w:type="dxa"/>
            <w:vAlign w:val="center"/>
          </w:tcPr>
          <w:p w14:paraId="6DCBB102" w14:textId="1CE1F376" w:rsidR="00D35913" w:rsidRPr="008D7DE3" w:rsidRDefault="00D35913" w:rsidP="00FD060C">
            <w:pPr>
              <w:pStyle w:val="TableParagraph"/>
              <w:spacing w:line="204" w:lineRule="exact"/>
              <w:ind w:left="1134" w:right="49" w:hanging="1083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Average monthly players</w:t>
            </w:r>
            <w:r w:rsidR="00C05E56" w:rsidRPr="00515CF2">
              <w:rPr>
                <w:rFonts w:ascii="Calibri" w:eastAsia="Calibri" w:hAnsi="Calibri" w:cs="Calibri"/>
                <w:b/>
                <w:bCs/>
                <w:vertAlign w:val="superscript"/>
              </w:rPr>
              <w:t>3</w:t>
            </w:r>
            <w:r>
              <w:rPr>
                <w:rFonts w:ascii="Calibri" w:eastAsia="Calibri" w:hAnsi="Calibri" w:cs="Calibri"/>
                <w:b/>
                <w:bCs/>
              </w:rPr>
              <w:t xml:space="preserve"> (</w:t>
            </w:r>
            <w:r w:rsidR="00F930BB">
              <w:rPr>
                <w:rFonts w:ascii="Calibri" w:eastAsia="Calibri" w:hAnsi="Calibri" w:cs="Calibri"/>
                <w:b/>
                <w:bCs/>
              </w:rPr>
              <w:t>‘</w:t>
            </w:r>
            <w:r>
              <w:rPr>
                <w:rFonts w:ascii="Calibri" w:eastAsia="Calibri" w:hAnsi="Calibri" w:cs="Calibri"/>
                <w:b/>
                <w:bCs/>
              </w:rPr>
              <w:t>000s)</w:t>
            </w:r>
          </w:p>
        </w:tc>
        <w:tc>
          <w:tcPr>
            <w:tcW w:w="1565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29C1A" w14:textId="2CA66833" w:rsidR="00D35913" w:rsidRPr="008D7DE3" w:rsidRDefault="00D35913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7,672</w:t>
            </w:r>
          </w:p>
        </w:tc>
        <w:tc>
          <w:tcPr>
            <w:tcW w:w="1565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B6D63" w14:textId="0DF9B4B2" w:rsidR="00D35913" w:rsidRPr="008D7DE3" w:rsidRDefault="00D35913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5,635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14:paraId="18E01D93" w14:textId="531E824A" w:rsidR="00D35913" w:rsidRPr="008D7DE3" w:rsidRDefault="00D35913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  <w:bCs/>
                <w:spacing w:val="-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+36%</w:t>
            </w:r>
          </w:p>
        </w:tc>
        <w:tc>
          <w:tcPr>
            <w:tcW w:w="1565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B4320" w14:textId="77777777" w:rsidR="00D35913" w:rsidRPr="008D7DE3" w:rsidRDefault="00D35913" w:rsidP="00FD060C">
            <w:pPr>
              <w:pStyle w:val="TableParagraph"/>
              <w:spacing w:line="204" w:lineRule="exact"/>
              <w:ind w:left="1134" w:right="49" w:hanging="1083"/>
              <w:jc w:val="center"/>
              <w:rPr>
                <w:rFonts w:ascii="Calibri" w:eastAsia="Calibri" w:hAnsi="Calibri" w:cs="Calibri"/>
                <w:b/>
                <w:bCs/>
                <w:spacing w:val="-1"/>
              </w:rPr>
            </w:pPr>
          </w:p>
        </w:tc>
      </w:tr>
    </w:tbl>
    <w:p w14:paraId="16B4AFA1" w14:textId="28D18031" w:rsidR="00452030" w:rsidRDefault="000D69AE" w:rsidP="00FD060C">
      <w:pPr>
        <w:pStyle w:val="ListParagraph"/>
        <w:spacing w:after="120"/>
        <w:ind w:left="142" w:right="49"/>
        <w:jc w:val="both"/>
        <w:rPr>
          <w:i/>
          <w:sz w:val="18"/>
          <w:szCs w:val="18"/>
        </w:rPr>
      </w:pPr>
      <w:bookmarkStart w:id="0" w:name="_Hlk527038088"/>
      <w:r w:rsidRPr="00DF54A9">
        <w:rPr>
          <w:i/>
          <w:sz w:val="18"/>
          <w:szCs w:val="18"/>
        </w:rPr>
        <w:t xml:space="preserve">  </w:t>
      </w:r>
      <w:r w:rsidR="00452030" w:rsidRPr="00DF54A9">
        <w:rPr>
          <w:i/>
          <w:sz w:val="18"/>
          <w:szCs w:val="18"/>
        </w:rPr>
        <w:t xml:space="preserve">All commentary within this trading update refers to pro </w:t>
      </w:r>
      <w:r w:rsidR="00452030" w:rsidRPr="00B96C9D">
        <w:rPr>
          <w:i/>
          <w:sz w:val="18"/>
          <w:szCs w:val="18"/>
        </w:rPr>
        <w:t>forma, constant currency</w:t>
      </w:r>
      <w:r w:rsidR="00390E53" w:rsidRPr="00B96C9D">
        <w:rPr>
          <w:i/>
          <w:sz w:val="18"/>
          <w:szCs w:val="18"/>
          <w:vertAlign w:val="superscript"/>
        </w:rPr>
        <w:t>2</w:t>
      </w:r>
      <w:r w:rsidR="00452030" w:rsidRPr="00B96C9D">
        <w:rPr>
          <w:i/>
          <w:sz w:val="18"/>
          <w:szCs w:val="18"/>
        </w:rPr>
        <w:t xml:space="preserve"> growth</w:t>
      </w:r>
      <w:r w:rsidR="00452030" w:rsidRPr="00DF54A9">
        <w:rPr>
          <w:i/>
          <w:sz w:val="18"/>
          <w:szCs w:val="18"/>
        </w:rPr>
        <w:t xml:space="preserve"> rates</w:t>
      </w:r>
      <w:r w:rsidR="001924D4">
        <w:rPr>
          <w:i/>
          <w:sz w:val="18"/>
          <w:szCs w:val="18"/>
        </w:rPr>
        <w:t>. Any differences due to rounding.</w:t>
      </w:r>
    </w:p>
    <w:p w14:paraId="3A1CF615" w14:textId="33AF3DC0" w:rsidR="001D1926" w:rsidRPr="00654DCB" w:rsidRDefault="002444EA" w:rsidP="00515CF2">
      <w:pPr>
        <w:pStyle w:val="BodyText"/>
        <w:numPr>
          <w:ilvl w:val="7"/>
          <w:numId w:val="2"/>
        </w:numPr>
        <w:tabs>
          <w:tab w:val="left" w:pos="284"/>
        </w:tabs>
        <w:spacing w:after="80"/>
        <w:ind w:left="284" w:right="51" w:hanging="284"/>
        <w:jc w:val="both"/>
        <w:rPr>
          <w:sz w:val="21"/>
          <w:szCs w:val="21"/>
        </w:rPr>
      </w:pPr>
      <w:bookmarkStart w:id="1" w:name="_Hlk69469785"/>
      <w:r w:rsidRPr="00305617">
        <w:rPr>
          <w:sz w:val="21"/>
          <w:szCs w:val="21"/>
        </w:rPr>
        <w:t>Average monthly players (</w:t>
      </w:r>
      <w:r w:rsidR="002903FC" w:rsidRPr="00305617">
        <w:rPr>
          <w:sz w:val="21"/>
          <w:szCs w:val="21"/>
        </w:rPr>
        <w:t>“</w:t>
      </w:r>
      <w:r w:rsidRPr="00305617">
        <w:rPr>
          <w:sz w:val="21"/>
          <w:szCs w:val="21"/>
        </w:rPr>
        <w:t>AMP</w:t>
      </w:r>
      <w:r w:rsidR="002903FC" w:rsidRPr="00D6240C">
        <w:rPr>
          <w:sz w:val="21"/>
          <w:szCs w:val="21"/>
        </w:rPr>
        <w:t>s</w:t>
      </w:r>
      <w:r w:rsidR="002903FC" w:rsidRPr="007171EC">
        <w:rPr>
          <w:sz w:val="21"/>
          <w:szCs w:val="21"/>
        </w:rPr>
        <w:t>”</w:t>
      </w:r>
      <w:r w:rsidRPr="007171EC">
        <w:rPr>
          <w:sz w:val="21"/>
          <w:szCs w:val="21"/>
        </w:rPr>
        <w:t>)</w:t>
      </w:r>
      <w:r w:rsidR="001E07BB" w:rsidRPr="007171EC">
        <w:rPr>
          <w:sz w:val="21"/>
          <w:szCs w:val="21"/>
          <w:vertAlign w:val="superscript"/>
        </w:rPr>
        <w:t>3</w:t>
      </w:r>
      <w:r w:rsidRPr="00654DCB">
        <w:rPr>
          <w:sz w:val="21"/>
          <w:szCs w:val="21"/>
        </w:rPr>
        <w:t xml:space="preserve"> </w:t>
      </w:r>
      <w:r w:rsidR="001907E3" w:rsidRPr="00654DCB">
        <w:rPr>
          <w:sz w:val="21"/>
          <w:szCs w:val="21"/>
        </w:rPr>
        <w:t>increased</w:t>
      </w:r>
      <w:r w:rsidRPr="00654DCB">
        <w:rPr>
          <w:sz w:val="21"/>
          <w:szCs w:val="21"/>
        </w:rPr>
        <w:t xml:space="preserve"> 36%</w:t>
      </w:r>
      <w:r w:rsidR="00083EDF" w:rsidRPr="00654DCB">
        <w:rPr>
          <w:sz w:val="21"/>
          <w:szCs w:val="21"/>
        </w:rPr>
        <w:t xml:space="preserve"> globally</w:t>
      </w:r>
      <w:r w:rsidR="00654DCB">
        <w:rPr>
          <w:sz w:val="21"/>
          <w:szCs w:val="21"/>
        </w:rPr>
        <w:t xml:space="preserve">: </w:t>
      </w:r>
      <w:r w:rsidRPr="00305617">
        <w:rPr>
          <w:sz w:val="21"/>
          <w:szCs w:val="21"/>
        </w:rPr>
        <w:t xml:space="preserve">Double digit growth </w:t>
      </w:r>
      <w:r w:rsidR="00083EDF" w:rsidRPr="00D6240C">
        <w:rPr>
          <w:sz w:val="21"/>
          <w:szCs w:val="21"/>
        </w:rPr>
        <w:t xml:space="preserve">across </w:t>
      </w:r>
      <w:r w:rsidRPr="007171EC">
        <w:rPr>
          <w:sz w:val="21"/>
          <w:szCs w:val="21"/>
        </w:rPr>
        <w:t>all divisions</w:t>
      </w:r>
      <w:r w:rsidR="007A7BC5">
        <w:rPr>
          <w:sz w:val="21"/>
          <w:szCs w:val="21"/>
        </w:rPr>
        <w:t>,</w:t>
      </w:r>
      <w:r w:rsidR="00083EDF" w:rsidRPr="007171EC">
        <w:rPr>
          <w:sz w:val="21"/>
          <w:szCs w:val="21"/>
        </w:rPr>
        <w:t xml:space="preserve"> </w:t>
      </w:r>
      <w:r w:rsidRPr="00654DCB">
        <w:rPr>
          <w:sz w:val="21"/>
          <w:szCs w:val="21"/>
        </w:rPr>
        <w:t>US up 13</w:t>
      </w:r>
      <w:r w:rsidR="003B44FD" w:rsidRPr="00654DCB">
        <w:rPr>
          <w:sz w:val="21"/>
          <w:szCs w:val="21"/>
        </w:rPr>
        <w:t>2</w:t>
      </w:r>
      <w:r w:rsidRPr="00654DCB">
        <w:rPr>
          <w:sz w:val="21"/>
          <w:szCs w:val="21"/>
        </w:rPr>
        <w:t>%</w:t>
      </w:r>
    </w:p>
    <w:p w14:paraId="038283B7" w14:textId="0CC56F0C" w:rsidR="001D19D7" w:rsidRDefault="00992CFA" w:rsidP="00515CF2">
      <w:pPr>
        <w:pStyle w:val="BodyText"/>
        <w:numPr>
          <w:ilvl w:val="3"/>
          <w:numId w:val="2"/>
        </w:numPr>
        <w:tabs>
          <w:tab w:val="left" w:pos="284"/>
        </w:tabs>
        <w:spacing w:after="80"/>
        <w:ind w:left="284" w:right="51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Strong online </w:t>
      </w:r>
      <w:r w:rsidR="00576A76">
        <w:rPr>
          <w:sz w:val="21"/>
          <w:szCs w:val="21"/>
        </w:rPr>
        <w:t xml:space="preserve">revenue </w:t>
      </w:r>
      <w:r>
        <w:rPr>
          <w:sz w:val="21"/>
          <w:szCs w:val="21"/>
        </w:rPr>
        <w:t>performance across all regions</w:t>
      </w:r>
      <w:r w:rsidR="001D19D7">
        <w:rPr>
          <w:sz w:val="21"/>
          <w:szCs w:val="21"/>
        </w:rPr>
        <w:t>:</w:t>
      </w:r>
    </w:p>
    <w:p w14:paraId="5AED4472" w14:textId="2096F45B" w:rsidR="00C077AD" w:rsidRDefault="00632901" w:rsidP="00515CF2">
      <w:pPr>
        <w:pStyle w:val="BodyText"/>
        <w:numPr>
          <w:ilvl w:val="8"/>
          <w:numId w:val="41"/>
        </w:numPr>
        <w:tabs>
          <w:tab w:val="left" w:pos="284"/>
        </w:tabs>
        <w:spacing w:after="80"/>
        <w:ind w:left="794" w:right="51" w:hanging="284"/>
        <w:jc w:val="both"/>
        <w:rPr>
          <w:sz w:val="21"/>
          <w:szCs w:val="21"/>
        </w:rPr>
      </w:pPr>
      <w:r w:rsidRPr="00515CF2">
        <w:rPr>
          <w:b/>
          <w:sz w:val="21"/>
          <w:szCs w:val="21"/>
        </w:rPr>
        <w:t>UK &amp; Ireland +3</w:t>
      </w:r>
      <w:r w:rsidR="003B44FD" w:rsidRPr="00515CF2">
        <w:rPr>
          <w:b/>
          <w:sz w:val="21"/>
          <w:szCs w:val="21"/>
        </w:rPr>
        <w:t>5</w:t>
      </w:r>
      <w:r w:rsidRPr="00515CF2">
        <w:rPr>
          <w:b/>
          <w:sz w:val="21"/>
          <w:szCs w:val="21"/>
        </w:rPr>
        <w:t>%</w:t>
      </w:r>
      <w:r w:rsidR="00CB5E28" w:rsidRPr="001D1E86">
        <w:rPr>
          <w:sz w:val="21"/>
          <w:szCs w:val="21"/>
        </w:rPr>
        <w:t xml:space="preserve">; </w:t>
      </w:r>
      <w:r w:rsidR="0065480E">
        <w:rPr>
          <w:sz w:val="21"/>
          <w:szCs w:val="21"/>
        </w:rPr>
        <w:t xml:space="preserve">ongoing </w:t>
      </w:r>
      <w:r w:rsidR="00C077AD" w:rsidRPr="00CB5E28">
        <w:rPr>
          <w:sz w:val="21"/>
          <w:szCs w:val="21"/>
        </w:rPr>
        <w:t xml:space="preserve">market share </w:t>
      </w:r>
      <w:r w:rsidR="0065480E">
        <w:rPr>
          <w:sz w:val="21"/>
          <w:szCs w:val="21"/>
        </w:rPr>
        <w:t xml:space="preserve">gains </w:t>
      </w:r>
      <w:r w:rsidR="00515CF2" w:rsidRPr="00CB5E28">
        <w:rPr>
          <w:sz w:val="21"/>
          <w:szCs w:val="21"/>
        </w:rPr>
        <w:t xml:space="preserve">as </w:t>
      </w:r>
      <w:r w:rsidR="001D19D7" w:rsidRPr="00CB5E28">
        <w:rPr>
          <w:sz w:val="21"/>
          <w:szCs w:val="21"/>
        </w:rPr>
        <w:t>retail</w:t>
      </w:r>
      <w:r w:rsidR="00CA3641" w:rsidRPr="00CB5E28">
        <w:rPr>
          <w:sz w:val="21"/>
          <w:szCs w:val="21"/>
        </w:rPr>
        <w:t xml:space="preserve"> customer</w:t>
      </w:r>
      <w:r w:rsidR="00CB5E28">
        <w:rPr>
          <w:sz w:val="21"/>
          <w:szCs w:val="21"/>
        </w:rPr>
        <w:t>s</w:t>
      </w:r>
      <w:r w:rsidR="00CA3641" w:rsidRPr="00CB5E28">
        <w:rPr>
          <w:sz w:val="21"/>
          <w:szCs w:val="21"/>
        </w:rPr>
        <w:t xml:space="preserve"> </w:t>
      </w:r>
      <w:r w:rsidR="00CB5E28">
        <w:rPr>
          <w:sz w:val="21"/>
          <w:szCs w:val="21"/>
        </w:rPr>
        <w:t xml:space="preserve">continue to </w:t>
      </w:r>
      <w:r w:rsidR="001D19D7" w:rsidRPr="00CB5E28">
        <w:rPr>
          <w:sz w:val="21"/>
          <w:szCs w:val="21"/>
        </w:rPr>
        <w:t>migrat</w:t>
      </w:r>
      <w:r w:rsidR="00CB5E28">
        <w:rPr>
          <w:sz w:val="21"/>
          <w:szCs w:val="21"/>
        </w:rPr>
        <w:t>e</w:t>
      </w:r>
      <w:r w:rsidR="00515CF2" w:rsidRPr="00CB5E28">
        <w:rPr>
          <w:sz w:val="21"/>
          <w:szCs w:val="21"/>
        </w:rPr>
        <w:t xml:space="preserve"> </w:t>
      </w:r>
      <w:r w:rsidR="00CB5E28">
        <w:rPr>
          <w:sz w:val="21"/>
          <w:szCs w:val="21"/>
        </w:rPr>
        <w:t>online</w:t>
      </w:r>
    </w:p>
    <w:p w14:paraId="7B21B3EA" w14:textId="665D94DB" w:rsidR="00632901" w:rsidRDefault="00632901" w:rsidP="00515CF2">
      <w:pPr>
        <w:pStyle w:val="BodyText"/>
        <w:numPr>
          <w:ilvl w:val="8"/>
          <w:numId w:val="41"/>
        </w:numPr>
        <w:tabs>
          <w:tab w:val="left" w:pos="284"/>
        </w:tabs>
        <w:spacing w:after="80"/>
        <w:ind w:left="794" w:right="51" w:hanging="284"/>
        <w:jc w:val="both"/>
        <w:rPr>
          <w:sz w:val="21"/>
          <w:szCs w:val="21"/>
        </w:rPr>
      </w:pPr>
      <w:r w:rsidRPr="00515CF2">
        <w:rPr>
          <w:b/>
          <w:sz w:val="21"/>
          <w:szCs w:val="21"/>
        </w:rPr>
        <w:t>Australia +59%</w:t>
      </w:r>
      <w:r w:rsidR="00CB5E28">
        <w:rPr>
          <w:b/>
          <w:sz w:val="21"/>
          <w:szCs w:val="21"/>
        </w:rPr>
        <w:t xml:space="preserve">; </w:t>
      </w:r>
      <w:r w:rsidR="001D19D7">
        <w:rPr>
          <w:sz w:val="21"/>
          <w:szCs w:val="21"/>
        </w:rPr>
        <w:t xml:space="preserve">customer volumes </w:t>
      </w:r>
      <w:r w:rsidR="00515CF2">
        <w:rPr>
          <w:sz w:val="21"/>
          <w:szCs w:val="21"/>
        </w:rPr>
        <w:t xml:space="preserve">have </w:t>
      </w:r>
      <w:r w:rsidR="002A780B">
        <w:rPr>
          <w:sz w:val="21"/>
          <w:szCs w:val="21"/>
        </w:rPr>
        <w:t xml:space="preserve">remained elevated </w:t>
      </w:r>
      <w:r w:rsidR="00CB5E28">
        <w:rPr>
          <w:sz w:val="21"/>
          <w:szCs w:val="21"/>
        </w:rPr>
        <w:t xml:space="preserve">as </w:t>
      </w:r>
      <w:r w:rsidR="008C1D06">
        <w:rPr>
          <w:sz w:val="21"/>
          <w:szCs w:val="21"/>
        </w:rPr>
        <w:t xml:space="preserve">the </w:t>
      </w:r>
      <w:r w:rsidR="00CB5E28">
        <w:rPr>
          <w:sz w:val="21"/>
          <w:szCs w:val="21"/>
        </w:rPr>
        <w:t>country emerge</w:t>
      </w:r>
      <w:r w:rsidR="00EB3313">
        <w:rPr>
          <w:sz w:val="21"/>
          <w:szCs w:val="21"/>
        </w:rPr>
        <w:t>s</w:t>
      </w:r>
      <w:r w:rsidR="00CB5E28">
        <w:rPr>
          <w:sz w:val="21"/>
          <w:szCs w:val="21"/>
        </w:rPr>
        <w:t xml:space="preserve"> from Covid disruption</w:t>
      </w:r>
    </w:p>
    <w:p w14:paraId="57000135" w14:textId="544D4967" w:rsidR="00632901" w:rsidRPr="00D16940" w:rsidRDefault="00632901" w:rsidP="00515CF2">
      <w:pPr>
        <w:pStyle w:val="BodyText"/>
        <w:numPr>
          <w:ilvl w:val="8"/>
          <w:numId w:val="41"/>
        </w:numPr>
        <w:tabs>
          <w:tab w:val="left" w:pos="284"/>
        </w:tabs>
        <w:spacing w:after="80"/>
        <w:ind w:left="794" w:right="51" w:hanging="284"/>
        <w:jc w:val="both"/>
        <w:rPr>
          <w:sz w:val="21"/>
          <w:szCs w:val="21"/>
        </w:rPr>
      </w:pPr>
      <w:r w:rsidRPr="00515CF2">
        <w:rPr>
          <w:b/>
          <w:sz w:val="21"/>
          <w:szCs w:val="21"/>
        </w:rPr>
        <w:t xml:space="preserve">International </w:t>
      </w:r>
      <w:r w:rsidR="001D19D7" w:rsidRPr="00515CF2">
        <w:rPr>
          <w:b/>
          <w:sz w:val="21"/>
          <w:szCs w:val="21"/>
        </w:rPr>
        <w:t>+</w:t>
      </w:r>
      <w:r w:rsidR="003B44FD" w:rsidRPr="00515CF2">
        <w:rPr>
          <w:b/>
          <w:sz w:val="21"/>
          <w:szCs w:val="21"/>
        </w:rPr>
        <w:t>7</w:t>
      </w:r>
      <w:r w:rsidRPr="00515CF2">
        <w:rPr>
          <w:b/>
          <w:sz w:val="21"/>
          <w:szCs w:val="21"/>
        </w:rPr>
        <w:t>%</w:t>
      </w:r>
      <w:r w:rsidR="00F351C9">
        <w:rPr>
          <w:b/>
          <w:sz w:val="21"/>
          <w:szCs w:val="21"/>
        </w:rPr>
        <w:t>;</w:t>
      </w:r>
      <w:r w:rsidR="001D19D7">
        <w:rPr>
          <w:sz w:val="21"/>
          <w:szCs w:val="21"/>
        </w:rPr>
        <w:t xml:space="preserve"> </w:t>
      </w:r>
      <w:r w:rsidR="00E063A3">
        <w:rPr>
          <w:sz w:val="21"/>
          <w:szCs w:val="21"/>
        </w:rPr>
        <w:t xml:space="preserve">investment in brand and promotional strategy showing early signs of benefit </w:t>
      </w:r>
    </w:p>
    <w:p w14:paraId="04195A8D" w14:textId="3405D60D" w:rsidR="002F02B9" w:rsidRPr="00803BE9" w:rsidRDefault="00214594" w:rsidP="00515CF2">
      <w:pPr>
        <w:pStyle w:val="BodyText"/>
        <w:numPr>
          <w:ilvl w:val="8"/>
          <w:numId w:val="41"/>
        </w:numPr>
        <w:tabs>
          <w:tab w:val="left" w:pos="284"/>
        </w:tabs>
        <w:spacing w:after="80"/>
        <w:ind w:left="794" w:right="51" w:hanging="284"/>
        <w:jc w:val="both"/>
        <w:rPr>
          <w:sz w:val="21"/>
          <w:szCs w:val="21"/>
        </w:rPr>
      </w:pPr>
      <w:r w:rsidRPr="00515CF2">
        <w:rPr>
          <w:b/>
          <w:sz w:val="21"/>
          <w:szCs w:val="21"/>
        </w:rPr>
        <w:t>US</w:t>
      </w:r>
      <w:r w:rsidR="001D19D7" w:rsidRPr="00515CF2">
        <w:rPr>
          <w:b/>
          <w:sz w:val="21"/>
          <w:szCs w:val="21"/>
        </w:rPr>
        <w:t xml:space="preserve"> +135%</w:t>
      </w:r>
      <w:r w:rsidR="00F351C9">
        <w:rPr>
          <w:sz w:val="21"/>
          <w:szCs w:val="21"/>
        </w:rPr>
        <w:t>;</w:t>
      </w:r>
      <w:r w:rsidRPr="00214594">
        <w:rPr>
          <w:sz w:val="21"/>
          <w:szCs w:val="21"/>
        </w:rPr>
        <w:t xml:space="preserve"> </w:t>
      </w:r>
      <w:r w:rsidR="00510FC7">
        <w:rPr>
          <w:sz w:val="21"/>
          <w:szCs w:val="21"/>
        </w:rPr>
        <w:t xml:space="preserve">#1 position </w:t>
      </w:r>
      <w:r w:rsidRPr="00214594">
        <w:rPr>
          <w:sz w:val="21"/>
          <w:szCs w:val="21"/>
        </w:rPr>
        <w:t xml:space="preserve">maintained </w:t>
      </w:r>
      <w:r w:rsidR="00CB5E28">
        <w:rPr>
          <w:sz w:val="21"/>
          <w:szCs w:val="21"/>
        </w:rPr>
        <w:t xml:space="preserve">following </w:t>
      </w:r>
      <w:r w:rsidR="00761699">
        <w:rPr>
          <w:sz w:val="21"/>
          <w:szCs w:val="21"/>
        </w:rPr>
        <w:t xml:space="preserve">record </w:t>
      </w:r>
      <w:r w:rsidR="0065480E">
        <w:rPr>
          <w:sz w:val="21"/>
          <w:szCs w:val="21"/>
        </w:rPr>
        <w:t xml:space="preserve">quarter for </w:t>
      </w:r>
      <w:r w:rsidR="00E52CE5">
        <w:rPr>
          <w:sz w:val="21"/>
          <w:szCs w:val="21"/>
        </w:rPr>
        <w:t xml:space="preserve">revenue, </w:t>
      </w:r>
      <w:r w:rsidR="00C01F83">
        <w:rPr>
          <w:sz w:val="21"/>
          <w:szCs w:val="21"/>
        </w:rPr>
        <w:t xml:space="preserve">AMPs </w:t>
      </w:r>
      <w:r w:rsidR="00E52CE5">
        <w:rPr>
          <w:sz w:val="21"/>
          <w:szCs w:val="21"/>
        </w:rPr>
        <w:t xml:space="preserve">and </w:t>
      </w:r>
      <w:r w:rsidR="00CB5E28">
        <w:rPr>
          <w:sz w:val="21"/>
          <w:szCs w:val="21"/>
        </w:rPr>
        <w:t xml:space="preserve">customer acquisition </w:t>
      </w:r>
    </w:p>
    <w:p w14:paraId="51C462FE" w14:textId="0E3370E8" w:rsidR="00C077AD" w:rsidRPr="00510FC7" w:rsidRDefault="00761699" w:rsidP="00DA2CAB">
      <w:pPr>
        <w:pStyle w:val="BodyText"/>
        <w:numPr>
          <w:ilvl w:val="1"/>
          <w:numId w:val="2"/>
        </w:numPr>
        <w:tabs>
          <w:tab w:val="left" w:pos="284"/>
        </w:tabs>
        <w:spacing w:after="80"/>
        <w:ind w:left="284" w:right="51" w:hanging="284"/>
        <w:jc w:val="both"/>
        <w:rPr>
          <w:sz w:val="21"/>
          <w:szCs w:val="21"/>
        </w:rPr>
      </w:pPr>
      <w:bookmarkStart w:id="2" w:name="_Hlk55330368"/>
      <w:r>
        <w:rPr>
          <w:sz w:val="21"/>
          <w:szCs w:val="21"/>
        </w:rPr>
        <w:t xml:space="preserve">Pronounced Covid impact </w:t>
      </w:r>
      <w:r w:rsidR="00AF7E59">
        <w:rPr>
          <w:sz w:val="21"/>
          <w:szCs w:val="21"/>
        </w:rPr>
        <w:t xml:space="preserve">from mid-March </w:t>
      </w:r>
      <w:r w:rsidR="008D0844">
        <w:rPr>
          <w:sz w:val="21"/>
          <w:szCs w:val="21"/>
        </w:rPr>
        <w:t xml:space="preserve">2020 </w:t>
      </w:r>
      <w:r>
        <w:rPr>
          <w:sz w:val="21"/>
          <w:szCs w:val="21"/>
        </w:rPr>
        <w:t>likely to result in accelerated sports growth in Q2</w:t>
      </w:r>
      <w:r w:rsidR="0065453B">
        <w:rPr>
          <w:sz w:val="21"/>
          <w:szCs w:val="21"/>
        </w:rPr>
        <w:t xml:space="preserve"> 2021</w:t>
      </w:r>
      <w:r>
        <w:rPr>
          <w:sz w:val="21"/>
          <w:szCs w:val="21"/>
        </w:rPr>
        <w:t xml:space="preserve">, with gaming products facing </w:t>
      </w:r>
      <w:r w:rsidR="0065453B">
        <w:rPr>
          <w:sz w:val="21"/>
          <w:szCs w:val="21"/>
        </w:rPr>
        <w:t>more challenging comp</w:t>
      </w:r>
      <w:r w:rsidR="00EB3313">
        <w:rPr>
          <w:sz w:val="21"/>
          <w:szCs w:val="21"/>
        </w:rPr>
        <w:t>aratives</w:t>
      </w:r>
      <w:r w:rsidR="00AF7E59" w:rsidRPr="00510FC7">
        <w:rPr>
          <w:sz w:val="21"/>
          <w:szCs w:val="21"/>
        </w:rPr>
        <w:t xml:space="preserve"> </w:t>
      </w:r>
    </w:p>
    <w:bookmarkEnd w:id="0"/>
    <w:bookmarkEnd w:id="1"/>
    <w:bookmarkEnd w:id="2"/>
    <w:p w14:paraId="6D30F9D0" w14:textId="269F9A54" w:rsidR="005F46E2" w:rsidRPr="004B0AF8" w:rsidRDefault="005E6D94" w:rsidP="00FD060C">
      <w:pPr>
        <w:pStyle w:val="Heading2"/>
        <w:spacing w:before="80" w:after="40"/>
        <w:ind w:left="0" w:right="49"/>
        <w:jc w:val="both"/>
        <w:rPr>
          <w:b w:val="0"/>
          <w:sz w:val="21"/>
          <w:szCs w:val="21"/>
        </w:rPr>
      </w:pPr>
      <w:r w:rsidRPr="004B0AF8">
        <w:rPr>
          <w:sz w:val="21"/>
          <w:szCs w:val="21"/>
        </w:rPr>
        <w:t>Peter Jackson</w:t>
      </w:r>
      <w:r w:rsidR="00AC3FE7" w:rsidRPr="004B0AF8">
        <w:rPr>
          <w:sz w:val="21"/>
          <w:szCs w:val="21"/>
        </w:rPr>
        <w:t>,</w:t>
      </w:r>
      <w:r w:rsidR="00AC3FE7" w:rsidRPr="004B0AF8">
        <w:rPr>
          <w:spacing w:val="-2"/>
          <w:sz w:val="21"/>
          <w:szCs w:val="21"/>
        </w:rPr>
        <w:t xml:space="preserve"> </w:t>
      </w:r>
      <w:r w:rsidR="00AC3FE7" w:rsidRPr="004B0AF8">
        <w:rPr>
          <w:sz w:val="21"/>
          <w:szCs w:val="21"/>
        </w:rPr>
        <w:t>C</w:t>
      </w:r>
      <w:r w:rsidR="00AC3FE7" w:rsidRPr="004B0AF8">
        <w:rPr>
          <w:spacing w:val="-1"/>
          <w:sz w:val="21"/>
          <w:szCs w:val="21"/>
        </w:rPr>
        <w:t>h</w:t>
      </w:r>
      <w:r w:rsidR="00AC3FE7" w:rsidRPr="004B0AF8">
        <w:rPr>
          <w:sz w:val="21"/>
          <w:szCs w:val="21"/>
        </w:rPr>
        <w:t>i</w:t>
      </w:r>
      <w:r w:rsidR="00AC3FE7" w:rsidRPr="004B0AF8">
        <w:rPr>
          <w:spacing w:val="-1"/>
          <w:sz w:val="21"/>
          <w:szCs w:val="21"/>
        </w:rPr>
        <w:t>e</w:t>
      </w:r>
      <w:r w:rsidR="00AC3FE7" w:rsidRPr="004B0AF8">
        <w:rPr>
          <w:sz w:val="21"/>
          <w:szCs w:val="21"/>
        </w:rPr>
        <w:t>f Ex</w:t>
      </w:r>
      <w:r w:rsidR="00AC3FE7" w:rsidRPr="004B0AF8">
        <w:rPr>
          <w:spacing w:val="-4"/>
          <w:sz w:val="21"/>
          <w:szCs w:val="21"/>
        </w:rPr>
        <w:t>e</w:t>
      </w:r>
      <w:r w:rsidR="00AC3FE7" w:rsidRPr="004B0AF8">
        <w:rPr>
          <w:spacing w:val="1"/>
          <w:sz w:val="21"/>
          <w:szCs w:val="21"/>
        </w:rPr>
        <w:t>c</w:t>
      </w:r>
      <w:r w:rsidR="00AC3FE7" w:rsidRPr="004B0AF8">
        <w:rPr>
          <w:spacing w:val="-1"/>
          <w:sz w:val="21"/>
          <w:szCs w:val="21"/>
        </w:rPr>
        <w:t>u</w:t>
      </w:r>
      <w:r w:rsidR="00AC3FE7" w:rsidRPr="004B0AF8">
        <w:rPr>
          <w:sz w:val="21"/>
          <w:szCs w:val="21"/>
        </w:rPr>
        <w:t>t</w:t>
      </w:r>
      <w:r w:rsidR="00AC3FE7" w:rsidRPr="004B0AF8">
        <w:rPr>
          <w:spacing w:val="-2"/>
          <w:sz w:val="21"/>
          <w:szCs w:val="21"/>
        </w:rPr>
        <w:t>i</w:t>
      </w:r>
      <w:r w:rsidR="00AC3FE7" w:rsidRPr="004B0AF8">
        <w:rPr>
          <w:sz w:val="21"/>
          <w:szCs w:val="21"/>
        </w:rPr>
        <w:t>v</w:t>
      </w:r>
      <w:r w:rsidR="00AC3FE7" w:rsidRPr="004B0AF8">
        <w:rPr>
          <w:spacing w:val="-1"/>
          <w:sz w:val="21"/>
          <w:szCs w:val="21"/>
        </w:rPr>
        <w:t>e</w:t>
      </w:r>
      <w:r w:rsidR="00AC3FE7" w:rsidRPr="004B0AF8">
        <w:rPr>
          <w:sz w:val="21"/>
          <w:szCs w:val="21"/>
        </w:rPr>
        <w:t xml:space="preserve">, </w:t>
      </w:r>
      <w:r w:rsidR="00AC3FE7" w:rsidRPr="004B0AF8">
        <w:rPr>
          <w:spacing w:val="1"/>
          <w:sz w:val="21"/>
          <w:szCs w:val="21"/>
        </w:rPr>
        <w:t>c</w:t>
      </w:r>
      <w:r w:rsidR="00AC3FE7" w:rsidRPr="004B0AF8">
        <w:rPr>
          <w:spacing w:val="-1"/>
          <w:sz w:val="21"/>
          <w:szCs w:val="21"/>
        </w:rPr>
        <w:t>o</w:t>
      </w:r>
      <w:r w:rsidR="00AC3FE7" w:rsidRPr="004B0AF8">
        <w:rPr>
          <w:sz w:val="21"/>
          <w:szCs w:val="21"/>
        </w:rPr>
        <w:t>mm</w:t>
      </w:r>
      <w:r w:rsidR="00AC3FE7" w:rsidRPr="004B0AF8">
        <w:rPr>
          <w:spacing w:val="-1"/>
          <w:sz w:val="21"/>
          <w:szCs w:val="21"/>
        </w:rPr>
        <w:t>en</w:t>
      </w:r>
      <w:r w:rsidR="00AC3FE7" w:rsidRPr="004B0AF8">
        <w:rPr>
          <w:sz w:val="21"/>
          <w:szCs w:val="21"/>
        </w:rPr>
        <w:t>te</w:t>
      </w:r>
      <w:r w:rsidR="00AC3FE7" w:rsidRPr="004B0AF8">
        <w:rPr>
          <w:spacing w:val="-2"/>
          <w:sz w:val="21"/>
          <w:szCs w:val="21"/>
        </w:rPr>
        <w:t>d</w:t>
      </w:r>
      <w:r w:rsidR="00AC3FE7" w:rsidRPr="004B0AF8">
        <w:rPr>
          <w:sz w:val="21"/>
          <w:szCs w:val="21"/>
        </w:rPr>
        <w:t>:</w:t>
      </w:r>
    </w:p>
    <w:p w14:paraId="0FB6BEAB" w14:textId="28B4FD74" w:rsidR="00B8652E" w:rsidRPr="004D32B9" w:rsidRDefault="00EF08F1" w:rsidP="00FD060C">
      <w:pPr>
        <w:pStyle w:val="ListParagraph"/>
        <w:spacing w:before="80" w:after="120"/>
        <w:ind w:right="49"/>
        <w:jc w:val="both"/>
        <w:rPr>
          <w:i/>
          <w:sz w:val="21"/>
          <w:szCs w:val="21"/>
        </w:rPr>
      </w:pPr>
      <w:bookmarkStart w:id="3" w:name="_Hlk527563960"/>
      <w:bookmarkStart w:id="4" w:name="_Hlk528145282"/>
      <w:bookmarkStart w:id="5" w:name="_Hlk37433463"/>
      <w:r w:rsidRPr="004D32B9">
        <w:rPr>
          <w:i/>
          <w:sz w:val="21"/>
          <w:szCs w:val="21"/>
        </w:rPr>
        <w:t>“</w:t>
      </w:r>
      <w:r w:rsidR="00FB6622">
        <w:rPr>
          <w:i/>
          <w:sz w:val="21"/>
          <w:szCs w:val="21"/>
        </w:rPr>
        <w:t xml:space="preserve">2021 </w:t>
      </w:r>
      <w:r w:rsidR="00F17CC4">
        <w:rPr>
          <w:i/>
          <w:sz w:val="21"/>
          <w:szCs w:val="21"/>
        </w:rPr>
        <w:t xml:space="preserve">is </w:t>
      </w:r>
      <w:r w:rsidR="00FB6622">
        <w:rPr>
          <w:i/>
          <w:sz w:val="21"/>
          <w:szCs w:val="21"/>
        </w:rPr>
        <w:t xml:space="preserve">off to a strong start for the </w:t>
      </w:r>
      <w:r w:rsidR="00B8652E" w:rsidRPr="004D32B9">
        <w:rPr>
          <w:i/>
          <w:sz w:val="21"/>
          <w:szCs w:val="21"/>
        </w:rPr>
        <w:t>Group</w:t>
      </w:r>
      <w:r w:rsidR="00FB6622">
        <w:rPr>
          <w:i/>
          <w:sz w:val="21"/>
          <w:szCs w:val="21"/>
        </w:rPr>
        <w:t>.</w:t>
      </w:r>
      <w:r w:rsidR="00B8652E" w:rsidRPr="004D32B9">
        <w:rPr>
          <w:i/>
          <w:sz w:val="21"/>
          <w:szCs w:val="21"/>
        </w:rPr>
        <w:t xml:space="preserve"> </w:t>
      </w:r>
      <w:r w:rsidR="00FB6622">
        <w:rPr>
          <w:i/>
          <w:sz w:val="21"/>
          <w:szCs w:val="21"/>
        </w:rPr>
        <w:t xml:space="preserve">We </w:t>
      </w:r>
      <w:r w:rsidR="00F17CC4">
        <w:rPr>
          <w:i/>
          <w:sz w:val="21"/>
          <w:szCs w:val="21"/>
        </w:rPr>
        <w:t xml:space="preserve">continued </w:t>
      </w:r>
      <w:r w:rsidR="00FB6622">
        <w:rPr>
          <w:i/>
          <w:sz w:val="21"/>
          <w:szCs w:val="21"/>
        </w:rPr>
        <w:t xml:space="preserve">to </w:t>
      </w:r>
      <w:r w:rsidR="00F17CC4">
        <w:rPr>
          <w:i/>
          <w:sz w:val="21"/>
          <w:szCs w:val="21"/>
        </w:rPr>
        <w:t xml:space="preserve">significantly </w:t>
      </w:r>
      <w:r w:rsidR="00FB6622">
        <w:rPr>
          <w:i/>
          <w:sz w:val="21"/>
          <w:szCs w:val="21"/>
        </w:rPr>
        <w:t xml:space="preserve">grow our global player base </w:t>
      </w:r>
      <w:r w:rsidR="008106F8">
        <w:rPr>
          <w:i/>
          <w:sz w:val="21"/>
          <w:szCs w:val="21"/>
        </w:rPr>
        <w:t xml:space="preserve">which </w:t>
      </w:r>
      <w:r w:rsidR="00D87293">
        <w:rPr>
          <w:i/>
          <w:sz w:val="21"/>
          <w:szCs w:val="21"/>
        </w:rPr>
        <w:t xml:space="preserve">in turn </w:t>
      </w:r>
      <w:r w:rsidR="00F17CC4">
        <w:rPr>
          <w:i/>
          <w:sz w:val="21"/>
          <w:szCs w:val="21"/>
        </w:rPr>
        <w:t xml:space="preserve">drove </w:t>
      </w:r>
      <w:r w:rsidR="00FB6622">
        <w:rPr>
          <w:i/>
          <w:sz w:val="21"/>
          <w:szCs w:val="21"/>
        </w:rPr>
        <w:t xml:space="preserve">a </w:t>
      </w:r>
      <w:r w:rsidR="00B8652E" w:rsidRPr="004D32B9">
        <w:rPr>
          <w:i/>
          <w:sz w:val="21"/>
          <w:szCs w:val="21"/>
        </w:rPr>
        <w:t>42%</w:t>
      </w:r>
      <w:r w:rsidR="00FB6622">
        <w:rPr>
          <w:i/>
          <w:sz w:val="21"/>
          <w:szCs w:val="21"/>
        </w:rPr>
        <w:t xml:space="preserve"> increase in </w:t>
      </w:r>
      <w:r w:rsidR="00F17CC4">
        <w:rPr>
          <w:i/>
          <w:sz w:val="21"/>
          <w:szCs w:val="21"/>
        </w:rPr>
        <w:t xml:space="preserve">our </w:t>
      </w:r>
      <w:r w:rsidR="00FB6622">
        <w:rPr>
          <w:i/>
          <w:sz w:val="21"/>
          <w:szCs w:val="21"/>
        </w:rPr>
        <w:t>online revenue.</w:t>
      </w:r>
      <w:r w:rsidR="00D35913">
        <w:rPr>
          <w:i/>
          <w:sz w:val="21"/>
          <w:szCs w:val="21"/>
        </w:rPr>
        <w:t xml:space="preserve"> </w:t>
      </w:r>
      <w:r w:rsidR="00614EB1">
        <w:rPr>
          <w:i/>
          <w:sz w:val="21"/>
          <w:szCs w:val="21"/>
        </w:rPr>
        <w:t>At the same time, s</w:t>
      </w:r>
      <w:r w:rsidR="00D35913">
        <w:rPr>
          <w:i/>
          <w:sz w:val="21"/>
          <w:szCs w:val="21"/>
        </w:rPr>
        <w:t>afer gambling</w:t>
      </w:r>
      <w:r w:rsidR="00D35913" w:rsidRPr="00D35913">
        <w:rPr>
          <w:i/>
          <w:sz w:val="21"/>
          <w:szCs w:val="21"/>
        </w:rPr>
        <w:t xml:space="preserve"> continues to be a </w:t>
      </w:r>
      <w:r w:rsidR="0094159B">
        <w:rPr>
          <w:i/>
          <w:sz w:val="21"/>
          <w:szCs w:val="21"/>
        </w:rPr>
        <w:t xml:space="preserve">key </w:t>
      </w:r>
      <w:r w:rsidR="00D35913" w:rsidRPr="00D35913">
        <w:rPr>
          <w:i/>
          <w:sz w:val="21"/>
          <w:szCs w:val="21"/>
        </w:rPr>
        <w:t xml:space="preserve">priority across </w:t>
      </w:r>
      <w:r w:rsidR="00D35913">
        <w:rPr>
          <w:i/>
          <w:sz w:val="21"/>
          <w:szCs w:val="21"/>
        </w:rPr>
        <w:t xml:space="preserve">our </w:t>
      </w:r>
      <w:r w:rsidR="00D35913" w:rsidRPr="00D35913">
        <w:rPr>
          <w:i/>
          <w:sz w:val="21"/>
          <w:szCs w:val="21"/>
        </w:rPr>
        <w:t>markets with new measures introduced including</w:t>
      </w:r>
      <w:r w:rsidR="00D35913">
        <w:rPr>
          <w:i/>
          <w:sz w:val="21"/>
          <w:szCs w:val="21"/>
        </w:rPr>
        <w:t xml:space="preserve"> our</w:t>
      </w:r>
      <w:r w:rsidR="00D35913" w:rsidRPr="00D35913">
        <w:rPr>
          <w:i/>
          <w:sz w:val="21"/>
          <w:szCs w:val="21"/>
        </w:rPr>
        <w:t xml:space="preserve"> </w:t>
      </w:r>
      <w:proofErr w:type="spellStart"/>
      <w:r w:rsidR="00D35913" w:rsidRPr="00D35913">
        <w:rPr>
          <w:i/>
          <w:sz w:val="21"/>
          <w:szCs w:val="21"/>
        </w:rPr>
        <w:t>Gamban</w:t>
      </w:r>
      <w:proofErr w:type="spellEnd"/>
      <w:r w:rsidR="00D35913" w:rsidRPr="00D35913">
        <w:rPr>
          <w:i/>
          <w:sz w:val="21"/>
          <w:szCs w:val="21"/>
        </w:rPr>
        <w:t xml:space="preserve"> partnership in the US and development of the planned Affordability Triple Step in the U</w:t>
      </w:r>
      <w:r w:rsidR="00D35913">
        <w:rPr>
          <w:i/>
          <w:sz w:val="21"/>
          <w:szCs w:val="21"/>
        </w:rPr>
        <w:t>K</w:t>
      </w:r>
      <w:r w:rsidR="00D35913" w:rsidRPr="00D35913">
        <w:rPr>
          <w:i/>
          <w:sz w:val="21"/>
          <w:szCs w:val="21"/>
        </w:rPr>
        <w:t>.</w:t>
      </w:r>
    </w:p>
    <w:p w14:paraId="5DBE74FB" w14:textId="39214370" w:rsidR="004D32B9" w:rsidRDefault="00AE3D01" w:rsidP="00FD060C">
      <w:pPr>
        <w:pStyle w:val="ListParagraph"/>
        <w:spacing w:before="80" w:after="120"/>
        <w:ind w:right="49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Our UK &amp; Ireland </w:t>
      </w:r>
      <w:r w:rsidR="00FB6622">
        <w:rPr>
          <w:i/>
          <w:sz w:val="21"/>
          <w:szCs w:val="21"/>
        </w:rPr>
        <w:t xml:space="preserve">brands </w:t>
      </w:r>
      <w:r w:rsidR="001750C7">
        <w:rPr>
          <w:i/>
          <w:sz w:val="21"/>
          <w:szCs w:val="21"/>
        </w:rPr>
        <w:t xml:space="preserve">continued </w:t>
      </w:r>
      <w:r w:rsidR="00FB2EB4">
        <w:rPr>
          <w:i/>
          <w:sz w:val="21"/>
          <w:szCs w:val="21"/>
        </w:rPr>
        <w:t xml:space="preserve">the strong momentum </w:t>
      </w:r>
      <w:r w:rsidR="001750C7">
        <w:rPr>
          <w:i/>
          <w:sz w:val="21"/>
          <w:szCs w:val="21"/>
        </w:rPr>
        <w:t>f</w:t>
      </w:r>
      <w:r w:rsidR="00206686">
        <w:rPr>
          <w:i/>
          <w:sz w:val="21"/>
          <w:szCs w:val="21"/>
        </w:rPr>
        <w:t>rom</w:t>
      </w:r>
      <w:r w:rsidR="001750C7">
        <w:rPr>
          <w:i/>
          <w:sz w:val="21"/>
          <w:szCs w:val="21"/>
        </w:rPr>
        <w:t xml:space="preserve"> </w:t>
      </w:r>
      <w:r w:rsidR="00FB2EB4">
        <w:rPr>
          <w:i/>
          <w:sz w:val="21"/>
          <w:szCs w:val="21"/>
        </w:rPr>
        <w:t>2020</w:t>
      </w:r>
      <w:r w:rsidR="001750C7">
        <w:rPr>
          <w:i/>
          <w:sz w:val="21"/>
          <w:szCs w:val="21"/>
        </w:rPr>
        <w:t xml:space="preserve">, </w:t>
      </w:r>
      <w:r w:rsidR="00206686">
        <w:rPr>
          <w:i/>
          <w:sz w:val="21"/>
          <w:szCs w:val="21"/>
        </w:rPr>
        <w:t xml:space="preserve">taking further market share </w:t>
      </w:r>
      <w:r w:rsidR="001750C7">
        <w:rPr>
          <w:i/>
          <w:sz w:val="21"/>
          <w:szCs w:val="21"/>
        </w:rPr>
        <w:t xml:space="preserve">with customer acquisition up </w:t>
      </w:r>
      <w:r w:rsidR="00D627ED">
        <w:rPr>
          <w:i/>
          <w:sz w:val="21"/>
          <w:szCs w:val="21"/>
        </w:rPr>
        <w:t>59</w:t>
      </w:r>
      <w:r w:rsidR="001750C7">
        <w:rPr>
          <w:i/>
          <w:sz w:val="21"/>
          <w:szCs w:val="21"/>
        </w:rPr>
        <w:t xml:space="preserve">% </w:t>
      </w:r>
      <w:r w:rsidR="00206686">
        <w:rPr>
          <w:i/>
          <w:sz w:val="21"/>
          <w:szCs w:val="21"/>
        </w:rPr>
        <w:t xml:space="preserve">during the </w:t>
      </w:r>
      <w:r w:rsidR="00FB2EB4">
        <w:rPr>
          <w:i/>
          <w:sz w:val="21"/>
          <w:szCs w:val="21"/>
        </w:rPr>
        <w:t xml:space="preserve">Cheltenham </w:t>
      </w:r>
      <w:r w:rsidR="00B83E27">
        <w:rPr>
          <w:i/>
          <w:sz w:val="21"/>
          <w:szCs w:val="21"/>
        </w:rPr>
        <w:t>F</w:t>
      </w:r>
      <w:r w:rsidR="001750C7">
        <w:rPr>
          <w:i/>
          <w:sz w:val="21"/>
          <w:szCs w:val="21"/>
        </w:rPr>
        <w:t>estival</w:t>
      </w:r>
      <w:r w:rsidR="000C59FD" w:rsidRPr="000C59FD">
        <w:rPr>
          <w:i/>
          <w:sz w:val="21"/>
          <w:szCs w:val="21"/>
        </w:rPr>
        <w:t>.</w:t>
      </w:r>
      <w:r w:rsidRPr="000C59FD">
        <w:rPr>
          <w:i/>
          <w:sz w:val="21"/>
          <w:szCs w:val="21"/>
        </w:rPr>
        <w:t xml:space="preserve"> </w:t>
      </w:r>
      <w:r w:rsidR="008106F8">
        <w:rPr>
          <w:i/>
          <w:sz w:val="21"/>
          <w:szCs w:val="21"/>
        </w:rPr>
        <w:t xml:space="preserve">In </w:t>
      </w:r>
      <w:r w:rsidRPr="000C59FD">
        <w:rPr>
          <w:i/>
          <w:sz w:val="21"/>
          <w:szCs w:val="21"/>
        </w:rPr>
        <w:t>Australia</w:t>
      </w:r>
      <w:r>
        <w:rPr>
          <w:i/>
          <w:sz w:val="21"/>
          <w:szCs w:val="21"/>
        </w:rPr>
        <w:t xml:space="preserve"> </w:t>
      </w:r>
      <w:r w:rsidR="008106F8">
        <w:rPr>
          <w:i/>
          <w:sz w:val="21"/>
          <w:szCs w:val="21"/>
        </w:rPr>
        <w:t xml:space="preserve">we have been </w:t>
      </w:r>
      <w:r w:rsidR="00305617">
        <w:rPr>
          <w:i/>
          <w:sz w:val="21"/>
          <w:szCs w:val="21"/>
        </w:rPr>
        <w:t xml:space="preserve">highly </w:t>
      </w:r>
      <w:r>
        <w:rPr>
          <w:i/>
          <w:sz w:val="21"/>
          <w:szCs w:val="21"/>
        </w:rPr>
        <w:t>focused on retain</w:t>
      </w:r>
      <w:r w:rsidR="008106F8">
        <w:rPr>
          <w:i/>
          <w:sz w:val="21"/>
          <w:szCs w:val="21"/>
        </w:rPr>
        <w:t>ing</w:t>
      </w:r>
      <w:r>
        <w:rPr>
          <w:i/>
          <w:sz w:val="21"/>
          <w:szCs w:val="21"/>
        </w:rPr>
        <w:t xml:space="preserve"> </w:t>
      </w:r>
      <w:r w:rsidR="00EB3313">
        <w:rPr>
          <w:i/>
          <w:sz w:val="21"/>
          <w:szCs w:val="21"/>
        </w:rPr>
        <w:t>retail</w:t>
      </w:r>
      <w:r w:rsidR="008106F8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>customer</w:t>
      </w:r>
      <w:r w:rsidR="00806919">
        <w:rPr>
          <w:i/>
          <w:sz w:val="21"/>
          <w:szCs w:val="21"/>
        </w:rPr>
        <w:t>s</w:t>
      </w:r>
      <w:r>
        <w:rPr>
          <w:i/>
          <w:sz w:val="21"/>
          <w:szCs w:val="21"/>
        </w:rPr>
        <w:t xml:space="preserve"> </w:t>
      </w:r>
      <w:r w:rsidR="008106F8">
        <w:rPr>
          <w:i/>
          <w:sz w:val="21"/>
          <w:szCs w:val="21"/>
        </w:rPr>
        <w:t xml:space="preserve">that </w:t>
      </w:r>
      <w:r>
        <w:rPr>
          <w:i/>
          <w:sz w:val="21"/>
          <w:szCs w:val="21"/>
        </w:rPr>
        <w:t xml:space="preserve">migrated to our platform </w:t>
      </w:r>
      <w:r w:rsidR="008106F8">
        <w:rPr>
          <w:i/>
          <w:sz w:val="21"/>
          <w:szCs w:val="21"/>
        </w:rPr>
        <w:t>during 2020</w:t>
      </w:r>
      <w:r w:rsidR="00D87293">
        <w:rPr>
          <w:i/>
          <w:sz w:val="21"/>
          <w:szCs w:val="21"/>
        </w:rPr>
        <w:t xml:space="preserve"> and while it is still early days, we have been pleased with the </w:t>
      </w:r>
      <w:r w:rsidR="008106F8">
        <w:rPr>
          <w:i/>
          <w:sz w:val="21"/>
          <w:szCs w:val="21"/>
        </w:rPr>
        <w:t xml:space="preserve">retention rates to date. In our </w:t>
      </w:r>
      <w:r>
        <w:rPr>
          <w:i/>
          <w:sz w:val="21"/>
          <w:szCs w:val="21"/>
        </w:rPr>
        <w:t xml:space="preserve">International </w:t>
      </w:r>
      <w:r w:rsidR="008106F8">
        <w:rPr>
          <w:i/>
          <w:sz w:val="21"/>
          <w:szCs w:val="21"/>
        </w:rPr>
        <w:t xml:space="preserve">division, </w:t>
      </w:r>
      <w:r w:rsidR="00E063A3">
        <w:rPr>
          <w:i/>
          <w:sz w:val="21"/>
          <w:szCs w:val="21"/>
        </w:rPr>
        <w:t>the investment we are making to</w:t>
      </w:r>
      <w:r w:rsidR="001750C7">
        <w:rPr>
          <w:i/>
          <w:sz w:val="21"/>
          <w:szCs w:val="21"/>
        </w:rPr>
        <w:t xml:space="preserve"> enhance player generosity and</w:t>
      </w:r>
      <w:r w:rsidR="00E063A3">
        <w:rPr>
          <w:i/>
          <w:sz w:val="21"/>
          <w:szCs w:val="21"/>
        </w:rPr>
        <w:t xml:space="preserve"> reinvigorate the PokerStars brand </w:t>
      </w:r>
      <w:r w:rsidR="001750C7">
        <w:rPr>
          <w:i/>
          <w:sz w:val="21"/>
          <w:szCs w:val="21"/>
        </w:rPr>
        <w:t>has seen an encourag</w:t>
      </w:r>
      <w:r w:rsidR="00C01F83">
        <w:rPr>
          <w:i/>
          <w:sz w:val="21"/>
          <w:szCs w:val="21"/>
        </w:rPr>
        <w:t>ing</w:t>
      </w:r>
      <w:r w:rsidR="00D87293">
        <w:rPr>
          <w:i/>
          <w:sz w:val="21"/>
          <w:szCs w:val="21"/>
        </w:rPr>
        <w:t xml:space="preserve"> </w:t>
      </w:r>
      <w:r w:rsidR="00C01F83">
        <w:rPr>
          <w:i/>
          <w:sz w:val="21"/>
          <w:szCs w:val="21"/>
        </w:rPr>
        <w:t xml:space="preserve">early </w:t>
      </w:r>
      <w:r w:rsidR="00D87293">
        <w:rPr>
          <w:i/>
          <w:sz w:val="21"/>
          <w:szCs w:val="21"/>
        </w:rPr>
        <w:t xml:space="preserve">response </w:t>
      </w:r>
      <w:r w:rsidR="001750C7">
        <w:rPr>
          <w:i/>
          <w:sz w:val="21"/>
          <w:szCs w:val="21"/>
        </w:rPr>
        <w:t>from customers</w:t>
      </w:r>
      <w:r>
        <w:rPr>
          <w:i/>
          <w:sz w:val="21"/>
          <w:szCs w:val="21"/>
        </w:rPr>
        <w:t>.</w:t>
      </w:r>
    </w:p>
    <w:p w14:paraId="28F52715" w14:textId="3F213D43" w:rsidR="00F17CC4" w:rsidRDefault="00B8652E" w:rsidP="00F17CC4">
      <w:pPr>
        <w:pStyle w:val="ListParagraph"/>
        <w:spacing w:before="80" w:after="120"/>
        <w:ind w:right="49"/>
        <w:jc w:val="both"/>
        <w:rPr>
          <w:i/>
          <w:sz w:val="21"/>
          <w:szCs w:val="21"/>
        </w:rPr>
      </w:pPr>
      <w:bookmarkStart w:id="6" w:name="_Hlk70333243"/>
      <w:r w:rsidRPr="004D32B9">
        <w:rPr>
          <w:i/>
          <w:sz w:val="21"/>
          <w:szCs w:val="21"/>
        </w:rPr>
        <w:t>I</w:t>
      </w:r>
      <w:r w:rsidR="008A7B94">
        <w:rPr>
          <w:i/>
          <w:sz w:val="21"/>
          <w:szCs w:val="21"/>
        </w:rPr>
        <w:t>n</w:t>
      </w:r>
      <w:r w:rsidRPr="004D32B9">
        <w:rPr>
          <w:i/>
          <w:sz w:val="21"/>
          <w:szCs w:val="21"/>
        </w:rPr>
        <w:t xml:space="preserve"> the US, we continue to lead the market </w:t>
      </w:r>
      <w:r w:rsidR="00061EB6">
        <w:rPr>
          <w:i/>
          <w:sz w:val="21"/>
          <w:szCs w:val="21"/>
        </w:rPr>
        <w:t>with revenue of almost $400m in the quarter</w:t>
      </w:r>
      <w:bookmarkEnd w:id="6"/>
      <w:r w:rsidR="00D87293">
        <w:rPr>
          <w:i/>
          <w:sz w:val="21"/>
          <w:szCs w:val="21"/>
        </w:rPr>
        <w:t>. We believe that t</w:t>
      </w:r>
      <w:r w:rsidR="004D32B9">
        <w:rPr>
          <w:i/>
          <w:sz w:val="21"/>
          <w:szCs w:val="21"/>
        </w:rPr>
        <w:t xml:space="preserve">he quality </w:t>
      </w:r>
      <w:r w:rsidR="00D87293">
        <w:rPr>
          <w:i/>
          <w:sz w:val="21"/>
          <w:szCs w:val="21"/>
        </w:rPr>
        <w:t xml:space="preserve">and breadth </w:t>
      </w:r>
      <w:r w:rsidR="004D32B9">
        <w:rPr>
          <w:i/>
          <w:sz w:val="21"/>
          <w:szCs w:val="21"/>
        </w:rPr>
        <w:t xml:space="preserve">of </w:t>
      </w:r>
      <w:r w:rsidR="00D87293">
        <w:rPr>
          <w:i/>
          <w:sz w:val="21"/>
          <w:szCs w:val="21"/>
        </w:rPr>
        <w:t xml:space="preserve">our offering remains </w:t>
      </w:r>
      <w:r w:rsidR="008A7B94">
        <w:rPr>
          <w:i/>
          <w:sz w:val="21"/>
          <w:szCs w:val="21"/>
        </w:rPr>
        <w:t>a</w:t>
      </w:r>
      <w:r w:rsidR="004D32B9">
        <w:rPr>
          <w:i/>
          <w:sz w:val="21"/>
          <w:szCs w:val="21"/>
        </w:rPr>
        <w:t xml:space="preserve"> key </w:t>
      </w:r>
      <w:r w:rsidR="00D87293">
        <w:rPr>
          <w:i/>
          <w:sz w:val="21"/>
          <w:szCs w:val="21"/>
        </w:rPr>
        <w:t xml:space="preserve">differentiator for FanDuel </w:t>
      </w:r>
      <w:r w:rsidR="00EB3313">
        <w:rPr>
          <w:i/>
          <w:sz w:val="21"/>
          <w:szCs w:val="21"/>
        </w:rPr>
        <w:t xml:space="preserve">sports </w:t>
      </w:r>
      <w:r w:rsidR="00D87293">
        <w:rPr>
          <w:i/>
          <w:sz w:val="21"/>
          <w:szCs w:val="21"/>
        </w:rPr>
        <w:t xml:space="preserve">and the key </w:t>
      </w:r>
      <w:r w:rsidR="004D32B9">
        <w:rPr>
          <w:i/>
          <w:sz w:val="21"/>
          <w:szCs w:val="21"/>
        </w:rPr>
        <w:t xml:space="preserve">driver of </w:t>
      </w:r>
      <w:r w:rsidR="00D87293">
        <w:rPr>
          <w:i/>
          <w:sz w:val="21"/>
          <w:szCs w:val="21"/>
        </w:rPr>
        <w:t xml:space="preserve">our </w:t>
      </w:r>
      <w:r w:rsidR="004D32B9">
        <w:rPr>
          <w:i/>
          <w:sz w:val="21"/>
          <w:szCs w:val="21"/>
        </w:rPr>
        <w:t>leadership position.</w:t>
      </w:r>
      <w:r w:rsidR="00806919">
        <w:rPr>
          <w:i/>
          <w:sz w:val="21"/>
          <w:szCs w:val="21"/>
        </w:rPr>
        <w:t xml:space="preserve"> </w:t>
      </w:r>
      <w:r w:rsidR="00F17CC4">
        <w:rPr>
          <w:i/>
          <w:sz w:val="21"/>
          <w:szCs w:val="21"/>
        </w:rPr>
        <w:t xml:space="preserve">Our US business had over 1.6m average monthly players in Q1, meaning that it is now twice the size of our Australian business and </w:t>
      </w:r>
      <w:r w:rsidR="0094159B">
        <w:rPr>
          <w:i/>
          <w:sz w:val="21"/>
          <w:szCs w:val="21"/>
        </w:rPr>
        <w:t xml:space="preserve">is </w:t>
      </w:r>
      <w:r w:rsidR="00F17CC4">
        <w:rPr>
          <w:i/>
          <w:sz w:val="21"/>
          <w:szCs w:val="21"/>
        </w:rPr>
        <w:t>quickly closing in on our International division. We are continuing to consider our options with respect to a possible US listing of a small share</w:t>
      </w:r>
      <w:r w:rsidR="00510FC7">
        <w:rPr>
          <w:i/>
          <w:sz w:val="21"/>
          <w:szCs w:val="21"/>
        </w:rPr>
        <w:t>holding</w:t>
      </w:r>
      <w:r w:rsidR="00F17CC4">
        <w:rPr>
          <w:i/>
          <w:sz w:val="21"/>
          <w:szCs w:val="21"/>
        </w:rPr>
        <w:t xml:space="preserve"> of FanDuel Group</w:t>
      </w:r>
      <w:r w:rsidR="00510FC7">
        <w:rPr>
          <w:i/>
          <w:sz w:val="21"/>
          <w:szCs w:val="21"/>
        </w:rPr>
        <w:t xml:space="preserve">. No decision has been made at this time </w:t>
      </w:r>
      <w:r w:rsidR="00F17CC4">
        <w:rPr>
          <w:i/>
          <w:sz w:val="21"/>
          <w:szCs w:val="21"/>
        </w:rPr>
        <w:t xml:space="preserve">and </w:t>
      </w:r>
      <w:r w:rsidR="00510FC7">
        <w:rPr>
          <w:i/>
          <w:sz w:val="21"/>
          <w:szCs w:val="21"/>
        </w:rPr>
        <w:t xml:space="preserve">we </w:t>
      </w:r>
      <w:r w:rsidR="00F17CC4">
        <w:rPr>
          <w:i/>
          <w:sz w:val="21"/>
          <w:szCs w:val="21"/>
        </w:rPr>
        <w:t>will update the market</w:t>
      </w:r>
      <w:r w:rsidR="00510FC7">
        <w:rPr>
          <w:i/>
          <w:sz w:val="21"/>
          <w:szCs w:val="21"/>
        </w:rPr>
        <w:t xml:space="preserve"> as appropriate</w:t>
      </w:r>
      <w:r w:rsidR="00F17CC4">
        <w:rPr>
          <w:i/>
          <w:sz w:val="21"/>
          <w:szCs w:val="21"/>
        </w:rPr>
        <w:t>.</w:t>
      </w:r>
    </w:p>
    <w:p w14:paraId="318EBCED" w14:textId="6B0202DB" w:rsidR="00AE3D01" w:rsidRDefault="00E52CE5" w:rsidP="00515CF2">
      <w:pPr>
        <w:pStyle w:val="ListParagraph"/>
        <w:spacing w:before="80" w:after="120"/>
        <w:ind w:right="49"/>
        <w:jc w:val="both"/>
        <w:rPr>
          <w:rFonts w:ascii="Calibri" w:eastAsia="Calibri" w:hAnsi="Calibri" w:cs="Calibri"/>
          <w:b/>
          <w:sz w:val="21"/>
          <w:szCs w:val="21"/>
        </w:rPr>
      </w:pPr>
      <w:r w:rsidRPr="00E52CE5">
        <w:rPr>
          <w:i/>
          <w:sz w:val="21"/>
          <w:szCs w:val="21"/>
        </w:rPr>
        <w:t xml:space="preserve">As restrictions begin to ease and retail </w:t>
      </w:r>
      <w:r w:rsidR="00C01F83">
        <w:rPr>
          <w:i/>
          <w:sz w:val="21"/>
          <w:szCs w:val="21"/>
        </w:rPr>
        <w:t>re</w:t>
      </w:r>
      <w:r w:rsidRPr="00E52CE5">
        <w:rPr>
          <w:i/>
          <w:sz w:val="21"/>
          <w:szCs w:val="21"/>
        </w:rPr>
        <w:t xml:space="preserve">opens across </w:t>
      </w:r>
      <w:proofErr w:type="gramStart"/>
      <w:r w:rsidRPr="00E52CE5">
        <w:rPr>
          <w:i/>
          <w:sz w:val="21"/>
          <w:szCs w:val="21"/>
        </w:rPr>
        <w:t>a number of</w:t>
      </w:r>
      <w:proofErr w:type="gramEnd"/>
      <w:r w:rsidRPr="00E52CE5">
        <w:rPr>
          <w:i/>
          <w:sz w:val="21"/>
          <w:szCs w:val="21"/>
        </w:rPr>
        <w:t xml:space="preserve"> markets, we remain confident that our diversified business leaves us well placed to </w:t>
      </w:r>
      <w:r w:rsidR="00C01F83">
        <w:rPr>
          <w:i/>
          <w:sz w:val="21"/>
          <w:szCs w:val="21"/>
        </w:rPr>
        <w:t xml:space="preserve">deliver </w:t>
      </w:r>
      <w:r w:rsidRPr="00E52CE5">
        <w:rPr>
          <w:i/>
          <w:sz w:val="21"/>
          <w:szCs w:val="21"/>
        </w:rPr>
        <w:t>sustainable growth going forward.</w:t>
      </w:r>
      <w:r w:rsidR="00AA6204">
        <w:rPr>
          <w:i/>
          <w:sz w:val="21"/>
          <w:szCs w:val="21"/>
        </w:rPr>
        <w:t>”</w:t>
      </w:r>
      <w:r w:rsidR="00F17CC4">
        <w:rPr>
          <w:i/>
          <w:sz w:val="21"/>
          <w:szCs w:val="21"/>
        </w:rPr>
        <w:t xml:space="preserve"> </w:t>
      </w:r>
      <w:bookmarkEnd w:id="3"/>
      <w:r w:rsidR="00AE3D01">
        <w:rPr>
          <w:rFonts w:ascii="Calibri" w:eastAsia="Calibri" w:hAnsi="Calibri" w:cs="Calibri"/>
          <w:b/>
          <w:sz w:val="21"/>
          <w:szCs w:val="21"/>
        </w:rPr>
        <w:br w:type="page"/>
      </w:r>
    </w:p>
    <w:p w14:paraId="6E94F7E1" w14:textId="09A59D43" w:rsidR="00A908CA" w:rsidRPr="00E37ABE" w:rsidRDefault="00A908CA" w:rsidP="00FD060C">
      <w:pPr>
        <w:spacing w:before="120" w:after="120"/>
        <w:ind w:right="49"/>
        <w:jc w:val="both"/>
        <w:rPr>
          <w:rFonts w:ascii="Calibri" w:eastAsia="Calibri" w:hAnsi="Calibri" w:cs="Calibri"/>
          <w:b/>
          <w:sz w:val="21"/>
          <w:szCs w:val="21"/>
        </w:rPr>
      </w:pPr>
      <w:r w:rsidRPr="00E37ABE">
        <w:rPr>
          <w:rFonts w:ascii="Calibri" w:eastAsia="Calibri" w:hAnsi="Calibri" w:cs="Calibri"/>
          <w:b/>
          <w:sz w:val="21"/>
          <w:szCs w:val="21"/>
        </w:rPr>
        <w:lastRenderedPageBreak/>
        <w:t>Divisional analysis</w:t>
      </w:r>
    </w:p>
    <w:tbl>
      <w:tblPr>
        <w:tblW w:w="10189" w:type="dxa"/>
        <w:tblLayout w:type="fixed"/>
        <w:tblLook w:val="04A0" w:firstRow="1" w:lastRow="0" w:firstColumn="1" w:lastColumn="0" w:noHBand="0" w:noVBand="1"/>
      </w:tblPr>
      <w:tblGrid>
        <w:gridCol w:w="2095"/>
        <w:gridCol w:w="1121"/>
        <w:gridCol w:w="1122"/>
        <w:gridCol w:w="1122"/>
        <w:gridCol w:w="1124"/>
        <w:gridCol w:w="1122"/>
        <w:gridCol w:w="239"/>
        <w:gridCol w:w="1122"/>
        <w:gridCol w:w="1122"/>
      </w:tblGrid>
      <w:tr w:rsidR="00D9680A" w:rsidRPr="00DF54A9" w14:paraId="3C83D0A7" w14:textId="77777777" w:rsidTr="00761699">
        <w:trPr>
          <w:trHeight w:val="52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4"/>
          <w:bookmarkEnd w:id="5"/>
          <w:p w14:paraId="1840ACAD" w14:textId="77777777" w:rsidR="00D9680A" w:rsidRPr="00E37ABE" w:rsidRDefault="00D9680A" w:rsidP="00364508">
            <w:pPr>
              <w:widowControl/>
              <w:ind w:right="49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</w:pPr>
            <w:r w:rsidRPr="00E37ABE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Unaudited revenue</w:t>
            </w:r>
          </w:p>
          <w:p w14:paraId="042D246B" w14:textId="77777777" w:rsidR="00D9680A" w:rsidRPr="00E37ABE" w:rsidRDefault="00D9680A" w:rsidP="00364508">
            <w:pPr>
              <w:widowControl/>
              <w:ind w:right="49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</w:pPr>
            <w:r w:rsidRPr="00E37ABE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Pro forma £m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DFDB" w14:textId="680C939B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 xml:space="preserve">Total </w:t>
            </w:r>
          </w:p>
        </w:tc>
        <w:tc>
          <w:tcPr>
            <w:tcW w:w="11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A771F" w14:textId="77777777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 xml:space="preserve">Sports 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AF4F" w14:textId="77777777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 xml:space="preserve">Gaming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1F27BCD" w14:textId="77777777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1E4D30" w14:textId="00EFC960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Average monthly players</w:t>
            </w:r>
            <w:r w:rsidR="00A97B4E" w:rsidRPr="00DA2CAB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vertAlign w:val="superscript"/>
                <w:lang w:eastAsia="en-GB"/>
              </w:rPr>
              <w:t>3</w:t>
            </w:r>
          </w:p>
        </w:tc>
      </w:tr>
      <w:tr w:rsidR="00D9680A" w:rsidRPr="00DF54A9" w14:paraId="003577AA" w14:textId="77777777" w:rsidTr="00761699">
        <w:trPr>
          <w:trHeight w:val="309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6293" w14:textId="77777777" w:rsidR="00D9680A" w:rsidRPr="00E37ABE" w:rsidRDefault="00D9680A" w:rsidP="00364508">
            <w:pPr>
              <w:widowControl/>
              <w:ind w:right="49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6BF5" w14:textId="77777777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Q1 2021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6594" w14:textId="77777777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Q1 2020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B4DB" w14:textId="77777777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YoY % (CC)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3F0A" w14:textId="77777777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YoY % (CC)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447D" w14:textId="77777777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YoY % (CC)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BE57B24" w14:textId="77777777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827" w14:textId="77777777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Q1 2021</w:t>
            </w:r>
          </w:p>
          <w:p w14:paraId="7E3851CA" w14:textId="349B383A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(000s)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9F2E" w14:textId="77777777" w:rsidR="00D9680A" w:rsidRPr="00E37ABE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YoY %</w:t>
            </w:r>
          </w:p>
        </w:tc>
      </w:tr>
      <w:tr w:rsidR="00D9680A" w:rsidRPr="00DF54A9" w14:paraId="088E1C99" w14:textId="77777777" w:rsidTr="00761699">
        <w:trPr>
          <w:trHeight w:val="325"/>
        </w:trPr>
        <w:tc>
          <w:tcPr>
            <w:tcW w:w="20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60F8" w14:textId="77777777" w:rsidR="00D9680A" w:rsidRPr="00E37ABE" w:rsidRDefault="00D9680A" w:rsidP="00364508">
            <w:pPr>
              <w:widowControl/>
              <w:ind w:right="49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UK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E37AB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E37AB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reland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C405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56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9EF9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489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BA847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+16%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518F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+12%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ADF9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+24%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DB0A5A9" w14:textId="77777777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0E6D4" w14:textId="2BF38456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3,167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3FD6C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+23%</w:t>
            </w:r>
          </w:p>
        </w:tc>
      </w:tr>
      <w:tr w:rsidR="00D9680A" w:rsidRPr="00DF54A9" w14:paraId="48091F54" w14:textId="77777777" w:rsidTr="00761699">
        <w:trPr>
          <w:trHeight w:val="325"/>
        </w:trPr>
        <w:tc>
          <w:tcPr>
            <w:tcW w:w="20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DB4B" w14:textId="77777777" w:rsidR="00D9680A" w:rsidRPr="00E37ABE" w:rsidRDefault="00D9680A" w:rsidP="00364508">
            <w:pPr>
              <w:widowControl/>
              <w:ind w:right="49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- UK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E37ABE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&amp;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E37ABE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reland</w:t>
            </w:r>
            <w:r w:rsidRPr="00E37ABE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 xml:space="preserve"> Online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B18D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  <w:t>56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  <w:t>8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37E2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  <w:t>419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C7B6B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b/>
                <w:i/>
                <w:iCs/>
                <w:color w:val="000000"/>
                <w:sz w:val="21"/>
                <w:szCs w:val="21"/>
                <w:lang w:val="en-IE" w:eastAsia="en-IE"/>
              </w:rPr>
              <w:t>+3</w:t>
            </w:r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sz w:val="21"/>
                <w:szCs w:val="21"/>
                <w:lang w:val="en-IE" w:eastAsia="en-IE"/>
              </w:rPr>
              <w:t>5</w:t>
            </w:r>
            <w:r w:rsidRPr="001348C9">
              <w:rPr>
                <w:rFonts w:ascii="Calibri" w:eastAsia="Times New Roman" w:hAnsi="Calibri" w:cs="Calibri"/>
                <w:b/>
                <w:i/>
                <w:iCs/>
                <w:color w:val="000000"/>
                <w:sz w:val="21"/>
                <w:szCs w:val="21"/>
                <w:lang w:val="en-IE" w:eastAsia="en-IE"/>
              </w:rPr>
              <w:t>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781E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  <w:t>+33%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DC0F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  <w:t>+41%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DEB396" w14:textId="77777777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1F807" w14:textId="7FD862CF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3,167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84F072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+23%</w:t>
            </w:r>
          </w:p>
        </w:tc>
      </w:tr>
      <w:tr w:rsidR="00D9680A" w:rsidRPr="00DF54A9" w14:paraId="3DD72881" w14:textId="77777777" w:rsidTr="00761699">
        <w:trPr>
          <w:trHeight w:val="325"/>
        </w:trPr>
        <w:tc>
          <w:tcPr>
            <w:tcW w:w="20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B228" w14:textId="77777777" w:rsidR="00D9680A" w:rsidRPr="00E37ABE" w:rsidRDefault="00D9680A" w:rsidP="00364508">
            <w:pPr>
              <w:widowControl/>
              <w:ind w:right="49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- UK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E37ABE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&amp;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E37ABE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I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>reland</w:t>
            </w:r>
            <w:r w:rsidRPr="00E37ABE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  <w:t xml:space="preserve"> Retail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D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F013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  <w:t>71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D122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b/>
                <w:i/>
                <w:iCs/>
                <w:color w:val="000000"/>
                <w:sz w:val="21"/>
                <w:szCs w:val="21"/>
                <w:lang w:val="en-IE" w:eastAsia="en-IE"/>
              </w:rPr>
              <w:t>-100%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A5C0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  <w:t>-100%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479A9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val="en-IE" w:eastAsia="en-IE"/>
              </w:rPr>
              <w:t>-100%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9EE414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1C2A1A" w14:textId="169C6A18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87FBE4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1"/>
                <w:szCs w:val="21"/>
                <w:lang w:eastAsia="en-GB"/>
              </w:rPr>
            </w:pPr>
          </w:p>
        </w:tc>
      </w:tr>
      <w:tr w:rsidR="00D9680A" w:rsidRPr="00DF54A9" w14:paraId="337A6E7A" w14:textId="77777777" w:rsidTr="00761699">
        <w:trPr>
          <w:trHeight w:val="325"/>
        </w:trPr>
        <w:tc>
          <w:tcPr>
            <w:tcW w:w="20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AC11" w14:textId="77777777" w:rsidR="00D9680A" w:rsidRPr="00E37ABE" w:rsidRDefault="00D9680A" w:rsidP="00364508">
            <w:pPr>
              <w:widowControl/>
              <w:ind w:right="49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Australia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ABB6C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279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27BB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161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0754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+59%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295D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+59%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B824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5E2435" w14:textId="77777777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3E115F" w14:textId="2D9FEA1D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831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62D509D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+43%</w:t>
            </w:r>
          </w:p>
        </w:tc>
      </w:tr>
      <w:tr w:rsidR="00D9680A" w:rsidRPr="00DF54A9" w14:paraId="37B98398" w14:textId="77777777" w:rsidTr="00761699">
        <w:trPr>
          <w:trHeight w:val="325"/>
        </w:trPr>
        <w:tc>
          <w:tcPr>
            <w:tcW w:w="20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172F" w14:textId="77777777" w:rsidR="00D9680A" w:rsidRPr="00E37ABE" w:rsidRDefault="00D9680A" w:rsidP="00364508">
            <w:pPr>
              <w:widowControl/>
              <w:ind w:right="49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International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503F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1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6990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344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C89B6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7</w:t>
            </w:r>
            <w:r w:rsidRPr="001348C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C345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+2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2</w:t>
            </w: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%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19D0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+4%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EA66B43" w14:textId="77777777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93220B" w14:textId="6B855AF3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2,027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8DE5E6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+14%</w:t>
            </w:r>
          </w:p>
        </w:tc>
      </w:tr>
      <w:tr w:rsidR="00D9680A" w:rsidRPr="00DF54A9" w14:paraId="63F98590" w14:textId="77777777" w:rsidTr="00761699">
        <w:trPr>
          <w:trHeight w:val="325"/>
        </w:trPr>
        <w:tc>
          <w:tcPr>
            <w:tcW w:w="207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2C4B" w14:textId="77777777" w:rsidR="00D9680A" w:rsidRPr="00E37ABE" w:rsidRDefault="00D9680A" w:rsidP="00364508">
            <w:pPr>
              <w:widowControl/>
              <w:ind w:right="49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US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1D6D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8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B2D1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132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DC10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+13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5</w:t>
            </w:r>
            <w:r w:rsidRPr="001348C9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7D695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+1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30</w:t>
            </w: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%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D989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</w:pP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+14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6</w:t>
            </w:r>
            <w:r w:rsidRPr="001348C9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IE" w:eastAsia="en-IE"/>
              </w:rPr>
              <w:t>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82F860" w14:textId="77777777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3A95" w14:textId="3DB3D143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1,648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97E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+132%</w:t>
            </w:r>
          </w:p>
        </w:tc>
      </w:tr>
      <w:tr w:rsidR="00D9680A" w:rsidRPr="00DF54A9" w14:paraId="28EB8662" w14:textId="77777777" w:rsidTr="00761699">
        <w:trPr>
          <w:trHeight w:val="325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C764" w14:textId="77777777" w:rsidR="00D9680A" w:rsidRPr="00E37ABE" w:rsidRDefault="00D9680A" w:rsidP="00364508">
            <w:pPr>
              <w:widowControl/>
              <w:ind w:right="49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 w:rsidRPr="00E37ABE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Group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3E9E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1,485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1ED77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1,126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E5AA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+33%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4FE5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+41%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D3EB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val="en-IE" w:eastAsia="en-IE"/>
              </w:rPr>
              <w:t>+22%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CC992C4" w14:textId="77777777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C09" w14:textId="150A274D" w:rsidR="00D9680A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7,672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F1EA" w14:textId="77777777" w:rsidR="00D9680A" w:rsidRPr="001348C9" w:rsidRDefault="00D9680A" w:rsidP="00364508">
            <w:pPr>
              <w:widowControl/>
              <w:ind w:right="4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n-GB"/>
              </w:rPr>
              <w:t>+36%</w:t>
            </w:r>
          </w:p>
        </w:tc>
      </w:tr>
    </w:tbl>
    <w:p w14:paraId="77089E54" w14:textId="0818E86D" w:rsidR="008B3CD6" w:rsidRPr="00E37ABE" w:rsidRDefault="008B3CD6" w:rsidP="008B3CD6">
      <w:pPr>
        <w:spacing w:before="120" w:after="40"/>
        <w:ind w:right="49"/>
        <w:jc w:val="both"/>
        <w:rPr>
          <w:rFonts w:ascii="Calibri" w:eastAsia="Calibri" w:hAnsi="Calibri" w:cs="Calibri"/>
          <w:b/>
          <w:i/>
          <w:sz w:val="21"/>
          <w:szCs w:val="21"/>
        </w:rPr>
      </w:pPr>
      <w:r w:rsidRPr="00E37ABE">
        <w:rPr>
          <w:rFonts w:ascii="Calibri" w:eastAsia="Calibri" w:hAnsi="Calibri" w:cs="Calibri"/>
          <w:b/>
          <w:i/>
          <w:sz w:val="21"/>
          <w:szCs w:val="21"/>
        </w:rPr>
        <w:t>UK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 &amp; Ireland</w:t>
      </w:r>
    </w:p>
    <w:p w14:paraId="20AEF8D3" w14:textId="77777777" w:rsidR="008B3CD6" w:rsidRDefault="008B3CD6" w:rsidP="008B3CD6">
      <w:pPr>
        <w:spacing w:before="80" w:after="40"/>
        <w:ind w:right="51"/>
        <w:jc w:val="both"/>
        <w:rPr>
          <w:rFonts w:ascii="Calibri" w:eastAsia="Calibri" w:hAnsi="Calibri" w:cs="Calibri"/>
          <w:i/>
          <w:spacing w:val="-1"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>Online</w:t>
      </w:r>
    </w:p>
    <w:p w14:paraId="738C7750" w14:textId="2E3D924F" w:rsidR="008B3CD6" w:rsidRPr="00C16051" w:rsidRDefault="008B3CD6" w:rsidP="008B3CD6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>
        <w:rPr>
          <w:sz w:val="21"/>
          <w:szCs w:val="21"/>
        </w:rPr>
        <w:t>Our recreational brands</w:t>
      </w:r>
      <w:r w:rsidR="00022925">
        <w:rPr>
          <w:sz w:val="21"/>
          <w:szCs w:val="21"/>
        </w:rPr>
        <w:t xml:space="preserve"> across the UK and Ireland</w:t>
      </w:r>
      <w:r>
        <w:rPr>
          <w:sz w:val="21"/>
          <w:szCs w:val="21"/>
        </w:rPr>
        <w:t xml:space="preserve"> made further market share gains as we </w:t>
      </w:r>
      <w:r w:rsidRPr="00C16051">
        <w:rPr>
          <w:sz w:val="21"/>
          <w:szCs w:val="21"/>
        </w:rPr>
        <w:t>benefit</w:t>
      </w:r>
      <w:r>
        <w:rPr>
          <w:sz w:val="21"/>
          <w:szCs w:val="21"/>
        </w:rPr>
        <w:t>ted</w:t>
      </w:r>
      <w:r w:rsidRPr="00C16051">
        <w:rPr>
          <w:sz w:val="21"/>
          <w:szCs w:val="21"/>
        </w:rPr>
        <w:t xml:space="preserve"> from </w:t>
      </w:r>
      <w:r>
        <w:rPr>
          <w:sz w:val="21"/>
          <w:szCs w:val="21"/>
        </w:rPr>
        <w:t xml:space="preserve">the ongoing </w:t>
      </w:r>
      <w:r w:rsidRPr="00C16051">
        <w:rPr>
          <w:sz w:val="21"/>
          <w:szCs w:val="21"/>
        </w:rPr>
        <w:t xml:space="preserve">migration of retail </w:t>
      </w:r>
      <w:r>
        <w:rPr>
          <w:sz w:val="21"/>
          <w:szCs w:val="21"/>
        </w:rPr>
        <w:t xml:space="preserve">customers to online. </w:t>
      </w:r>
      <w:r w:rsidR="00F52882">
        <w:rPr>
          <w:sz w:val="21"/>
          <w:szCs w:val="21"/>
        </w:rPr>
        <w:t xml:space="preserve">SBG grew revenue 35% while PPB online grew revenue 36%. </w:t>
      </w:r>
      <w:r>
        <w:rPr>
          <w:sz w:val="21"/>
          <w:szCs w:val="21"/>
        </w:rPr>
        <w:t xml:space="preserve">We estimate that </w:t>
      </w:r>
      <w:r w:rsidRPr="00C16051">
        <w:rPr>
          <w:sz w:val="21"/>
          <w:szCs w:val="21"/>
        </w:rPr>
        <w:t>Flutter brands accounted for 56% of all Cheltenham customers, with Paddy Power the Number 1 downloaded app during the week.</w:t>
      </w:r>
      <w:r>
        <w:rPr>
          <w:sz w:val="21"/>
          <w:szCs w:val="21"/>
        </w:rPr>
        <w:t xml:space="preserve"> </w:t>
      </w:r>
      <w:r w:rsidR="00133433" w:rsidRPr="00206686">
        <w:rPr>
          <w:sz w:val="21"/>
          <w:szCs w:val="21"/>
        </w:rPr>
        <w:t>Year</w:t>
      </w:r>
      <w:r w:rsidR="001A6D47">
        <w:rPr>
          <w:sz w:val="21"/>
          <w:szCs w:val="21"/>
        </w:rPr>
        <w:t xml:space="preserve"> </w:t>
      </w:r>
      <w:r w:rsidR="00133433" w:rsidRPr="00206686">
        <w:rPr>
          <w:sz w:val="21"/>
          <w:szCs w:val="21"/>
        </w:rPr>
        <w:t>on</w:t>
      </w:r>
      <w:r w:rsidR="001A6D47">
        <w:rPr>
          <w:sz w:val="21"/>
          <w:szCs w:val="21"/>
        </w:rPr>
        <w:t xml:space="preserve"> </w:t>
      </w:r>
      <w:r w:rsidR="00133433" w:rsidRPr="00206686">
        <w:rPr>
          <w:sz w:val="21"/>
          <w:szCs w:val="21"/>
        </w:rPr>
        <w:t>year g</w:t>
      </w:r>
      <w:r w:rsidRPr="00206686">
        <w:rPr>
          <w:sz w:val="21"/>
          <w:szCs w:val="21"/>
        </w:rPr>
        <w:t xml:space="preserve">rowth rates during Q1 were consistently strong, </w:t>
      </w:r>
      <w:r w:rsidR="00133433" w:rsidRPr="00206686">
        <w:rPr>
          <w:sz w:val="21"/>
          <w:szCs w:val="21"/>
        </w:rPr>
        <w:t xml:space="preserve">both </w:t>
      </w:r>
      <w:r w:rsidR="004B7E67" w:rsidRPr="009D42AE">
        <w:rPr>
          <w:sz w:val="21"/>
          <w:szCs w:val="21"/>
        </w:rPr>
        <w:t xml:space="preserve">in the period before and </w:t>
      </w:r>
      <w:r w:rsidR="00D765BC" w:rsidRPr="009D42AE">
        <w:rPr>
          <w:sz w:val="21"/>
          <w:szCs w:val="21"/>
        </w:rPr>
        <w:t xml:space="preserve">after </w:t>
      </w:r>
      <w:r w:rsidR="00133433" w:rsidRPr="00206686">
        <w:rPr>
          <w:sz w:val="21"/>
          <w:szCs w:val="21"/>
        </w:rPr>
        <w:t xml:space="preserve">Covid comparatives applied, </w:t>
      </w:r>
      <w:r w:rsidRPr="00206686">
        <w:rPr>
          <w:sz w:val="21"/>
          <w:szCs w:val="21"/>
        </w:rPr>
        <w:t>with revenue up 38% in the first 2 months of the year.</w:t>
      </w:r>
      <w:r w:rsidRPr="00C16051">
        <w:rPr>
          <w:sz w:val="21"/>
          <w:szCs w:val="21"/>
        </w:rPr>
        <w:t xml:space="preserve">  </w:t>
      </w:r>
    </w:p>
    <w:p w14:paraId="6ECA2EE5" w14:textId="7AB05949" w:rsidR="008B3CD6" w:rsidRPr="00C16051" w:rsidRDefault="0024410D" w:rsidP="008B3CD6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8B3CD6" w:rsidRPr="000C59FD">
        <w:rPr>
          <w:sz w:val="21"/>
          <w:szCs w:val="21"/>
        </w:rPr>
        <w:t>portsbook grew 37% year on</w:t>
      </w:r>
      <w:bookmarkStart w:id="7" w:name="_GoBack"/>
      <w:bookmarkEnd w:id="7"/>
      <w:r w:rsidR="008B3CD6" w:rsidRPr="000C59FD">
        <w:rPr>
          <w:sz w:val="21"/>
          <w:szCs w:val="21"/>
        </w:rPr>
        <w:t xml:space="preserve"> year</w:t>
      </w:r>
      <w:r w:rsidR="008B3CD6">
        <w:rPr>
          <w:sz w:val="21"/>
          <w:szCs w:val="21"/>
        </w:rPr>
        <w:t>,</w:t>
      </w:r>
      <w:r w:rsidR="008B3CD6" w:rsidRPr="000C59FD">
        <w:rPr>
          <w:sz w:val="21"/>
          <w:szCs w:val="21"/>
        </w:rPr>
        <w:t xml:space="preserve"> driven by staking growth of 63%. </w:t>
      </w:r>
      <w:r>
        <w:rPr>
          <w:sz w:val="21"/>
          <w:szCs w:val="21"/>
        </w:rPr>
        <w:t>N</w:t>
      </w:r>
      <w:r w:rsidR="008B3CD6" w:rsidRPr="000C59FD">
        <w:rPr>
          <w:sz w:val="21"/>
          <w:szCs w:val="21"/>
        </w:rPr>
        <w:t xml:space="preserve">et revenue margin declined by 210bps </w:t>
      </w:r>
      <w:r w:rsidR="00133433">
        <w:rPr>
          <w:sz w:val="21"/>
          <w:szCs w:val="21"/>
        </w:rPr>
        <w:t xml:space="preserve">versus Q1 2020 </w:t>
      </w:r>
      <w:r>
        <w:rPr>
          <w:sz w:val="21"/>
          <w:szCs w:val="21"/>
        </w:rPr>
        <w:t xml:space="preserve">reflecting favourable sports results </w:t>
      </w:r>
      <w:r w:rsidR="00133433">
        <w:rPr>
          <w:sz w:val="21"/>
          <w:szCs w:val="21"/>
        </w:rPr>
        <w:t xml:space="preserve">last year, </w:t>
      </w:r>
      <w:r>
        <w:rPr>
          <w:sz w:val="21"/>
          <w:szCs w:val="21"/>
        </w:rPr>
        <w:t>partially offset by the benefit of</w:t>
      </w:r>
      <w:r w:rsidR="008B3CD6" w:rsidRPr="000C59FD">
        <w:rPr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 w:rsidR="008B3CD6">
        <w:rPr>
          <w:sz w:val="21"/>
          <w:szCs w:val="21"/>
        </w:rPr>
        <w:t xml:space="preserve"> </w:t>
      </w:r>
      <w:r w:rsidR="008B3CD6" w:rsidRPr="000C59FD">
        <w:rPr>
          <w:sz w:val="21"/>
          <w:szCs w:val="21"/>
        </w:rPr>
        <w:t xml:space="preserve">shift </w:t>
      </w:r>
      <w:r>
        <w:rPr>
          <w:sz w:val="21"/>
          <w:szCs w:val="21"/>
        </w:rPr>
        <w:t xml:space="preserve">in bet mix </w:t>
      </w:r>
      <w:r w:rsidR="008B3CD6" w:rsidRPr="000C59FD">
        <w:rPr>
          <w:sz w:val="21"/>
          <w:szCs w:val="21"/>
        </w:rPr>
        <w:t>to higher margin products</w:t>
      </w:r>
      <w:r w:rsidR="00133433">
        <w:rPr>
          <w:sz w:val="21"/>
          <w:szCs w:val="21"/>
        </w:rPr>
        <w:t xml:space="preserve"> </w:t>
      </w:r>
      <w:r w:rsidR="00133433" w:rsidRPr="00206686">
        <w:rPr>
          <w:sz w:val="21"/>
          <w:szCs w:val="21"/>
        </w:rPr>
        <w:t>such as same game multis</w:t>
      </w:r>
      <w:r w:rsidR="008B3CD6" w:rsidRPr="00206686">
        <w:rPr>
          <w:sz w:val="21"/>
          <w:szCs w:val="21"/>
        </w:rPr>
        <w:t>.</w:t>
      </w:r>
      <w:r w:rsidR="008B3CD6">
        <w:rPr>
          <w:sz w:val="21"/>
          <w:szCs w:val="21"/>
        </w:rPr>
        <w:t xml:space="preserve"> Q1</w:t>
      </w:r>
      <w:r w:rsidR="008B3CD6" w:rsidRPr="000C59FD">
        <w:rPr>
          <w:sz w:val="21"/>
          <w:szCs w:val="21"/>
        </w:rPr>
        <w:t xml:space="preserve"> sports </w:t>
      </w:r>
      <w:r w:rsidR="008B3CD6">
        <w:rPr>
          <w:sz w:val="21"/>
          <w:szCs w:val="21"/>
        </w:rPr>
        <w:t xml:space="preserve">results were favourable </w:t>
      </w:r>
      <w:r>
        <w:rPr>
          <w:sz w:val="21"/>
          <w:szCs w:val="21"/>
        </w:rPr>
        <w:t>at</w:t>
      </w:r>
      <w:r w:rsidR="008B3CD6">
        <w:rPr>
          <w:sz w:val="21"/>
          <w:szCs w:val="21"/>
        </w:rPr>
        <w:t xml:space="preserve"> </w:t>
      </w:r>
      <w:r w:rsidR="004F5D35">
        <w:rPr>
          <w:sz w:val="21"/>
          <w:szCs w:val="21"/>
        </w:rPr>
        <w:t>80</w:t>
      </w:r>
      <w:r w:rsidR="008B3CD6" w:rsidRPr="000C59FD">
        <w:rPr>
          <w:sz w:val="21"/>
          <w:szCs w:val="21"/>
        </w:rPr>
        <w:t>bps</w:t>
      </w:r>
      <w:r w:rsidR="008B3CD6">
        <w:rPr>
          <w:sz w:val="21"/>
          <w:szCs w:val="21"/>
        </w:rPr>
        <w:t xml:space="preserve"> above expectations</w:t>
      </w:r>
      <w:r w:rsidR="008B3CD6" w:rsidRPr="000C59FD">
        <w:rPr>
          <w:sz w:val="21"/>
          <w:szCs w:val="21"/>
        </w:rPr>
        <w:t xml:space="preserve">. </w:t>
      </w:r>
      <w:r w:rsidR="008B3CD6" w:rsidRPr="00C16051">
        <w:rPr>
          <w:sz w:val="21"/>
          <w:szCs w:val="21"/>
        </w:rPr>
        <w:t xml:space="preserve">Exchange and B2B revenue grew </w:t>
      </w:r>
      <w:r w:rsidR="008B3CD6">
        <w:rPr>
          <w:sz w:val="21"/>
          <w:szCs w:val="21"/>
        </w:rPr>
        <w:t>5</w:t>
      </w:r>
      <w:r w:rsidR="008B3CD6" w:rsidRPr="00C16051">
        <w:rPr>
          <w:sz w:val="21"/>
          <w:szCs w:val="21"/>
        </w:rPr>
        <w:t xml:space="preserve">% boosted by Betfair Q1 AMP growth of </w:t>
      </w:r>
      <w:r w:rsidR="008B3CD6">
        <w:rPr>
          <w:sz w:val="21"/>
          <w:szCs w:val="21"/>
        </w:rPr>
        <w:t>19</w:t>
      </w:r>
      <w:r w:rsidR="008B3CD6" w:rsidRPr="00C16051">
        <w:rPr>
          <w:sz w:val="21"/>
          <w:szCs w:val="21"/>
        </w:rPr>
        <w:t xml:space="preserve">%. </w:t>
      </w:r>
    </w:p>
    <w:p w14:paraId="5D760AB0" w14:textId="686BE7E4" w:rsidR="008B3CD6" w:rsidRPr="00C16051" w:rsidRDefault="008B3CD6" w:rsidP="008B3CD6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 w:rsidRPr="00C16051">
        <w:rPr>
          <w:sz w:val="21"/>
          <w:szCs w:val="21"/>
        </w:rPr>
        <w:t xml:space="preserve">Gaming revenue grew 41% </w:t>
      </w:r>
      <w:r>
        <w:rPr>
          <w:sz w:val="21"/>
          <w:szCs w:val="21"/>
        </w:rPr>
        <w:t>driven by</w:t>
      </w:r>
      <w:r w:rsidRPr="00C16051">
        <w:rPr>
          <w:sz w:val="21"/>
          <w:szCs w:val="21"/>
        </w:rPr>
        <w:t xml:space="preserve"> </w:t>
      </w:r>
      <w:r w:rsidR="002334BB">
        <w:rPr>
          <w:sz w:val="21"/>
          <w:szCs w:val="21"/>
        </w:rPr>
        <w:t xml:space="preserve">player </w:t>
      </w:r>
      <w:r w:rsidRPr="00C16051">
        <w:rPr>
          <w:sz w:val="21"/>
          <w:szCs w:val="21"/>
        </w:rPr>
        <w:t>volumes</w:t>
      </w:r>
      <w:r>
        <w:rPr>
          <w:sz w:val="21"/>
          <w:szCs w:val="21"/>
        </w:rPr>
        <w:t>,</w:t>
      </w:r>
      <w:r w:rsidRPr="00C16051">
        <w:rPr>
          <w:sz w:val="21"/>
          <w:szCs w:val="21"/>
        </w:rPr>
        <w:t xml:space="preserve"> with all brands benefitting from the roll out of improved live casino content. We continued to leverage proprietary technology within the Group with the launch of a new SBG live dealer proposition “Sky Vegas Live” via the Group Gaming Network.</w:t>
      </w:r>
      <w:r>
        <w:rPr>
          <w:sz w:val="21"/>
          <w:szCs w:val="21"/>
        </w:rPr>
        <w:t xml:space="preserve"> </w:t>
      </w:r>
    </w:p>
    <w:p w14:paraId="1484F9C0" w14:textId="77777777" w:rsidR="008B3CD6" w:rsidRPr="00423187" w:rsidRDefault="008B3CD6" w:rsidP="008B3CD6">
      <w:pPr>
        <w:spacing w:before="80" w:after="40"/>
        <w:ind w:right="51"/>
        <w:jc w:val="both"/>
        <w:rPr>
          <w:rFonts w:ascii="Calibri" w:eastAsia="Calibri" w:hAnsi="Calibri" w:cs="Calibri"/>
          <w:i/>
          <w:sz w:val="21"/>
          <w:szCs w:val="21"/>
        </w:rPr>
      </w:pPr>
      <w:r w:rsidRPr="00423187">
        <w:rPr>
          <w:rFonts w:ascii="Calibri" w:eastAsia="Calibri" w:hAnsi="Calibri" w:cs="Calibri"/>
          <w:i/>
          <w:sz w:val="21"/>
          <w:szCs w:val="21"/>
        </w:rPr>
        <w:t>Retail</w:t>
      </w:r>
    </w:p>
    <w:p w14:paraId="4C6DFF3C" w14:textId="63557F4A" w:rsidR="008B3CD6" w:rsidRPr="004271FE" w:rsidRDefault="008B3CD6" w:rsidP="008B3CD6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 w:rsidRPr="004271FE">
        <w:rPr>
          <w:sz w:val="21"/>
          <w:szCs w:val="21"/>
        </w:rPr>
        <w:t xml:space="preserve">Our retail estates across the UK and Ireland remained </w:t>
      </w:r>
      <w:r w:rsidR="00635E4C">
        <w:rPr>
          <w:sz w:val="21"/>
          <w:szCs w:val="21"/>
        </w:rPr>
        <w:t xml:space="preserve">closed </w:t>
      </w:r>
      <w:r w:rsidRPr="004271FE">
        <w:rPr>
          <w:sz w:val="21"/>
          <w:szCs w:val="21"/>
        </w:rPr>
        <w:t>due to Covid restrictions</w:t>
      </w:r>
      <w:r w:rsidR="0024410D">
        <w:rPr>
          <w:sz w:val="21"/>
          <w:szCs w:val="21"/>
        </w:rPr>
        <w:t xml:space="preserve"> and w</w:t>
      </w:r>
      <w:r w:rsidRPr="004271FE">
        <w:rPr>
          <w:sz w:val="21"/>
          <w:szCs w:val="21"/>
        </w:rPr>
        <w:t>e continue</w:t>
      </w:r>
      <w:r>
        <w:rPr>
          <w:sz w:val="21"/>
          <w:szCs w:val="21"/>
        </w:rPr>
        <w:t>d</w:t>
      </w:r>
      <w:r w:rsidRPr="004271FE">
        <w:rPr>
          <w:sz w:val="21"/>
          <w:szCs w:val="21"/>
        </w:rPr>
        <w:t xml:space="preserve"> to </w:t>
      </w:r>
      <w:r>
        <w:rPr>
          <w:sz w:val="21"/>
          <w:szCs w:val="21"/>
        </w:rPr>
        <w:t>pay</w:t>
      </w:r>
      <w:r w:rsidRPr="004271FE">
        <w:rPr>
          <w:sz w:val="21"/>
          <w:szCs w:val="21"/>
        </w:rPr>
        <w:t xml:space="preserve"> all </w:t>
      </w:r>
      <w:r>
        <w:rPr>
          <w:sz w:val="21"/>
          <w:szCs w:val="21"/>
        </w:rPr>
        <w:t xml:space="preserve">our </w:t>
      </w:r>
      <w:r w:rsidRPr="004271FE">
        <w:rPr>
          <w:sz w:val="21"/>
          <w:szCs w:val="21"/>
        </w:rPr>
        <w:t>staff</w:t>
      </w:r>
      <w:r>
        <w:rPr>
          <w:sz w:val="21"/>
          <w:szCs w:val="21"/>
        </w:rPr>
        <w:t xml:space="preserve"> throughout the</w:t>
      </w:r>
      <w:r w:rsidR="00510FC7">
        <w:rPr>
          <w:sz w:val="21"/>
          <w:szCs w:val="21"/>
        </w:rPr>
        <w:t xml:space="preserve"> period</w:t>
      </w:r>
      <w:r>
        <w:rPr>
          <w:sz w:val="21"/>
          <w:szCs w:val="21"/>
        </w:rPr>
        <w:t xml:space="preserve">. Our </w:t>
      </w:r>
      <w:r w:rsidRPr="004271FE">
        <w:rPr>
          <w:sz w:val="21"/>
          <w:szCs w:val="21"/>
        </w:rPr>
        <w:t>UK shops reopened in line with Government guidelines on Monday, 12 April</w:t>
      </w:r>
      <w:r>
        <w:rPr>
          <w:sz w:val="21"/>
          <w:szCs w:val="21"/>
        </w:rPr>
        <w:t xml:space="preserve"> and </w:t>
      </w:r>
      <w:r w:rsidR="002334BB">
        <w:rPr>
          <w:sz w:val="21"/>
          <w:szCs w:val="21"/>
        </w:rPr>
        <w:t xml:space="preserve">our current expectation is that </w:t>
      </w:r>
      <w:r>
        <w:rPr>
          <w:sz w:val="21"/>
          <w:szCs w:val="21"/>
        </w:rPr>
        <w:t xml:space="preserve">Irish shops </w:t>
      </w:r>
      <w:r w:rsidR="002334BB">
        <w:rPr>
          <w:sz w:val="21"/>
          <w:szCs w:val="21"/>
        </w:rPr>
        <w:t xml:space="preserve">will </w:t>
      </w:r>
      <w:r>
        <w:rPr>
          <w:sz w:val="21"/>
          <w:szCs w:val="21"/>
        </w:rPr>
        <w:t xml:space="preserve">reopen </w:t>
      </w:r>
      <w:r w:rsidR="00510FC7">
        <w:rPr>
          <w:sz w:val="21"/>
          <w:szCs w:val="21"/>
        </w:rPr>
        <w:t>in the second half of May</w:t>
      </w:r>
      <w:r>
        <w:rPr>
          <w:sz w:val="21"/>
          <w:szCs w:val="21"/>
        </w:rPr>
        <w:t>.</w:t>
      </w:r>
      <w:r w:rsidRPr="004271FE">
        <w:rPr>
          <w:sz w:val="21"/>
          <w:szCs w:val="21"/>
        </w:rPr>
        <w:t xml:space="preserve"> </w:t>
      </w:r>
    </w:p>
    <w:p w14:paraId="167AD85D" w14:textId="29556E78" w:rsidR="002809EB" w:rsidRPr="004271FE" w:rsidRDefault="002809EB" w:rsidP="004271FE">
      <w:pPr>
        <w:spacing w:before="80"/>
        <w:ind w:right="49"/>
        <w:jc w:val="both"/>
        <w:rPr>
          <w:rFonts w:cs="Calibri"/>
          <w:b/>
          <w:i/>
          <w:spacing w:val="-1"/>
          <w:sz w:val="21"/>
          <w:szCs w:val="21"/>
        </w:rPr>
      </w:pPr>
      <w:r w:rsidRPr="004271FE">
        <w:rPr>
          <w:rFonts w:cs="Calibri"/>
          <w:b/>
          <w:i/>
          <w:spacing w:val="-1"/>
          <w:sz w:val="21"/>
          <w:szCs w:val="21"/>
        </w:rPr>
        <w:t>Australia</w:t>
      </w:r>
    </w:p>
    <w:p w14:paraId="4E4633CD" w14:textId="00D1AD6D" w:rsidR="003E3D9D" w:rsidRDefault="0054553C" w:rsidP="0054553C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 w:rsidRPr="0054553C">
        <w:rPr>
          <w:sz w:val="21"/>
          <w:szCs w:val="21"/>
        </w:rPr>
        <w:t>Sportsbet continue</w:t>
      </w:r>
      <w:r>
        <w:rPr>
          <w:sz w:val="21"/>
          <w:szCs w:val="21"/>
        </w:rPr>
        <w:t xml:space="preserve">d </w:t>
      </w:r>
      <w:r w:rsidRPr="0054553C">
        <w:rPr>
          <w:sz w:val="21"/>
          <w:szCs w:val="21"/>
        </w:rPr>
        <w:t>to benefit from strong customer momentum</w:t>
      </w:r>
      <w:r>
        <w:rPr>
          <w:sz w:val="21"/>
          <w:szCs w:val="21"/>
        </w:rPr>
        <w:t xml:space="preserve"> in the quarter</w:t>
      </w:r>
      <w:r w:rsidRPr="0054553C">
        <w:rPr>
          <w:sz w:val="21"/>
          <w:szCs w:val="21"/>
        </w:rPr>
        <w:t xml:space="preserve"> with growth in AMPs of 43% driving </w:t>
      </w:r>
      <w:r w:rsidR="003E3D9D">
        <w:rPr>
          <w:sz w:val="21"/>
          <w:szCs w:val="21"/>
        </w:rPr>
        <w:t xml:space="preserve">sportsbook </w:t>
      </w:r>
      <w:r w:rsidRPr="0054553C">
        <w:rPr>
          <w:sz w:val="21"/>
          <w:szCs w:val="21"/>
        </w:rPr>
        <w:t>stak</w:t>
      </w:r>
      <w:r w:rsidR="003E3D9D">
        <w:rPr>
          <w:sz w:val="21"/>
          <w:szCs w:val="21"/>
        </w:rPr>
        <w:t>es</w:t>
      </w:r>
      <w:r w:rsidRPr="0054553C">
        <w:rPr>
          <w:sz w:val="21"/>
          <w:szCs w:val="21"/>
        </w:rPr>
        <w:t xml:space="preserve"> 4</w:t>
      </w:r>
      <w:r w:rsidR="005239D3">
        <w:rPr>
          <w:sz w:val="21"/>
          <w:szCs w:val="21"/>
        </w:rPr>
        <w:t>6</w:t>
      </w:r>
      <w:r w:rsidRPr="0054553C">
        <w:rPr>
          <w:sz w:val="21"/>
          <w:szCs w:val="21"/>
        </w:rPr>
        <w:t>%</w:t>
      </w:r>
      <w:r w:rsidR="003E3D9D">
        <w:rPr>
          <w:sz w:val="21"/>
          <w:szCs w:val="21"/>
        </w:rPr>
        <w:t xml:space="preserve"> higher</w:t>
      </w:r>
      <w:r>
        <w:rPr>
          <w:sz w:val="21"/>
          <w:szCs w:val="21"/>
        </w:rPr>
        <w:t xml:space="preserve">. </w:t>
      </w:r>
      <w:r w:rsidR="003E3D9D">
        <w:rPr>
          <w:sz w:val="21"/>
          <w:szCs w:val="21"/>
        </w:rPr>
        <w:t>The combination of this volume-led growth</w:t>
      </w:r>
      <w:r w:rsidR="007C306F">
        <w:rPr>
          <w:sz w:val="21"/>
          <w:szCs w:val="21"/>
        </w:rPr>
        <w:t>,</w:t>
      </w:r>
      <w:r w:rsidR="003E3D9D">
        <w:rPr>
          <w:sz w:val="21"/>
          <w:szCs w:val="21"/>
        </w:rPr>
        <w:t xml:space="preserve"> and a </w:t>
      </w:r>
      <w:proofErr w:type="gramStart"/>
      <w:r w:rsidR="003E3D9D">
        <w:rPr>
          <w:sz w:val="21"/>
          <w:szCs w:val="21"/>
        </w:rPr>
        <w:t>100 basis</w:t>
      </w:r>
      <w:proofErr w:type="gramEnd"/>
      <w:r w:rsidR="003E3D9D">
        <w:rPr>
          <w:sz w:val="21"/>
          <w:szCs w:val="21"/>
        </w:rPr>
        <w:t xml:space="preserve"> points expansion in net revenue margin to 11.4%</w:t>
      </w:r>
      <w:r w:rsidR="007C306F">
        <w:rPr>
          <w:sz w:val="21"/>
          <w:szCs w:val="21"/>
        </w:rPr>
        <w:t>,</w:t>
      </w:r>
      <w:r w:rsidR="003E3D9D">
        <w:rPr>
          <w:sz w:val="21"/>
          <w:szCs w:val="21"/>
        </w:rPr>
        <w:t xml:space="preserve"> result</w:t>
      </w:r>
      <w:r w:rsidR="00C314B6">
        <w:rPr>
          <w:sz w:val="21"/>
          <w:szCs w:val="21"/>
        </w:rPr>
        <w:t>ed</w:t>
      </w:r>
      <w:r w:rsidR="003E3D9D">
        <w:rPr>
          <w:sz w:val="21"/>
          <w:szCs w:val="21"/>
        </w:rPr>
        <w:t xml:space="preserve"> in </w:t>
      </w:r>
      <w:r w:rsidR="00AE2C44">
        <w:rPr>
          <w:sz w:val="21"/>
          <w:szCs w:val="21"/>
        </w:rPr>
        <w:t xml:space="preserve">a </w:t>
      </w:r>
      <w:r w:rsidR="003E3D9D">
        <w:rPr>
          <w:sz w:val="21"/>
          <w:szCs w:val="21"/>
        </w:rPr>
        <w:t>net revenue increas</w:t>
      </w:r>
      <w:r w:rsidR="00AE2C44">
        <w:rPr>
          <w:sz w:val="21"/>
          <w:szCs w:val="21"/>
        </w:rPr>
        <w:t>e of</w:t>
      </w:r>
      <w:r w:rsidR="003E3D9D">
        <w:rPr>
          <w:sz w:val="21"/>
          <w:szCs w:val="21"/>
        </w:rPr>
        <w:t xml:space="preserve"> 59%. </w:t>
      </w:r>
      <w:r w:rsidR="00757F72">
        <w:rPr>
          <w:sz w:val="21"/>
          <w:szCs w:val="21"/>
        </w:rPr>
        <w:t>We estimate that favourable sports results contributed 70bps of margin in the quarter.</w:t>
      </w:r>
    </w:p>
    <w:p w14:paraId="27A140B6" w14:textId="4A4369C4" w:rsidR="0054553C" w:rsidRDefault="0054553C" w:rsidP="0054553C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Australia </w:t>
      </w:r>
      <w:r w:rsidR="007C306F">
        <w:rPr>
          <w:sz w:val="21"/>
          <w:szCs w:val="21"/>
        </w:rPr>
        <w:t xml:space="preserve">operated under a </w:t>
      </w:r>
      <w:r>
        <w:rPr>
          <w:sz w:val="21"/>
          <w:szCs w:val="21"/>
        </w:rPr>
        <w:t>more normal trading environment</w:t>
      </w:r>
      <w:r w:rsidR="002C13BB">
        <w:rPr>
          <w:sz w:val="21"/>
          <w:szCs w:val="21"/>
        </w:rPr>
        <w:t xml:space="preserve"> </w:t>
      </w:r>
      <w:r w:rsidR="007C306F">
        <w:rPr>
          <w:sz w:val="21"/>
          <w:szCs w:val="21"/>
        </w:rPr>
        <w:t xml:space="preserve">during </w:t>
      </w:r>
      <w:r w:rsidR="005418A7">
        <w:rPr>
          <w:sz w:val="21"/>
          <w:szCs w:val="21"/>
        </w:rPr>
        <w:t xml:space="preserve">the </w:t>
      </w:r>
      <w:r w:rsidR="00CB6A80">
        <w:rPr>
          <w:sz w:val="21"/>
          <w:szCs w:val="21"/>
        </w:rPr>
        <w:t>quarter</w:t>
      </w:r>
      <w:r w:rsidR="005418A7">
        <w:rPr>
          <w:sz w:val="21"/>
          <w:szCs w:val="21"/>
        </w:rPr>
        <w:t xml:space="preserve"> with r</w:t>
      </w:r>
      <w:r w:rsidR="003E3D9D">
        <w:rPr>
          <w:sz w:val="21"/>
          <w:szCs w:val="21"/>
        </w:rPr>
        <w:t xml:space="preserve">etail betting </w:t>
      </w:r>
      <w:r w:rsidR="002C13BB">
        <w:rPr>
          <w:sz w:val="21"/>
          <w:szCs w:val="21"/>
        </w:rPr>
        <w:t xml:space="preserve">outlets open </w:t>
      </w:r>
      <w:r w:rsidR="00AA6204">
        <w:rPr>
          <w:sz w:val="21"/>
          <w:szCs w:val="21"/>
        </w:rPr>
        <w:t xml:space="preserve">throughout </w:t>
      </w:r>
      <w:r w:rsidR="00635E4C">
        <w:rPr>
          <w:sz w:val="21"/>
          <w:szCs w:val="21"/>
        </w:rPr>
        <w:t>and</w:t>
      </w:r>
      <w:r w:rsidR="00083EDF">
        <w:rPr>
          <w:sz w:val="21"/>
          <w:szCs w:val="21"/>
        </w:rPr>
        <w:t xml:space="preserve"> </w:t>
      </w:r>
      <w:r w:rsidR="003E3D9D">
        <w:rPr>
          <w:sz w:val="21"/>
          <w:szCs w:val="21"/>
        </w:rPr>
        <w:t xml:space="preserve">general </w:t>
      </w:r>
      <w:r w:rsidR="00083EDF">
        <w:rPr>
          <w:sz w:val="21"/>
          <w:szCs w:val="21"/>
        </w:rPr>
        <w:t xml:space="preserve">leisure </w:t>
      </w:r>
      <w:r w:rsidR="003E3D9D">
        <w:rPr>
          <w:sz w:val="21"/>
          <w:szCs w:val="21"/>
        </w:rPr>
        <w:t xml:space="preserve">activities </w:t>
      </w:r>
      <w:r w:rsidR="00CB6A80">
        <w:rPr>
          <w:sz w:val="21"/>
          <w:szCs w:val="21"/>
        </w:rPr>
        <w:t xml:space="preserve">also </w:t>
      </w:r>
      <w:r w:rsidR="003E3D9D">
        <w:rPr>
          <w:sz w:val="21"/>
          <w:szCs w:val="21"/>
        </w:rPr>
        <w:t xml:space="preserve">widely available. </w:t>
      </w:r>
      <w:r w:rsidR="00CB6A80">
        <w:rPr>
          <w:sz w:val="21"/>
          <w:szCs w:val="21"/>
        </w:rPr>
        <w:t xml:space="preserve">It was therefore encouraging </w:t>
      </w:r>
      <w:r w:rsidR="002C13BB">
        <w:rPr>
          <w:sz w:val="21"/>
          <w:szCs w:val="21"/>
        </w:rPr>
        <w:t xml:space="preserve">to </w:t>
      </w:r>
      <w:r w:rsidR="00C16051" w:rsidRPr="000C59FD">
        <w:rPr>
          <w:sz w:val="21"/>
          <w:szCs w:val="21"/>
        </w:rPr>
        <w:t xml:space="preserve">see </w:t>
      </w:r>
      <w:r w:rsidR="00CB6A80">
        <w:rPr>
          <w:sz w:val="21"/>
          <w:szCs w:val="21"/>
        </w:rPr>
        <w:t xml:space="preserve">our </w:t>
      </w:r>
      <w:r w:rsidR="00AE2C44" w:rsidRPr="000C59FD">
        <w:rPr>
          <w:sz w:val="21"/>
          <w:szCs w:val="21"/>
        </w:rPr>
        <w:t>player</w:t>
      </w:r>
      <w:r w:rsidR="00C16051" w:rsidRPr="000C59FD">
        <w:rPr>
          <w:sz w:val="21"/>
          <w:szCs w:val="21"/>
        </w:rPr>
        <w:t xml:space="preserve"> volumes </w:t>
      </w:r>
      <w:r w:rsidR="00CB6A80">
        <w:rPr>
          <w:sz w:val="21"/>
          <w:szCs w:val="21"/>
        </w:rPr>
        <w:t xml:space="preserve">remain </w:t>
      </w:r>
      <w:r w:rsidR="00C16051" w:rsidRPr="000C59FD">
        <w:rPr>
          <w:sz w:val="21"/>
          <w:szCs w:val="21"/>
        </w:rPr>
        <w:t>at elevated levels</w:t>
      </w:r>
      <w:r w:rsidR="00AE2C44" w:rsidRPr="000C59FD">
        <w:rPr>
          <w:sz w:val="21"/>
          <w:szCs w:val="21"/>
        </w:rPr>
        <w:t xml:space="preserve">, particularly </w:t>
      </w:r>
      <w:r w:rsidR="000C59FD" w:rsidRPr="000C59FD">
        <w:rPr>
          <w:sz w:val="21"/>
          <w:szCs w:val="21"/>
        </w:rPr>
        <w:t>on products</w:t>
      </w:r>
      <w:r w:rsidR="00AE2C44" w:rsidRPr="000C59FD">
        <w:rPr>
          <w:sz w:val="21"/>
          <w:szCs w:val="21"/>
        </w:rPr>
        <w:t xml:space="preserve"> </w:t>
      </w:r>
      <w:r w:rsidR="002334BB">
        <w:rPr>
          <w:sz w:val="21"/>
          <w:szCs w:val="21"/>
        </w:rPr>
        <w:t xml:space="preserve">more </w:t>
      </w:r>
      <w:r w:rsidR="00AE2C44" w:rsidRPr="000C59FD">
        <w:rPr>
          <w:sz w:val="21"/>
          <w:szCs w:val="21"/>
        </w:rPr>
        <w:t xml:space="preserve">typically </w:t>
      </w:r>
      <w:r w:rsidR="00AA6204">
        <w:rPr>
          <w:sz w:val="21"/>
          <w:szCs w:val="21"/>
        </w:rPr>
        <w:t xml:space="preserve">popular </w:t>
      </w:r>
      <w:r w:rsidR="00AE2C44" w:rsidRPr="000C59FD">
        <w:rPr>
          <w:sz w:val="21"/>
          <w:szCs w:val="21"/>
        </w:rPr>
        <w:t>with retail bettors</w:t>
      </w:r>
      <w:r w:rsidR="00CB6A80">
        <w:rPr>
          <w:sz w:val="21"/>
          <w:szCs w:val="21"/>
        </w:rPr>
        <w:t>. We</w:t>
      </w:r>
      <w:r w:rsidR="00C16051" w:rsidRPr="000C59FD">
        <w:rPr>
          <w:sz w:val="21"/>
          <w:szCs w:val="21"/>
        </w:rPr>
        <w:t xml:space="preserve"> </w:t>
      </w:r>
      <w:r w:rsidR="00AE2C44">
        <w:rPr>
          <w:sz w:val="21"/>
          <w:szCs w:val="21"/>
        </w:rPr>
        <w:t xml:space="preserve">are actively investing to retain </w:t>
      </w:r>
      <w:r w:rsidR="00CB6A80">
        <w:rPr>
          <w:sz w:val="21"/>
          <w:szCs w:val="21"/>
        </w:rPr>
        <w:t xml:space="preserve">those </w:t>
      </w:r>
      <w:r w:rsidR="00AE2C44">
        <w:rPr>
          <w:sz w:val="21"/>
          <w:szCs w:val="21"/>
        </w:rPr>
        <w:t xml:space="preserve">customers </w:t>
      </w:r>
      <w:r w:rsidR="00CB6A80">
        <w:rPr>
          <w:sz w:val="21"/>
          <w:szCs w:val="21"/>
        </w:rPr>
        <w:t xml:space="preserve">that </w:t>
      </w:r>
      <w:r w:rsidR="00AE2C44">
        <w:rPr>
          <w:sz w:val="21"/>
          <w:szCs w:val="21"/>
        </w:rPr>
        <w:t>have migrated to our platform over the last 12 months.</w:t>
      </w:r>
    </w:p>
    <w:p w14:paraId="4BC2D8E2" w14:textId="37719BE8" w:rsidR="00D95E4A" w:rsidRPr="00E37ABE" w:rsidRDefault="00E37ABE" w:rsidP="00C66DF4">
      <w:pPr>
        <w:rPr>
          <w:rFonts w:ascii="Calibri" w:eastAsia="Calibri" w:hAnsi="Calibri"/>
          <w:sz w:val="21"/>
          <w:szCs w:val="21"/>
        </w:rPr>
      </w:pPr>
      <w:r w:rsidRPr="00E37ABE">
        <w:rPr>
          <w:rFonts w:cs="Calibri"/>
          <w:b/>
          <w:i/>
          <w:sz w:val="21"/>
          <w:szCs w:val="21"/>
        </w:rPr>
        <w:t>International</w:t>
      </w:r>
    </w:p>
    <w:p w14:paraId="050C0E1A" w14:textId="09C6B073" w:rsidR="008B3CD6" w:rsidRDefault="007C306F" w:rsidP="008B3CD6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>
        <w:rPr>
          <w:sz w:val="21"/>
          <w:szCs w:val="21"/>
        </w:rPr>
        <w:t>Our investment strategy within International is showing early signs</w:t>
      </w:r>
      <w:r w:rsidR="00992CFA">
        <w:rPr>
          <w:sz w:val="21"/>
          <w:szCs w:val="21"/>
        </w:rPr>
        <w:t xml:space="preserve"> of progress</w:t>
      </w:r>
      <w:r>
        <w:rPr>
          <w:sz w:val="21"/>
          <w:szCs w:val="21"/>
        </w:rPr>
        <w:t xml:space="preserve">. </w:t>
      </w:r>
      <w:r w:rsidR="008B3CD6">
        <w:rPr>
          <w:sz w:val="21"/>
          <w:szCs w:val="21"/>
        </w:rPr>
        <w:t>International revenue grew 7%</w:t>
      </w:r>
      <w:r w:rsidR="00992CFA">
        <w:rPr>
          <w:sz w:val="21"/>
          <w:szCs w:val="21"/>
        </w:rPr>
        <w:t xml:space="preserve"> in the quarter despite challenging </w:t>
      </w:r>
      <w:r w:rsidR="00A82313">
        <w:rPr>
          <w:sz w:val="21"/>
          <w:szCs w:val="21"/>
        </w:rPr>
        <w:t xml:space="preserve">prior year comparatives from </w:t>
      </w:r>
      <w:r w:rsidR="00AA6204">
        <w:rPr>
          <w:sz w:val="21"/>
          <w:szCs w:val="21"/>
        </w:rPr>
        <w:t>mid-</w:t>
      </w:r>
      <w:r w:rsidR="00A82313">
        <w:rPr>
          <w:sz w:val="21"/>
          <w:szCs w:val="21"/>
        </w:rPr>
        <w:t>March onwards</w:t>
      </w:r>
      <w:r w:rsidR="008B3CD6">
        <w:rPr>
          <w:sz w:val="21"/>
          <w:szCs w:val="21"/>
        </w:rPr>
        <w:t>. In the first two months of the year revenue was up 17%</w:t>
      </w:r>
      <w:r w:rsidR="00992CFA">
        <w:rPr>
          <w:sz w:val="21"/>
          <w:szCs w:val="21"/>
        </w:rPr>
        <w:t>,</w:t>
      </w:r>
      <w:r w:rsidR="008B3CD6">
        <w:rPr>
          <w:sz w:val="21"/>
          <w:szCs w:val="21"/>
        </w:rPr>
        <w:t xml:space="preserve"> </w:t>
      </w:r>
      <w:r w:rsidR="00992CFA">
        <w:rPr>
          <w:sz w:val="21"/>
          <w:szCs w:val="21"/>
        </w:rPr>
        <w:t xml:space="preserve">partly </w:t>
      </w:r>
      <w:r w:rsidR="008B3CD6">
        <w:rPr>
          <w:sz w:val="21"/>
          <w:szCs w:val="21"/>
        </w:rPr>
        <w:t xml:space="preserve">driven by </w:t>
      </w:r>
      <w:r w:rsidR="008B3CD6" w:rsidRPr="00C16051">
        <w:rPr>
          <w:sz w:val="21"/>
          <w:szCs w:val="21"/>
        </w:rPr>
        <w:t>continu</w:t>
      </w:r>
      <w:r w:rsidR="008B3CD6">
        <w:rPr>
          <w:sz w:val="21"/>
          <w:szCs w:val="21"/>
        </w:rPr>
        <w:t>ed</w:t>
      </w:r>
      <w:r w:rsidR="008B3CD6" w:rsidRPr="00C16051">
        <w:rPr>
          <w:sz w:val="21"/>
          <w:szCs w:val="21"/>
        </w:rPr>
        <w:t xml:space="preserve"> </w:t>
      </w:r>
      <w:r w:rsidR="008B3CD6">
        <w:rPr>
          <w:sz w:val="21"/>
          <w:szCs w:val="21"/>
        </w:rPr>
        <w:t xml:space="preserve">demand for stay-at-home entertainment in many parts of </w:t>
      </w:r>
      <w:r w:rsidR="008B3CD6" w:rsidRPr="00C16051">
        <w:rPr>
          <w:sz w:val="21"/>
          <w:szCs w:val="21"/>
        </w:rPr>
        <w:t>the world</w:t>
      </w:r>
      <w:r w:rsidR="008B3CD6">
        <w:rPr>
          <w:sz w:val="21"/>
          <w:szCs w:val="21"/>
        </w:rPr>
        <w:t xml:space="preserve">. </w:t>
      </w:r>
    </w:p>
    <w:p w14:paraId="3A85AAE0" w14:textId="4A34C7BF" w:rsidR="008B3CD6" w:rsidRPr="00C16051" w:rsidDel="005F4768" w:rsidRDefault="00A82313" w:rsidP="008B3CD6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P</w:t>
      </w:r>
      <w:r w:rsidR="008B3CD6" w:rsidRPr="00C16051" w:rsidDel="005F4768">
        <w:rPr>
          <w:sz w:val="21"/>
          <w:szCs w:val="21"/>
        </w:rPr>
        <w:t xml:space="preserve">oker declined </w:t>
      </w:r>
      <w:r w:rsidR="008B3CD6" w:rsidDel="005F4768">
        <w:rPr>
          <w:sz w:val="21"/>
          <w:szCs w:val="21"/>
        </w:rPr>
        <w:t>8</w:t>
      </w:r>
      <w:r w:rsidR="008B3CD6" w:rsidRPr="00C16051" w:rsidDel="005F4768">
        <w:rPr>
          <w:sz w:val="21"/>
          <w:szCs w:val="21"/>
        </w:rPr>
        <w:t xml:space="preserve">% with casino </w:t>
      </w:r>
      <w:r>
        <w:rPr>
          <w:sz w:val="21"/>
          <w:szCs w:val="21"/>
        </w:rPr>
        <w:t>increasing</w:t>
      </w:r>
      <w:r w:rsidR="008B3CD6" w:rsidRPr="00C16051" w:rsidDel="005F4768">
        <w:rPr>
          <w:sz w:val="21"/>
          <w:szCs w:val="21"/>
        </w:rPr>
        <w:t xml:space="preserve"> 22%</w:t>
      </w:r>
      <w:r>
        <w:rPr>
          <w:sz w:val="21"/>
          <w:szCs w:val="21"/>
        </w:rPr>
        <w:t xml:space="preserve"> in Q1 while p</w:t>
      </w:r>
      <w:r w:rsidR="008B3CD6" w:rsidRPr="00C16051" w:rsidDel="005F4768">
        <w:rPr>
          <w:sz w:val="21"/>
          <w:szCs w:val="21"/>
        </w:rPr>
        <w:t>re-March performance was strong</w:t>
      </w:r>
      <w:r w:rsidR="008B3CD6">
        <w:rPr>
          <w:sz w:val="21"/>
          <w:szCs w:val="21"/>
        </w:rPr>
        <w:t>er</w:t>
      </w:r>
      <w:r w:rsidR="00AA6204">
        <w:rPr>
          <w:sz w:val="21"/>
          <w:szCs w:val="21"/>
        </w:rPr>
        <w:t>, with</w:t>
      </w:r>
      <w:r w:rsidR="008B3CD6" w:rsidRPr="00C16051" w:rsidDel="005F4768">
        <w:rPr>
          <w:sz w:val="21"/>
          <w:szCs w:val="21"/>
        </w:rPr>
        <w:t xml:space="preserve"> poker </w:t>
      </w:r>
      <w:r w:rsidR="008B3CD6">
        <w:rPr>
          <w:sz w:val="21"/>
          <w:szCs w:val="21"/>
        </w:rPr>
        <w:t xml:space="preserve">and </w:t>
      </w:r>
      <w:r w:rsidR="008B3CD6" w:rsidRPr="00C16051" w:rsidDel="005F4768">
        <w:rPr>
          <w:sz w:val="21"/>
          <w:szCs w:val="21"/>
        </w:rPr>
        <w:t xml:space="preserve">casino </w:t>
      </w:r>
      <w:r w:rsidR="00AA6204">
        <w:rPr>
          <w:sz w:val="21"/>
          <w:szCs w:val="21"/>
        </w:rPr>
        <w:t xml:space="preserve">growth of </w:t>
      </w:r>
      <w:r w:rsidR="008B3CD6">
        <w:rPr>
          <w:sz w:val="21"/>
          <w:szCs w:val="21"/>
        </w:rPr>
        <w:t>9% and</w:t>
      </w:r>
      <w:r w:rsidR="008B3CD6" w:rsidRPr="00C16051" w:rsidDel="005F4768">
        <w:rPr>
          <w:sz w:val="21"/>
          <w:szCs w:val="21"/>
        </w:rPr>
        <w:t xml:space="preserve"> 32%</w:t>
      </w:r>
      <w:r>
        <w:rPr>
          <w:sz w:val="21"/>
          <w:szCs w:val="21"/>
        </w:rPr>
        <w:t xml:space="preserve"> respectively</w:t>
      </w:r>
      <w:r w:rsidR="008B3CD6" w:rsidRPr="00C16051" w:rsidDel="005F4768">
        <w:rPr>
          <w:sz w:val="21"/>
          <w:szCs w:val="21"/>
        </w:rPr>
        <w:t xml:space="preserve">. </w:t>
      </w:r>
      <w:r w:rsidR="008B3CD6" w:rsidRPr="00206686" w:rsidDel="005F4768">
        <w:rPr>
          <w:sz w:val="21"/>
          <w:szCs w:val="21"/>
        </w:rPr>
        <w:t xml:space="preserve">We have been pleased with </w:t>
      </w:r>
      <w:r w:rsidR="008B3CD6" w:rsidRPr="00206686">
        <w:rPr>
          <w:sz w:val="21"/>
          <w:szCs w:val="21"/>
        </w:rPr>
        <w:t>both customer acquisition and retention metrics across all brands as our</w:t>
      </w:r>
      <w:r w:rsidR="008B3CD6" w:rsidRPr="00206686" w:rsidDel="005F4768">
        <w:rPr>
          <w:sz w:val="21"/>
          <w:szCs w:val="21"/>
        </w:rPr>
        <w:t xml:space="preserve"> optimised promotional strategy</w:t>
      </w:r>
      <w:r w:rsidR="008B3CD6" w:rsidRPr="00206686">
        <w:rPr>
          <w:sz w:val="21"/>
          <w:szCs w:val="21"/>
        </w:rPr>
        <w:t xml:space="preserve">, improved content and newly </w:t>
      </w:r>
      <w:r w:rsidRPr="00206686">
        <w:rPr>
          <w:sz w:val="21"/>
          <w:szCs w:val="21"/>
        </w:rPr>
        <w:t>launched</w:t>
      </w:r>
      <w:r w:rsidR="008B3CD6" w:rsidRPr="00206686">
        <w:rPr>
          <w:sz w:val="21"/>
          <w:szCs w:val="21"/>
        </w:rPr>
        <w:t xml:space="preserve"> brand campaigns </w:t>
      </w:r>
      <w:r w:rsidR="008B3CD6" w:rsidRPr="00206686" w:rsidDel="005F4768">
        <w:rPr>
          <w:sz w:val="21"/>
          <w:szCs w:val="21"/>
        </w:rPr>
        <w:t>help</w:t>
      </w:r>
      <w:r w:rsidR="008B3CD6" w:rsidRPr="00206686">
        <w:rPr>
          <w:sz w:val="21"/>
          <w:szCs w:val="21"/>
        </w:rPr>
        <w:t>ed</w:t>
      </w:r>
      <w:r w:rsidR="008B3CD6" w:rsidRPr="00206686" w:rsidDel="005F4768">
        <w:rPr>
          <w:sz w:val="21"/>
          <w:szCs w:val="21"/>
        </w:rPr>
        <w:t xml:space="preserve"> to enhance player engagement </w:t>
      </w:r>
      <w:r w:rsidR="008B3CD6" w:rsidRPr="00206686">
        <w:rPr>
          <w:sz w:val="21"/>
          <w:szCs w:val="21"/>
        </w:rPr>
        <w:t xml:space="preserve">on the PokerStars </w:t>
      </w:r>
      <w:proofErr w:type="gramStart"/>
      <w:r w:rsidR="008B3CD6" w:rsidRPr="00206686">
        <w:rPr>
          <w:sz w:val="21"/>
          <w:szCs w:val="21"/>
        </w:rPr>
        <w:t>brand in particular</w:t>
      </w:r>
      <w:proofErr w:type="gramEnd"/>
      <w:r w:rsidR="00421459" w:rsidRPr="00206686">
        <w:rPr>
          <w:sz w:val="21"/>
          <w:szCs w:val="21"/>
        </w:rPr>
        <w:t>.</w:t>
      </w:r>
      <w:r w:rsidR="008B3CD6" w:rsidRPr="00206686" w:rsidDel="005F4768">
        <w:rPr>
          <w:sz w:val="21"/>
          <w:szCs w:val="21"/>
        </w:rPr>
        <w:t xml:space="preserve"> </w:t>
      </w:r>
    </w:p>
    <w:p w14:paraId="34F92C64" w14:textId="5F2C146B" w:rsidR="008B3CD6" w:rsidRPr="00C16051" w:rsidRDefault="008B3CD6" w:rsidP="008B3CD6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 w:rsidRPr="00C16051">
        <w:rPr>
          <w:sz w:val="21"/>
          <w:szCs w:val="21"/>
        </w:rPr>
        <w:t xml:space="preserve">Exchange and B2B revenue </w:t>
      </w:r>
      <w:proofErr w:type="gramStart"/>
      <w:r w:rsidRPr="00C16051">
        <w:rPr>
          <w:sz w:val="21"/>
          <w:szCs w:val="21"/>
        </w:rPr>
        <w:t>was</w:t>
      </w:r>
      <w:proofErr w:type="gramEnd"/>
      <w:r w:rsidRPr="00C16051">
        <w:rPr>
          <w:sz w:val="21"/>
          <w:szCs w:val="21"/>
        </w:rPr>
        <w:t xml:space="preserve"> 1</w:t>
      </w:r>
      <w:r>
        <w:rPr>
          <w:sz w:val="21"/>
          <w:szCs w:val="21"/>
        </w:rPr>
        <w:t>8</w:t>
      </w:r>
      <w:r w:rsidRPr="00C16051">
        <w:rPr>
          <w:sz w:val="21"/>
          <w:szCs w:val="21"/>
        </w:rPr>
        <w:t xml:space="preserve">% higher year on year. Sportsbook delivered revenue growth of 24% with strong customer volumes </w:t>
      </w:r>
      <w:r>
        <w:rPr>
          <w:sz w:val="21"/>
          <w:szCs w:val="21"/>
        </w:rPr>
        <w:t>throughout the quarter</w:t>
      </w:r>
      <w:r w:rsidRPr="00C16051">
        <w:rPr>
          <w:sz w:val="21"/>
          <w:szCs w:val="21"/>
        </w:rPr>
        <w:t>.</w:t>
      </w:r>
    </w:p>
    <w:p w14:paraId="0829C2C2" w14:textId="3D7309CA" w:rsidR="00DE7388" w:rsidRPr="00E37ABE" w:rsidRDefault="006D6A05" w:rsidP="00FD060C">
      <w:pPr>
        <w:spacing w:before="80"/>
        <w:ind w:right="49"/>
        <w:jc w:val="both"/>
        <w:rPr>
          <w:rFonts w:cs="Calibri"/>
          <w:i/>
          <w:spacing w:val="-1"/>
          <w:sz w:val="21"/>
          <w:szCs w:val="21"/>
          <w:vertAlign w:val="superscript"/>
        </w:rPr>
      </w:pPr>
      <w:r w:rsidRPr="00E37ABE">
        <w:rPr>
          <w:rFonts w:cs="Calibri"/>
          <w:b/>
          <w:i/>
          <w:spacing w:val="-1"/>
          <w:sz w:val="21"/>
          <w:szCs w:val="21"/>
        </w:rPr>
        <w:t>US</w:t>
      </w:r>
    </w:p>
    <w:p w14:paraId="0C7630AB" w14:textId="5FC47580" w:rsidR="00083EDF" w:rsidRDefault="00ED1465" w:rsidP="008F6DE5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bookmarkStart w:id="8" w:name="_Hlk527562566"/>
      <w:r>
        <w:rPr>
          <w:sz w:val="21"/>
          <w:szCs w:val="21"/>
        </w:rPr>
        <w:t xml:space="preserve">Our </w:t>
      </w:r>
      <w:r w:rsidR="00E17F42">
        <w:rPr>
          <w:sz w:val="21"/>
          <w:szCs w:val="21"/>
        </w:rPr>
        <w:t>market leading US business continue</w:t>
      </w:r>
      <w:r w:rsidR="00083EDF">
        <w:rPr>
          <w:sz w:val="21"/>
          <w:szCs w:val="21"/>
        </w:rPr>
        <w:t>s</w:t>
      </w:r>
      <w:r w:rsidR="00E17F42">
        <w:rPr>
          <w:sz w:val="21"/>
          <w:szCs w:val="21"/>
        </w:rPr>
        <w:t xml:space="preserve"> to expand rapidly</w:t>
      </w:r>
      <w:r w:rsidR="00083EDF">
        <w:rPr>
          <w:sz w:val="21"/>
          <w:szCs w:val="21"/>
        </w:rPr>
        <w:t>,</w:t>
      </w:r>
      <w:r w:rsidR="005658DB">
        <w:rPr>
          <w:sz w:val="21"/>
          <w:szCs w:val="21"/>
        </w:rPr>
        <w:t xml:space="preserve"> </w:t>
      </w:r>
      <w:r w:rsidR="00E17F42">
        <w:rPr>
          <w:sz w:val="21"/>
          <w:szCs w:val="21"/>
        </w:rPr>
        <w:t xml:space="preserve">with </w:t>
      </w:r>
      <w:r w:rsidR="00924CEA">
        <w:rPr>
          <w:sz w:val="21"/>
          <w:szCs w:val="21"/>
        </w:rPr>
        <w:t xml:space="preserve">successful state launches in </w:t>
      </w:r>
      <w:r w:rsidR="00E17F42">
        <w:rPr>
          <w:sz w:val="21"/>
          <w:szCs w:val="21"/>
        </w:rPr>
        <w:t xml:space="preserve">Michigan and Virginia </w:t>
      </w:r>
      <w:r w:rsidR="00924CEA">
        <w:rPr>
          <w:sz w:val="21"/>
          <w:szCs w:val="21"/>
        </w:rPr>
        <w:t xml:space="preserve">during the quarter </w:t>
      </w:r>
      <w:r w:rsidR="00E35C70">
        <w:rPr>
          <w:sz w:val="21"/>
          <w:szCs w:val="21"/>
        </w:rPr>
        <w:t>and</w:t>
      </w:r>
      <w:r>
        <w:rPr>
          <w:sz w:val="21"/>
          <w:szCs w:val="21"/>
        </w:rPr>
        <w:t xml:space="preserve"> excellent </w:t>
      </w:r>
      <w:r w:rsidR="00924CEA">
        <w:rPr>
          <w:sz w:val="21"/>
          <w:szCs w:val="21"/>
        </w:rPr>
        <w:t xml:space="preserve">ongoing </w:t>
      </w:r>
      <w:r>
        <w:rPr>
          <w:sz w:val="21"/>
          <w:szCs w:val="21"/>
        </w:rPr>
        <w:t>momentum in existing states</w:t>
      </w:r>
      <w:r w:rsidR="00E35C7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="00E17F42" w:rsidRPr="0055701B">
        <w:rPr>
          <w:sz w:val="21"/>
          <w:szCs w:val="21"/>
        </w:rPr>
        <w:t>Revenue in the quarter grew 13</w:t>
      </w:r>
      <w:r w:rsidR="003B44FD">
        <w:rPr>
          <w:sz w:val="21"/>
          <w:szCs w:val="21"/>
        </w:rPr>
        <w:t>5</w:t>
      </w:r>
      <w:r w:rsidR="00E17F42" w:rsidRPr="0055701B">
        <w:rPr>
          <w:sz w:val="21"/>
          <w:szCs w:val="21"/>
        </w:rPr>
        <w:t>% to £28</w:t>
      </w:r>
      <w:r w:rsidR="003B44FD">
        <w:rPr>
          <w:sz w:val="21"/>
          <w:szCs w:val="21"/>
        </w:rPr>
        <w:t>8</w:t>
      </w:r>
      <w:r w:rsidR="00E17F42" w:rsidRPr="0055701B">
        <w:rPr>
          <w:sz w:val="21"/>
          <w:szCs w:val="21"/>
        </w:rPr>
        <w:t>m</w:t>
      </w:r>
      <w:r w:rsidR="007551F4">
        <w:rPr>
          <w:sz w:val="21"/>
          <w:szCs w:val="21"/>
        </w:rPr>
        <w:t xml:space="preserve"> ($</w:t>
      </w:r>
      <w:r w:rsidR="00623BEE">
        <w:rPr>
          <w:sz w:val="21"/>
          <w:szCs w:val="21"/>
        </w:rPr>
        <w:t>39</w:t>
      </w:r>
      <w:r w:rsidR="00D805F9">
        <w:rPr>
          <w:sz w:val="21"/>
          <w:szCs w:val="21"/>
        </w:rPr>
        <w:t>6</w:t>
      </w:r>
      <w:r w:rsidR="00623BEE">
        <w:rPr>
          <w:sz w:val="21"/>
          <w:szCs w:val="21"/>
        </w:rPr>
        <w:t>m</w:t>
      </w:r>
      <w:r w:rsidR="007551F4">
        <w:rPr>
          <w:sz w:val="21"/>
          <w:szCs w:val="21"/>
        </w:rPr>
        <w:t>)</w:t>
      </w:r>
      <w:r w:rsidR="00083EDF">
        <w:rPr>
          <w:sz w:val="21"/>
          <w:szCs w:val="21"/>
        </w:rPr>
        <w:t xml:space="preserve">. Of this, FanDuel Group accounted for </w:t>
      </w:r>
      <w:r w:rsidR="00083EDF" w:rsidRPr="000C59FD">
        <w:rPr>
          <w:sz w:val="21"/>
          <w:szCs w:val="21"/>
        </w:rPr>
        <w:t>91.</w:t>
      </w:r>
      <w:r w:rsidR="003B44FD">
        <w:rPr>
          <w:sz w:val="21"/>
          <w:szCs w:val="21"/>
        </w:rPr>
        <w:t>6</w:t>
      </w:r>
      <w:r w:rsidR="00083EDF" w:rsidRPr="000C59FD">
        <w:rPr>
          <w:sz w:val="21"/>
          <w:szCs w:val="21"/>
        </w:rPr>
        <w:t>%</w:t>
      </w:r>
      <w:r w:rsidR="00510FC7">
        <w:rPr>
          <w:sz w:val="21"/>
          <w:szCs w:val="21"/>
        </w:rPr>
        <w:t xml:space="preserve"> </w:t>
      </w:r>
      <w:r w:rsidR="00510FC7" w:rsidRPr="000C59FD">
        <w:rPr>
          <w:sz w:val="21"/>
          <w:szCs w:val="21"/>
        </w:rPr>
        <w:t>of revenue</w:t>
      </w:r>
      <w:r w:rsidR="00C05E56">
        <w:rPr>
          <w:sz w:val="21"/>
          <w:szCs w:val="21"/>
        </w:rPr>
        <w:t xml:space="preserve"> (F</w:t>
      </w:r>
      <w:r w:rsidR="00510FC7">
        <w:rPr>
          <w:sz w:val="21"/>
          <w:szCs w:val="21"/>
        </w:rPr>
        <w:t xml:space="preserve">ull </w:t>
      </w:r>
      <w:r w:rsidR="00C05E56">
        <w:rPr>
          <w:sz w:val="21"/>
          <w:szCs w:val="21"/>
        </w:rPr>
        <w:t>Y</w:t>
      </w:r>
      <w:r w:rsidR="00510FC7">
        <w:rPr>
          <w:sz w:val="21"/>
          <w:szCs w:val="21"/>
        </w:rPr>
        <w:t xml:space="preserve">ear </w:t>
      </w:r>
      <w:r w:rsidR="00C05E56">
        <w:rPr>
          <w:sz w:val="21"/>
          <w:szCs w:val="21"/>
        </w:rPr>
        <w:t>20</w:t>
      </w:r>
      <w:r w:rsidR="00510FC7">
        <w:rPr>
          <w:sz w:val="21"/>
          <w:szCs w:val="21"/>
        </w:rPr>
        <w:t>20</w:t>
      </w:r>
      <w:r w:rsidR="00C05E56">
        <w:rPr>
          <w:sz w:val="21"/>
          <w:szCs w:val="21"/>
        </w:rPr>
        <w:t>: 89.1%)</w:t>
      </w:r>
      <w:r w:rsidR="00083EDF">
        <w:rPr>
          <w:sz w:val="21"/>
          <w:szCs w:val="21"/>
        </w:rPr>
        <w:t>, with F</w:t>
      </w:r>
      <w:r w:rsidR="002E4544">
        <w:rPr>
          <w:sz w:val="21"/>
          <w:szCs w:val="21"/>
        </w:rPr>
        <w:t xml:space="preserve">OX </w:t>
      </w:r>
      <w:r w:rsidR="00083EDF">
        <w:rPr>
          <w:sz w:val="21"/>
          <w:szCs w:val="21"/>
        </w:rPr>
        <w:t xml:space="preserve">Bet </w:t>
      </w:r>
      <w:r w:rsidR="00D35B7B">
        <w:rPr>
          <w:sz w:val="21"/>
          <w:szCs w:val="21"/>
        </w:rPr>
        <w:t xml:space="preserve">(including </w:t>
      </w:r>
      <w:r w:rsidR="00510FC7">
        <w:rPr>
          <w:sz w:val="21"/>
          <w:szCs w:val="21"/>
        </w:rPr>
        <w:t>PokerStars US</w:t>
      </w:r>
      <w:r w:rsidR="00D35B7B">
        <w:rPr>
          <w:sz w:val="21"/>
          <w:szCs w:val="21"/>
        </w:rPr>
        <w:t>)</w:t>
      </w:r>
      <w:r w:rsidR="00510FC7">
        <w:rPr>
          <w:sz w:val="21"/>
          <w:szCs w:val="21"/>
        </w:rPr>
        <w:t xml:space="preserve"> </w:t>
      </w:r>
      <w:r w:rsidR="00083EDF">
        <w:rPr>
          <w:sz w:val="21"/>
          <w:szCs w:val="21"/>
        </w:rPr>
        <w:t>accounting for 8.</w:t>
      </w:r>
      <w:r w:rsidR="003B44FD">
        <w:rPr>
          <w:sz w:val="21"/>
          <w:szCs w:val="21"/>
        </w:rPr>
        <w:t>4</w:t>
      </w:r>
      <w:r w:rsidR="00083EDF">
        <w:rPr>
          <w:sz w:val="21"/>
          <w:szCs w:val="21"/>
        </w:rPr>
        <w:t>%.</w:t>
      </w:r>
    </w:p>
    <w:p w14:paraId="5CD5DD90" w14:textId="38B1DCC1" w:rsidR="001D35D8" w:rsidRPr="00D254B1" w:rsidRDefault="00083EDF" w:rsidP="008F6DE5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 w:rsidRPr="00D254B1">
        <w:rPr>
          <w:sz w:val="21"/>
          <w:szCs w:val="21"/>
        </w:rPr>
        <w:t xml:space="preserve">Customer acquisition continues to exceed expectations with over 900,000 new customers </w:t>
      </w:r>
      <w:r>
        <w:rPr>
          <w:sz w:val="21"/>
          <w:szCs w:val="21"/>
        </w:rPr>
        <w:t xml:space="preserve">acquired during </w:t>
      </w:r>
      <w:r w:rsidRPr="00D254B1">
        <w:rPr>
          <w:sz w:val="21"/>
          <w:szCs w:val="21"/>
        </w:rPr>
        <w:t xml:space="preserve">the quarter, </w:t>
      </w:r>
      <w:r>
        <w:rPr>
          <w:sz w:val="21"/>
          <w:szCs w:val="21"/>
        </w:rPr>
        <w:t xml:space="preserve">helped by high levels of engagement </w:t>
      </w:r>
      <w:r w:rsidR="00924CEA">
        <w:rPr>
          <w:sz w:val="21"/>
          <w:szCs w:val="21"/>
        </w:rPr>
        <w:t xml:space="preserve">around </w:t>
      </w:r>
      <w:r>
        <w:rPr>
          <w:sz w:val="21"/>
          <w:szCs w:val="21"/>
        </w:rPr>
        <w:t>Super</w:t>
      </w:r>
      <w:r w:rsidR="00B27404">
        <w:rPr>
          <w:sz w:val="21"/>
          <w:szCs w:val="21"/>
        </w:rPr>
        <w:t xml:space="preserve"> </w:t>
      </w:r>
      <w:r>
        <w:rPr>
          <w:sz w:val="21"/>
          <w:szCs w:val="21"/>
        </w:rPr>
        <w:t>Bowl and expansion into 2 new states</w:t>
      </w:r>
      <w:r w:rsidRPr="00D254B1">
        <w:rPr>
          <w:sz w:val="21"/>
          <w:szCs w:val="21"/>
        </w:rPr>
        <w:t>.</w:t>
      </w:r>
      <w:r>
        <w:rPr>
          <w:sz w:val="21"/>
          <w:szCs w:val="21"/>
        </w:rPr>
        <w:t xml:space="preserve"> Our total average monthly players grew by </w:t>
      </w:r>
      <w:r w:rsidR="00E17F42" w:rsidRPr="0055701B">
        <w:rPr>
          <w:sz w:val="21"/>
          <w:szCs w:val="21"/>
        </w:rPr>
        <w:t>13</w:t>
      </w:r>
      <w:r w:rsidR="003B44FD">
        <w:rPr>
          <w:sz w:val="21"/>
          <w:szCs w:val="21"/>
        </w:rPr>
        <w:t>2</w:t>
      </w:r>
      <w:r w:rsidR="00E17F42" w:rsidRPr="0055701B">
        <w:rPr>
          <w:sz w:val="21"/>
          <w:szCs w:val="21"/>
        </w:rPr>
        <w:t xml:space="preserve">% </w:t>
      </w:r>
      <w:r w:rsidR="00E17F42" w:rsidRPr="00D254B1">
        <w:rPr>
          <w:sz w:val="21"/>
          <w:szCs w:val="21"/>
        </w:rPr>
        <w:t>to 1.6</w:t>
      </w:r>
      <w:r w:rsidR="005658DB" w:rsidRPr="00D254B1">
        <w:rPr>
          <w:sz w:val="21"/>
          <w:szCs w:val="21"/>
        </w:rPr>
        <w:t>m.</w:t>
      </w:r>
      <w:r w:rsidR="00716024" w:rsidRPr="00D254B1">
        <w:rPr>
          <w:sz w:val="21"/>
          <w:szCs w:val="21"/>
        </w:rPr>
        <w:t xml:space="preserve"> </w:t>
      </w:r>
      <w:r w:rsidR="002A780B">
        <w:rPr>
          <w:sz w:val="21"/>
          <w:szCs w:val="21"/>
        </w:rPr>
        <w:t xml:space="preserve">We recorded a </w:t>
      </w:r>
      <w:r w:rsidR="00446179">
        <w:rPr>
          <w:sz w:val="21"/>
          <w:szCs w:val="21"/>
        </w:rPr>
        <w:t>3</w:t>
      </w:r>
      <w:r w:rsidR="00C318BB">
        <w:rPr>
          <w:sz w:val="21"/>
          <w:szCs w:val="21"/>
        </w:rPr>
        <w:t>6</w:t>
      </w:r>
      <w:r w:rsidR="002A780B">
        <w:rPr>
          <w:sz w:val="21"/>
          <w:szCs w:val="21"/>
        </w:rPr>
        <w:t>% share of the online sportsbook market during Q1.</w:t>
      </w:r>
      <w:r w:rsidR="002B4E81" w:rsidRPr="002B4E81">
        <w:rPr>
          <w:sz w:val="21"/>
          <w:szCs w:val="21"/>
          <w:vertAlign w:val="superscript"/>
        </w:rPr>
        <w:t>4</w:t>
      </w:r>
    </w:p>
    <w:p w14:paraId="1441B9E6" w14:textId="74EB3210" w:rsidR="00924CEA" w:rsidRDefault="00147C10" w:rsidP="008F6DE5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Sports revenue </w:t>
      </w:r>
      <w:r w:rsidR="00982BDF">
        <w:rPr>
          <w:sz w:val="21"/>
          <w:szCs w:val="21"/>
        </w:rPr>
        <w:t xml:space="preserve">increased </w:t>
      </w:r>
      <w:r>
        <w:rPr>
          <w:sz w:val="21"/>
          <w:szCs w:val="21"/>
        </w:rPr>
        <w:t>1</w:t>
      </w:r>
      <w:r w:rsidR="00083EDF">
        <w:rPr>
          <w:sz w:val="21"/>
          <w:szCs w:val="21"/>
        </w:rPr>
        <w:t>30</w:t>
      </w:r>
      <w:r>
        <w:rPr>
          <w:sz w:val="21"/>
          <w:szCs w:val="21"/>
        </w:rPr>
        <w:t>% in the quarter</w:t>
      </w:r>
      <w:r w:rsidR="00924CEA">
        <w:rPr>
          <w:sz w:val="21"/>
          <w:szCs w:val="21"/>
        </w:rPr>
        <w:t xml:space="preserve">, with </w:t>
      </w:r>
      <w:r>
        <w:rPr>
          <w:sz w:val="21"/>
          <w:szCs w:val="21"/>
        </w:rPr>
        <w:t>s</w:t>
      </w:r>
      <w:r w:rsidR="000C5516" w:rsidRPr="00D254B1">
        <w:rPr>
          <w:sz w:val="21"/>
          <w:szCs w:val="21"/>
        </w:rPr>
        <w:t xml:space="preserve">portsbook </w:t>
      </w:r>
      <w:r>
        <w:rPr>
          <w:sz w:val="21"/>
          <w:szCs w:val="21"/>
        </w:rPr>
        <w:t>22</w:t>
      </w:r>
      <w:r w:rsidR="003B44FD">
        <w:rPr>
          <w:sz w:val="21"/>
          <w:szCs w:val="21"/>
        </w:rPr>
        <w:t>7</w:t>
      </w:r>
      <w:r w:rsidR="000C5516" w:rsidRPr="00D254B1">
        <w:rPr>
          <w:sz w:val="21"/>
          <w:szCs w:val="21"/>
        </w:rPr>
        <w:t>%</w:t>
      </w:r>
      <w:r w:rsidR="00924CEA">
        <w:rPr>
          <w:sz w:val="21"/>
          <w:szCs w:val="21"/>
        </w:rPr>
        <w:t xml:space="preserve"> </w:t>
      </w:r>
      <w:r w:rsidR="00982BDF">
        <w:rPr>
          <w:sz w:val="21"/>
          <w:szCs w:val="21"/>
        </w:rPr>
        <w:t xml:space="preserve">higher </w:t>
      </w:r>
      <w:r w:rsidR="00924CEA">
        <w:rPr>
          <w:sz w:val="21"/>
          <w:szCs w:val="21"/>
        </w:rPr>
        <w:t>and growth across our other sports products (TVG horse racing and daily fantasy sports) of 51%.</w:t>
      </w:r>
    </w:p>
    <w:p w14:paraId="69348581" w14:textId="409B7D1A" w:rsidR="00805A50" w:rsidRDefault="00924CEA" w:rsidP="008F6DE5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147C10">
        <w:rPr>
          <w:sz w:val="21"/>
          <w:szCs w:val="21"/>
        </w:rPr>
        <w:t xml:space="preserve">portsbook </w:t>
      </w:r>
      <w:r w:rsidR="007228C4" w:rsidRPr="00D254B1">
        <w:rPr>
          <w:sz w:val="21"/>
          <w:szCs w:val="21"/>
        </w:rPr>
        <w:t>stak</w:t>
      </w:r>
      <w:r>
        <w:rPr>
          <w:sz w:val="21"/>
          <w:szCs w:val="21"/>
        </w:rPr>
        <w:t>es grew</w:t>
      </w:r>
      <w:r w:rsidR="007228C4" w:rsidRPr="00D254B1">
        <w:rPr>
          <w:sz w:val="21"/>
          <w:szCs w:val="21"/>
        </w:rPr>
        <w:t xml:space="preserve"> 23</w:t>
      </w:r>
      <w:r w:rsidR="003B44FD">
        <w:rPr>
          <w:sz w:val="21"/>
          <w:szCs w:val="21"/>
        </w:rPr>
        <w:t>5</w:t>
      </w:r>
      <w:r w:rsidR="007228C4" w:rsidRPr="00D254B1">
        <w:rPr>
          <w:sz w:val="21"/>
          <w:szCs w:val="21"/>
        </w:rPr>
        <w:t xml:space="preserve">%, </w:t>
      </w:r>
      <w:r w:rsidR="00147C10">
        <w:rPr>
          <w:sz w:val="21"/>
          <w:szCs w:val="21"/>
        </w:rPr>
        <w:t>with</w:t>
      </w:r>
      <w:r w:rsidR="007228C4" w:rsidRPr="00D254B1">
        <w:rPr>
          <w:sz w:val="21"/>
          <w:szCs w:val="21"/>
        </w:rPr>
        <w:t xml:space="preserve"> </w:t>
      </w:r>
      <w:r w:rsidR="003E01BF" w:rsidRPr="00D254B1">
        <w:rPr>
          <w:sz w:val="21"/>
          <w:szCs w:val="21"/>
        </w:rPr>
        <w:t>our</w:t>
      </w:r>
      <w:r w:rsidR="00597E6F">
        <w:rPr>
          <w:sz w:val="21"/>
          <w:szCs w:val="21"/>
        </w:rPr>
        <w:t xml:space="preserve"> online</w:t>
      </w:r>
      <w:r w:rsidR="003E01BF" w:rsidRPr="00D254B1">
        <w:rPr>
          <w:sz w:val="21"/>
          <w:szCs w:val="21"/>
        </w:rPr>
        <w:t xml:space="preserve"> sportsbook </w:t>
      </w:r>
      <w:r w:rsidR="00147C10">
        <w:rPr>
          <w:sz w:val="21"/>
          <w:szCs w:val="21"/>
        </w:rPr>
        <w:t>now</w:t>
      </w:r>
      <w:r w:rsidR="007228C4" w:rsidRPr="00D254B1">
        <w:rPr>
          <w:sz w:val="21"/>
          <w:szCs w:val="21"/>
        </w:rPr>
        <w:t xml:space="preserve"> available </w:t>
      </w:r>
      <w:r w:rsidR="003E01BF" w:rsidRPr="00D254B1">
        <w:rPr>
          <w:sz w:val="21"/>
          <w:szCs w:val="21"/>
        </w:rPr>
        <w:t xml:space="preserve">in 10 states </w:t>
      </w:r>
      <w:r w:rsidR="007228CD">
        <w:rPr>
          <w:sz w:val="21"/>
          <w:szCs w:val="21"/>
        </w:rPr>
        <w:t>compared to</w:t>
      </w:r>
      <w:r w:rsidR="003E01BF" w:rsidRPr="00D254B1">
        <w:rPr>
          <w:sz w:val="21"/>
          <w:szCs w:val="21"/>
        </w:rPr>
        <w:t xml:space="preserve"> 4 in </w:t>
      </w:r>
      <w:r w:rsidR="007228CD">
        <w:rPr>
          <w:sz w:val="21"/>
          <w:szCs w:val="21"/>
        </w:rPr>
        <w:t>Q1 2020</w:t>
      </w:r>
      <w:r w:rsidR="003E01BF">
        <w:rPr>
          <w:sz w:val="21"/>
          <w:szCs w:val="21"/>
        </w:rPr>
        <w:t xml:space="preserve">. </w:t>
      </w:r>
      <w:r w:rsidR="007228C4">
        <w:rPr>
          <w:sz w:val="21"/>
          <w:szCs w:val="21"/>
        </w:rPr>
        <w:t xml:space="preserve">Performance in these 4 </w:t>
      </w:r>
      <w:r>
        <w:rPr>
          <w:sz w:val="21"/>
          <w:szCs w:val="21"/>
        </w:rPr>
        <w:t xml:space="preserve">more mature </w:t>
      </w:r>
      <w:r w:rsidR="007228C4">
        <w:rPr>
          <w:sz w:val="21"/>
          <w:szCs w:val="21"/>
        </w:rPr>
        <w:t xml:space="preserve">states remains </w:t>
      </w:r>
      <w:r>
        <w:rPr>
          <w:sz w:val="21"/>
          <w:szCs w:val="21"/>
        </w:rPr>
        <w:t xml:space="preserve">very encouraging </w:t>
      </w:r>
      <w:r w:rsidR="007228C4">
        <w:rPr>
          <w:sz w:val="21"/>
          <w:szCs w:val="21"/>
        </w:rPr>
        <w:t xml:space="preserve">with staking growth of 93% </w:t>
      </w:r>
      <w:r w:rsidR="008B243E">
        <w:rPr>
          <w:sz w:val="21"/>
          <w:szCs w:val="21"/>
        </w:rPr>
        <w:t>in Q1.</w:t>
      </w:r>
    </w:p>
    <w:p w14:paraId="294BC4B8" w14:textId="620127F3" w:rsidR="000C5516" w:rsidRDefault="00AB5BCC" w:rsidP="008F6DE5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Sportsbook net revenue margin </w:t>
      </w:r>
      <w:r w:rsidR="008B243E">
        <w:rPr>
          <w:sz w:val="21"/>
          <w:szCs w:val="21"/>
        </w:rPr>
        <w:t xml:space="preserve">was </w:t>
      </w:r>
      <w:r w:rsidR="00597E6F">
        <w:rPr>
          <w:sz w:val="21"/>
          <w:szCs w:val="21"/>
        </w:rPr>
        <w:t>broadly flat year on year</w:t>
      </w:r>
      <w:r w:rsidR="00805A50">
        <w:rPr>
          <w:sz w:val="21"/>
          <w:szCs w:val="21"/>
        </w:rPr>
        <w:t xml:space="preserve"> as</w:t>
      </w:r>
      <w:r w:rsidR="00005005">
        <w:rPr>
          <w:sz w:val="21"/>
          <w:szCs w:val="21"/>
        </w:rPr>
        <w:t xml:space="preserve"> </w:t>
      </w:r>
      <w:r w:rsidR="008B243E">
        <w:rPr>
          <w:sz w:val="21"/>
          <w:szCs w:val="21"/>
        </w:rPr>
        <w:t xml:space="preserve">a </w:t>
      </w:r>
      <w:proofErr w:type="gramStart"/>
      <w:r w:rsidR="00753F52">
        <w:rPr>
          <w:sz w:val="21"/>
          <w:szCs w:val="21"/>
        </w:rPr>
        <w:t>100</w:t>
      </w:r>
      <w:r w:rsidR="00805A50">
        <w:rPr>
          <w:sz w:val="21"/>
          <w:szCs w:val="21"/>
        </w:rPr>
        <w:t xml:space="preserve"> basis</w:t>
      </w:r>
      <w:proofErr w:type="gramEnd"/>
      <w:r w:rsidR="00805A50">
        <w:rPr>
          <w:sz w:val="21"/>
          <w:szCs w:val="21"/>
        </w:rPr>
        <w:t xml:space="preserve"> point</w:t>
      </w:r>
      <w:r w:rsidR="00597E6F">
        <w:rPr>
          <w:sz w:val="21"/>
          <w:szCs w:val="21"/>
        </w:rPr>
        <w:t xml:space="preserve"> expansion in expected margin</w:t>
      </w:r>
      <w:r w:rsidR="00805A50">
        <w:rPr>
          <w:sz w:val="21"/>
          <w:szCs w:val="21"/>
        </w:rPr>
        <w:t xml:space="preserve"> was offset by </w:t>
      </w:r>
      <w:r w:rsidR="008F5E30">
        <w:rPr>
          <w:sz w:val="21"/>
          <w:szCs w:val="21"/>
        </w:rPr>
        <w:t xml:space="preserve">investment </w:t>
      </w:r>
      <w:r w:rsidR="008F5E30" w:rsidRPr="00B96C9D">
        <w:rPr>
          <w:sz w:val="21"/>
          <w:szCs w:val="21"/>
        </w:rPr>
        <w:t xml:space="preserve">in </w:t>
      </w:r>
      <w:r w:rsidR="00805A50" w:rsidRPr="00B96C9D">
        <w:rPr>
          <w:sz w:val="21"/>
          <w:szCs w:val="21"/>
        </w:rPr>
        <w:t>customer acquisition</w:t>
      </w:r>
      <w:r w:rsidR="00F71987" w:rsidRPr="00B96C9D">
        <w:rPr>
          <w:sz w:val="21"/>
          <w:szCs w:val="21"/>
        </w:rPr>
        <w:t xml:space="preserve"> promotional</w:t>
      </w:r>
      <w:r w:rsidR="008F5E30" w:rsidRPr="00B96C9D">
        <w:rPr>
          <w:sz w:val="21"/>
          <w:szCs w:val="21"/>
        </w:rPr>
        <w:t xml:space="preserve"> activity</w:t>
      </w:r>
      <w:r w:rsidR="00005005" w:rsidRPr="00B96C9D">
        <w:rPr>
          <w:sz w:val="21"/>
          <w:szCs w:val="21"/>
        </w:rPr>
        <w:t xml:space="preserve">. The </w:t>
      </w:r>
      <w:r w:rsidR="000C59FD" w:rsidRPr="00B96C9D">
        <w:rPr>
          <w:sz w:val="21"/>
          <w:szCs w:val="21"/>
        </w:rPr>
        <w:t>expected</w:t>
      </w:r>
      <w:r w:rsidR="00005005" w:rsidRPr="00B96C9D">
        <w:rPr>
          <w:sz w:val="21"/>
          <w:szCs w:val="21"/>
        </w:rPr>
        <w:t xml:space="preserve"> margin</w:t>
      </w:r>
      <w:r w:rsidR="000C59FD" w:rsidRPr="00B96C9D">
        <w:rPr>
          <w:sz w:val="21"/>
          <w:szCs w:val="21"/>
        </w:rPr>
        <w:t xml:space="preserve"> </w:t>
      </w:r>
      <w:r w:rsidR="008C3624">
        <w:rPr>
          <w:sz w:val="21"/>
          <w:szCs w:val="21"/>
        </w:rPr>
        <w:t>increase</w:t>
      </w:r>
      <w:r w:rsidR="00005005" w:rsidRPr="00B96C9D">
        <w:rPr>
          <w:sz w:val="21"/>
          <w:szCs w:val="21"/>
        </w:rPr>
        <w:t xml:space="preserve"> is derived </w:t>
      </w:r>
      <w:r w:rsidR="00753F52" w:rsidRPr="00B96C9D">
        <w:rPr>
          <w:sz w:val="21"/>
          <w:szCs w:val="21"/>
        </w:rPr>
        <w:t xml:space="preserve">from </w:t>
      </w:r>
      <w:r w:rsidR="000C59FD" w:rsidRPr="00B96C9D">
        <w:rPr>
          <w:sz w:val="21"/>
          <w:szCs w:val="21"/>
        </w:rPr>
        <w:t xml:space="preserve">our leading product offering </w:t>
      </w:r>
      <w:r w:rsidR="00FE6485" w:rsidRPr="00B96C9D">
        <w:rPr>
          <w:sz w:val="21"/>
          <w:szCs w:val="21"/>
        </w:rPr>
        <w:t xml:space="preserve">which </w:t>
      </w:r>
      <w:r w:rsidR="00B96C9D" w:rsidRPr="00B96C9D">
        <w:rPr>
          <w:sz w:val="21"/>
          <w:szCs w:val="21"/>
        </w:rPr>
        <w:t xml:space="preserve">generates more activity on </w:t>
      </w:r>
      <w:r w:rsidR="00005005" w:rsidRPr="00B96C9D">
        <w:rPr>
          <w:sz w:val="21"/>
          <w:szCs w:val="21"/>
        </w:rPr>
        <w:t>higher</w:t>
      </w:r>
      <w:r w:rsidR="00B96C9D" w:rsidRPr="00B96C9D">
        <w:rPr>
          <w:sz w:val="21"/>
          <w:szCs w:val="21"/>
        </w:rPr>
        <w:t xml:space="preserve"> </w:t>
      </w:r>
      <w:r w:rsidR="00005005" w:rsidRPr="00B96C9D">
        <w:rPr>
          <w:sz w:val="21"/>
          <w:szCs w:val="21"/>
        </w:rPr>
        <w:t xml:space="preserve">margin </w:t>
      </w:r>
      <w:r w:rsidR="00B96C9D" w:rsidRPr="00B96C9D">
        <w:rPr>
          <w:sz w:val="21"/>
          <w:szCs w:val="21"/>
        </w:rPr>
        <w:t xml:space="preserve">parlay </w:t>
      </w:r>
      <w:r w:rsidR="00005005" w:rsidRPr="00B96C9D">
        <w:rPr>
          <w:sz w:val="21"/>
          <w:szCs w:val="21"/>
        </w:rPr>
        <w:t>products</w:t>
      </w:r>
      <w:r w:rsidR="006054ED" w:rsidRPr="00B96C9D">
        <w:rPr>
          <w:sz w:val="21"/>
          <w:szCs w:val="21"/>
        </w:rPr>
        <w:t>, such</w:t>
      </w:r>
      <w:r w:rsidR="00106D03">
        <w:rPr>
          <w:sz w:val="21"/>
          <w:szCs w:val="21"/>
        </w:rPr>
        <w:t xml:space="preserve"> as</w:t>
      </w:r>
      <w:r w:rsidR="006054ED" w:rsidRPr="00B96C9D">
        <w:rPr>
          <w:sz w:val="21"/>
          <w:szCs w:val="21"/>
        </w:rPr>
        <w:t xml:space="preserve"> Same Game Parlay™, </w:t>
      </w:r>
      <w:r w:rsidR="00B96C9D" w:rsidRPr="00B96C9D">
        <w:rPr>
          <w:sz w:val="21"/>
          <w:szCs w:val="21"/>
        </w:rPr>
        <w:t>combined with</w:t>
      </w:r>
      <w:r w:rsidR="00005005" w:rsidRPr="00B96C9D">
        <w:rPr>
          <w:sz w:val="21"/>
          <w:szCs w:val="21"/>
        </w:rPr>
        <w:t xml:space="preserve"> </w:t>
      </w:r>
      <w:r w:rsidR="00B96C9D" w:rsidRPr="00B96C9D">
        <w:rPr>
          <w:sz w:val="21"/>
          <w:szCs w:val="21"/>
        </w:rPr>
        <w:t xml:space="preserve">ongoing refinement of </w:t>
      </w:r>
      <w:r w:rsidR="00005005" w:rsidRPr="00B96C9D">
        <w:rPr>
          <w:sz w:val="21"/>
          <w:szCs w:val="21"/>
        </w:rPr>
        <w:t>our pricing capabilities.</w:t>
      </w:r>
    </w:p>
    <w:p w14:paraId="55D7DA4D" w14:textId="0BB036C1" w:rsidR="003C465D" w:rsidRDefault="003C465D" w:rsidP="008F6DE5">
      <w:pPr>
        <w:pStyle w:val="BodyText"/>
        <w:spacing w:before="40" w:after="120"/>
        <w:ind w:left="0" w:right="51"/>
        <w:jc w:val="both"/>
        <w:rPr>
          <w:sz w:val="21"/>
          <w:szCs w:val="21"/>
        </w:rPr>
      </w:pPr>
      <w:r w:rsidRPr="00A06C03">
        <w:rPr>
          <w:sz w:val="21"/>
          <w:szCs w:val="21"/>
        </w:rPr>
        <w:t>Gaming revenue increased 1</w:t>
      </w:r>
      <w:r w:rsidR="001D35D8">
        <w:rPr>
          <w:sz w:val="21"/>
          <w:szCs w:val="21"/>
        </w:rPr>
        <w:t>4</w:t>
      </w:r>
      <w:r w:rsidR="003B44FD">
        <w:rPr>
          <w:sz w:val="21"/>
          <w:szCs w:val="21"/>
        </w:rPr>
        <w:t>6</w:t>
      </w:r>
      <w:r w:rsidRPr="00A06C03">
        <w:rPr>
          <w:sz w:val="21"/>
          <w:szCs w:val="21"/>
        </w:rPr>
        <w:t>% to £</w:t>
      </w:r>
      <w:r w:rsidR="003B44FD">
        <w:rPr>
          <w:sz w:val="21"/>
          <w:szCs w:val="21"/>
        </w:rPr>
        <w:t>99</w:t>
      </w:r>
      <w:r w:rsidRPr="00A06C03">
        <w:rPr>
          <w:sz w:val="21"/>
          <w:szCs w:val="21"/>
        </w:rPr>
        <w:t xml:space="preserve">m </w:t>
      </w:r>
      <w:r w:rsidR="00623BEE">
        <w:rPr>
          <w:sz w:val="21"/>
          <w:szCs w:val="21"/>
        </w:rPr>
        <w:t xml:space="preserve">($137m) </w:t>
      </w:r>
      <w:r w:rsidRPr="00A06C03">
        <w:rPr>
          <w:sz w:val="21"/>
          <w:szCs w:val="21"/>
        </w:rPr>
        <w:t xml:space="preserve">aided </w:t>
      </w:r>
      <w:r w:rsidR="008B243E">
        <w:rPr>
          <w:sz w:val="21"/>
          <w:szCs w:val="21"/>
        </w:rPr>
        <w:t xml:space="preserve">by </w:t>
      </w:r>
      <w:r w:rsidR="00A06C03">
        <w:rPr>
          <w:sz w:val="21"/>
          <w:szCs w:val="21"/>
        </w:rPr>
        <w:t>the successful Michigan launch in</w:t>
      </w:r>
      <w:r w:rsidRPr="00A06C03">
        <w:rPr>
          <w:sz w:val="21"/>
          <w:szCs w:val="21"/>
        </w:rPr>
        <w:t xml:space="preserve"> </w:t>
      </w:r>
      <w:r w:rsidR="00A06C03">
        <w:rPr>
          <w:sz w:val="21"/>
          <w:szCs w:val="21"/>
        </w:rPr>
        <w:t>January. Existing casino states continue to perform strongly with revenue growth of 89% in the quarter.</w:t>
      </w:r>
      <w:r w:rsidR="006054ED">
        <w:rPr>
          <w:sz w:val="21"/>
          <w:szCs w:val="21"/>
        </w:rPr>
        <w:t xml:space="preserve"> </w:t>
      </w:r>
      <w:r w:rsidR="004F4C85">
        <w:rPr>
          <w:sz w:val="21"/>
          <w:szCs w:val="21"/>
        </w:rPr>
        <w:t>Online gaming</w:t>
      </w:r>
      <w:r w:rsidR="006054ED">
        <w:rPr>
          <w:sz w:val="21"/>
          <w:szCs w:val="21"/>
        </w:rPr>
        <w:t xml:space="preserve"> market share </w:t>
      </w:r>
      <w:r w:rsidR="0064743B">
        <w:rPr>
          <w:sz w:val="21"/>
          <w:szCs w:val="21"/>
        </w:rPr>
        <w:t xml:space="preserve">for Q1 </w:t>
      </w:r>
      <w:r w:rsidR="006054ED">
        <w:rPr>
          <w:sz w:val="21"/>
          <w:szCs w:val="21"/>
        </w:rPr>
        <w:t>increased to 2</w:t>
      </w:r>
      <w:r w:rsidR="00B04C6F">
        <w:rPr>
          <w:sz w:val="21"/>
          <w:szCs w:val="21"/>
        </w:rPr>
        <w:t>3</w:t>
      </w:r>
      <w:r w:rsidR="006054ED">
        <w:rPr>
          <w:sz w:val="21"/>
          <w:szCs w:val="21"/>
        </w:rPr>
        <w:t>%, from 20% in Q4 2020</w:t>
      </w:r>
      <w:r w:rsidR="00B04C6F">
        <w:rPr>
          <w:sz w:val="21"/>
          <w:szCs w:val="21"/>
        </w:rPr>
        <w:t>.</w:t>
      </w:r>
      <w:r w:rsidR="0064743B">
        <w:rPr>
          <w:sz w:val="21"/>
          <w:szCs w:val="21"/>
        </w:rPr>
        <w:t xml:space="preserve"> </w:t>
      </w:r>
    </w:p>
    <w:p w14:paraId="7689D7B5" w14:textId="05949506" w:rsidR="006D5874" w:rsidRPr="00C66DF4" w:rsidRDefault="006D5874" w:rsidP="00FD060C">
      <w:pPr>
        <w:pStyle w:val="BodyText"/>
        <w:spacing w:before="120"/>
        <w:ind w:left="0" w:right="49"/>
        <w:jc w:val="both"/>
        <w:rPr>
          <w:sz w:val="21"/>
          <w:szCs w:val="21"/>
        </w:rPr>
      </w:pPr>
      <w:r w:rsidRPr="00C66DF4">
        <w:rPr>
          <w:sz w:val="21"/>
          <w:szCs w:val="21"/>
        </w:rPr>
        <w:t xml:space="preserve">As previously disclosed Flutter is </w:t>
      </w:r>
      <w:proofErr w:type="gramStart"/>
      <w:r w:rsidRPr="00C66DF4">
        <w:rPr>
          <w:sz w:val="21"/>
          <w:szCs w:val="21"/>
        </w:rPr>
        <w:t>giving consideration to</w:t>
      </w:r>
      <w:proofErr w:type="gramEnd"/>
      <w:r w:rsidRPr="00C66DF4">
        <w:rPr>
          <w:sz w:val="21"/>
          <w:szCs w:val="21"/>
        </w:rPr>
        <w:t xml:space="preserve"> a potential US listing of a small part of FanDuel</w:t>
      </w:r>
      <w:r w:rsidR="002E4544">
        <w:rPr>
          <w:sz w:val="21"/>
          <w:szCs w:val="21"/>
        </w:rPr>
        <w:t xml:space="preserve"> Group</w:t>
      </w:r>
      <w:r w:rsidRPr="00C66DF4">
        <w:rPr>
          <w:sz w:val="21"/>
          <w:szCs w:val="21"/>
        </w:rPr>
        <w:t xml:space="preserve">. </w:t>
      </w:r>
      <w:r w:rsidR="00D35B7B">
        <w:rPr>
          <w:sz w:val="21"/>
          <w:szCs w:val="21"/>
        </w:rPr>
        <w:t>No decision has yet been made but s</w:t>
      </w:r>
      <w:r w:rsidRPr="00C66DF4">
        <w:rPr>
          <w:sz w:val="21"/>
          <w:szCs w:val="21"/>
        </w:rPr>
        <w:t>hould we proceed with such a transaction, the assets of F</w:t>
      </w:r>
      <w:r w:rsidR="002E4544">
        <w:rPr>
          <w:sz w:val="21"/>
          <w:szCs w:val="21"/>
        </w:rPr>
        <w:t>OX</w:t>
      </w:r>
      <w:r w:rsidR="00D35B7B">
        <w:rPr>
          <w:sz w:val="21"/>
          <w:szCs w:val="21"/>
        </w:rPr>
        <w:t xml:space="preserve"> </w:t>
      </w:r>
      <w:r w:rsidRPr="00C66DF4">
        <w:rPr>
          <w:sz w:val="21"/>
          <w:szCs w:val="21"/>
        </w:rPr>
        <w:t xml:space="preserve">Bet </w:t>
      </w:r>
      <w:r w:rsidR="005430B0">
        <w:rPr>
          <w:sz w:val="21"/>
          <w:szCs w:val="21"/>
        </w:rPr>
        <w:t xml:space="preserve">(including PokerStars US) </w:t>
      </w:r>
      <w:r w:rsidRPr="00C66DF4">
        <w:rPr>
          <w:sz w:val="21"/>
          <w:szCs w:val="21"/>
        </w:rPr>
        <w:t>would sit outside the perimeter of the listed vehicle. In 2020, the FanDuel assets generated revenue of £619m ($</w:t>
      </w:r>
      <w:r w:rsidR="005239D3">
        <w:rPr>
          <w:sz w:val="21"/>
          <w:szCs w:val="21"/>
        </w:rPr>
        <w:t>800m</w:t>
      </w:r>
      <w:r w:rsidRPr="00C66DF4">
        <w:rPr>
          <w:sz w:val="21"/>
          <w:szCs w:val="21"/>
        </w:rPr>
        <w:t>) and an EBITDA loss of £113m ($</w:t>
      </w:r>
      <w:r w:rsidR="005239D3">
        <w:rPr>
          <w:sz w:val="21"/>
          <w:szCs w:val="21"/>
        </w:rPr>
        <w:t>148m</w:t>
      </w:r>
      <w:r w:rsidRPr="00C66DF4">
        <w:rPr>
          <w:sz w:val="21"/>
          <w:szCs w:val="21"/>
        </w:rPr>
        <w:t>).</w:t>
      </w:r>
    </w:p>
    <w:p w14:paraId="78BFAFD2" w14:textId="6DF3CFD8" w:rsidR="001348C9" w:rsidRDefault="001348C9"/>
    <w:p w14:paraId="60FA87C9" w14:textId="77777777" w:rsidR="002717E6" w:rsidRDefault="002717E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8935"/>
        <w:gridCol w:w="695"/>
      </w:tblGrid>
      <w:tr w:rsidR="00116AD9" w:rsidRPr="00806919" w14:paraId="005C7479" w14:textId="77777777" w:rsidTr="00136A68">
        <w:trPr>
          <w:gridAfter w:val="1"/>
          <w:wAfter w:w="695" w:type="dxa"/>
          <w:trHeight w:val="80"/>
        </w:trPr>
        <w:tc>
          <w:tcPr>
            <w:tcW w:w="9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471BE" w14:textId="52C815D6" w:rsidR="00FE73E9" w:rsidRPr="00806919" w:rsidRDefault="00116AD9" w:rsidP="00FD060C">
            <w:pPr>
              <w:pStyle w:val="BodyText"/>
              <w:spacing w:before="240"/>
              <w:ind w:left="0" w:right="49"/>
              <w:jc w:val="both"/>
              <w:rPr>
                <w:rFonts w:asciiTheme="minorHAnsi" w:hAnsiTheme="minorHAnsi" w:cs="Times New Roman"/>
              </w:rPr>
            </w:pPr>
            <w:r w:rsidRPr="00806919">
              <w:rPr>
                <w:rFonts w:cs="Calibri"/>
                <w:b/>
              </w:rPr>
              <w:lastRenderedPageBreak/>
              <w:t>Notes:</w:t>
            </w:r>
          </w:p>
        </w:tc>
      </w:tr>
      <w:tr w:rsidR="00116AD9" w:rsidRPr="00DF54A9" w14:paraId="6D00F910" w14:textId="77777777" w:rsidTr="000D0F04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CEF64" w14:textId="77777777" w:rsidR="00116AD9" w:rsidRPr="000D0F04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2"/>
                <w:szCs w:val="22"/>
              </w:rPr>
            </w:pPr>
            <w:r w:rsidRPr="000D0F0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8BA54" w14:textId="66EC6EC4" w:rsidR="00116AD9" w:rsidRPr="0080691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Flutter’s combination with TSG completed on May </w:t>
            </w:r>
            <w:proofErr w:type="gramStart"/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  <w:proofErr w:type="gramEnd"/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2020. The pro forma numbers presented include TSG for a full 3-month period in 20</w:t>
            </w:r>
            <w:r w:rsidR="00534C32">
              <w:rPr>
                <w:rFonts w:asciiTheme="minorHAnsi" w:hAnsiTheme="minorHAnsi" w:cstheme="minorHAnsi"/>
                <w:i/>
                <w:sz w:val="18"/>
                <w:szCs w:val="18"/>
              </w:rPr>
              <w:t>20</w:t>
            </w: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="00534C3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2717E6">
              <w:rPr>
                <w:rFonts w:asciiTheme="minorHAnsi" w:hAnsiTheme="minorHAnsi" w:cstheme="minorHAnsi"/>
                <w:i/>
                <w:sz w:val="18"/>
                <w:szCs w:val="18"/>
              </w:rPr>
              <w:t>Junglee, which was acquired in January 2021, has not been included on a pro forma basis.</w:t>
            </w:r>
          </w:p>
        </w:tc>
      </w:tr>
      <w:tr w:rsidR="00116AD9" w:rsidRPr="00DF54A9" w14:paraId="5D1945F9" w14:textId="77777777" w:rsidTr="000D0F04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FBEC4" w14:textId="77777777" w:rsidR="00116AD9" w:rsidRPr="000D0F04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b/>
                <w:i/>
                <w:sz w:val="22"/>
                <w:szCs w:val="22"/>
              </w:rPr>
            </w:pPr>
            <w:r w:rsidRPr="000D0F0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64B08" w14:textId="50247E07" w:rsidR="00116AD9" w:rsidRPr="0080691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Constant currency (“cc”) growth is calculated by retranslating the non-sterling denominated component of Q</w:t>
            </w:r>
            <w:r w:rsidR="00806919"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20</w:t>
            </w:r>
            <w:r w:rsidR="00806919"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20</w:t>
            </w: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at Q</w:t>
            </w:r>
            <w:r w:rsidR="00806919"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202</w:t>
            </w:r>
            <w:r w:rsidR="00806919"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exchange rates. Growth rates in the commentary are in local or constant currency.</w:t>
            </w:r>
          </w:p>
        </w:tc>
      </w:tr>
      <w:tr w:rsidR="00116AD9" w:rsidRPr="00DF54A9" w14:paraId="4F51CEB8" w14:textId="77777777" w:rsidTr="000D0F04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E5A05" w14:textId="77777777" w:rsidR="00116AD9" w:rsidRPr="000D0F04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sz w:val="22"/>
                <w:szCs w:val="22"/>
                <w:vertAlign w:val="superscript"/>
              </w:rPr>
            </w:pPr>
            <w:bookmarkStart w:id="9" w:name="_Hlk55817446"/>
            <w:r w:rsidRPr="000D0F0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02F42" w14:textId="59E47F65" w:rsidR="00116AD9" w:rsidRPr="00806919" w:rsidRDefault="0080691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Average Monthly Players represent the total number of </w:t>
            </w:r>
            <w:r w:rsidR="004E1A0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online </w:t>
            </w: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players that have placed a sports bet/wager, staked a casino bet and/or contributed to rake or tournament fees during a month within the reporting period. The totals include only those players that have deposited real money funds with a Flutter brand on at least one occasion</w:t>
            </w:r>
            <w:r w:rsidR="00DF54A9"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="00A97B4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The AMP numbers do not include Junglee players in 2020 or 2021 to allow for better comparability of underlying player growth in the International business and the Group.</w:t>
            </w:r>
          </w:p>
        </w:tc>
      </w:tr>
      <w:bookmarkEnd w:id="9"/>
      <w:tr w:rsidR="00116AD9" w:rsidRPr="00DF54A9" w14:paraId="59D3D201" w14:textId="77777777" w:rsidTr="000D0F04"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43739" w14:textId="77777777" w:rsidR="00116AD9" w:rsidRPr="000D0F04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sz w:val="22"/>
                <w:szCs w:val="22"/>
                <w:vertAlign w:val="superscript"/>
              </w:rPr>
            </w:pPr>
            <w:r w:rsidRPr="000D0F04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9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73908" w14:textId="590C4C58" w:rsidR="00116AD9" w:rsidRPr="002B4E81" w:rsidRDefault="00C26E08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jc w:val="both"/>
              <w:rPr>
                <w:rFonts w:asciiTheme="minorHAnsi" w:hAnsiTheme="minorHAnsi"/>
                <w:i/>
                <w:sz w:val="18"/>
                <w:highlight w:val="yellow"/>
              </w:rPr>
            </w:pPr>
            <w:r w:rsidRPr="002B4E81">
              <w:rPr>
                <w:rFonts w:asciiTheme="minorHAnsi" w:hAnsiTheme="minorHAnsi"/>
                <w:i/>
                <w:sz w:val="18"/>
              </w:rPr>
              <w:t xml:space="preserve">Online sportsbook market share is the </w:t>
            </w:r>
            <w:r w:rsidR="000D0F04" w:rsidRPr="002B4E81">
              <w:rPr>
                <w:rFonts w:asciiTheme="minorHAnsi" w:hAnsiTheme="minorHAnsi"/>
                <w:i/>
                <w:sz w:val="18"/>
              </w:rPr>
              <w:t>gross gaming revenue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 share of FanDuel and FoxBet for Q</w:t>
            </w:r>
            <w:r w:rsidR="00806919" w:rsidRPr="002B4E81">
              <w:rPr>
                <w:rFonts w:asciiTheme="minorHAnsi" w:hAnsiTheme="minorHAnsi"/>
                <w:i/>
                <w:sz w:val="18"/>
              </w:rPr>
              <w:t>1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 in the states in which </w:t>
            </w:r>
            <w:r w:rsidR="000D0F04" w:rsidRPr="002B4E81">
              <w:rPr>
                <w:rFonts w:asciiTheme="minorHAnsi" w:hAnsiTheme="minorHAnsi"/>
                <w:i/>
                <w:sz w:val="18"/>
              </w:rPr>
              <w:t>FanD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uel was live using published gaming regulator reports in those states. </w:t>
            </w:r>
            <w:r w:rsidRPr="00D22C7E">
              <w:rPr>
                <w:rFonts w:asciiTheme="minorHAnsi" w:hAnsiTheme="minorHAnsi"/>
                <w:i/>
                <w:sz w:val="18"/>
              </w:rPr>
              <w:t>Market share calculations do not include</w:t>
            </w:r>
            <w:r w:rsidR="00B83E27">
              <w:rPr>
                <w:rFonts w:asciiTheme="minorHAnsi" w:hAnsiTheme="minorHAnsi"/>
                <w:i/>
                <w:sz w:val="18"/>
              </w:rPr>
              <w:t xml:space="preserve"> the March data for</w:t>
            </w:r>
            <w:r w:rsidRPr="00D22C7E">
              <w:rPr>
                <w:rFonts w:asciiTheme="minorHAnsi" w:hAnsiTheme="minorHAnsi"/>
                <w:i/>
                <w:sz w:val="18"/>
              </w:rPr>
              <w:t xml:space="preserve"> Illinois</w:t>
            </w:r>
            <w:r w:rsidR="00A97B4E" w:rsidRPr="00D22C7E">
              <w:rPr>
                <w:rFonts w:asciiTheme="minorHAnsi" w:hAnsiTheme="minorHAnsi"/>
                <w:i/>
                <w:sz w:val="18"/>
              </w:rPr>
              <w:t xml:space="preserve"> and Virginia</w:t>
            </w:r>
            <w:r w:rsidRPr="00D22C7E">
              <w:rPr>
                <w:rFonts w:asciiTheme="minorHAnsi" w:hAnsiTheme="minorHAnsi"/>
                <w:i/>
                <w:sz w:val="18"/>
              </w:rPr>
              <w:t xml:space="preserve"> </w:t>
            </w:r>
            <w:r w:rsidR="00B83E27">
              <w:rPr>
                <w:rFonts w:asciiTheme="minorHAnsi" w:hAnsiTheme="minorHAnsi"/>
                <w:i/>
                <w:sz w:val="18"/>
              </w:rPr>
              <w:t>as the</w:t>
            </w:r>
            <w:r w:rsidRPr="00D22C7E">
              <w:rPr>
                <w:rFonts w:asciiTheme="minorHAnsi" w:hAnsiTheme="minorHAnsi"/>
                <w:i/>
                <w:sz w:val="18"/>
              </w:rPr>
              <w:t xml:space="preserve"> data</w:t>
            </w:r>
            <w:r w:rsidR="00B83E27">
              <w:rPr>
                <w:rFonts w:asciiTheme="minorHAnsi" w:hAnsiTheme="minorHAnsi"/>
                <w:i/>
                <w:sz w:val="18"/>
              </w:rPr>
              <w:t xml:space="preserve"> has yet to be released</w:t>
            </w:r>
            <w:r w:rsidRPr="00D22C7E">
              <w:rPr>
                <w:rFonts w:asciiTheme="minorHAnsi" w:hAnsiTheme="minorHAnsi"/>
                <w:i/>
                <w:sz w:val="18"/>
              </w:rPr>
              <w:t xml:space="preserve">. </w:t>
            </w:r>
            <w:r w:rsidRPr="002B4E81">
              <w:rPr>
                <w:rFonts w:asciiTheme="minorHAnsi" w:hAnsiTheme="minorHAnsi"/>
                <w:i/>
                <w:sz w:val="18"/>
              </w:rPr>
              <w:t>During Q</w:t>
            </w:r>
            <w:r w:rsidR="00806919" w:rsidRPr="002B4E81">
              <w:rPr>
                <w:rFonts w:asciiTheme="minorHAnsi" w:hAnsiTheme="minorHAnsi"/>
                <w:i/>
                <w:sz w:val="18"/>
              </w:rPr>
              <w:t>1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 FanDuel was live in </w:t>
            </w:r>
            <w:r w:rsidR="00806919" w:rsidRPr="002B4E81">
              <w:rPr>
                <w:rFonts w:asciiTheme="minorHAnsi" w:hAnsiTheme="minorHAnsi"/>
                <w:i/>
                <w:sz w:val="18"/>
              </w:rPr>
              <w:t>10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 states</w:t>
            </w:r>
            <w:r w:rsidR="00C4579F" w:rsidRPr="002B4E81">
              <w:rPr>
                <w:rFonts w:asciiTheme="minorHAnsi" w:hAnsiTheme="minorHAnsi"/>
                <w:i/>
                <w:sz w:val="18"/>
              </w:rPr>
              <w:t>;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 Colorado (CO), Indiana (IN), Iowa (IA)</w:t>
            </w:r>
            <w:r w:rsidR="00C4579F" w:rsidRPr="002B4E81">
              <w:rPr>
                <w:rFonts w:asciiTheme="minorHAnsi" w:hAnsiTheme="minorHAnsi"/>
                <w:i/>
                <w:sz w:val="18"/>
              </w:rPr>
              <w:t>,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 Illinois (IL), </w:t>
            </w:r>
            <w:r w:rsidR="00806919" w:rsidRPr="002B4E81">
              <w:rPr>
                <w:rFonts w:asciiTheme="minorHAnsi" w:hAnsiTheme="minorHAnsi"/>
                <w:i/>
                <w:sz w:val="18"/>
              </w:rPr>
              <w:t xml:space="preserve">Michigan (MI), </w:t>
            </w:r>
            <w:r w:rsidRPr="002B4E81">
              <w:rPr>
                <w:rFonts w:asciiTheme="minorHAnsi" w:hAnsiTheme="minorHAnsi"/>
                <w:i/>
                <w:sz w:val="18"/>
              </w:rPr>
              <w:t>New Jersey (NJ), Pennsylvania (PA)</w:t>
            </w:r>
            <w:r w:rsidR="000D0F04" w:rsidRPr="002B4E81">
              <w:rPr>
                <w:rFonts w:asciiTheme="minorHAnsi" w:hAnsiTheme="minorHAnsi"/>
                <w:i/>
                <w:sz w:val="18"/>
              </w:rPr>
              <w:t xml:space="preserve">, Tennessee (TN), Virginia (VA) </w:t>
            </w:r>
            <w:r w:rsidRPr="002B4E81">
              <w:rPr>
                <w:rFonts w:asciiTheme="minorHAnsi" w:hAnsiTheme="minorHAnsi"/>
                <w:i/>
                <w:sz w:val="18"/>
              </w:rPr>
              <w:t>and West Virginia (WV). During Q</w:t>
            </w:r>
            <w:r w:rsidR="000D0F04" w:rsidRPr="002B4E81">
              <w:rPr>
                <w:rFonts w:asciiTheme="minorHAnsi" w:hAnsiTheme="minorHAnsi"/>
                <w:i/>
                <w:sz w:val="18"/>
              </w:rPr>
              <w:t>1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 FoxBet was live in </w:t>
            </w:r>
            <w:r w:rsidR="000D0F04" w:rsidRPr="002B4E81">
              <w:rPr>
                <w:rFonts w:asciiTheme="minorHAnsi" w:hAnsiTheme="minorHAnsi"/>
                <w:i/>
                <w:sz w:val="18"/>
              </w:rPr>
              <w:t>4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 states; Colorado (CO), </w:t>
            </w:r>
            <w:r w:rsidR="000D0F04" w:rsidRPr="002B4E81">
              <w:rPr>
                <w:rFonts w:asciiTheme="minorHAnsi" w:hAnsiTheme="minorHAnsi"/>
                <w:i/>
                <w:sz w:val="18"/>
              </w:rPr>
              <w:t xml:space="preserve">Michigan (MI), </w:t>
            </w:r>
            <w:r w:rsidRPr="002B4E81">
              <w:rPr>
                <w:rFonts w:asciiTheme="minorHAnsi" w:hAnsiTheme="minorHAnsi"/>
                <w:i/>
                <w:sz w:val="18"/>
              </w:rPr>
              <w:t>New Jersey (NJ)</w:t>
            </w:r>
            <w:r w:rsidR="00806919" w:rsidRPr="002B4E81">
              <w:rPr>
                <w:rFonts w:asciiTheme="minorHAnsi" w:hAnsiTheme="minorHAnsi"/>
                <w:i/>
                <w:sz w:val="18"/>
              </w:rPr>
              <w:t>,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 and Pennsylvania (PA). Online gaming market share reflects the combined </w:t>
            </w:r>
            <w:r w:rsidR="000D0F04" w:rsidRPr="002B4E81">
              <w:rPr>
                <w:rFonts w:asciiTheme="minorHAnsi" w:hAnsiTheme="minorHAnsi"/>
                <w:i/>
                <w:sz w:val="18"/>
              </w:rPr>
              <w:t xml:space="preserve">MI, </w:t>
            </w:r>
            <w:r w:rsidRPr="002B4E81">
              <w:rPr>
                <w:rFonts w:asciiTheme="minorHAnsi" w:hAnsiTheme="minorHAnsi"/>
                <w:i/>
                <w:sz w:val="18"/>
              </w:rPr>
              <w:t xml:space="preserve">NJ and PA market share of </w:t>
            </w:r>
            <w:r w:rsidR="000D0F04" w:rsidRPr="002B4E81">
              <w:rPr>
                <w:rFonts w:asciiTheme="minorHAnsi" w:hAnsiTheme="minorHAnsi"/>
                <w:i/>
                <w:sz w:val="18"/>
              </w:rPr>
              <w:t>our gaming brands</w:t>
            </w:r>
            <w:r w:rsidRPr="002B4E81">
              <w:rPr>
                <w:rFonts w:asciiTheme="minorHAnsi" w:hAnsiTheme="minorHAnsi"/>
                <w:i/>
                <w:sz w:val="18"/>
              </w:rPr>
              <w:t>.</w:t>
            </w:r>
            <w:r w:rsidR="00C4579F" w:rsidRPr="002B4E81">
              <w:rPr>
                <w:rFonts w:asciiTheme="minorHAnsi" w:hAnsiTheme="minorHAnsi"/>
                <w:i/>
                <w:sz w:val="18"/>
              </w:rPr>
              <w:t xml:space="preserve"> </w:t>
            </w:r>
          </w:p>
        </w:tc>
      </w:tr>
    </w:tbl>
    <w:p w14:paraId="1975517C" w14:textId="77777777" w:rsidR="00116AD9" w:rsidRPr="00DF54A9" w:rsidRDefault="00116AD9" w:rsidP="00FD060C">
      <w:pPr>
        <w:ind w:right="49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4253"/>
      </w:tblGrid>
      <w:tr w:rsidR="00116AD9" w:rsidRPr="00DF54A9" w14:paraId="1E57C496" w14:textId="77777777" w:rsidTr="00136A68">
        <w:tc>
          <w:tcPr>
            <w:tcW w:w="9918" w:type="dxa"/>
            <w:gridSpan w:val="2"/>
          </w:tcPr>
          <w:p w14:paraId="44C3B73F" w14:textId="77777777" w:rsidR="00116AD9" w:rsidRPr="001348C9" w:rsidRDefault="00116AD9" w:rsidP="00FD060C">
            <w:pPr>
              <w:tabs>
                <w:tab w:val="left" w:pos="3090"/>
              </w:tabs>
              <w:ind w:right="49"/>
              <w:jc w:val="both"/>
              <w:rPr>
                <w:sz w:val="21"/>
                <w:szCs w:val="21"/>
              </w:rPr>
            </w:pPr>
            <w:r w:rsidRPr="001348C9">
              <w:rPr>
                <w:b/>
                <w:sz w:val="21"/>
                <w:szCs w:val="21"/>
              </w:rPr>
              <w:t>Analyst call:</w:t>
            </w:r>
            <w:r w:rsidRPr="001348C9">
              <w:rPr>
                <w:sz w:val="21"/>
                <w:szCs w:val="21"/>
              </w:rPr>
              <w:t> </w:t>
            </w:r>
          </w:p>
          <w:p w14:paraId="581AE2E3" w14:textId="47D9B28C" w:rsidR="00C318BB" w:rsidRDefault="00116AD9" w:rsidP="00FD060C">
            <w:pPr>
              <w:spacing w:before="120" w:after="200"/>
              <w:ind w:right="49"/>
              <w:rPr>
                <w:sz w:val="21"/>
                <w:szCs w:val="21"/>
              </w:rPr>
            </w:pPr>
            <w:r w:rsidRPr="001348C9">
              <w:rPr>
                <w:sz w:val="21"/>
                <w:szCs w:val="21"/>
              </w:rPr>
              <w:t xml:space="preserve">The Group will host a questions and answers call for institutional investors and analysts this morning at 9:00am (IST/BST). Participants must register at the link provided below to obtain the relevant dial in </w:t>
            </w:r>
            <w:proofErr w:type="gramStart"/>
            <w:r w:rsidRPr="001348C9">
              <w:rPr>
                <w:sz w:val="21"/>
                <w:szCs w:val="21"/>
              </w:rPr>
              <w:t>details</w:t>
            </w:r>
            <w:proofErr w:type="gramEnd"/>
            <w:r w:rsidR="001348C9" w:rsidRPr="001348C9">
              <w:rPr>
                <w:sz w:val="21"/>
                <w:szCs w:val="21"/>
              </w:rPr>
              <w:t>:</w:t>
            </w:r>
            <w:r w:rsidRPr="001348C9">
              <w:rPr>
                <w:sz w:val="21"/>
                <w:szCs w:val="21"/>
              </w:rPr>
              <w:t xml:space="preserve"> </w:t>
            </w:r>
            <w:hyperlink r:id="rId12" w:history="1">
              <w:r w:rsidR="00C33E6F" w:rsidRPr="00DD257A">
                <w:rPr>
                  <w:sz w:val="21"/>
                  <w:szCs w:val="21"/>
                </w:rPr>
                <w:t>https://cossprereg.btci.com/prereg/key.process?key=PERBKEDNV</w:t>
              </w:r>
            </w:hyperlink>
          </w:p>
          <w:p w14:paraId="451DABE2" w14:textId="67CCC245" w:rsidR="00116AD9" w:rsidRPr="00DF54A9" w:rsidRDefault="00116AD9" w:rsidP="00FD060C">
            <w:pPr>
              <w:spacing w:before="120" w:after="200"/>
              <w:ind w:right="49"/>
              <w:rPr>
                <w:sz w:val="21"/>
                <w:szCs w:val="21"/>
                <w:highlight w:val="yellow"/>
              </w:rPr>
            </w:pPr>
            <w:r w:rsidRPr="00DF54A9">
              <w:rPr>
                <w:sz w:val="21"/>
                <w:szCs w:val="21"/>
              </w:rPr>
              <w:t xml:space="preserve">A replay facility will also be available later today on our corporate website: </w:t>
            </w:r>
            <w:hyperlink r:id="rId13" w:history="1">
              <w:r w:rsidRPr="00DF54A9">
                <w:rPr>
                  <w:rStyle w:val="Hyperlink"/>
                  <w:sz w:val="21"/>
                  <w:szCs w:val="21"/>
                </w:rPr>
                <w:t>https://www.Flutter.com/investors</w:t>
              </w:r>
            </w:hyperlink>
            <w:r w:rsidRPr="00DF54A9">
              <w:rPr>
                <w:sz w:val="21"/>
                <w:szCs w:val="21"/>
              </w:rPr>
              <w:t>.</w:t>
            </w:r>
          </w:p>
        </w:tc>
      </w:tr>
      <w:tr w:rsidR="00116AD9" w:rsidRPr="00DF54A9" w14:paraId="0BE7E5E3" w14:textId="77777777" w:rsidTr="00136A68">
        <w:tc>
          <w:tcPr>
            <w:tcW w:w="9918" w:type="dxa"/>
            <w:gridSpan w:val="2"/>
          </w:tcPr>
          <w:p w14:paraId="281D6CE9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b/>
                <w:sz w:val="21"/>
                <w:szCs w:val="21"/>
              </w:rPr>
              <w:t>Contacts:</w:t>
            </w:r>
          </w:p>
        </w:tc>
      </w:tr>
      <w:tr w:rsidR="00116AD9" w:rsidRPr="00DF54A9" w14:paraId="7576E609" w14:textId="77777777" w:rsidTr="00136A68">
        <w:tc>
          <w:tcPr>
            <w:tcW w:w="5665" w:type="dxa"/>
          </w:tcPr>
          <w:p w14:paraId="5A6AF4A1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i/>
                <w:sz w:val="21"/>
                <w:szCs w:val="21"/>
              </w:rPr>
              <w:t>Investor Relations:</w:t>
            </w:r>
          </w:p>
        </w:tc>
        <w:tc>
          <w:tcPr>
            <w:tcW w:w="4253" w:type="dxa"/>
          </w:tcPr>
          <w:p w14:paraId="5437A30C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</w:tr>
      <w:tr w:rsidR="00116AD9" w:rsidRPr="00DF54A9" w14:paraId="38855D99" w14:textId="77777777" w:rsidTr="00136A68">
        <w:tc>
          <w:tcPr>
            <w:tcW w:w="5665" w:type="dxa"/>
          </w:tcPr>
          <w:p w14:paraId="6D63EFF0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David Jennings, Group Director of Investor Relations &amp; FP&amp;A</w:t>
            </w:r>
          </w:p>
        </w:tc>
        <w:tc>
          <w:tcPr>
            <w:tcW w:w="4253" w:type="dxa"/>
          </w:tcPr>
          <w:p w14:paraId="2DF8B004" w14:textId="77777777" w:rsidR="00116AD9" w:rsidRPr="00DF54A9" w:rsidRDefault="00116AD9" w:rsidP="00FD060C">
            <w:pPr>
              <w:pStyle w:val="HTMLPreformatted"/>
              <w:tabs>
                <w:tab w:val="left" w:pos="5954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+ 353 87 951 3560</w:t>
            </w:r>
          </w:p>
        </w:tc>
      </w:tr>
      <w:tr w:rsidR="00116AD9" w:rsidRPr="00DF54A9" w14:paraId="0683F4BC" w14:textId="77777777" w:rsidTr="00136A68">
        <w:tc>
          <w:tcPr>
            <w:tcW w:w="5665" w:type="dxa"/>
          </w:tcPr>
          <w:p w14:paraId="6F648FBE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b/>
                <w:i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Ciara O’Mullane, Investor Relations</w:t>
            </w:r>
          </w:p>
        </w:tc>
        <w:tc>
          <w:tcPr>
            <w:tcW w:w="4253" w:type="dxa"/>
          </w:tcPr>
          <w:p w14:paraId="7FEB7211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b/>
                <w:i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+ 353 87 947 7862</w:t>
            </w:r>
          </w:p>
        </w:tc>
      </w:tr>
      <w:tr w:rsidR="00116AD9" w:rsidRPr="00DF54A9" w14:paraId="52E758EC" w14:textId="77777777" w:rsidTr="00136A68">
        <w:tc>
          <w:tcPr>
            <w:tcW w:w="5665" w:type="dxa"/>
          </w:tcPr>
          <w:p w14:paraId="0F507BD5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Liam Kealy, Investor Relations</w:t>
            </w:r>
          </w:p>
        </w:tc>
        <w:tc>
          <w:tcPr>
            <w:tcW w:w="4253" w:type="dxa"/>
          </w:tcPr>
          <w:p w14:paraId="1DAB6250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+ 353 87 665 2014</w:t>
            </w:r>
          </w:p>
        </w:tc>
      </w:tr>
      <w:tr w:rsidR="00116AD9" w:rsidRPr="00DF54A9" w14:paraId="333B603C" w14:textId="77777777" w:rsidTr="00136A68">
        <w:tc>
          <w:tcPr>
            <w:tcW w:w="9918" w:type="dxa"/>
            <w:gridSpan w:val="2"/>
          </w:tcPr>
          <w:p w14:paraId="104B48FA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i/>
                <w:sz w:val="21"/>
                <w:szCs w:val="21"/>
              </w:rPr>
              <w:t>Press:</w:t>
            </w:r>
          </w:p>
        </w:tc>
      </w:tr>
      <w:tr w:rsidR="00116AD9" w:rsidRPr="00DF54A9" w14:paraId="78B77CCC" w14:textId="77777777" w:rsidTr="00136A68">
        <w:tc>
          <w:tcPr>
            <w:tcW w:w="5665" w:type="dxa"/>
          </w:tcPr>
          <w:p w14:paraId="07E7A73B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 xml:space="preserve">Fi Thorne, Corporate Affairs  </w:t>
            </w:r>
          </w:p>
        </w:tc>
        <w:tc>
          <w:tcPr>
            <w:tcW w:w="4253" w:type="dxa"/>
          </w:tcPr>
          <w:p w14:paraId="5D073635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+ 44 75 2111 4787</w:t>
            </w:r>
          </w:p>
        </w:tc>
      </w:tr>
      <w:tr w:rsidR="00116AD9" w:rsidRPr="00DF54A9" w14:paraId="1E0E4E45" w14:textId="77777777" w:rsidTr="00136A68">
        <w:tc>
          <w:tcPr>
            <w:tcW w:w="5665" w:type="dxa"/>
          </w:tcPr>
          <w:p w14:paraId="323B8D61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 xml:space="preserve">Lindsay Dunford, Corporate Affairs  </w:t>
            </w:r>
          </w:p>
        </w:tc>
        <w:tc>
          <w:tcPr>
            <w:tcW w:w="4253" w:type="dxa"/>
          </w:tcPr>
          <w:p w14:paraId="31AB920A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+ 44 79 3197 2959</w:t>
            </w:r>
          </w:p>
        </w:tc>
      </w:tr>
      <w:tr w:rsidR="00116AD9" w:rsidRPr="00DF54A9" w14:paraId="2D8A0B95" w14:textId="77777777" w:rsidTr="00136A68">
        <w:tc>
          <w:tcPr>
            <w:tcW w:w="5665" w:type="dxa"/>
          </w:tcPr>
          <w:p w14:paraId="25DD6F3B" w14:textId="74C4381D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 xml:space="preserve">Billy Murphy, </w:t>
            </w:r>
            <w:r w:rsidR="00C05E56">
              <w:rPr>
                <w:rFonts w:asciiTheme="minorHAnsi" w:hAnsiTheme="minorHAnsi" w:cs="Times New Roman"/>
                <w:sz w:val="21"/>
                <w:szCs w:val="21"/>
              </w:rPr>
              <w:t>Drury Communications</w:t>
            </w:r>
          </w:p>
        </w:tc>
        <w:tc>
          <w:tcPr>
            <w:tcW w:w="4253" w:type="dxa"/>
          </w:tcPr>
          <w:p w14:paraId="3B00ECD2" w14:textId="77777777" w:rsidR="00116AD9" w:rsidRPr="00DF54A9" w:rsidRDefault="00116AD9" w:rsidP="00FD060C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+ 353 1 260 5000</w:t>
            </w:r>
          </w:p>
        </w:tc>
      </w:tr>
      <w:tr w:rsidR="00116AD9" w:rsidRPr="00DF54A9" w14:paraId="55F9A359" w14:textId="77777777" w:rsidTr="00136A68">
        <w:tc>
          <w:tcPr>
            <w:tcW w:w="5665" w:type="dxa"/>
          </w:tcPr>
          <w:p w14:paraId="23EB1E0F" w14:textId="77777777" w:rsidR="00116AD9" w:rsidRPr="00DF54A9" w:rsidRDefault="00116AD9" w:rsidP="00FD060C">
            <w:pPr>
              <w:pStyle w:val="HTMLPreformatted"/>
              <w:tabs>
                <w:tab w:val="left" w:pos="5954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James Murgatroyd, Finsbury</w:t>
            </w:r>
          </w:p>
        </w:tc>
        <w:tc>
          <w:tcPr>
            <w:tcW w:w="4253" w:type="dxa"/>
          </w:tcPr>
          <w:p w14:paraId="0DECF181" w14:textId="77777777" w:rsidR="00116AD9" w:rsidRPr="00DF54A9" w:rsidRDefault="00116AD9" w:rsidP="00FD060C">
            <w:pPr>
              <w:pStyle w:val="HTMLPreformatted"/>
              <w:tabs>
                <w:tab w:val="left" w:pos="5954"/>
              </w:tabs>
              <w:ind w:right="49"/>
              <w:rPr>
                <w:rFonts w:asciiTheme="minorHAnsi" w:hAnsiTheme="minorHAnsi" w:cs="Times New Roman"/>
                <w:sz w:val="21"/>
                <w:szCs w:val="21"/>
              </w:rPr>
            </w:pPr>
            <w:r w:rsidRPr="00DF54A9">
              <w:rPr>
                <w:rFonts w:asciiTheme="minorHAnsi" w:hAnsiTheme="minorHAnsi" w:cs="Times New Roman"/>
                <w:sz w:val="21"/>
                <w:szCs w:val="21"/>
              </w:rPr>
              <w:t>+ 44 20 7251 3801</w:t>
            </w:r>
          </w:p>
        </w:tc>
      </w:tr>
    </w:tbl>
    <w:p w14:paraId="64FC8417" w14:textId="77777777" w:rsidR="00116AD9" w:rsidRPr="00E37ABE" w:rsidRDefault="00116AD9" w:rsidP="00FD060C">
      <w:pPr>
        <w:pStyle w:val="BodyText"/>
        <w:spacing w:before="240"/>
        <w:ind w:left="0" w:right="49"/>
        <w:jc w:val="both"/>
        <w:rPr>
          <w:rFonts w:cs="Calibri"/>
          <w:b/>
        </w:rPr>
      </w:pPr>
      <w:r w:rsidRPr="00E37ABE">
        <w:rPr>
          <w:rFonts w:cs="Calibri"/>
          <w:b/>
        </w:rPr>
        <w:t xml:space="preserve">About Flutter Entertainment plc: </w:t>
      </w:r>
    </w:p>
    <w:p w14:paraId="466462BD" w14:textId="5182EF44" w:rsidR="00116AD9" w:rsidRPr="00E37ABE" w:rsidRDefault="00116AD9" w:rsidP="00FD060C">
      <w:pPr>
        <w:pStyle w:val="BodyText"/>
        <w:spacing w:before="120"/>
        <w:ind w:left="0" w:right="49"/>
        <w:jc w:val="both"/>
        <w:rPr>
          <w:sz w:val="21"/>
          <w:szCs w:val="21"/>
        </w:rPr>
      </w:pPr>
      <w:r w:rsidRPr="00E37ABE">
        <w:rPr>
          <w:sz w:val="21"/>
          <w:szCs w:val="21"/>
        </w:rPr>
        <w:t>Flutter Entertainment plc (the “Group”) is a global sports-betting and gaming company reporting as f</w:t>
      </w:r>
      <w:r w:rsidR="00E37ABE" w:rsidRPr="00E37ABE">
        <w:rPr>
          <w:sz w:val="21"/>
          <w:szCs w:val="21"/>
        </w:rPr>
        <w:t>our</w:t>
      </w:r>
      <w:r w:rsidRPr="00E37ABE">
        <w:rPr>
          <w:sz w:val="21"/>
          <w:szCs w:val="21"/>
        </w:rPr>
        <w:t xml:space="preserve"> divisions: </w:t>
      </w:r>
    </w:p>
    <w:p w14:paraId="142CB438" w14:textId="4731061A" w:rsidR="00116AD9" w:rsidRPr="001348C9" w:rsidRDefault="00E37ABE" w:rsidP="00FD060C">
      <w:pPr>
        <w:pStyle w:val="BodyText"/>
        <w:numPr>
          <w:ilvl w:val="0"/>
          <w:numId w:val="2"/>
        </w:numPr>
        <w:tabs>
          <w:tab w:val="left" w:pos="284"/>
        </w:tabs>
        <w:spacing w:before="80" w:after="80"/>
        <w:ind w:left="284" w:right="49"/>
        <w:jc w:val="both"/>
        <w:rPr>
          <w:b/>
          <w:sz w:val="21"/>
          <w:szCs w:val="21"/>
        </w:rPr>
      </w:pPr>
      <w:r w:rsidRPr="001348C9">
        <w:rPr>
          <w:b/>
          <w:sz w:val="21"/>
          <w:szCs w:val="21"/>
        </w:rPr>
        <w:t>UK</w:t>
      </w:r>
      <w:r w:rsidR="005C53B5" w:rsidRPr="001348C9">
        <w:rPr>
          <w:b/>
          <w:sz w:val="21"/>
          <w:szCs w:val="21"/>
        </w:rPr>
        <w:t xml:space="preserve"> </w:t>
      </w:r>
      <w:r w:rsidRPr="001348C9">
        <w:rPr>
          <w:b/>
          <w:sz w:val="21"/>
          <w:szCs w:val="21"/>
        </w:rPr>
        <w:t>&amp;</w:t>
      </w:r>
      <w:r w:rsidR="005C53B5" w:rsidRPr="001348C9">
        <w:rPr>
          <w:b/>
          <w:sz w:val="21"/>
          <w:szCs w:val="21"/>
        </w:rPr>
        <w:t xml:space="preserve"> </w:t>
      </w:r>
      <w:r w:rsidRPr="001348C9">
        <w:rPr>
          <w:b/>
          <w:sz w:val="21"/>
          <w:szCs w:val="21"/>
        </w:rPr>
        <w:t>I</w:t>
      </w:r>
      <w:r w:rsidR="001348C9" w:rsidRPr="001348C9">
        <w:rPr>
          <w:b/>
          <w:sz w:val="21"/>
          <w:szCs w:val="21"/>
        </w:rPr>
        <w:t>r</w:t>
      </w:r>
      <w:r w:rsidR="005C53B5" w:rsidRPr="001348C9">
        <w:rPr>
          <w:b/>
          <w:sz w:val="21"/>
          <w:szCs w:val="21"/>
        </w:rPr>
        <w:t>eland</w:t>
      </w:r>
      <w:r w:rsidR="00116AD9" w:rsidRPr="001348C9">
        <w:rPr>
          <w:b/>
          <w:sz w:val="21"/>
          <w:szCs w:val="21"/>
        </w:rPr>
        <w:t>:</w:t>
      </w:r>
      <w:r w:rsidR="00116AD9" w:rsidRPr="001348C9">
        <w:rPr>
          <w:sz w:val="21"/>
          <w:szCs w:val="21"/>
        </w:rPr>
        <w:t xml:space="preserve"> includes </w:t>
      </w:r>
      <w:r w:rsidR="001348C9" w:rsidRPr="001348C9">
        <w:rPr>
          <w:sz w:val="21"/>
          <w:szCs w:val="21"/>
        </w:rPr>
        <w:t xml:space="preserve">Sky Betting and Gaming, </w:t>
      </w:r>
      <w:r w:rsidR="00116AD9" w:rsidRPr="001348C9">
        <w:rPr>
          <w:sz w:val="21"/>
          <w:szCs w:val="21"/>
        </w:rPr>
        <w:t>Paddy Power</w:t>
      </w:r>
      <w:r w:rsidR="001348C9" w:rsidRPr="001348C9">
        <w:rPr>
          <w:sz w:val="21"/>
          <w:szCs w:val="21"/>
        </w:rPr>
        <w:t xml:space="preserve"> and </w:t>
      </w:r>
      <w:r w:rsidR="00116AD9" w:rsidRPr="001348C9">
        <w:rPr>
          <w:sz w:val="21"/>
          <w:szCs w:val="21"/>
        </w:rPr>
        <w:t>Betfair brands offering a diverse range of sportsbook, exchange and gaming services across the UK</w:t>
      </w:r>
      <w:r w:rsidR="001348C9" w:rsidRPr="001348C9">
        <w:rPr>
          <w:sz w:val="21"/>
          <w:szCs w:val="21"/>
        </w:rPr>
        <w:t xml:space="preserve"> and</w:t>
      </w:r>
      <w:r w:rsidR="00116AD9" w:rsidRPr="001348C9">
        <w:rPr>
          <w:sz w:val="21"/>
          <w:szCs w:val="21"/>
        </w:rPr>
        <w:t xml:space="preserve"> Ireland</w:t>
      </w:r>
      <w:r w:rsidR="001348C9" w:rsidRPr="001348C9">
        <w:rPr>
          <w:sz w:val="21"/>
          <w:szCs w:val="21"/>
        </w:rPr>
        <w:t>, along with over</w:t>
      </w:r>
      <w:r w:rsidR="00116AD9" w:rsidRPr="001348C9">
        <w:rPr>
          <w:sz w:val="21"/>
          <w:szCs w:val="21"/>
        </w:rPr>
        <w:t xml:space="preserve"> 6</w:t>
      </w:r>
      <w:r w:rsidR="001348C9" w:rsidRPr="001348C9">
        <w:rPr>
          <w:sz w:val="21"/>
          <w:szCs w:val="21"/>
        </w:rPr>
        <w:t>00</w:t>
      </w:r>
      <w:r w:rsidR="00116AD9" w:rsidRPr="001348C9">
        <w:rPr>
          <w:sz w:val="21"/>
          <w:szCs w:val="21"/>
        </w:rPr>
        <w:t xml:space="preserve"> Paddy Power betting shops in the UK and Ireland.</w:t>
      </w:r>
    </w:p>
    <w:p w14:paraId="39EBFA0D" w14:textId="57C83E62" w:rsidR="00116AD9" w:rsidRPr="001348C9" w:rsidRDefault="00116AD9" w:rsidP="00FD060C">
      <w:pPr>
        <w:pStyle w:val="BodyText"/>
        <w:numPr>
          <w:ilvl w:val="0"/>
          <w:numId w:val="2"/>
        </w:numPr>
        <w:tabs>
          <w:tab w:val="left" w:pos="284"/>
        </w:tabs>
        <w:spacing w:before="80" w:after="80"/>
        <w:ind w:left="284" w:right="49"/>
        <w:jc w:val="both"/>
        <w:rPr>
          <w:b/>
          <w:sz w:val="21"/>
          <w:szCs w:val="21"/>
        </w:rPr>
      </w:pPr>
      <w:r w:rsidRPr="001348C9">
        <w:rPr>
          <w:b/>
          <w:sz w:val="21"/>
          <w:szCs w:val="21"/>
        </w:rPr>
        <w:t xml:space="preserve">Australia: </w:t>
      </w:r>
      <w:r w:rsidRPr="001348C9">
        <w:rPr>
          <w:sz w:val="21"/>
          <w:szCs w:val="21"/>
        </w:rPr>
        <w:t xml:space="preserve">the </w:t>
      </w:r>
      <w:r w:rsidR="00FB36C7">
        <w:rPr>
          <w:sz w:val="21"/>
          <w:szCs w:val="21"/>
        </w:rPr>
        <w:t>Sportsbet brand offers online sport betting</w:t>
      </w:r>
      <w:r w:rsidRPr="001348C9">
        <w:rPr>
          <w:sz w:val="21"/>
          <w:szCs w:val="21"/>
        </w:rPr>
        <w:t xml:space="preserve"> and is the </w:t>
      </w:r>
      <w:r w:rsidR="001348C9">
        <w:rPr>
          <w:sz w:val="21"/>
          <w:szCs w:val="21"/>
        </w:rPr>
        <w:t xml:space="preserve">Australian </w:t>
      </w:r>
      <w:r w:rsidRPr="001348C9">
        <w:rPr>
          <w:sz w:val="21"/>
          <w:szCs w:val="21"/>
        </w:rPr>
        <w:t>market leader.</w:t>
      </w:r>
    </w:p>
    <w:p w14:paraId="2CE4AAA0" w14:textId="3C0B8DE9" w:rsidR="00116AD9" w:rsidRPr="001348C9" w:rsidRDefault="00E37ABE" w:rsidP="00FD060C">
      <w:pPr>
        <w:pStyle w:val="BodyText"/>
        <w:numPr>
          <w:ilvl w:val="0"/>
          <w:numId w:val="2"/>
        </w:numPr>
        <w:tabs>
          <w:tab w:val="left" w:pos="284"/>
        </w:tabs>
        <w:spacing w:before="80" w:after="80"/>
        <w:ind w:left="284" w:right="49"/>
        <w:jc w:val="both"/>
        <w:rPr>
          <w:b/>
          <w:sz w:val="21"/>
          <w:szCs w:val="21"/>
        </w:rPr>
      </w:pPr>
      <w:r w:rsidRPr="001348C9">
        <w:rPr>
          <w:b/>
          <w:sz w:val="21"/>
          <w:szCs w:val="21"/>
        </w:rPr>
        <w:t>International</w:t>
      </w:r>
      <w:r w:rsidR="00116AD9" w:rsidRPr="001348C9">
        <w:rPr>
          <w:b/>
          <w:sz w:val="21"/>
          <w:szCs w:val="21"/>
        </w:rPr>
        <w:t xml:space="preserve">: </w:t>
      </w:r>
      <w:r w:rsidR="001348C9" w:rsidRPr="001348C9">
        <w:rPr>
          <w:sz w:val="21"/>
          <w:szCs w:val="21"/>
        </w:rPr>
        <w:t xml:space="preserve">includes PokerStars, Adjarabet, Betfair and Junglee </w:t>
      </w:r>
      <w:r w:rsidR="00116AD9" w:rsidRPr="001348C9">
        <w:rPr>
          <w:sz w:val="21"/>
          <w:szCs w:val="21"/>
        </w:rPr>
        <w:t>operat</w:t>
      </w:r>
      <w:r w:rsidR="001348C9" w:rsidRPr="001348C9">
        <w:rPr>
          <w:sz w:val="21"/>
          <w:szCs w:val="21"/>
        </w:rPr>
        <w:t xml:space="preserve">ing </w:t>
      </w:r>
      <w:r w:rsidR="00116AD9" w:rsidRPr="001348C9">
        <w:rPr>
          <w:sz w:val="21"/>
          <w:szCs w:val="21"/>
        </w:rPr>
        <w:t>in multiple jurisdictions around the world</w:t>
      </w:r>
      <w:r w:rsidR="001348C9" w:rsidRPr="001348C9">
        <w:rPr>
          <w:sz w:val="21"/>
          <w:szCs w:val="21"/>
        </w:rPr>
        <w:t xml:space="preserve"> offering a diverse range of sportsbook, exchange and gaming services. </w:t>
      </w:r>
    </w:p>
    <w:p w14:paraId="5B729729" w14:textId="37F385C7" w:rsidR="007C784C" w:rsidRPr="00A06CF0" w:rsidRDefault="00116AD9" w:rsidP="00FD060C">
      <w:pPr>
        <w:pStyle w:val="BodyText"/>
        <w:numPr>
          <w:ilvl w:val="0"/>
          <w:numId w:val="2"/>
        </w:numPr>
        <w:tabs>
          <w:tab w:val="left" w:pos="284"/>
        </w:tabs>
        <w:spacing w:before="80" w:after="80"/>
        <w:ind w:left="284" w:right="49"/>
        <w:jc w:val="both"/>
        <w:rPr>
          <w:b/>
          <w:sz w:val="21"/>
          <w:szCs w:val="21"/>
        </w:rPr>
      </w:pPr>
      <w:r w:rsidRPr="00E37ABE">
        <w:rPr>
          <w:b/>
          <w:sz w:val="21"/>
          <w:szCs w:val="21"/>
        </w:rPr>
        <w:t xml:space="preserve">US: </w:t>
      </w:r>
      <w:r w:rsidR="00E37ABE" w:rsidRPr="00E37ABE">
        <w:rPr>
          <w:sz w:val="21"/>
          <w:szCs w:val="21"/>
        </w:rPr>
        <w:t xml:space="preserve">includes FanDuel, </w:t>
      </w:r>
      <w:r w:rsidR="00C05E56">
        <w:rPr>
          <w:sz w:val="21"/>
          <w:szCs w:val="21"/>
        </w:rPr>
        <w:t xml:space="preserve">TVG, Stardust, </w:t>
      </w:r>
      <w:r w:rsidR="00E37ABE" w:rsidRPr="00E37ABE">
        <w:rPr>
          <w:sz w:val="21"/>
          <w:szCs w:val="21"/>
        </w:rPr>
        <w:t>FOX Bet</w:t>
      </w:r>
      <w:r w:rsidR="00C05E56">
        <w:rPr>
          <w:sz w:val="21"/>
          <w:szCs w:val="21"/>
        </w:rPr>
        <w:t xml:space="preserve"> and </w:t>
      </w:r>
      <w:r w:rsidR="00E37ABE" w:rsidRPr="00E37ABE">
        <w:rPr>
          <w:sz w:val="21"/>
          <w:szCs w:val="21"/>
        </w:rPr>
        <w:t>PokerStars brands, offering regulated real money and free-to-play sports betting, online gaming, daily fantasy sports and online racing wagering products to customers across various states in the US</w:t>
      </w:r>
      <w:r w:rsidRPr="00E37ABE">
        <w:rPr>
          <w:sz w:val="21"/>
          <w:szCs w:val="21"/>
        </w:rPr>
        <w:t>.</w:t>
      </w:r>
      <w:bookmarkEnd w:id="8"/>
    </w:p>
    <w:p w14:paraId="439D6B32" w14:textId="360C34C0" w:rsidR="00A06CF0" w:rsidRDefault="00A06CF0" w:rsidP="00A06CF0">
      <w:pPr>
        <w:pStyle w:val="BodyText"/>
        <w:tabs>
          <w:tab w:val="left" w:pos="284"/>
        </w:tabs>
        <w:spacing w:before="80" w:after="80"/>
        <w:ind w:right="49"/>
        <w:jc w:val="both"/>
        <w:rPr>
          <w:sz w:val="21"/>
          <w:szCs w:val="21"/>
        </w:rPr>
      </w:pPr>
    </w:p>
    <w:p w14:paraId="5B7479C1" w14:textId="77777777" w:rsidR="00D734D1" w:rsidRDefault="00D734D1" w:rsidP="00A06CF0">
      <w:pPr>
        <w:pStyle w:val="BodyText"/>
        <w:tabs>
          <w:tab w:val="left" w:pos="284"/>
        </w:tabs>
        <w:spacing w:before="80" w:after="80"/>
        <w:ind w:right="49"/>
        <w:jc w:val="both"/>
        <w:rPr>
          <w:sz w:val="21"/>
          <w:szCs w:val="21"/>
        </w:rPr>
        <w:sectPr w:rsidR="00D734D1" w:rsidSect="00A41E16">
          <w:headerReference w:type="default" r:id="rId14"/>
          <w:footerReference w:type="default" r:id="rId15"/>
          <w:pgSz w:w="12240" w:h="15840"/>
          <w:pgMar w:top="1134" w:right="1134" w:bottom="0" w:left="1134" w:header="0" w:footer="970" w:gutter="0"/>
          <w:cols w:space="720"/>
          <w:docGrid w:linePitch="299"/>
        </w:sectPr>
      </w:pPr>
    </w:p>
    <w:p w14:paraId="479AF3B1" w14:textId="77777777" w:rsidR="00D734D1" w:rsidRDefault="00D734D1" w:rsidP="00D734D1">
      <w:pPr>
        <w:spacing w:line="276" w:lineRule="auto"/>
        <w:rPr>
          <w:b/>
          <w:bCs/>
        </w:rPr>
      </w:pPr>
      <w:bookmarkStart w:id="10" w:name="_Hlk69826609"/>
      <w:r w:rsidRPr="00E24824">
        <w:rPr>
          <w:b/>
          <w:bCs/>
        </w:rPr>
        <w:lastRenderedPageBreak/>
        <w:t>Divisional Key Performance Indicators – Q1 2021</w:t>
      </w:r>
    </w:p>
    <w:p w14:paraId="1E83AC2A" w14:textId="77777777" w:rsidR="00D734D1" w:rsidRPr="00E24824" w:rsidRDefault="00D734D1" w:rsidP="00D734D1">
      <w:pPr>
        <w:spacing w:line="276" w:lineRule="auto"/>
        <w:rPr>
          <w:i/>
          <w:iCs/>
        </w:rPr>
      </w:pPr>
      <w:r w:rsidRPr="00E24824">
        <w:rPr>
          <w:i/>
          <w:iCs/>
        </w:rPr>
        <w:t>Unaudited pro forma</w:t>
      </w: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1841"/>
        <w:gridCol w:w="812"/>
        <w:gridCol w:w="813"/>
        <w:gridCol w:w="813"/>
        <w:gridCol w:w="813"/>
        <w:gridCol w:w="720"/>
        <w:gridCol w:w="906"/>
        <w:gridCol w:w="813"/>
        <w:gridCol w:w="812"/>
        <w:gridCol w:w="813"/>
        <w:gridCol w:w="813"/>
        <w:gridCol w:w="813"/>
        <w:gridCol w:w="813"/>
        <w:gridCol w:w="813"/>
        <w:gridCol w:w="813"/>
        <w:gridCol w:w="813"/>
      </w:tblGrid>
      <w:tr w:rsidR="00364508" w:rsidRPr="004801A1" w14:paraId="5A89A1AE" w14:textId="77777777" w:rsidTr="001D1E86">
        <w:trPr>
          <w:trHeight w:val="300"/>
        </w:trPr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A8DF7" w14:textId="77777777" w:rsidR="00364508" w:rsidRPr="00117348" w:rsidRDefault="00364508" w:rsidP="003645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4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46BF" w14:textId="77777777" w:rsidR="00364508" w:rsidRPr="00117348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</w:pPr>
            <w:r w:rsidRPr="00117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  <w:t>UK &amp; Ireland</w:t>
            </w:r>
          </w:p>
        </w:tc>
        <w:tc>
          <w:tcPr>
            <w:tcW w:w="24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FDB4" w14:textId="77777777" w:rsidR="00364508" w:rsidRPr="00117348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</w:pPr>
            <w:r w:rsidRPr="00117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  <w:t>Australia</w:t>
            </w:r>
          </w:p>
        </w:tc>
        <w:tc>
          <w:tcPr>
            <w:tcW w:w="24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C6F2" w14:textId="77777777" w:rsidR="00364508" w:rsidRPr="00117348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</w:pPr>
            <w:r w:rsidRPr="00117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  <w:t>International</w:t>
            </w:r>
          </w:p>
        </w:tc>
        <w:tc>
          <w:tcPr>
            <w:tcW w:w="24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2C2" w14:textId="77777777" w:rsidR="00364508" w:rsidRPr="00117348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</w:pPr>
            <w:r w:rsidRPr="00117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  <w:t>US</w:t>
            </w:r>
          </w:p>
        </w:tc>
        <w:tc>
          <w:tcPr>
            <w:tcW w:w="24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6BCC4D" w14:textId="77777777" w:rsidR="00364508" w:rsidRPr="00117348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</w:pPr>
            <w:r w:rsidRPr="00117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  <w:t>Group</w:t>
            </w:r>
          </w:p>
        </w:tc>
      </w:tr>
      <w:tr w:rsidR="008B3CD6" w:rsidRPr="004801A1" w14:paraId="0908298D" w14:textId="77777777" w:rsidTr="00444438">
        <w:trPr>
          <w:trHeight w:val="810"/>
        </w:trPr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65DA" w14:textId="77777777" w:rsidR="00364508" w:rsidRPr="001D1E86" w:rsidRDefault="00364508" w:rsidP="0036450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Proforma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IE"/>
              </w:rPr>
              <w:t>1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AC4DA4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2021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2B405A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2020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AA3D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CC Change %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IE"/>
              </w:rPr>
              <w:t>2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9FD56F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2021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CBACC4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2020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F7979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 xml:space="preserve">CC 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Change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%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IE"/>
              </w:rPr>
              <w:t>2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D3FF7C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2021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FD1170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2020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C3EA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CC Change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%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IE"/>
              </w:rPr>
              <w:t>2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72B3C3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2021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670BD1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2020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D31CF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CC Change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%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IE"/>
              </w:rPr>
              <w:t>2</w:t>
            </w:r>
          </w:p>
        </w:tc>
        <w:tc>
          <w:tcPr>
            <w:tcW w:w="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63ACA6B7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2021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  <w:hideMark/>
          </w:tcPr>
          <w:p w14:paraId="7184B67C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2020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59A47E" w14:textId="77777777" w:rsidR="00364508" w:rsidRPr="001D1E86" w:rsidRDefault="00364508" w:rsidP="00364508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CC Change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%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IE"/>
              </w:rPr>
              <w:t>2</w:t>
            </w:r>
          </w:p>
        </w:tc>
      </w:tr>
      <w:tr w:rsidR="008B3CD6" w:rsidRPr="004801A1" w14:paraId="1CBCA06B" w14:textId="77777777" w:rsidTr="00444438">
        <w:trPr>
          <w:trHeight w:val="120"/>
        </w:trPr>
        <w:tc>
          <w:tcPr>
            <w:tcW w:w="18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CD68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D7B0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4AA9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196D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30F5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EFFD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6D3E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9D11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8231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9D17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6EF9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046C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8565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C03C39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D329F3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FD47E9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</w:tr>
      <w:tr w:rsidR="008B3CD6" w:rsidRPr="004801A1" w14:paraId="4799EC1B" w14:textId="77777777" w:rsidTr="00444438">
        <w:trPr>
          <w:trHeight w:val="270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FC92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Sportsbook stakes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1C64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3,083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20BD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2,240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C89B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+37%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EA2E5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2,451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1B0F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1,545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EF8E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+46%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0402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452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B05F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311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F8B7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+47%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53E7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2,714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B371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864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A689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+235%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8376E3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8,700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74C73F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4,959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0C86BE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+72%</w:t>
            </w:r>
          </w:p>
        </w:tc>
      </w:tr>
      <w:tr w:rsidR="008B3CD6" w:rsidRPr="004801A1" w14:paraId="1B0A4D85" w14:textId="77777777" w:rsidTr="00444438">
        <w:trPr>
          <w:trHeight w:val="272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B3C7" w14:textId="77777777" w:rsidR="00364508" w:rsidRPr="001D1E86" w:rsidRDefault="00364508" w:rsidP="00364508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Sportsbook net revenue margin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CFAE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10.6%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1FC1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13.0%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E4EA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-240bps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A885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11.4%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C30B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10.4%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56D5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+100bps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0216B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8.6%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B8E6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10.1%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1DC7" w14:textId="37A34068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-1</w:t>
            </w:r>
            <w:r w:rsidR="00D805F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5</w:t>
            </w: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0bps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4D68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4.4%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8133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4.6%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4305" w14:textId="0CEAB1F2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-</w:t>
            </w:r>
            <w:r w:rsidR="00D805F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2</w:t>
            </w: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0bps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E9C0DA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8.8%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984136" w14:textId="77777777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10.5%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AA28A" w14:textId="22B9546D" w:rsidR="00364508" w:rsidRPr="001D1E86" w:rsidRDefault="00364508" w:rsidP="00364508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-1</w:t>
            </w:r>
            <w:r w:rsidR="00D805F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7</w:t>
            </w: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0bps</w:t>
            </w:r>
          </w:p>
        </w:tc>
      </w:tr>
      <w:tr w:rsidR="008B3CD6" w:rsidRPr="004801A1" w14:paraId="321B4725" w14:textId="77777777" w:rsidTr="00444438">
        <w:trPr>
          <w:trHeight w:val="120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A26F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623B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261B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CE3F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2B11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FF65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A5D4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6B36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F578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EA5E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CFAB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C3D0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E397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3020AD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625A65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32D4D1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</w:tr>
      <w:tr w:rsidR="008B3CD6" w:rsidRPr="004801A1" w14:paraId="36A31B85" w14:textId="77777777" w:rsidTr="00444438">
        <w:trPr>
          <w:trHeight w:val="270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1B86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Sports revenue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CFA7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371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09B2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331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4D7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+12%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A845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2294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161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547F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+59%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3F9C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57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E3BB6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47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6824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+22%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21AC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189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7FF4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88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7D86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+130%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D634E8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896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B856BD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627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E45BD0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+41%</w:t>
            </w:r>
          </w:p>
        </w:tc>
      </w:tr>
      <w:tr w:rsidR="008B3CD6" w:rsidRPr="004801A1" w14:paraId="24E49C0A" w14:textId="77777777" w:rsidTr="00444438">
        <w:trPr>
          <w:trHeight w:val="270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98CE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Gaming revenue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E85C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196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DCE0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158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53D8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+24%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507A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04FA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CE8D" w14:textId="77777777" w:rsidR="00364508" w:rsidRPr="004801A1" w:rsidRDefault="00364508" w:rsidP="003645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C7FE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294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5423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297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75BD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+4%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C83F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99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0B01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43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F16A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+146%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5A575C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589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D634F9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498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BAF20C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+22%</w:t>
            </w:r>
          </w:p>
        </w:tc>
      </w:tr>
      <w:tr w:rsidR="008B3CD6" w:rsidRPr="004801A1" w14:paraId="7156BB59" w14:textId="77777777" w:rsidTr="00444438">
        <w:trPr>
          <w:trHeight w:val="270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42F1C3" w14:textId="77777777" w:rsidR="00364508" w:rsidRPr="004801A1" w:rsidRDefault="00364508" w:rsidP="003645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Total revenue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41C6A5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568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6E64B5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489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1A5982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+16%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E89D53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279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E875D6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161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FD4FD0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+59%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EB9377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351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84F8D9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344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4B74A7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+7%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C6D9A7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288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988AE0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132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148E7B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+135%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AAECFC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1,485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525364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1,126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5606FC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+33%</w:t>
            </w:r>
          </w:p>
        </w:tc>
      </w:tr>
      <w:tr w:rsidR="008B3CD6" w:rsidRPr="004801A1" w14:paraId="086BD809" w14:textId="77777777" w:rsidTr="00444438">
        <w:trPr>
          <w:trHeight w:val="120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250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D000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8124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268E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05AD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B3DB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DBFC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1D1A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3E04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1BE8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882C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C140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6FBF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B4AE68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939238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5D17EE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</w:tr>
      <w:tr w:rsidR="008B3CD6" w:rsidRPr="004801A1" w14:paraId="248B95EF" w14:textId="77777777" w:rsidTr="00444438">
        <w:trPr>
          <w:trHeight w:val="530"/>
        </w:trPr>
        <w:tc>
          <w:tcPr>
            <w:tcW w:w="1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B8B31" w14:textId="2B829C09" w:rsidR="00364508" w:rsidRPr="004801A1" w:rsidRDefault="00364508" w:rsidP="003645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 xml:space="preserve">Average </w:t>
            </w:r>
            <w:r w:rsidR="00444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m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 xml:space="preserve">onthly </w:t>
            </w:r>
            <w:r w:rsidR="004444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p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layers</w:t>
            </w:r>
            <w:r w:rsidR="000E7752" w:rsidRPr="00DD25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en-IE"/>
              </w:rPr>
              <w:t>3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 xml:space="preserve"> (000's)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2799EF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3,167</w:t>
            </w:r>
          </w:p>
        </w:tc>
        <w:tc>
          <w:tcPr>
            <w:tcW w:w="8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495C70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2,571</w:t>
            </w:r>
          </w:p>
        </w:tc>
        <w:tc>
          <w:tcPr>
            <w:tcW w:w="8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6BFCC5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23%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CCE15D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831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EE97C8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581</w:t>
            </w:r>
          </w:p>
        </w:tc>
        <w:tc>
          <w:tcPr>
            <w:tcW w:w="9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41BC2E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43%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DD1975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2,027</w:t>
            </w:r>
          </w:p>
        </w:tc>
        <w:tc>
          <w:tcPr>
            <w:tcW w:w="81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269B28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1,774</w:t>
            </w:r>
          </w:p>
        </w:tc>
        <w:tc>
          <w:tcPr>
            <w:tcW w:w="8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1B3EE5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14%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48D0A7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1,648</w:t>
            </w:r>
          </w:p>
        </w:tc>
        <w:tc>
          <w:tcPr>
            <w:tcW w:w="8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795B14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710</w:t>
            </w:r>
          </w:p>
        </w:tc>
        <w:tc>
          <w:tcPr>
            <w:tcW w:w="8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A7E1E2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132%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919036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7,672</w:t>
            </w:r>
          </w:p>
        </w:tc>
        <w:tc>
          <w:tcPr>
            <w:tcW w:w="8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566425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5,635</w:t>
            </w:r>
          </w:p>
        </w:tc>
        <w:tc>
          <w:tcPr>
            <w:tcW w:w="81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4CDB73" w14:textId="77777777" w:rsidR="00364508" w:rsidRPr="004801A1" w:rsidRDefault="00364508" w:rsidP="0036450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36%</w:t>
            </w:r>
          </w:p>
        </w:tc>
      </w:tr>
      <w:tr w:rsidR="008B3CD6" w:rsidRPr="004801A1" w14:paraId="37272432" w14:textId="77777777" w:rsidTr="00444438">
        <w:trPr>
          <w:trHeight w:val="120"/>
        </w:trPr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AC6C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A605C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F7AF2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615E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0299D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95D66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0B71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0AB6A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CF8A5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A497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5F5BE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15F67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C30B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48418E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7C625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93FF4" w14:textId="77777777" w:rsidR="00364508" w:rsidRPr="004801A1" w:rsidRDefault="00364508" w:rsidP="00364508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</w:tr>
    </w:tbl>
    <w:p w14:paraId="041B47B2" w14:textId="77777777" w:rsidR="00364508" w:rsidRPr="00DD257A" w:rsidRDefault="00364508" w:rsidP="00364508">
      <w:pPr>
        <w:spacing w:line="276" w:lineRule="auto"/>
        <w:rPr>
          <w:sz w:val="4"/>
          <w:szCs w:val="18"/>
        </w:rPr>
      </w:pPr>
    </w:p>
    <w:bookmarkEnd w:id="10"/>
    <w:tbl>
      <w:tblPr>
        <w:tblW w:w="6946" w:type="dxa"/>
        <w:tblLayout w:type="fixed"/>
        <w:tblLook w:val="04A0" w:firstRow="1" w:lastRow="0" w:firstColumn="1" w:lastColumn="0" w:noHBand="0" w:noVBand="1"/>
      </w:tblPr>
      <w:tblGrid>
        <w:gridCol w:w="1843"/>
        <w:gridCol w:w="792"/>
        <w:gridCol w:w="767"/>
        <w:gridCol w:w="851"/>
        <w:gridCol w:w="850"/>
        <w:gridCol w:w="851"/>
        <w:gridCol w:w="992"/>
      </w:tblGrid>
      <w:tr w:rsidR="008C08C6" w:rsidRPr="004801A1" w14:paraId="6020EFD6" w14:textId="77777777" w:rsidTr="000D77B0">
        <w:trPr>
          <w:trHeight w:val="270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A202" w14:textId="77777777" w:rsidR="008C08C6" w:rsidRPr="00117348" w:rsidRDefault="008C08C6" w:rsidP="000D7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F2C7" w14:textId="77777777" w:rsidR="008C08C6" w:rsidRPr="00117348" w:rsidRDefault="008C08C6" w:rsidP="000D77B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</w:pPr>
            <w:r w:rsidRPr="00117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  <w:t>UK &amp; Ireland Online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B7A425" w14:textId="77777777" w:rsidR="008C08C6" w:rsidRPr="00117348" w:rsidRDefault="008C08C6" w:rsidP="000D77B0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</w:pPr>
            <w:r w:rsidRPr="0011734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E"/>
              </w:rPr>
              <w:t>UK &amp; Ireland Retail</w:t>
            </w:r>
          </w:p>
        </w:tc>
      </w:tr>
      <w:tr w:rsidR="008C08C6" w:rsidRPr="004801A1" w14:paraId="46431298" w14:textId="77777777" w:rsidTr="000D77B0">
        <w:trPr>
          <w:trHeight w:val="55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E11F" w14:textId="77777777" w:rsidR="008C08C6" w:rsidRPr="001D1E86" w:rsidRDefault="008C08C6" w:rsidP="000D77B0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Proforma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IE"/>
              </w:rPr>
              <w:t>1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2502E" w14:textId="77777777" w:rsidR="008C08C6" w:rsidRPr="001D1E86" w:rsidRDefault="008C08C6" w:rsidP="000D77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2021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AE076" w14:textId="77777777" w:rsidR="008C08C6" w:rsidRPr="001D1E86" w:rsidRDefault="008C08C6" w:rsidP="000D77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Q1 2020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C9FD" w14:textId="77777777" w:rsidR="008C08C6" w:rsidRPr="001D1E86" w:rsidRDefault="008C08C6" w:rsidP="000D77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CC Change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%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IE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EAE73" w14:textId="77777777" w:rsidR="008C08C6" w:rsidRDefault="008C08C6" w:rsidP="000D77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 xml:space="preserve">Q1 </w:t>
            </w:r>
          </w:p>
          <w:p w14:paraId="27C74CD1" w14:textId="77777777" w:rsidR="008C08C6" w:rsidRPr="001D1E86" w:rsidRDefault="008C08C6" w:rsidP="000D77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2021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ABC01" w14:textId="77777777" w:rsidR="008C08C6" w:rsidRDefault="008C08C6" w:rsidP="000D77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 xml:space="preserve">Q1 </w:t>
            </w:r>
          </w:p>
          <w:p w14:paraId="196B302F" w14:textId="77777777" w:rsidR="008C08C6" w:rsidRPr="001D1E86" w:rsidRDefault="008C08C6" w:rsidP="000D77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2020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£m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428EE" w14:textId="77777777" w:rsidR="008C08C6" w:rsidRPr="001D1E86" w:rsidRDefault="008C08C6" w:rsidP="000D77B0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CC Change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br/>
              <w:t>%</w:t>
            </w:r>
            <w:r w:rsidRPr="001D1E86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IE"/>
              </w:rPr>
              <w:t>2</w:t>
            </w:r>
          </w:p>
        </w:tc>
      </w:tr>
      <w:tr w:rsidR="008C08C6" w:rsidRPr="004801A1" w14:paraId="4C233012" w14:textId="77777777" w:rsidTr="000D77B0">
        <w:trPr>
          <w:trHeight w:val="12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2CC9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CD25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F222" w14:textId="77777777" w:rsidR="008C08C6" w:rsidRPr="004801A1" w:rsidRDefault="008C08C6" w:rsidP="000D77B0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FF8F" w14:textId="77777777" w:rsidR="008C08C6" w:rsidRPr="004801A1" w:rsidRDefault="008C08C6" w:rsidP="000D77B0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D881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B89D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71A27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</w:tr>
      <w:tr w:rsidR="008C08C6" w:rsidRPr="004801A1" w14:paraId="1C7124F3" w14:textId="77777777" w:rsidTr="000D77B0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FD93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Sportsbook stakes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E4D7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3,081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2F070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1,883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B47B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+63%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AA94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A5B6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356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C2EEE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-99%</w:t>
            </w:r>
          </w:p>
        </w:tc>
      </w:tr>
      <w:tr w:rsidR="008C08C6" w:rsidRPr="004801A1" w14:paraId="596E49B5" w14:textId="77777777" w:rsidTr="000D77B0">
        <w:trPr>
          <w:trHeight w:val="272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3281" w14:textId="77777777" w:rsidR="008C08C6" w:rsidRPr="001D1E86" w:rsidRDefault="008C08C6" w:rsidP="000D77B0">
            <w:pP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Sportsbook net revenue margin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497D" w14:textId="77777777" w:rsidR="008C08C6" w:rsidRPr="001D1E86" w:rsidRDefault="008C08C6" w:rsidP="000D77B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10.6%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3D51" w14:textId="77777777" w:rsidR="008C08C6" w:rsidRPr="001D1E86" w:rsidRDefault="008C08C6" w:rsidP="000D77B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12.7%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1E79" w14:textId="77777777" w:rsidR="008C08C6" w:rsidRPr="001D1E86" w:rsidRDefault="008C08C6" w:rsidP="000D77B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-210bps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DDD3" w14:textId="77777777" w:rsidR="008C08C6" w:rsidRPr="001D1E86" w:rsidRDefault="008C08C6" w:rsidP="000D77B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-5.7%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C7A4" w14:textId="77777777" w:rsidR="008C08C6" w:rsidRPr="001D1E86" w:rsidRDefault="008C08C6" w:rsidP="000D77B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14.6%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085EB" w14:textId="77777777" w:rsidR="008C08C6" w:rsidRPr="001D1E86" w:rsidRDefault="008C08C6" w:rsidP="000D77B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</w:pPr>
            <w:r w:rsidRPr="001D1E86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20"/>
                <w:lang w:eastAsia="en-IE"/>
              </w:rPr>
              <w:t>-2,030bps</w:t>
            </w:r>
          </w:p>
        </w:tc>
      </w:tr>
      <w:tr w:rsidR="008C08C6" w:rsidRPr="004801A1" w14:paraId="5DF40FF9" w14:textId="77777777" w:rsidTr="000D77B0">
        <w:trPr>
          <w:trHeight w:val="12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9914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8137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D2A7" w14:textId="77777777" w:rsidR="008C08C6" w:rsidRPr="004801A1" w:rsidRDefault="008C08C6" w:rsidP="000D77B0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28EE" w14:textId="77777777" w:rsidR="008C08C6" w:rsidRPr="004801A1" w:rsidRDefault="008C08C6" w:rsidP="000D77B0">
            <w:pPr>
              <w:rPr>
                <w:rFonts w:ascii="Times New Roman" w:eastAsia="Times New Roman" w:hAnsi="Times New Roman" w:cs="Times New Roman"/>
                <w:sz w:val="8"/>
                <w:szCs w:val="8"/>
                <w:lang w:eastAsia="en-IE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319D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3750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EBC1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</w:tr>
      <w:tr w:rsidR="008C08C6" w:rsidRPr="004801A1" w14:paraId="0B688D23" w14:textId="77777777" w:rsidTr="000D77B0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9A85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Sports revenue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E312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371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DBAB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279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F674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+33%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96FB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(0)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0907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A3678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-100%</w:t>
            </w:r>
          </w:p>
        </w:tc>
      </w:tr>
      <w:tr w:rsidR="008C08C6" w:rsidRPr="004801A1" w14:paraId="7D1D1175" w14:textId="77777777" w:rsidTr="000D77B0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2EA3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Gaming revenue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0285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196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AA51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C4F5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+41%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DB9F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(0)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3CD3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4513C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-100%</w:t>
            </w:r>
          </w:p>
        </w:tc>
      </w:tr>
      <w:tr w:rsidR="008C08C6" w:rsidRPr="004801A1" w14:paraId="64431F2C" w14:textId="77777777" w:rsidTr="000D77B0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3AB37" w14:textId="77777777" w:rsidR="008C08C6" w:rsidRPr="004801A1" w:rsidRDefault="008C08C6" w:rsidP="000D77B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Total revenue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3C449B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568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20D02B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419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DEBDA3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+35%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1E0304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(0)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665A09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990435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-100%</w:t>
            </w:r>
          </w:p>
        </w:tc>
      </w:tr>
      <w:tr w:rsidR="008C08C6" w:rsidRPr="004801A1" w14:paraId="55523E57" w14:textId="77777777" w:rsidTr="000D77B0">
        <w:trPr>
          <w:trHeight w:val="12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C47B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994C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C0C3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F5F9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1220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FFBC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AC49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</w:tr>
      <w:tr w:rsidR="008C08C6" w:rsidRPr="004801A1" w14:paraId="7B26D8BA" w14:textId="77777777" w:rsidTr="000D77B0">
        <w:trPr>
          <w:trHeight w:val="53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E76EE" w14:textId="77777777" w:rsidR="008C08C6" w:rsidRDefault="008C08C6" w:rsidP="000D77B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 xml:space="preserve">Average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m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 xml:space="preserve">onthly </w:t>
            </w:r>
          </w:p>
          <w:p w14:paraId="449574CF" w14:textId="77777777" w:rsidR="008C08C6" w:rsidRPr="004801A1" w:rsidRDefault="008C08C6" w:rsidP="000D77B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p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layers</w:t>
            </w:r>
            <w:r w:rsidRPr="000D77B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perscript"/>
                <w:lang w:eastAsia="en-IE"/>
              </w:rPr>
              <w:t>3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 xml:space="preserve"> (000's)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EF5B4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3,167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14BF53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2,571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FCB130" w14:textId="77777777" w:rsidR="008C08C6" w:rsidRPr="004801A1" w:rsidRDefault="008C08C6" w:rsidP="000D77B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+</w:t>
            </w: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23%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656B4" w14:textId="77777777" w:rsidR="008C08C6" w:rsidRPr="004801A1" w:rsidRDefault="008C08C6" w:rsidP="000D77B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102E" w14:textId="77777777" w:rsidR="008C08C6" w:rsidRPr="004801A1" w:rsidRDefault="008C08C6" w:rsidP="000D77B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E97EA" w14:textId="77777777" w:rsidR="008C08C6" w:rsidRPr="004801A1" w:rsidRDefault="008C08C6" w:rsidP="000D77B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8C08C6" w:rsidRPr="004801A1" w14:paraId="6CB03C3A" w14:textId="77777777" w:rsidTr="000D77B0">
        <w:trPr>
          <w:trHeight w:val="12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46FE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135A6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3DDB2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DEF0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17EF8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0CB81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C04C8" w14:textId="77777777" w:rsidR="008C08C6" w:rsidRPr="004801A1" w:rsidRDefault="008C08C6" w:rsidP="000D77B0">
            <w:pPr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</w:pPr>
            <w:r w:rsidRPr="004801A1">
              <w:rPr>
                <w:rFonts w:ascii="Calibri" w:eastAsia="Times New Roman" w:hAnsi="Calibri" w:cs="Calibri"/>
                <w:color w:val="000000"/>
                <w:sz w:val="8"/>
                <w:szCs w:val="8"/>
                <w:lang w:eastAsia="en-IE"/>
              </w:rPr>
              <w:t> </w:t>
            </w:r>
          </w:p>
        </w:tc>
      </w:tr>
    </w:tbl>
    <w:p w14:paraId="2DD1C6A4" w14:textId="40037987" w:rsidR="00A06CF0" w:rsidRPr="008C08C6" w:rsidRDefault="00A06CF0" w:rsidP="00DD257A">
      <w:pPr>
        <w:pStyle w:val="BodyText"/>
        <w:tabs>
          <w:tab w:val="left" w:pos="284"/>
        </w:tabs>
        <w:spacing w:before="80" w:after="80"/>
        <w:ind w:left="0" w:right="49"/>
        <w:jc w:val="both"/>
        <w:rPr>
          <w:b/>
          <w:sz w:val="4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3737"/>
      </w:tblGrid>
      <w:tr w:rsidR="008C08C6" w:rsidRPr="00806919" w14:paraId="63B5CC54" w14:textId="77777777" w:rsidTr="000D77B0">
        <w:trPr>
          <w:trHeight w:val="3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D3BE8" w14:textId="77777777" w:rsidR="008C08C6" w:rsidRPr="000D0F04" w:rsidRDefault="008C08C6" w:rsidP="000D77B0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sz w:val="22"/>
                <w:szCs w:val="22"/>
              </w:rPr>
            </w:pPr>
            <w:r w:rsidRPr="000D0F04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737" w:type="dxa"/>
            <w:tcBorders>
              <w:top w:val="nil"/>
              <w:left w:val="nil"/>
              <w:bottom w:val="nil"/>
              <w:right w:val="nil"/>
            </w:tcBorders>
          </w:tcPr>
          <w:p w14:paraId="5CAFEA21" w14:textId="77777777" w:rsidR="008C08C6" w:rsidRPr="00806919" w:rsidRDefault="008C08C6" w:rsidP="000D77B0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Flutter’s combination with TSG completed on May 5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2020. The pro forma numbers presented include TSG for a full 3-month period in 20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20</w:t>
            </w: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Junglee, which was acquired in January 2021, has not been included on a pro forma basis.</w:t>
            </w:r>
          </w:p>
        </w:tc>
      </w:tr>
      <w:tr w:rsidR="008C08C6" w:rsidRPr="00806919" w14:paraId="254D9CB0" w14:textId="77777777" w:rsidTr="000D77B0">
        <w:trPr>
          <w:trHeight w:val="37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C9246" w14:textId="77777777" w:rsidR="008C08C6" w:rsidRPr="000D0F04" w:rsidRDefault="008C08C6" w:rsidP="000D77B0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rFonts w:asciiTheme="minorHAnsi" w:hAnsiTheme="minorHAnsi" w:cs="Times New Roman"/>
                <w:b/>
                <w:i/>
                <w:sz w:val="22"/>
                <w:szCs w:val="22"/>
              </w:rPr>
            </w:pPr>
            <w:r w:rsidRPr="000D0F0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46683" w14:textId="77777777" w:rsidR="008C08C6" w:rsidRPr="00806919" w:rsidRDefault="008C08C6" w:rsidP="000D77B0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Constant currency (“cc”) growth is calculated by retranslating the non-sterling denominated component of Q1 2020 at Q1 2021 exchange rates. Growth rates in the commentary are in local or constant currency.</w:t>
            </w:r>
          </w:p>
        </w:tc>
      </w:tr>
      <w:tr w:rsidR="008C08C6" w:rsidRPr="00806919" w14:paraId="61555EDC" w14:textId="77777777" w:rsidTr="000D77B0">
        <w:trPr>
          <w:trHeight w:val="372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0D166" w14:textId="77777777" w:rsidR="008C08C6" w:rsidRPr="000D0F04" w:rsidRDefault="008C08C6" w:rsidP="000D77B0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rPr>
                <w:sz w:val="22"/>
                <w:szCs w:val="22"/>
                <w:vertAlign w:val="superscript"/>
              </w:rPr>
            </w:pPr>
            <w:r w:rsidRPr="000D0F0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DF824" w14:textId="77777777" w:rsidR="008C08C6" w:rsidRPr="00806919" w:rsidRDefault="008C08C6" w:rsidP="000D77B0">
            <w:pPr>
              <w:pStyle w:val="HTMLPreformatted"/>
              <w:tabs>
                <w:tab w:val="left" w:pos="5060"/>
                <w:tab w:val="left" w:pos="7786"/>
                <w:tab w:val="left" w:pos="8564"/>
                <w:tab w:val="left" w:pos="9343"/>
                <w:tab w:val="left" w:pos="10121"/>
                <w:tab w:val="left" w:pos="10900"/>
                <w:tab w:val="left" w:pos="11679"/>
                <w:tab w:val="left" w:pos="12457"/>
              </w:tabs>
              <w:ind w:right="49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Average Monthly Players represent the total number of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online </w:t>
            </w:r>
            <w:r w:rsidRPr="00806919">
              <w:rPr>
                <w:rFonts w:asciiTheme="minorHAnsi" w:hAnsiTheme="minorHAnsi" w:cstheme="minorHAnsi"/>
                <w:i/>
                <w:sz w:val="18"/>
                <w:szCs w:val="18"/>
              </w:rPr>
              <w:t>players that have placed a sports bet/wager, staked a casino bet and/or contributed to rake or tournament fees during a month within the reporting period. The totals include only those players that have deposited real money funds with a Flutter brand on at least one occasion.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The AMP numbers do not include Junglee players in 2020 or 2021 to allow for better comparability of underlying player growth in the International business and the Group.</w:t>
            </w:r>
          </w:p>
        </w:tc>
      </w:tr>
    </w:tbl>
    <w:p w14:paraId="6059FEA4" w14:textId="77777777" w:rsidR="008C08C6" w:rsidRPr="00E37ABE" w:rsidRDefault="008C08C6" w:rsidP="00DD257A">
      <w:pPr>
        <w:pStyle w:val="BodyText"/>
        <w:tabs>
          <w:tab w:val="left" w:pos="284"/>
        </w:tabs>
        <w:spacing w:before="80" w:after="80"/>
        <w:ind w:left="0" w:right="49"/>
        <w:jc w:val="both"/>
        <w:rPr>
          <w:b/>
          <w:sz w:val="21"/>
          <w:szCs w:val="21"/>
        </w:rPr>
      </w:pPr>
    </w:p>
    <w:sectPr w:rsidR="008C08C6" w:rsidRPr="00E37ABE" w:rsidSect="001D1E86">
      <w:pgSz w:w="15840" w:h="12240" w:orient="landscape"/>
      <w:pgMar w:top="720" w:right="720" w:bottom="720" w:left="720" w:header="0" w:footer="9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F4930" w14:textId="77777777" w:rsidR="00196830" w:rsidRDefault="00196830">
      <w:r>
        <w:separator/>
      </w:r>
    </w:p>
  </w:endnote>
  <w:endnote w:type="continuationSeparator" w:id="0">
    <w:p w14:paraId="5399335C" w14:textId="77777777" w:rsidR="00196830" w:rsidRDefault="00196830">
      <w:r>
        <w:continuationSeparator/>
      </w:r>
    </w:p>
  </w:endnote>
  <w:endnote w:type="continuationNotice" w:id="1">
    <w:p w14:paraId="32A1211E" w14:textId="77777777" w:rsidR="00196830" w:rsidRDefault="00196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586043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7D85D2D" w14:textId="77777777" w:rsidR="00F351C9" w:rsidRPr="00835A01" w:rsidRDefault="00F351C9">
        <w:pPr>
          <w:pStyle w:val="Footer"/>
          <w:jc w:val="right"/>
          <w:rPr>
            <w:sz w:val="18"/>
            <w:szCs w:val="18"/>
          </w:rPr>
        </w:pPr>
        <w:r w:rsidRPr="00835A01">
          <w:rPr>
            <w:sz w:val="18"/>
            <w:szCs w:val="18"/>
          </w:rPr>
          <w:fldChar w:fldCharType="begin"/>
        </w:r>
        <w:r w:rsidRPr="00835A01">
          <w:rPr>
            <w:sz w:val="18"/>
            <w:szCs w:val="18"/>
          </w:rPr>
          <w:instrText xml:space="preserve"> PAGE   \* MERGEFORMAT </w:instrText>
        </w:r>
        <w:r w:rsidRPr="00835A01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5</w:t>
        </w:r>
        <w:r w:rsidRPr="00835A01">
          <w:rPr>
            <w:noProof/>
            <w:sz w:val="18"/>
            <w:szCs w:val="18"/>
          </w:rPr>
          <w:fldChar w:fldCharType="end"/>
        </w:r>
      </w:p>
    </w:sdtContent>
  </w:sdt>
  <w:p w14:paraId="227B5FD7" w14:textId="77777777" w:rsidR="00F351C9" w:rsidRDefault="00F351C9">
    <w:pPr>
      <w:spacing w:line="200" w:lineRule="exact"/>
      <w:rPr>
        <w:sz w:val="20"/>
        <w:szCs w:val="20"/>
      </w:rPr>
    </w:pPr>
  </w:p>
  <w:p w14:paraId="7218826F" w14:textId="77777777" w:rsidR="00F351C9" w:rsidRDefault="00F351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DA0B3" w14:textId="77777777" w:rsidR="00196830" w:rsidRDefault="00196830">
      <w:r>
        <w:separator/>
      </w:r>
    </w:p>
  </w:footnote>
  <w:footnote w:type="continuationSeparator" w:id="0">
    <w:p w14:paraId="67638C80" w14:textId="77777777" w:rsidR="00196830" w:rsidRDefault="00196830">
      <w:r>
        <w:continuationSeparator/>
      </w:r>
    </w:p>
  </w:footnote>
  <w:footnote w:type="continuationNotice" w:id="1">
    <w:p w14:paraId="5754C50F" w14:textId="77777777" w:rsidR="00196830" w:rsidRDefault="001968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3450F" w14:textId="77777777" w:rsidR="00F351C9" w:rsidRDefault="00F351C9">
    <w:pPr>
      <w:pStyle w:val="Header"/>
      <w:rPr>
        <w:color w:val="FF0000"/>
        <w:lang w:val="en-IE"/>
      </w:rPr>
    </w:pPr>
  </w:p>
  <w:p w14:paraId="07ED24AC" w14:textId="77777777" w:rsidR="00F351C9" w:rsidRPr="00B0104E" w:rsidRDefault="00F351C9">
    <w:pPr>
      <w:pStyle w:val="Header"/>
      <w:rPr>
        <w:color w:val="FF0000"/>
        <w:lang w:val="en-IE"/>
      </w:rPr>
    </w:pPr>
    <w:r>
      <w:rPr>
        <w:color w:val="FF0000"/>
        <w:lang w:val="en-IE"/>
      </w:rPr>
      <w:tab/>
    </w:r>
    <w:r>
      <w:rPr>
        <w:color w:val="FF0000"/>
        <w:lang w:val="en-IE"/>
      </w:rPr>
      <w:tab/>
    </w:r>
    <w:r>
      <w:rPr>
        <w:color w:val="FF0000"/>
        <w:lang w:val="en-IE"/>
      </w:rPr>
      <w:tab/>
    </w:r>
    <w:r>
      <w:rPr>
        <w:color w:val="FF0000"/>
        <w:lang w:val="en-IE"/>
      </w:rPr>
      <w:tab/>
    </w:r>
    <w:r>
      <w:rPr>
        <w:color w:val="FF0000"/>
        <w:lang w:val="en-I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903A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58B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699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6CD4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90E2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1669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7E87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6B0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2643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2CF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3A14F5"/>
    <w:multiLevelType w:val="hybridMultilevel"/>
    <w:tmpl w:val="76ECCE12"/>
    <w:lvl w:ilvl="0" w:tplc="221279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A7899"/>
    <w:multiLevelType w:val="hybridMultilevel"/>
    <w:tmpl w:val="FFFFFFFF"/>
    <w:lvl w:ilvl="0" w:tplc="307C780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Calibri" w:hint="default"/>
        <w:sz w:val="20"/>
      </w:rPr>
    </w:lvl>
    <w:lvl w:ilvl="1" w:tplc="004816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07A4A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BA1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5C4D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Courier New" w:hint="default"/>
        <w:sz w:val="20"/>
      </w:rPr>
    </w:lvl>
    <w:lvl w:ilvl="5" w:tplc="B8CA8E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40CB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65AF2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Courier New" w:hint="default"/>
        <w:sz w:val="20"/>
      </w:rPr>
    </w:lvl>
    <w:lvl w:ilvl="8" w:tplc="6E3EAA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9478F"/>
    <w:multiLevelType w:val="hybridMultilevel"/>
    <w:tmpl w:val="14DEF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060B5"/>
    <w:multiLevelType w:val="hybridMultilevel"/>
    <w:tmpl w:val="F63E617A"/>
    <w:lvl w:ilvl="0" w:tplc="BF801F66">
      <w:start w:val="1"/>
      <w:numFmt w:val="bullet"/>
      <w:lvlText w:val="-"/>
      <w:lvlJc w:val="left"/>
      <w:pPr>
        <w:ind w:left="411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4" w15:restartNumberingAfterBreak="0">
    <w:nsid w:val="1F3C799E"/>
    <w:multiLevelType w:val="hybridMultilevel"/>
    <w:tmpl w:val="F88C93D4"/>
    <w:lvl w:ilvl="0" w:tplc="CB54013C">
      <w:start w:val="1"/>
      <w:numFmt w:val="decimal"/>
      <w:lvlText w:val="%1"/>
      <w:lvlJc w:val="left"/>
      <w:pPr>
        <w:ind w:hanging="125"/>
      </w:pPr>
      <w:rPr>
        <w:rFonts w:ascii="Calibri" w:eastAsia="Calibri" w:hAnsi="Calibri" w:hint="default"/>
        <w:w w:val="99"/>
        <w:position w:val="5"/>
        <w:sz w:val="12"/>
        <w:szCs w:val="12"/>
      </w:rPr>
    </w:lvl>
    <w:lvl w:ilvl="1" w:tplc="DCB0026A">
      <w:start w:val="1"/>
      <w:numFmt w:val="bullet"/>
      <w:lvlText w:val="•"/>
      <w:lvlJc w:val="left"/>
      <w:rPr>
        <w:rFonts w:hint="default"/>
      </w:rPr>
    </w:lvl>
    <w:lvl w:ilvl="2" w:tplc="00367066">
      <w:start w:val="1"/>
      <w:numFmt w:val="bullet"/>
      <w:lvlText w:val="•"/>
      <w:lvlJc w:val="left"/>
      <w:rPr>
        <w:rFonts w:hint="default"/>
      </w:rPr>
    </w:lvl>
    <w:lvl w:ilvl="3" w:tplc="51860998">
      <w:start w:val="1"/>
      <w:numFmt w:val="bullet"/>
      <w:lvlText w:val="•"/>
      <w:lvlJc w:val="left"/>
      <w:rPr>
        <w:rFonts w:hint="default"/>
      </w:rPr>
    </w:lvl>
    <w:lvl w:ilvl="4" w:tplc="5D645230">
      <w:start w:val="1"/>
      <w:numFmt w:val="bullet"/>
      <w:lvlText w:val="•"/>
      <w:lvlJc w:val="left"/>
      <w:rPr>
        <w:rFonts w:hint="default"/>
      </w:rPr>
    </w:lvl>
    <w:lvl w:ilvl="5" w:tplc="5502BB0C">
      <w:start w:val="1"/>
      <w:numFmt w:val="bullet"/>
      <w:lvlText w:val="•"/>
      <w:lvlJc w:val="left"/>
      <w:rPr>
        <w:rFonts w:hint="default"/>
      </w:rPr>
    </w:lvl>
    <w:lvl w:ilvl="6" w:tplc="2B8AAD02">
      <w:start w:val="1"/>
      <w:numFmt w:val="bullet"/>
      <w:lvlText w:val="•"/>
      <w:lvlJc w:val="left"/>
      <w:rPr>
        <w:rFonts w:hint="default"/>
      </w:rPr>
    </w:lvl>
    <w:lvl w:ilvl="7" w:tplc="CED08E4A">
      <w:start w:val="1"/>
      <w:numFmt w:val="bullet"/>
      <w:lvlText w:val="•"/>
      <w:lvlJc w:val="left"/>
      <w:rPr>
        <w:rFonts w:hint="default"/>
      </w:rPr>
    </w:lvl>
    <w:lvl w:ilvl="8" w:tplc="369C664C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20553BA"/>
    <w:multiLevelType w:val="hybridMultilevel"/>
    <w:tmpl w:val="B612696C"/>
    <w:lvl w:ilvl="0" w:tplc="4678BBFE">
      <w:start w:val="1"/>
      <w:numFmt w:val="bullet"/>
      <w:lvlText w:val="-"/>
      <w:lvlJc w:val="left"/>
      <w:pPr>
        <w:ind w:left="609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16" w15:restartNumberingAfterBreak="0">
    <w:nsid w:val="25457632"/>
    <w:multiLevelType w:val="hybridMultilevel"/>
    <w:tmpl w:val="769EEAC6"/>
    <w:lvl w:ilvl="0" w:tplc="57CA68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EFE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A7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4BC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FEA0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AAE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0EF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E65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589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928BE"/>
    <w:multiLevelType w:val="hybridMultilevel"/>
    <w:tmpl w:val="8D00B222"/>
    <w:lvl w:ilvl="0" w:tplc="B906D11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97D4D8B"/>
    <w:multiLevelType w:val="hybridMultilevel"/>
    <w:tmpl w:val="1FD6CA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576B4"/>
    <w:multiLevelType w:val="hybridMultilevel"/>
    <w:tmpl w:val="2C8C46D8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1AC569A"/>
    <w:multiLevelType w:val="hybridMultilevel"/>
    <w:tmpl w:val="AB80DF12"/>
    <w:lvl w:ilvl="0" w:tplc="F4108940">
      <w:start w:val="1"/>
      <w:numFmt w:val="bullet"/>
      <w:lvlText w:val="−"/>
      <w:lvlJc w:val="left"/>
      <w:pPr>
        <w:ind w:left="746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1" w15:restartNumberingAfterBreak="0">
    <w:nsid w:val="358B5C07"/>
    <w:multiLevelType w:val="hybridMultilevel"/>
    <w:tmpl w:val="9E5CD8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77DED"/>
    <w:multiLevelType w:val="hybridMultilevel"/>
    <w:tmpl w:val="2F206F72"/>
    <w:lvl w:ilvl="0" w:tplc="B8785F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30120"/>
    <w:multiLevelType w:val="hybridMultilevel"/>
    <w:tmpl w:val="F80ED6EE"/>
    <w:lvl w:ilvl="0" w:tplc="42DA1B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25A51"/>
    <w:multiLevelType w:val="hybridMultilevel"/>
    <w:tmpl w:val="5ED8E8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73FF2"/>
    <w:multiLevelType w:val="hybridMultilevel"/>
    <w:tmpl w:val="8A92A3DE"/>
    <w:lvl w:ilvl="0" w:tplc="E3549A86">
      <w:start w:val="7"/>
      <w:numFmt w:val="bullet"/>
      <w:lvlText w:val="﷐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75EAC"/>
    <w:multiLevelType w:val="hybridMultilevel"/>
    <w:tmpl w:val="5DBEBFDE"/>
    <w:lvl w:ilvl="0" w:tplc="99A6F8E6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39B42610">
      <w:start w:val="1"/>
      <w:numFmt w:val="bullet"/>
      <w:lvlText w:val="•"/>
      <w:lvlJc w:val="left"/>
      <w:rPr>
        <w:rFonts w:hint="default"/>
      </w:rPr>
    </w:lvl>
    <w:lvl w:ilvl="2" w:tplc="A980354A">
      <w:start w:val="1"/>
      <w:numFmt w:val="bullet"/>
      <w:lvlText w:val="•"/>
      <w:lvlJc w:val="left"/>
      <w:rPr>
        <w:rFonts w:hint="default"/>
      </w:rPr>
    </w:lvl>
    <w:lvl w:ilvl="3" w:tplc="AFB2C154">
      <w:start w:val="1"/>
      <w:numFmt w:val="bullet"/>
      <w:lvlText w:val="•"/>
      <w:lvlJc w:val="left"/>
      <w:rPr>
        <w:rFonts w:hint="default"/>
      </w:rPr>
    </w:lvl>
    <w:lvl w:ilvl="4" w:tplc="3F66A3DA">
      <w:start w:val="1"/>
      <w:numFmt w:val="bullet"/>
      <w:lvlText w:val="•"/>
      <w:lvlJc w:val="left"/>
      <w:rPr>
        <w:rFonts w:hint="default"/>
      </w:rPr>
    </w:lvl>
    <w:lvl w:ilvl="5" w:tplc="F4108940">
      <w:start w:val="1"/>
      <w:numFmt w:val="bullet"/>
      <w:lvlText w:val="−"/>
      <w:lvlJc w:val="left"/>
      <w:rPr>
        <w:rFonts w:ascii="Calibri" w:hAnsi="Calibri" w:hint="default"/>
      </w:rPr>
    </w:lvl>
    <w:lvl w:ilvl="6" w:tplc="B6D46732">
      <w:start w:val="1"/>
      <w:numFmt w:val="bullet"/>
      <w:lvlText w:val="•"/>
      <w:lvlJc w:val="left"/>
      <w:rPr>
        <w:rFonts w:hint="default"/>
      </w:rPr>
    </w:lvl>
    <w:lvl w:ilvl="7" w:tplc="425051C6">
      <w:start w:val="1"/>
      <w:numFmt w:val="bullet"/>
      <w:lvlText w:val="•"/>
      <w:lvlJc w:val="left"/>
      <w:rPr>
        <w:rFonts w:hint="default"/>
      </w:rPr>
    </w:lvl>
    <w:lvl w:ilvl="8" w:tplc="F4108940">
      <w:start w:val="1"/>
      <w:numFmt w:val="bullet"/>
      <w:lvlText w:val="−"/>
      <w:lvlJc w:val="left"/>
      <w:rPr>
        <w:rFonts w:ascii="Calibri" w:hAnsi="Calibri" w:hint="default"/>
      </w:rPr>
    </w:lvl>
  </w:abstractNum>
  <w:abstractNum w:abstractNumId="27" w15:restartNumberingAfterBreak="0">
    <w:nsid w:val="4FF707F3"/>
    <w:multiLevelType w:val="hybridMultilevel"/>
    <w:tmpl w:val="3E4EC804"/>
    <w:lvl w:ilvl="0" w:tplc="99F82C8A">
      <w:numFmt w:val="bullet"/>
      <w:lvlText w:val="-"/>
      <w:lvlJc w:val="left"/>
      <w:pPr>
        <w:ind w:left="888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2F12EC3"/>
    <w:multiLevelType w:val="hybridMultilevel"/>
    <w:tmpl w:val="51F46A60"/>
    <w:lvl w:ilvl="0" w:tplc="1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68877C9"/>
    <w:multiLevelType w:val="hybridMultilevel"/>
    <w:tmpl w:val="46360B84"/>
    <w:lvl w:ilvl="0" w:tplc="1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56B101C8"/>
    <w:multiLevelType w:val="hybridMultilevel"/>
    <w:tmpl w:val="1D8E2A26"/>
    <w:lvl w:ilvl="0" w:tplc="99A6F8E6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39B42610">
      <w:start w:val="1"/>
      <w:numFmt w:val="bullet"/>
      <w:lvlText w:val="•"/>
      <w:lvlJc w:val="left"/>
      <w:rPr>
        <w:rFonts w:hint="default"/>
      </w:rPr>
    </w:lvl>
    <w:lvl w:ilvl="2" w:tplc="A980354A">
      <w:start w:val="1"/>
      <w:numFmt w:val="bullet"/>
      <w:lvlText w:val="•"/>
      <w:lvlJc w:val="left"/>
      <w:rPr>
        <w:rFonts w:hint="default"/>
      </w:rPr>
    </w:lvl>
    <w:lvl w:ilvl="3" w:tplc="AFB2C154">
      <w:start w:val="1"/>
      <w:numFmt w:val="bullet"/>
      <w:lvlText w:val="•"/>
      <w:lvlJc w:val="left"/>
      <w:rPr>
        <w:rFonts w:hint="default"/>
      </w:rPr>
    </w:lvl>
    <w:lvl w:ilvl="4" w:tplc="3F66A3DA">
      <w:start w:val="1"/>
      <w:numFmt w:val="bullet"/>
      <w:lvlText w:val="•"/>
      <w:lvlJc w:val="left"/>
      <w:rPr>
        <w:rFonts w:hint="default"/>
      </w:rPr>
    </w:lvl>
    <w:lvl w:ilvl="5" w:tplc="F4108940">
      <w:start w:val="1"/>
      <w:numFmt w:val="bullet"/>
      <w:lvlText w:val="−"/>
      <w:lvlJc w:val="left"/>
      <w:rPr>
        <w:rFonts w:ascii="Calibri" w:hAnsi="Calibri" w:hint="default"/>
      </w:rPr>
    </w:lvl>
    <w:lvl w:ilvl="6" w:tplc="B6D46732">
      <w:start w:val="1"/>
      <w:numFmt w:val="bullet"/>
      <w:lvlText w:val="•"/>
      <w:lvlJc w:val="left"/>
      <w:rPr>
        <w:rFonts w:hint="default"/>
      </w:rPr>
    </w:lvl>
    <w:lvl w:ilvl="7" w:tplc="425051C6">
      <w:start w:val="1"/>
      <w:numFmt w:val="bullet"/>
      <w:lvlText w:val="•"/>
      <w:lvlJc w:val="left"/>
      <w:rPr>
        <w:rFonts w:hint="default"/>
      </w:rPr>
    </w:lvl>
    <w:lvl w:ilvl="8" w:tplc="1809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31" w15:restartNumberingAfterBreak="0">
    <w:nsid w:val="5B4826B9"/>
    <w:multiLevelType w:val="hybridMultilevel"/>
    <w:tmpl w:val="12547614"/>
    <w:lvl w:ilvl="0" w:tplc="99F82C8A">
      <w:numFmt w:val="bullet"/>
      <w:lvlText w:val="-"/>
      <w:lvlJc w:val="left"/>
      <w:pPr>
        <w:ind w:left="74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2" w15:restartNumberingAfterBreak="0">
    <w:nsid w:val="5CA86C51"/>
    <w:multiLevelType w:val="hybridMultilevel"/>
    <w:tmpl w:val="65F4A902"/>
    <w:lvl w:ilvl="0" w:tplc="1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64457575"/>
    <w:multiLevelType w:val="hybridMultilevel"/>
    <w:tmpl w:val="DA101BC4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4" w15:restartNumberingAfterBreak="0">
    <w:nsid w:val="66662385"/>
    <w:multiLevelType w:val="hybridMultilevel"/>
    <w:tmpl w:val="B234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A0D17"/>
    <w:multiLevelType w:val="hybridMultilevel"/>
    <w:tmpl w:val="D8D4E2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B658C"/>
    <w:multiLevelType w:val="hybridMultilevel"/>
    <w:tmpl w:val="8474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D29EC"/>
    <w:multiLevelType w:val="hybridMultilevel"/>
    <w:tmpl w:val="07F0E478"/>
    <w:lvl w:ilvl="0" w:tplc="99A6F8E6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39B42610">
      <w:start w:val="1"/>
      <w:numFmt w:val="bullet"/>
      <w:lvlText w:val="•"/>
      <w:lvlJc w:val="left"/>
      <w:rPr>
        <w:rFonts w:hint="default"/>
      </w:rPr>
    </w:lvl>
    <w:lvl w:ilvl="2" w:tplc="A980354A">
      <w:start w:val="1"/>
      <w:numFmt w:val="bullet"/>
      <w:lvlText w:val="•"/>
      <w:lvlJc w:val="left"/>
      <w:rPr>
        <w:rFonts w:hint="default"/>
      </w:rPr>
    </w:lvl>
    <w:lvl w:ilvl="3" w:tplc="AFB2C154">
      <w:start w:val="1"/>
      <w:numFmt w:val="bullet"/>
      <w:lvlText w:val="•"/>
      <w:lvlJc w:val="left"/>
      <w:rPr>
        <w:rFonts w:hint="default"/>
      </w:rPr>
    </w:lvl>
    <w:lvl w:ilvl="4" w:tplc="3F66A3DA">
      <w:start w:val="1"/>
      <w:numFmt w:val="bullet"/>
      <w:lvlText w:val="•"/>
      <w:lvlJc w:val="left"/>
      <w:rPr>
        <w:rFonts w:hint="default"/>
      </w:rPr>
    </w:lvl>
    <w:lvl w:ilvl="5" w:tplc="F4108940">
      <w:start w:val="1"/>
      <w:numFmt w:val="bullet"/>
      <w:lvlText w:val="−"/>
      <w:lvlJc w:val="left"/>
      <w:rPr>
        <w:rFonts w:ascii="Calibri" w:hAnsi="Calibri" w:hint="default"/>
      </w:rPr>
    </w:lvl>
    <w:lvl w:ilvl="6" w:tplc="B6D46732">
      <w:start w:val="1"/>
      <w:numFmt w:val="bullet"/>
      <w:lvlText w:val="•"/>
      <w:lvlJc w:val="left"/>
      <w:rPr>
        <w:rFonts w:hint="default"/>
      </w:rPr>
    </w:lvl>
    <w:lvl w:ilvl="7" w:tplc="425051C6">
      <w:start w:val="1"/>
      <w:numFmt w:val="bullet"/>
      <w:lvlText w:val="•"/>
      <w:lvlJc w:val="left"/>
      <w:rPr>
        <w:rFonts w:hint="default"/>
      </w:rPr>
    </w:lvl>
    <w:lvl w:ilvl="8" w:tplc="18090013">
      <w:start w:val="1"/>
      <w:numFmt w:val="upperRoman"/>
      <w:lvlText w:val="%9."/>
      <w:lvlJc w:val="right"/>
      <w:rPr>
        <w:rFonts w:hint="default"/>
      </w:rPr>
    </w:lvl>
  </w:abstractNum>
  <w:abstractNum w:abstractNumId="38" w15:restartNumberingAfterBreak="0">
    <w:nsid w:val="789E18FB"/>
    <w:multiLevelType w:val="hybridMultilevel"/>
    <w:tmpl w:val="14F087CC"/>
    <w:lvl w:ilvl="0" w:tplc="A90CDA4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A4C5146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972FD7"/>
    <w:multiLevelType w:val="hybridMultilevel"/>
    <w:tmpl w:val="4EB60A52"/>
    <w:lvl w:ilvl="0" w:tplc="99F82C8A">
      <w:numFmt w:val="bullet"/>
      <w:lvlText w:val="-"/>
      <w:lvlJc w:val="left"/>
      <w:pPr>
        <w:ind w:left="915" w:hanging="360"/>
      </w:pPr>
      <w:rPr>
        <w:rFonts w:ascii="Calibri" w:eastAsia="Calibr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0" w15:restartNumberingAfterBreak="0">
    <w:nsid w:val="7F3D2B77"/>
    <w:multiLevelType w:val="hybridMultilevel"/>
    <w:tmpl w:val="80467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13"/>
  </w:num>
  <w:num w:numId="4">
    <w:abstractNumId w:val="15"/>
  </w:num>
  <w:num w:numId="5">
    <w:abstractNumId w:val="2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1"/>
  </w:num>
  <w:num w:numId="17">
    <w:abstractNumId w:val="34"/>
  </w:num>
  <w:num w:numId="18">
    <w:abstractNumId w:val="16"/>
  </w:num>
  <w:num w:numId="19">
    <w:abstractNumId w:val="11"/>
  </w:num>
  <w:num w:numId="20">
    <w:abstractNumId w:val="27"/>
  </w:num>
  <w:num w:numId="21">
    <w:abstractNumId w:val="39"/>
  </w:num>
  <w:num w:numId="22">
    <w:abstractNumId w:val="33"/>
  </w:num>
  <w:num w:numId="23">
    <w:abstractNumId w:val="35"/>
  </w:num>
  <w:num w:numId="24">
    <w:abstractNumId w:val="21"/>
  </w:num>
  <w:num w:numId="25">
    <w:abstractNumId w:val="19"/>
  </w:num>
  <w:num w:numId="26">
    <w:abstractNumId w:val="18"/>
  </w:num>
  <w:num w:numId="27">
    <w:abstractNumId w:val="28"/>
  </w:num>
  <w:num w:numId="28">
    <w:abstractNumId w:val="29"/>
  </w:num>
  <w:num w:numId="29">
    <w:abstractNumId w:val="17"/>
  </w:num>
  <w:num w:numId="30">
    <w:abstractNumId w:val="20"/>
  </w:num>
  <w:num w:numId="31">
    <w:abstractNumId w:val="32"/>
  </w:num>
  <w:num w:numId="32">
    <w:abstractNumId w:val="23"/>
  </w:num>
  <w:num w:numId="33">
    <w:abstractNumId w:val="38"/>
  </w:num>
  <w:num w:numId="34">
    <w:abstractNumId w:val="22"/>
  </w:num>
  <w:num w:numId="35">
    <w:abstractNumId w:val="24"/>
  </w:num>
  <w:num w:numId="36">
    <w:abstractNumId w:val="40"/>
  </w:num>
  <w:num w:numId="37">
    <w:abstractNumId w:val="10"/>
  </w:num>
  <w:num w:numId="38">
    <w:abstractNumId w:val="12"/>
  </w:num>
  <w:num w:numId="39">
    <w:abstractNumId w:val="36"/>
  </w:num>
  <w:num w:numId="40">
    <w:abstractNumId w:val="3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E2"/>
    <w:rsid w:val="00001468"/>
    <w:rsid w:val="00001BE6"/>
    <w:rsid w:val="00004F4E"/>
    <w:rsid w:val="00005005"/>
    <w:rsid w:val="00005167"/>
    <w:rsid w:val="0000679E"/>
    <w:rsid w:val="00011296"/>
    <w:rsid w:val="00011BBA"/>
    <w:rsid w:val="00012B3F"/>
    <w:rsid w:val="000138AC"/>
    <w:rsid w:val="000160FC"/>
    <w:rsid w:val="00016FEF"/>
    <w:rsid w:val="00016FFB"/>
    <w:rsid w:val="0002053A"/>
    <w:rsid w:val="000207D0"/>
    <w:rsid w:val="00022925"/>
    <w:rsid w:val="00023455"/>
    <w:rsid w:val="000236FC"/>
    <w:rsid w:val="00023FCC"/>
    <w:rsid w:val="0002438B"/>
    <w:rsid w:val="00024E21"/>
    <w:rsid w:val="00025C5B"/>
    <w:rsid w:val="0002615A"/>
    <w:rsid w:val="000275E4"/>
    <w:rsid w:val="000277D4"/>
    <w:rsid w:val="000318B5"/>
    <w:rsid w:val="00032E11"/>
    <w:rsid w:val="0003504E"/>
    <w:rsid w:val="000365F3"/>
    <w:rsid w:val="00037156"/>
    <w:rsid w:val="0003791E"/>
    <w:rsid w:val="00037F3C"/>
    <w:rsid w:val="00040168"/>
    <w:rsid w:val="00040B08"/>
    <w:rsid w:val="00041D64"/>
    <w:rsid w:val="000429B4"/>
    <w:rsid w:val="00042E97"/>
    <w:rsid w:val="00043E5D"/>
    <w:rsid w:val="00043F4C"/>
    <w:rsid w:val="000443ED"/>
    <w:rsid w:val="00044488"/>
    <w:rsid w:val="00045116"/>
    <w:rsid w:val="000453CE"/>
    <w:rsid w:val="0004572B"/>
    <w:rsid w:val="00046012"/>
    <w:rsid w:val="000465A2"/>
    <w:rsid w:val="00047139"/>
    <w:rsid w:val="00047578"/>
    <w:rsid w:val="000476AC"/>
    <w:rsid w:val="00047D14"/>
    <w:rsid w:val="00047EA2"/>
    <w:rsid w:val="00047EE0"/>
    <w:rsid w:val="00051327"/>
    <w:rsid w:val="0005178C"/>
    <w:rsid w:val="0005204C"/>
    <w:rsid w:val="00052976"/>
    <w:rsid w:val="00052F17"/>
    <w:rsid w:val="000534C3"/>
    <w:rsid w:val="00053DED"/>
    <w:rsid w:val="0005420A"/>
    <w:rsid w:val="00054A17"/>
    <w:rsid w:val="00054EA2"/>
    <w:rsid w:val="00055066"/>
    <w:rsid w:val="00055A17"/>
    <w:rsid w:val="00057256"/>
    <w:rsid w:val="000578DE"/>
    <w:rsid w:val="00057EA5"/>
    <w:rsid w:val="000609E3"/>
    <w:rsid w:val="000611E7"/>
    <w:rsid w:val="00061C5A"/>
    <w:rsid w:val="00061EB6"/>
    <w:rsid w:val="0006384B"/>
    <w:rsid w:val="00065D1A"/>
    <w:rsid w:val="000665E4"/>
    <w:rsid w:val="000669A3"/>
    <w:rsid w:val="00067128"/>
    <w:rsid w:val="0006727E"/>
    <w:rsid w:val="00067627"/>
    <w:rsid w:val="00070452"/>
    <w:rsid w:val="000716D8"/>
    <w:rsid w:val="00072511"/>
    <w:rsid w:val="000756C4"/>
    <w:rsid w:val="00075D24"/>
    <w:rsid w:val="000766FC"/>
    <w:rsid w:val="00077867"/>
    <w:rsid w:val="0008006B"/>
    <w:rsid w:val="00080247"/>
    <w:rsid w:val="0008262C"/>
    <w:rsid w:val="00082BF2"/>
    <w:rsid w:val="00082D21"/>
    <w:rsid w:val="0008331F"/>
    <w:rsid w:val="00083CDC"/>
    <w:rsid w:val="00083EDF"/>
    <w:rsid w:val="000841D6"/>
    <w:rsid w:val="000854BA"/>
    <w:rsid w:val="000858B6"/>
    <w:rsid w:val="00085DFC"/>
    <w:rsid w:val="00090C8D"/>
    <w:rsid w:val="0009298D"/>
    <w:rsid w:val="0009349A"/>
    <w:rsid w:val="00094185"/>
    <w:rsid w:val="0009469B"/>
    <w:rsid w:val="00097CFB"/>
    <w:rsid w:val="000A00D1"/>
    <w:rsid w:val="000A0134"/>
    <w:rsid w:val="000A04E0"/>
    <w:rsid w:val="000A1D33"/>
    <w:rsid w:val="000A220D"/>
    <w:rsid w:val="000A3103"/>
    <w:rsid w:val="000A3A23"/>
    <w:rsid w:val="000A3CC0"/>
    <w:rsid w:val="000A45B8"/>
    <w:rsid w:val="000A4D92"/>
    <w:rsid w:val="000A6697"/>
    <w:rsid w:val="000B0333"/>
    <w:rsid w:val="000B0D81"/>
    <w:rsid w:val="000B2E7B"/>
    <w:rsid w:val="000B386D"/>
    <w:rsid w:val="000B3D2D"/>
    <w:rsid w:val="000B3DFD"/>
    <w:rsid w:val="000B450E"/>
    <w:rsid w:val="000B4E5D"/>
    <w:rsid w:val="000B503A"/>
    <w:rsid w:val="000B516B"/>
    <w:rsid w:val="000B6626"/>
    <w:rsid w:val="000B785F"/>
    <w:rsid w:val="000B7C5B"/>
    <w:rsid w:val="000C03D5"/>
    <w:rsid w:val="000C210B"/>
    <w:rsid w:val="000C2E01"/>
    <w:rsid w:val="000C35B9"/>
    <w:rsid w:val="000C48E5"/>
    <w:rsid w:val="000C4DD2"/>
    <w:rsid w:val="000C5516"/>
    <w:rsid w:val="000C59FD"/>
    <w:rsid w:val="000C5F80"/>
    <w:rsid w:val="000D0F04"/>
    <w:rsid w:val="000D1B85"/>
    <w:rsid w:val="000D350E"/>
    <w:rsid w:val="000D36F8"/>
    <w:rsid w:val="000D3D83"/>
    <w:rsid w:val="000D4610"/>
    <w:rsid w:val="000D494F"/>
    <w:rsid w:val="000D666C"/>
    <w:rsid w:val="000D69AE"/>
    <w:rsid w:val="000D7280"/>
    <w:rsid w:val="000D7CD5"/>
    <w:rsid w:val="000D7E2A"/>
    <w:rsid w:val="000D7F6F"/>
    <w:rsid w:val="000E0345"/>
    <w:rsid w:val="000E0404"/>
    <w:rsid w:val="000E24C9"/>
    <w:rsid w:val="000E2C67"/>
    <w:rsid w:val="000E33AB"/>
    <w:rsid w:val="000E35B2"/>
    <w:rsid w:val="000E561E"/>
    <w:rsid w:val="000E6286"/>
    <w:rsid w:val="000E6382"/>
    <w:rsid w:val="000E6B0D"/>
    <w:rsid w:val="000E7752"/>
    <w:rsid w:val="000E7D40"/>
    <w:rsid w:val="000F254F"/>
    <w:rsid w:val="000F27DF"/>
    <w:rsid w:val="000F503E"/>
    <w:rsid w:val="000F62AF"/>
    <w:rsid w:val="000F6F64"/>
    <w:rsid w:val="000F7679"/>
    <w:rsid w:val="001003CD"/>
    <w:rsid w:val="0010424A"/>
    <w:rsid w:val="00104C15"/>
    <w:rsid w:val="0010521B"/>
    <w:rsid w:val="00106D03"/>
    <w:rsid w:val="001071CD"/>
    <w:rsid w:val="00107CBE"/>
    <w:rsid w:val="0011120D"/>
    <w:rsid w:val="00111609"/>
    <w:rsid w:val="00111AAE"/>
    <w:rsid w:val="00112451"/>
    <w:rsid w:val="00113E8C"/>
    <w:rsid w:val="0011444B"/>
    <w:rsid w:val="00114C28"/>
    <w:rsid w:val="00115014"/>
    <w:rsid w:val="0011543A"/>
    <w:rsid w:val="00115471"/>
    <w:rsid w:val="0011673D"/>
    <w:rsid w:val="00116AD9"/>
    <w:rsid w:val="00117153"/>
    <w:rsid w:val="001207FB"/>
    <w:rsid w:val="00120B7A"/>
    <w:rsid w:val="00121291"/>
    <w:rsid w:val="00122A93"/>
    <w:rsid w:val="00122C04"/>
    <w:rsid w:val="001234B7"/>
    <w:rsid w:val="001254EB"/>
    <w:rsid w:val="001257AA"/>
    <w:rsid w:val="00125E73"/>
    <w:rsid w:val="00126759"/>
    <w:rsid w:val="00127804"/>
    <w:rsid w:val="00127C07"/>
    <w:rsid w:val="00130022"/>
    <w:rsid w:val="0013038B"/>
    <w:rsid w:val="00130C6F"/>
    <w:rsid w:val="00131EFC"/>
    <w:rsid w:val="001324A8"/>
    <w:rsid w:val="00132CE6"/>
    <w:rsid w:val="00133433"/>
    <w:rsid w:val="001348C9"/>
    <w:rsid w:val="00135B33"/>
    <w:rsid w:val="00136042"/>
    <w:rsid w:val="001360AA"/>
    <w:rsid w:val="00136A68"/>
    <w:rsid w:val="00136BE5"/>
    <w:rsid w:val="00137495"/>
    <w:rsid w:val="00137880"/>
    <w:rsid w:val="00137A84"/>
    <w:rsid w:val="00137DF8"/>
    <w:rsid w:val="00137F0B"/>
    <w:rsid w:val="001405F2"/>
    <w:rsid w:val="001406C0"/>
    <w:rsid w:val="00140AF2"/>
    <w:rsid w:val="00140BB9"/>
    <w:rsid w:val="00142E0C"/>
    <w:rsid w:val="00145999"/>
    <w:rsid w:val="00145CEA"/>
    <w:rsid w:val="00145D3E"/>
    <w:rsid w:val="00147C10"/>
    <w:rsid w:val="001535D2"/>
    <w:rsid w:val="00153A7B"/>
    <w:rsid w:val="00153C8A"/>
    <w:rsid w:val="00153CDB"/>
    <w:rsid w:val="00155EE3"/>
    <w:rsid w:val="00156564"/>
    <w:rsid w:val="00156C16"/>
    <w:rsid w:val="001572E7"/>
    <w:rsid w:val="0015793B"/>
    <w:rsid w:val="00157CD7"/>
    <w:rsid w:val="00161361"/>
    <w:rsid w:val="00162519"/>
    <w:rsid w:val="00163052"/>
    <w:rsid w:val="00163111"/>
    <w:rsid w:val="001631A8"/>
    <w:rsid w:val="00163764"/>
    <w:rsid w:val="00164919"/>
    <w:rsid w:val="001649D0"/>
    <w:rsid w:val="00165722"/>
    <w:rsid w:val="001659C9"/>
    <w:rsid w:val="00166E54"/>
    <w:rsid w:val="00167D3B"/>
    <w:rsid w:val="00172A2B"/>
    <w:rsid w:val="00172D8B"/>
    <w:rsid w:val="00173A72"/>
    <w:rsid w:val="00173B88"/>
    <w:rsid w:val="00173B9B"/>
    <w:rsid w:val="001750C7"/>
    <w:rsid w:val="001759DA"/>
    <w:rsid w:val="00175E78"/>
    <w:rsid w:val="00177227"/>
    <w:rsid w:val="0017784A"/>
    <w:rsid w:val="00180128"/>
    <w:rsid w:val="00180E63"/>
    <w:rsid w:val="00183225"/>
    <w:rsid w:val="00183B0F"/>
    <w:rsid w:val="0018501C"/>
    <w:rsid w:val="0018516D"/>
    <w:rsid w:val="001853F4"/>
    <w:rsid w:val="00186055"/>
    <w:rsid w:val="001862C3"/>
    <w:rsid w:val="00186EE4"/>
    <w:rsid w:val="001907E3"/>
    <w:rsid w:val="00191D7F"/>
    <w:rsid w:val="00192088"/>
    <w:rsid w:val="001923A3"/>
    <w:rsid w:val="001924D4"/>
    <w:rsid w:val="001926A6"/>
    <w:rsid w:val="00192D9C"/>
    <w:rsid w:val="00193BDC"/>
    <w:rsid w:val="00194FB4"/>
    <w:rsid w:val="00195316"/>
    <w:rsid w:val="00195965"/>
    <w:rsid w:val="00195F8B"/>
    <w:rsid w:val="00196830"/>
    <w:rsid w:val="001968EB"/>
    <w:rsid w:val="00197579"/>
    <w:rsid w:val="001979DC"/>
    <w:rsid w:val="001A0524"/>
    <w:rsid w:val="001A0952"/>
    <w:rsid w:val="001A1017"/>
    <w:rsid w:val="001A1459"/>
    <w:rsid w:val="001A25B6"/>
    <w:rsid w:val="001A3B17"/>
    <w:rsid w:val="001A4101"/>
    <w:rsid w:val="001A48D8"/>
    <w:rsid w:val="001A54D1"/>
    <w:rsid w:val="001A5FDE"/>
    <w:rsid w:val="001A65FF"/>
    <w:rsid w:val="001A6D3C"/>
    <w:rsid w:val="001A6D47"/>
    <w:rsid w:val="001A6FB5"/>
    <w:rsid w:val="001A706B"/>
    <w:rsid w:val="001B0305"/>
    <w:rsid w:val="001B0CE1"/>
    <w:rsid w:val="001B158D"/>
    <w:rsid w:val="001B1CA7"/>
    <w:rsid w:val="001B229A"/>
    <w:rsid w:val="001B2760"/>
    <w:rsid w:val="001B33BE"/>
    <w:rsid w:val="001B3F27"/>
    <w:rsid w:val="001B5954"/>
    <w:rsid w:val="001B6493"/>
    <w:rsid w:val="001B6BAC"/>
    <w:rsid w:val="001B6C11"/>
    <w:rsid w:val="001C01FD"/>
    <w:rsid w:val="001C06D6"/>
    <w:rsid w:val="001C0B30"/>
    <w:rsid w:val="001C1685"/>
    <w:rsid w:val="001C283E"/>
    <w:rsid w:val="001C3195"/>
    <w:rsid w:val="001C33A6"/>
    <w:rsid w:val="001C3587"/>
    <w:rsid w:val="001C3595"/>
    <w:rsid w:val="001C3FB2"/>
    <w:rsid w:val="001C5BD5"/>
    <w:rsid w:val="001C6F26"/>
    <w:rsid w:val="001C729C"/>
    <w:rsid w:val="001D07AE"/>
    <w:rsid w:val="001D11C1"/>
    <w:rsid w:val="001D11D3"/>
    <w:rsid w:val="001D1926"/>
    <w:rsid w:val="001D19D7"/>
    <w:rsid w:val="001D1ACB"/>
    <w:rsid w:val="001D1B6D"/>
    <w:rsid w:val="001D1E86"/>
    <w:rsid w:val="001D2768"/>
    <w:rsid w:val="001D3052"/>
    <w:rsid w:val="001D34DF"/>
    <w:rsid w:val="001D35D8"/>
    <w:rsid w:val="001D45A7"/>
    <w:rsid w:val="001D5473"/>
    <w:rsid w:val="001D621F"/>
    <w:rsid w:val="001D6F9D"/>
    <w:rsid w:val="001D7A41"/>
    <w:rsid w:val="001D7C24"/>
    <w:rsid w:val="001E07BB"/>
    <w:rsid w:val="001E1542"/>
    <w:rsid w:val="001E1659"/>
    <w:rsid w:val="001E2DAA"/>
    <w:rsid w:val="001E3DE7"/>
    <w:rsid w:val="001E4C9D"/>
    <w:rsid w:val="001E5B05"/>
    <w:rsid w:val="001E5B08"/>
    <w:rsid w:val="001E7B79"/>
    <w:rsid w:val="001E7D14"/>
    <w:rsid w:val="001F01F0"/>
    <w:rsid w:val="001F1E54"/>
    <w:rsid w:val="001F37C7"/>
    <w:rsid w:val="001F5616"/>
    <w:rsid w:val="001F56BE"/>
    <w:rsid w:val="001F5817"/>
    <w:rsid w:val="001F6083"/>
    <w:rsid w:val="001F6565"/>
    <w:rsid w:val="001F722B"/>
    <w:rsid w:val="002011D8"/>
    <w:rsid w:val="00201DAC"/>
    <w:rsid w:val="00201E38"/>
    <w:rsid w:val="00202249"/>
    <w:rsid w:val="00202908"/>
    <w:rsid w:val="00202D81"/>
    <w:rsid w:val="00203201"/>
    <w:rsid w:val="00203C46"/>
    <w:rsid w:val="002058AF"/>
    <w:rsid w:val="00206219"/>
    <w:rsid w:val="0020666C"/>
    <w:rsid w:val="00206686"/>
    <w:rsid w:val="00207B95"/>
    <w:rsid w:val="002109E9"/>
    <w:rsid w:val="00210D19"/>
    <w:rsid w:val="00210FC3"/>
    <w:rsid w:val="00211095"/>
    <w:rsid w:val="00211C00"/>
    <w:rsid w:val="002124BD"/>
    <w:rsid w:val="0021305E"/>
    <w:rsid w:val="002142FD"/>
    <w:rsid w:val="0021438C"/>
    <w:rsid w:val="00214555"/>
    <w:rsid w:val="00214594"/>
    <w:rsid w:val="00214CCA"/>
    <w:rsid w:val="0021652F"/>
    <w:rsid w:val="00216BC9"/>
    <w:rsid w:val="00216CEF"/>
    <w:rsid w:val="00217681"/>
    <w:rsid w:val="00220F3D"/>
    <w:rsid w:val="0022298F"/>
    <w:rsid w:val="00222F6A"/>
    <w:rsid w:val="0022318E"/>
    <w:rsid w:val="00223D2E"/>
    <w:rsid w:val="00224668"/>
    <w:rsid w:val="002252CC"/>
    <w:rsid w:val="002268C5"/>
    <w:rsid w:val="002278E7"/>
    <w:rsid w:val="00230636"/>
    <w:rsid w:val="00230DF5"/>
    <w:rsid w:val="0023254A"/>
    <w:rsid w:val="002334BB"/>
    <w:rsid w:val="002335A2"/>
    <w:rsid w:val="00233AD9"/>
    <w:rsid w:val="002360BA"/>
    <w:rsid w:val="00236160"/>
    <w:rsid w:val="00237C21"/>
    <w:rsid w:val="002406C1"/>
    <w:rsid w:val="002414F9"/>
    <w:rsid w:val="00241635"/>
    <w:rsid w:val="0024410D"/>
    <w:rsid w:val="0024411F"/>
    <w:rsid w:val="002444EA"/>
    <w:rsid w:val="00244662"/>
    <w:rsid w:val="00244D10"/>
    <w:rsid w:val="002452AA"/>
    <w:rsid w:val="002461F2"/>
    <w:rsid w:val="002465E6"/>
    <w:rsid w:val="002469FF"/>
    <w:rsid w:val="002479BA"/>
    <w:rsid w:val="00250A47"/>
    <w:rsid w:val="00252251"/>
    <w:rsid w:val="0025303C"/>
    <w:rsid w:val="00254A6D"/>
    <w:rsid w:val="00255B0B"/>
    <w:rsid w:val="002566D8"/>
    <w:rsid w:val="002567B2"/>
    <w:rsid w:val="00260894"/>
    <w:rsid w:val="00260F71"/>
    <w:rsid w:val="0026105E"/>
    <w:rsid w:val="00261C31"/>
    <w:rsid w:val="00262241"/>
    <w:rsid w:val="0026297A"/>
    <w:rsid w:val="00263735"/>
    <w:rsid w:val="00263ECF"/>
    <w:rsid w:val="00264FD2"/>
    <w:rsid w:val="00265154"/>
    <w:rsid w:val="0026539F"/>
    <w:rsid w:val="00265BAF"/>
    <w:rsid w:val="00265E4C"/>
    <w:rsid w:val="002664CC"/>
    <w:rsid w:val="002664F3"/>
    <w:rsid w:val="002717E6"/>
    <w:rsid w:val="00272447"/>
    <w:rsid w:val="00272464"/>
    <w:rsid w:val="0027407D"/>
    <w:rsid w:val="00274835"/>
    <w:rsid w:val="00274934"/>
    <w:rsid w:val="002755BB"/>
    <w:rsid w:val="002756F8"/>
    <w:rsid w:val="0027580A"/>
    <w:rsid w:val="00276C7D"/>
    <w:rsid w:val="00276EE0"/>
    <w:rsid w:val="0027707C"/>
    <w:rsid w:val="00277902"/>
    <w:rsid w:val="00277AFF"/>
    <w:rsid w:val="002809EB"/>
    <w:rsid w:val="00281352"/>
    <w:rsid w:val="00282B85"/>
    <w:rsid w:val="00282C75"/>
    <w:rsid w:val="00283211"/>
    <w:rsid w:val="00283422"/>
    <w:rsid w:val="00283D0F"/>
    <w:rsid w:val="00283DAF"/>
    <w:rsid w:val="00284C4D"/>
    <w:rsid w:val="00284D21"/>
    <w:rsid w:val="00284E42"/>
    <w:rsid w:val="002852C7"/>
    <w:rsid w:val="00286314"/>
    <w:rsid w:val="00287187"/>
    <w:rsid w:val="002872ED"/>
    <w:rsid w:val="002873C4"/>
    <w:rsid w:val="00287584"/>
    <w:rsid w:val="00287CB0"/>
    <w:rsid w:val="0029010D"/>
    <w:rsid w:val="002902E7"/>
    <w:rsid w:val="002903FC"/>
    <w:rsid w:val="00290745"/>
    <w:rsid w:val="00291351"/>
    <w:rsid w:val="002915FA"/>
    <w:rsid w:val="00291D94"/>
    <w:rsid w:val="0029224D"/>
    <w:rsid w:val="00292D4F"/>
    <w:rsid w:val="00292E5C"/>
    <w:rsid w:val="0029431F"/>
    <w:rsid w:val="00295EFE"/>
    <w:rsid w:val="00296991"/>
    <w:rsid w:val="00297263"/>
    <w:rsid w:val="0029772B"/>
    <w:rsid w:val="002A005A"/>
    <w:rsid w:val="002A10C0"/>
    <w:rsid w:val="002A1E4C"/>
    <w:rsid w:val="002A1FF5"/>
    <w:rsid w:val="002A2811"/>
    <w:rsid w:val="002A2F4F"/>
    <w:rsid w:val="002A319A"/>
    <w:rsid w:val="002A4794"/>
    <w:rsid w:val="002A562C"/>
    <w:rsid w:val="002A5937"/>
    <w:rsid w:val="002A780B"/>
    <w:rsid w:val="002B015F"/>
    <w:rsid w:val="002B0216"/>
    <w:rsid w:val="002B056D"/>
    <w:rsid w:val="002B1EA3"/>
    <w:rsid w:val="002B2664"/>
    <w:rsid w:val="002B2B69"/>
    <w:rsid w:val="002B2CFD"/>
    <w:rsid w:val="002B31DA"/>
    <w:rsid w:val="002B4267"/>
    <w:rsid w:val="002B4392"/>
    <w:rsid w:val="002B4916"/>
    <w:rsid w:val="002B4E81"/>
    <w:rsid w:val="002B56EB"/>
    <w:rsid w:val="002B5972"/>
    <w:rsid w:val="002B5B7B"/>
    <w:rsid w:val="002C077E"/>
    <w:rsid w:val="002C07E3"/>
    <w:rsid w:val="002C0FB3"/>
    <w:rsid w:val="002C13BB"/>
    <w:rsid w:val="002C1864"/>
    <w:rsid w:val="002C2D63"/>
    <w:rsid w:val="002C4E3F"/>
    <w:rsid w:val="002C6B3E"/>
    <w:rsid w:val="002C70B3"/>
    <w:rsid w:val="002C7A67"/>
    <w:rsid w:val="002C7D11"/>
    <w:rsid w:val="002C7D7A"/>
    <w:rsid w:val="002D15FC"/>
    <w:rsid w:val="002D3156"/>
    <w:rsid w:val="002D4505"/>
    <w:rsid w:val="002D47F3"/>
    <w:rsid w:val="002D56DB"/>
    <w:rsid w:val="002D7074"/>
    <w:rsid w:val="002D729D"/>
    <w:rsid w:val="002D7337"/>
    <w:rsid w:val="002D795D"/>
    <w:rsid w:val="002D7A46"/>
    <w:rsid w:val="002E0DE8"/>
    <w:rsid w:val="002E1ADF"/>
    <w:rsid w:val="002E237F"/>
    <w:rsid w:val="002E352A"/>
    <w:rsid w:val="002E4544"/>
    <w:rsid w:val="002E481F"/>
    <w:rsid w:val="002E4C50"/>
    <w:rsid w:val="002E4CC0"/>
    <w:rsid w:val="002E51BB"/>
    <w:rsid w:val="002E5668"/>
    <w:rsid w:val="002E581A"/>
    <w:rsid w:val="002E5AB9"/>
    <w:rsid w:val="002E5F4A"/>
    <w:rsid w:val="002E68F0"/>
    <w:rsid w:val="002E6AE4"/>
    <w:rsid w:val="002F02B9"/>
    <w:rsid w:val="002F0C78"/>
    <w:rsid w:val="002F175A"/>
    <w:rsid w:val="002F1D07"/>
    <w:rsid w:val="002F202A"/>
    <w:rsid w:val="002F3725"/>
    <w:rsid w:val="002F3CCB"/>
    <w:rsid w:val="002F4E6C"/>
    <w:rsid w:val="002F57EF"/>
    <w:rsid w:val="002F5F44"/>
    <w:rsid w:val="002F6F98"/>
    <w:rsid w:val="003000E8"/>
    <w:rsid w:val="003014F5"/>
    <w:rsid w:val="00301524"/>
    <w:rsid w:val="00302E30"/>
    <w:rsid w:val="003044E7"/>
    <w:rsid w:val="00304F16"/>
    <w:rsid w:val="00305429"/>
    <w:rsid w:val="00305617"/>
    <w:rsid w:val="00305BCD"/>
    <w:rsid w:val="0030792F"/>
    <w:rsid w:val="00310FB4"/>
    <w:rsid w:val="00311D2E"/>
    <w:rsid w:val="00311EE5"/>
    <w:rsid w:val="00312FBA"/>
    <w:rsid w:val="00314F6A"/>
    <w:rsid w:val="00315FE6"/>
    <w:rsid w:val="00317DE4"/>
    <w:rsid w:val="003206D0"/>
    <w:rsid w:val="00320F80"/>
    <w:rsid w:val="0032195C"/>
    <w:rsid w:val="003246ED"/>
    <w:rsid w:val="003257B1"/>
    <w:rsid w:val="00325A24"/>
    <w:rsid w:val="00325CEB"/>
    <w:rsid w:val="00326754"/>
    <w:rsid w:val="00326DC7"/>
    <w:rsid w:val="00330C72"/>
    <w:rsid w:val="003313D4"/>
    <w:rsid w:val="00331B96"/>
    <w:rsid w:val="00331FCE"/>
    <w:rsid w:val="00332E23"/>
    <w:rsid w:val="00334AB9"/>
    <w:rsid w:val="003367AC"/>
    <w:rsid w:val="00336FB1"/>
    <w:rsid w:val="00337706"/>
    <w:rsid w:val="0033799B"/>
    <w:rsid w:val="00340B83"/>
    <w:rsid w:val="00341362"/>
    <w:rsid w:val="00341C15"/>
    <w:rsid w:val="0034204D"/>
    <w:rsid w:val="00342835"/>
    <w:rsid w:val="00343719"/>
    <w:rsid w:val="003455D8"/>
    <w:rsid w:val="00346457"/>
    <w:rsid w:val="00347A5E"/>
    <w:rsid w:val="00350061"/>
    <w:rsid w:val="00353428"/>
    <w:rsid w:val="0035351E"/>
    <w:rsid w:val="00354472"/>
    <w:rsid w:val="003550B3"/>
    <w:rsid w:val="00355159"/>
    <w:rsid w:val="00356411"/>
    <w:rsid w:val="003571EA"/>
    <w:rsid w:val="00357368"/>
    <w:rsid w:val="00357B7B"/>
    <w:rsid w:val="00357FB4"/>
    <w:rsid w:val="003615B4"/>
    <w:rsid w:val="00362D9C"/>
    <w:rsid w:val="00363CC9"/>
    <w:rsid w:val="00364508"/>
    <w:rsid w:val="00364B6F"/>
    <w:rsid w:val="00364C7D"/>
    <w:rsid w:val="00365395"/>
    <w:rsid w:val="00366AD7"/>
    <w:rsid w:val="00366CBD"/>
    <w:rsid w:val="003701BC"/>
    <w:rsid w:val="0037090E"/>
    <w:rsid w:val="003734D7"/>
    <w:rsid w:val="00373C81"/>
    <w:rsid w:val="00374D6B"/>
    <w:rsid w:val="00374EA5"/>
    <w:rsid w:val="003754EB"/>
    <w:rsid w:val="003759FA"/>
    <w:rsid w:val="00380E31"/>
    <w:rsid w:val="0038166A"/>
    <w:rsid w:val="00381DE1"/>
    <w:rsid w:val="00382420"/>
    <w:rsid w:val="00382D50"/>
    <w:rsid w:val="00383142"/>
    <w:rsid w:val="00384DA4"/>
    <w:rsid w:val="00385B45"/>
    <w:rsid w:val="00385B7F"/>
    <w:rsid w:val="00386F90"/>
    <w:rsid w:val="003872A0"/>
    <w:rsid w:val="00387CFB"/>
    <w:rsid w:val="00387EDE"/>
    <w:rsid w:val="00390E53"/>
    <w:rsid w:val="00391EAA"/>
    <w:rsid w:val="003925C2"/>
    <w:rsid w:val="00392EA7"/>
    <w:rsid w:val="0039309D"/>
    <w:rsid w:val="00393115"/>
    <w:rsid w:val="00394986"/>
    <w:rsid w:val="00395601"/>
    <w:rsid w:val="00395F9C"/>
    <w:rsid w:val="00396C52"/>
    <w:rsid w:val="00396FF5"/>
    <w:rsid w:val="00397484"/>
    <w:rsid w:val="003A1C53"/>
    <w:rsid w:val="003A2EE5"/>
    <w:rsid w:val="003A354A"/>
    <w:rsid w:val="003A3DF0"/>
    <w:rsid w:val="003A43F5"/>
    <w:rsid w:val="003A465B"/>
    <w:rsid w:val="003A495B"/>
    <w:rsid w:val="003A5356"/>
    <w:rsid w:val="003A67FD"/>
    <w:rsid w:val="003A6A37"/>
    <w:rsid w:val="003A6D78"/>
    <w:rsid w:val="003B01A9"/>
    <w:rsid w:val="003B020E"/>
    <w:rsid w:val="003B0254"/>
    <w:rsid w:val="003B0BD5"/>
    <w:rsid w:val="003B1C08"/>
    <w:rsid w:val="003B20DA"/>
    <w:rsid w:val="003B3480"/>
    <w:rsid w:val="003B4369"/>
    <w:rsid w:val="003B44FD"/>
    <w:rsid w:val="003B45E8"/>
    <w:rsid w:val="003B4784"/>
    <w:rsid w:val="003B49E5"/>
    <w:rsid w:val="003B5D32"/>
    <w:rsid w:val="003B67BC"/>
    <w:rsid w:val="003B7C1A"/>
    <w:rsid w:val="003B7EE0"/>
    <w:rsid w:val="003C0865"/>
    <w:rsid w:val="003C209E"/>
    <w:rsid w:val="003C2888"/>
    <w:rsid w:val="003C2A8C"/>
    <w:rsid w:val="003C2D36"/>
    <w:rsid w:val="003C3950"/>
    <w:rsid w:val="003C465D"/>
    <w:rsid w:val="003C4AF2"/>
    <w:rsid w:val="003C4D0B"/>
    <w:rsid w:val="003C536F"/>
    <w:rsid w:val="003C5F28"/>
    <w:rsid w:val="003C623A"/>
    <w:rsid w:val="003C7417"/>
    <w:rsid w:val="003C7753"/>
    <w:rsid w:val="003D0BA8"/>
    <w:rsid w:val="003D1423"/>
    <w:rsid w:val="003D14AA"/>
    <w:rsid w:val="003D1EC7"/>
    <w:rsid w:val="003D1F3F"/>
    <w:rsid w:val="003D3309"/>
    <w:rsid w:val="003D3788"/>
    <w:rsid w:val="003D5978"/>
    <w:rsid w:val="003D5D0C"/>
    <w:rsid w:val="003D732F"/>
    <w:rsid w:val="003E01BF"/>
    <w:rsid w:val="003E073C"/>
    <w:rsid w:val="003E095B"/>
    <w:rsid w:val="003E0B4B"/>
    <w:rsid w:val="003E12A0"/>
    <w:rsid w:val="003E260D"/>
    <w:rsid w:val="003E2942"/>
    <w:rsid w:val="003E3D9D"/>
    <w:rsid w:val="003E4CB6"/>
    <w:rsid w:val="003E52FF"/>
    <w:rsid w:val="003E54CC"/>
    <w:rsid w:val="003E5893"/>
    <w:rsid w:val="003E5AF5"/>
    <w:rsid w:val="003E61B9"/>
    <w:rsid w:val="003E6323"/>
    <w:rsid w:val="003E70F1"/>
    <w:rsid w:val="003E723F"/>
    <w:rsid w:val="003E7784"/>
    <w:rsid w:val="003F0A7B"/>
    <w:rsid w:val="003F0E2C"/>
    <w:rsid w:val="003F13AD"/>
    <w:rsid w:val="003F1A7D"/>
    <w:rsid w:val="003F2ABE"/>
    <w:rsid w:val="003F476C"/>
    <w:rsid w:val="003F5B20"/>
    <w:rsid w:val="003F5C3D"/>
    <w:rsid w:val="003F67FF"/>
    <w:rsid w:val="003F6DF4"/>
    <w:rsid w:val="004004EA"/>
    <w:rsid w:val="004008A9"/>
    <w:rsid w:val="00401A91"/>
    <w:rsid w:val="00401F01"/>
    <w:rsid w:val="00402E2F"/>
    <w:rsid w:val="00403590"/>
    <w:rsid w:val="00404D4D"/>
    <w:rsid w:val="00405F4C"/>
    <w:rsid w:val="0040612E"/>
    <w:rsid w:val="004063B4"/>
    <w:rsid w:val="0041115F"/>
    <w:rsid w:val="00411C63"/>
    <w:rsid w:val="00412215"/>
    <w:rsid w:val="00412B1F"/>
    <w:rsid w:val="00413A00"/>
    <w:rsid w:val="00414202"/>
    <w:rsid w:val="004145E2"/>
    <w:rsid w:val="00415712"/>
    <w:rsid w:val="004162D3"/>
    <w:rsid w:val="00417CDC"/>
    <w:rsid w:val="00420E6D"/>
    <w:rsid w:val="00421459"/>
    <w:rsid w:val="00421F3F"/>
    <w:rsid w:val="00424D4B"/>
    <w:rsid w:val="004254BC"/>
    <w:rsid w:val="00425D19"/>
    <w:rsid w:val="0042625F"/>
    <w:rsid w:val="00426674"/>
    <w:rsid w:val="004271FE"/>
    <w:rsid w:val="00427A79"/>
    <w:rsid w:val="00427DDE"/>
    <w:rsid w:val="00427EC7"/>
    <w:rsid w:val="004315A1"/>
    <w:rsid w:val="00432011"/>
    <w:rsid w:val="00434127"/>
    <w:rsid w:val="00434E01"/>
    <w:rsid w:val="004357AB"/>
    <w:rsid w:val="00440462"/>
    <w:rsid w:val="0044090C"/>
    <w:rsid w:val="00441BEA"/>
    <w:rsid w:val="00444438"/>
    <w:rsid w:val="00444608"/>
    <w:rsid w:val="00444A37"/>
    <w:rsid w:val="004451B2"/>
    <w:rsid w:val="0044553F"/>
    <w:rsid w:val="00446179"/>
    <w:rsid w:val="0044627B"/>
    <w:rsid w:val="0044680E"/>
    <w:rsid w:val="00446A89"/>
    <w:rsid w:val="00446DD6"/>
    <w:rsid w:val="00447B44"/>
    <w:rsid w:val="00450B3D"/>
    <w:rsid w:val="00450DD6"/>
    <w:rsid w:val="0045139D"/>
    <w:rsid w:val="0045196A"/>
    <w:rsid w:val="00452030"/>
    <w:rsid w:val="00453668"/>
    <w:rsid w:val="00454F8D"/>
    <w:rsid w:val="00456D1B"/>
    <w:rsid w:val="00457177"/>
    <w:rsid w:val="004578DE"/>
    <w:rsid w:val="004600D5"/>
    <w:rsid w:val="00462289"/>
    <w:rsid w:val="00462540"/>
    <w:rsid w:val="00462739"/>
    <w:rsid w:val="00463932"/>
    <w:rsid w:val="004639D8"/>
    <w:rsid w:val="00463B8F"/>
    <w:rsid w:val="00464915"/>
    <w:rsid w:val="00464A93"/>
    <w:rsid w:val="004653FE"/>
    <w:rsid w:val="004658BA"/>
    <w:rsid w:val="00465A89"/>
    <w:rsid w:val="00466543"/>
    <w:rsid w:val="0046795C"/>
    <w:rsid w:val="00467EAB"/>
    <w:rsid w:val="00470441"/>
    <w:rsid w:val="0047088D"/>
    <w:rsid w:val="00471A1C"/>
    <w:rsid w:val="00472608"/>
    <w:rsid w:val="00472E0B"/>
    <w:rsid w:val="00472ED1"/>
    <w:rsid w:val="00473C6C"/>
    <w:rsid w:val="00473E1F"/>
    <w:rsid w:val="00474480"/>
    <w:rsid w:val="00474F5C"/>
    <w:rsid w:val="0047527D"/>
    <w:rsid w:val="00477185"/>
    <w:rsid w:val="004809BA"/>
    <w:rsid w:val="00480F7A"/>
    <w:rsid w:val="00481F7C"/>
    <w:rsid w:val="00483B6D"/>
    <w:rsid w:val="00484A65"/>
    <w:rsid w:val="00485537"/>
    <w:rsid w:val="00485EDE"/>
    <w:rsid w:val="00486674"/>
    <w:rsid w:val="004869B6"/>
    <w:rsid w:val="00487499"/>
    <w:rsid w:val="0049056A"/>
    <w:rsid w:val="00490666"/>
    <w:rsid w:val="00490C8E"/>
    <w:rsid w:val="00491530"/>
    <w:rsid w:val="00491DE2"/>
    <w:rsid w:val="00491EC4"/>
    <w:rsid w:val="0049283B"/>
    <w:rsid w:val="004931EA"/>
    <w:rsid w:val="0049323D"/>
    <w:rsid w:val="00493293"/>
    <w:rsid w:val="00494539"/>
    <w:rsid w:val="004955D2"/>
    <w:rsid w:val="0049713F"/>
    <w:rsid w:val="0049782B"/>
    <w:rsid w:val="0049788F"/>
    <w:rsid w:val="00497EBE"/>
    <w:rsid w:val="004A2866"/>
    <w:rsid w:val="004A2C72"/>
    <w:rsid w:val="004A308E"/>
    <w:rsid w:val="004A3F4D"/>
    <w:rsid w:val="004A4920"/>
    <w:rsid w:val="004A4FA7"/>
    <w:rsid w:val="004A563C"/>
    <w:rsid w:val="004A56A9"/>
    <w:rsid w:val="004A5774"/>
    <w:rsid w:val="004A5EA1"/>
    <w:rsid w:val="004A6208"/>
    <w:rsid w:val="004A6224"/>
    <w:rsid w:val="004A6724"/>
    <w:rsid w:val="004A7574"/>
    <w:rsid w:val="004B062E"/>
    <w:rsid w:val="004B0AF8"/>
    <w:rsid w:val="004B0ED1"/>
    <w:rsid w:val="004B1034"/>
    <w:rsid w:val="004B1B66"/>
    <w:rsid w:val="004B1DB6"/>
    <w:rsid w:val="004B2FC1"/>
    <w:rsid w:val="004B3A0D"/>
    <w:rsid w:val="004B3E0C"/>
    <w:rsid w:val="004B5ACE"/>
    <w:rsid w:val="004B605E"/>
    <w:rsid w:val="004B64E3"/>
    <w:rsid w:val="004B6508"/>
    <w:rsid w:val="004B66D4"/>
    <w:rsid w:val="004B7E67"/>
    <w:rsid w:val="004B7EE6"/>
    <w:rsid w:val="004C0344"/>
    <w:rsid w:val="004C0E29"/>
    <w:rsid w:val="004C2085"/>
    <w:rsid w:val="004C267A"/>
    <w:rsid w:val="004C285B"/>
    <w:rsid w:val="004C3735"/>
    <w:rsid w:val="004C3EB6"/>
    <w:rsid w:val="004C41A5"/>
    <w:rsid w:val="004C46BA"/>
    <w:rsid w:val="004C50EF"/>
    <w:rsid w:val="004C7953"/>
    <w:rsid w:val="004C7E6B"/>
    <w:rsid w:val="004D0C19"/>
    <w:rsid w:val="004D105F"/>
    <w:rsid w:val="004D195C"/>
    <w:rsid w:val="004D32B9"/>
    <w:rsid w:val="004D4BF0"/>
    <w:rsid w:val="004D52D5"/>
    <w:rsid w:val="004D5BAE"/>
    <w:rsid w:val="004D69DA"/>
    <w:rsid w:val="004D7324"/>
    <w:rsid w:val="004D7DD8"/>
    <w:rsid w:val="004E008D"/>
    <w:rsid w:val="004E0492"/>
    <w:rsid w:val="004E04C2"/>
    <w:rsid w:val="004E0A3B"/>
    <w:rsid w:val="004E15A0"/>
    <w:rsid w:val="004E1A00"/>
    <w:rsid w:val="004E1EF0"/>
    <w:rsid w:val="004E33F3"/>
    <w:rsid w:val="004E4F13"/>
    <w:rsid w:val="004E715F"/>
    <w:rsid w:val="004E7CA9"/>
    <w:rsid w:val="004F0C2F"/>
    <w:rsid w:val="004F0FC6"/>
    <w:rsid w:val="004F1B46"/>
    <w:rsid w:val="004F2956"/>
    <w:rsid w:val="004F3138"/>
    <w:rsid w:val="004F4C85"/>
    <w:rsid w:val="004F59D9"/>
    <w:rsid w:val="004F5D35"/>
    <w:rsid w:val="004F5F75"/>
    <w:rsid w:val="004F7ECA"/>
    <w:rsid w:val="0050136A"/>
    <w:rsid w:val="00501E96"/>
    <w:rsid w:val="005031A9"/>
    <w:rsid w:val="0050398C"/>
    <w:rsid w:val="005044AC"/>
    <w:rsid w:val="005047FD"/>
    <w:rsid w:val="00504969"/>
    <w:rsid w:val="00504CE2"/>
    <w:rsid w:val="0050563D"/>
    <w:rsid w:val="00505D81"/>
    <w:rsid w:val="0050602A"/>
    <w:rsid w:val="00506274"/>
    <w:rsid w:val="005067B9"/>
    <w:rsid w:val="00506D15"/>
    <w:rsid w:val="00510FC7"/>
    <w:rsid w:val="005117BC"/>
    <w:rsid w:val="0051181C"/>
    <w:rsid w:val="00514B8B"/>
    <w:rsid w:val="00515CF2"/>
    <w:rsid w:val="00515E4B"/>
    <w:rsid w:val="0051615B"/>
    <w:rsid w:val="00517814"/>
    <w:rsid w:val="00517A4C"/>
    <w:rsid w:val="00520628"/>
    <w:rsid w:val="005206FD"/>
    <w:rsid w:val="00520EF7"/>
    <w:rsid w:val="00523522"/>
    <w:rsid w:val="005239D3"/>
    <w:rsid w:val="005242E6"/>
    <w:rsid w:val="00524FC8"/>
    <w:rsid w:val="00525B80"/>
    <w:rsid w:val="00525E67"/>
    <w:rsid w:val="00526F07"/>
    <w:rsid w:val="00526F9D"/>
    <w:rsid w:val="005272E3"/>
    <w:rsid w:val="00527585"/>
    <w:rsid w:val="00530586"/>
    <w:rsid w:val="00531C35"/>
    <w:rsid w:val="0053225C"/>
    <w:rsid w:val="005331F6"/>
    <w:rsid w:val="005346B2"/>
    <w:rsid w:val="00534C32"/>
    <w:rsid w:val="00534EBE"/>
    <w:rsid w:val="00535693"/>
    <w:rsid w:val="00535AE5"/>
    <w:rsid w:val="00535F5A"/>
    <w:rsid w:val="00536DDC"/>
    <w:rsid w:val="00537229"/>
    <w:rsid w:val="00540CF2"/>
    <w:rsid w:val="00540E96"/>
    <w:rsid w:val="0054103B"/>
    <w:rsid w:val="005418A7"/>
    <w:rsid w:val="00541D86"/>
    <w:rsid w:val="00542699"/>
    <w:rsid w:val="005428AB"/>
    <w:rsid w:val="005430B0"/>
    <w:rsid w:val="0054337C"/>
    <w:rsid w:val="00543625"/>
    <w:rsid w:val="00543FB1"/>
    <w:rsid w:val="005448B4"/>
    <w:rsid w:val="00544BB0"/>
    <w:rsid w:val="0054553C"/>
    <w:rsid w:val="0054636A"/>
    <w:rsid w:val="005463F3"/>
    <w:rsid w:val="00547016"/>
    <w:rsid w:val="00550852"/>
    <w:rsid w:val="00552D0A"/>
    <w:rsid w:val="005539B2"/>
    <w:rsid w:val="00553E34"/>
    <w:rsid w:val="00554730"/>
    <w:rsid w:val="00555353"/>
    <w:rsid w:val="00555B65"/>
    <w:rsid w:val="00555BAB"/>
    <w:rsid w:val="0055602F"/>
    <w:rsid w:val="0055646A"/>
    <w:rsid w:val="005567D3"/>
    <w:rsid w:val="0055701B"/>
    <w:rsid w:val="005571C2"/>
    <w:rsid w:val="00557D0A"/>
    <w:rsid w:val="00560791"/>
    <w:rsid w:val="00561141"/>
    <w:rsid w:val="00561BB4"/>
    <w:rsid w:val="00562B56"/>
    <w:rsid w:val="00563C43"/>
    <w:rsid w:val="0056411D"/>
    <w:rsid w:val="00564631"/>
    <w:rsid w:val="00564E9C"/>
    <w:rsid w:val="005652E5"/>
    <w:rsid w:val="005658DB"/>
    <w:rsid w:val="00567E37"/>
    <w:rsid w:val="00567F5A"/>
    <w:rsid w:val="00570AB3"/>
    <w:rsid w:val="005717CD"/>
    <w:rsid w:val="00572A97"/>
    <w:rsid w:val="00572BA4"/>
    <w:rsid w:val="00573572"/>
    <w:rsid w:val="00574684"/>
    <w:rsid w:val="00574C33"/>
    <w:rsid w:val="0057577C"/>
    <w:rsid w:val="00576257"/>
    <w:rsid w:val="0057695F"/>
    <w:rsid w:val="00576A76"/>
    <w:rsid w:val="00576F30"/>
    <w:rsid w:val="00576F7C"/>
    <w:rsid w:val="00580022"/>
    <w:rsid w:val="0058188D"/>
    <w:rsid w:val="005819C8"/>
    <w:rsid w:val="00581EE4"/>
    <w:rsid w:val="0058343A"/>
    <w:rsid w:val="0058409F"/>
    <w:rsid w:val="00584682"/>
    <w:rsid w:val="00584A03"/>
    <w:rsid w:val="00586567"/>
    <w:rsid w:val="005869E7"/>
    <w:rsid w:val="00586FCA"/>
    <w:rsid w:val="00590FDF"/>
    <w:rsid w:val="005921DC"/>
    <w:rsid w:val="00592333"/>
    <w:rsid w:val="00593671"/>
    <w:rsid w:val="00594E02"/>
    <w:rsid w:val="005964F5"/>
    <w:rsid w:val="00596F26"/>
    <w:rsid w:val="005972CB"/>
    <w:rsid w:val="0059764D"/>
    <w:rsid w:val="00597D95"/>
    <w:rsid w:val="00597E6F"/>
    <w:rsid w:val="005A06E6"/>
    <w:rsid w:val="005A100F"/>
    <w:rsid w:val="005A1679"/>
    <w:rsid w:val="005A4EE4"/>
    <w:rsid w:val="005A5A5B"/>
    <w:rsid w:val="005A6266"/>
    <w:rsid w:val="005A6775"/>
    <w:rsid w:val="005A6865"/>
    <w:rsid w:val="005A7AA8"/>
    <w:rsid w:val="005B06C4"/>
    <w:rsid w:val="005B103B"/>
    <w:rsid w:val="005B1574"/>
    <w:rsid w:val="005B309A"/>
    <w:rsid w:val="005B39D7"/>
    <w:rsid w:val="005B42A3"/>
    <w:rsid w:val="005B43AC"/>
    <w:rsid w:val="005B4924"/>
    <w:rsid w:val="005B51D8"/>
    <w:rsid w:val="005B5C25"/>
    <w:rsid w:val="005B7E6E"/>
    <w:rsid w:val="005C001F"/>
    <w:rsid w:val="005C0B90"/>
    <w:rsid w:val="005C1BC5"/>
    <w:rsid w:val="005C1BFE"/>
    <w:rsid w:val="005C1EC7"/>
    <w:rsid w:val="005C3D22"/>
    <w:rsid w:val="005C4A59"/>
    <w:rsid w:val="005C53B5"/>
    <w:rsid w:val="005C5EF9"/>
    <w:rsid w:val="005C7269"/>
    <w:rsid w:val="005C7766"/>
    <w:rsid w:val="005C7DE7"/>
    <w:rsid w:val="005D0EDE"/>
    <w:rsid w:val="005D161D"/>
    <w:rsid w:val="005D25C1"/>
    <w:rsid w:val="005D3C77"/>
    <w:rsid w:val="005D485E"/>
    <w:rsid w:val="005D52CA"/>
    <w:rsid w:val="005D54BD"/>
    <w:rsid w:val="005D5A3F"/>
    <w:rsid w:val="005D6349"/>
    <w:rsid w:val="005D6730"/>
    <w:rsid w:val="005D6F30"/>
    <w:rsid w:val="005E040A"/>
    <w:rsid w:val="005E12DD"/>
    <w:rsid w:val="005E2DA1"/>
    <w:rsid w:val="005E2FB3"/>
    <w:rsid w:val="005E3702"/>
    <w:rsid w:val="005E4FB4"/>
    <w:rsid w:val="005E53FA"/>
    <w:rsid w:val="005E5A39"/>
    <w:rsid w:val="005E647C"/>
    <w:rsid w:val="005E6D94"/>
    <w:rsid w:val="005E7616"/>
    <w:rsid w:val="005E7DC6"/>
    <w:rsid w:val="005F267C"/>
    <w:rsid w:val="005F26A3"/>
    <w:rsid w:val="005F27DF"/>
    <w:rsid w:val="005F2F45"/>
    <w:rsid w:val="005F3D0A"/>
    <w:rsid w:val="005F42D7"/>
    <w:rsid w:val="005F46E2"/>
    <w:rsid w:val="005F4804"/>
    <w:rsid w:val="005F4BA5"/>
    <w:rsid w:val="005F6515"/>
    <w:rsid w:val="005F6520"/>
    <w:rsid w:val="005F669A"/>
    <w:rsid w:val="005F79DA"/>
    <w:rsid w:val="00600A43"/>
    <w:rsid w:val="00601073"/>
    <w:rsid w:val="0060228A"/>
    <w:rsid w:val="006024BA"/>
    <w:rsid w:val="0060337F"/>
    <w:rsid w:val="00603959"/>
    <w:rsid w:val="00603B46"/>
    <w:rsid w:val="00603C27"/>
    <w:rsid w:val="006044D2"/>
    <w:rsid w:val="006044FE"/>
    <w:rsid w:val="00604841"/>
    <w:rsid w:val="00604B07"/>
    <w:rsid w:val="006054ED"/>
    <w:rsid w:val="00605C28"/>
    <w:rsid w:val="00606154"/>
    <w:rsid w:val="00606A99"/>
    <w:rsid w:val="00606D01"/>
    <w:rsid w:val="0061107C"/>
    <w:rsid w:val="0061122F"/>
    <w:rsid w:val="00611230"/>
    <w:rsid w:val="00611530"/>
    <w:rsid w:val="006126C8"/>
    <w:rsid w:val="00613DBE"/>
    <w:rsid w:val="00614225"/>
    <w:rsid w:val="00614EB1"/>
    <w:rsid w:val="00615387"/>
    <w:rsid w:val="006153B5"/>
    <w:rsid w:val="0061545E"/>
    <w:rsid w:val="006155D1"/>
    <w:rsid w:val="00616570"/>
    <w:rsid w:val="006166E6"/>
    <w:rsid w:val="00616924"/>
    <w:rsid w:val="00616C27"/>
    <w:rsid w:val="00617492"/>
    <w:rsid w:val="0061754A"/>
    <w:rsid w:val="00622199"/>
    <w:rsid w:val="00623BEE"/>
    <w:rsid w:val="00625562"/>
    <w:rsid w:val="00625672"/>
    <w:rsid w:val="00625DF8"/>
    <w:rsid w:val="00625FD8"/>
    <w:rsid w:val="00626318"/>
    <w:rsid w:val="006263DF"/>
    <w:rsid w:val="00630900"/>
    <w:rsid w:val="00630C81"/>
    <w:rsid w:val="00631922"/>
    <w:rsid w:val="006319A4"/>
    <w:rsid w:val="0063235E"/>
    <w:rsid w:val="00632901"/>
    <w:rsid w:val="006353F2"/>
    <w:rsid w:val="00635E4C"/>
    <w:rsid w:val="00636C13"/>
    <w:rsid w:val="00637200"/>
    <w:rsid w:val="00637B11"/>
    <w:rsid w:val="00640DCF"/>
    <w:rsid w:val="00641509"/>
    <w:rsid w:val="006442E6"/>
    <w:rsid w:val="006446ED"/>
    <w:rsid w:val="00644FDD"/>
    <w:rsid w:val="0064521F"/>
    <w:rsid w:val="0064525B"/>
    <w:rsid w:val="0064743B"/>
    <w:rsid w:val="0065113F"/>
    <w:rsid w:val="00651905"/>
    <w:rsid w:val="00653225"/>
    <w:rsid w:val="006538D6"/>
    <w:rsid w:val="0065453B"/>
    <w:rsid w:val="0065480E"/>
    <w:rsid w:val="006549B1"/>
    <w:rsid w:val="00654DCB"/>
    <w:rsid w:val="00655D4F"/>
    <w:rsid w:val="00655F5A"/>
    <w:rsid w:val="00656658"/>
    <w:rsid w:val="00657021"/>
    <w:rsid w:val="006573FC"/>
    <w:rsid w:val="006574C4"/>
    <w:rsid w:val="00661030"/>
    <w:rsid w:val="006618CD"/>
    <w:rsid w:val="0066306E"/>
    <w:rsid w:val="00663407"/>
    <w:rsid w:val="00663420"/>
    <w:rsid w:val="0066529E"/>
    <w:rsid w:val="00665C07"/>
    <w:rsid w:val="0066603F"/>
    <w:rsid w:val="00666CCC"/>
    <w:rsid w:val="006676C4"/>
    <w:rsid w:val="00671151"/>
    <w:rsid w:val="0067543B"/>
    <w:rsid w:val="00675BAA"/>
    <w:rsid w:val="00675E36"/>
    <w:rsid w:val="00675FFC"/>
    <w:rsid w:val="006814C1"/>
    <w:rsid w:val="00681AF7"/>
    <w:rsid w:val="006826B2"/>
    <w:rsid w:val="00683AD7"/>
    <w:rsid w:val="00684B58"/>
    <w:rsid w:val="00685BA5"/>
    <w:rsid w:val="006878BC"/>
    <w:rsid w:val="006909E2"/>
    <w:rsid w:val="00690A48"/>
    <w:rsid w:val="00691265"/>
    <w:rsid w:val="00691857"/>
    <w:rsid w:val="00692EE3"/>
    <w:rsid w:val="006937FC"/>
    <w:rsid w:val="00693B37"/>
    <w:rsid w:val="0069487C"/>
    <w:rsid w:val="006966B4"/>
    <w:rsid w:val="00697C6A"/>
    <w:rsid w:val="00697CAB"/>
    <w:rsid w:val="006A05F4"/>
    <w:rsid w:val="006A0D70"/>
    <w:rsid w:val="006A19E5"/>
    <w:rsid w:val="006A2792"/>
    <w:rsid w:val="006A5233"/>
    <w:rsid w:val="006A5FB2"/>
    <w:rsid w:val="006B0903"/>
    <w:rsid w:val="006B10CD"/>
    <w:rsid w:val="006B18F0"/>
    <w:rsid w:val="006B2001"/>
    <w:rsid w:val="006B26E3"/>
    <w:rsid w:val="006B293A"/>
    <w:rsid w:val="006B3A2A"/>
    <w:rsid w:val="006B4A31"/>
    <w:rsid w:val="006B4F8C"/>
    <w:rsid w:val="006B5657"/>
    <w:rsid w:val="006B5B7A"/>
    <w:rsid w:val="006B5E88"/>
    <w:rsid w:val="006B6407"/>
    <w:rsid w:val="006B7421"/>
    <w:rsid w:val="006C0A70"/>
    <w:rsid w:val="006C1586"/>
    <w:rsid w:val="006C259C"/>
    <w:rsid w:val="006C2A94"/>
    <w:rsid w:val="006C2EB6"/>
    <w:rsid w:val="006C3F96"/>
    <w:rsid w:val="006C4309"/>
    <w:rsid w:val="006C458E"/>
    <w:rsid w:val="006C5688"/>
    <w:rsid w:val="006C5D71"/>
    <w:rsid w:val="006C6071"/>
    <w:rsid w:val="006C6F4F"/>
    <w:rsid w:val="006C7580"/>
    <w:rsid w:val="006C790C"/>
    <w:rsid w:val="006D1757"/>
    <w:rsid w:val="006D1EEC"/>
    <w:rsid w:val="006D26CC"/>
    <w:rsid w:val="006D349D"/>
    <w:rsid w:val="006D3B65"/>
    <w:rsid w:val="006D3D75"/>
    <w:rsid w:val="006D46B5"/>
    <w:rsid w:val="006D5874"/>
    <w:rsid w:val="006D6A05"/>
    <w:rsid w:val="006D6DA5"/>
    <w:rsid w:val="006D76A9"/>
    <w:rsid w:val="006E034A"/>
    <w:rsid w:val="006E0594"/>
    <w:rsid w:val="006E1A3E"/>
    <w:rsid w:val="006E3924"/>
    <w:rsid w:val="006E4911"/>
    <w:rsid w:val="006E5AF9"/>
    <w:rsid w:val="006E6A5B"/>
    <w:rsid w:val="006E725B"/>
    <w:rsid w:val="006E7CF2"/>
    <w:rsid w:val="006F1649"/>
    <w:rsid w:val="006F257B"/>
    <w:rsid w:val="006F2D1E"/>
    <w:rsid w:val="006F3041"/>
    <w:rsid w:val="006F54EA"/>
    <w:rsid w:val="006F59D3"/>
    <w:rsid w:val="006F5C3F"/>
    <w:rsid w:val="006F606B"/>
    <w:rsid w:val="006F615A"/>
    <w:rsid w:val="006F65AE"/>
    <w:rsid w:val="006F738E"/>
    <w:rsid w:val="00700FBA"/>
    <w:rsid w:val="00700FE8"/>
    <w:rsid w:val="0070118C"/>
    <w:rsid w:val="00701377"/>
    <w:rsid w:val="0070189E"/>
    <w:rsid w:val="00702365"/>
    <w:rsid w:val="00702B9C"/>
    <w:rsid w:val="007030E7"/>
    <w:rsid w:val="00703B42"/>
    <w:rsid w:val="00704E22"/>
    <w:rsid w:val="0070608B"/>
    <w:rsid w:val="007062A7"/>
    <w:rsid w:val="007068B2"/>
    <w:rsid w:val="007071D9"/>
    <w:rsid w:val="00707E01"/>
    <w:rsid w:val="00707FD4"/>
    <w:rsid w:val="007114EE"/>
    <w:rsid w:val="007142F5"/>
    <w:rsid w:val="00714CD5"/>
    <w:rsid w:val="00714F9A"/>
    <w:rsid w:val="00716024"/>
    <w:rsid w:val="00716206"/>
    <w:rsid w:val="00716A31"/>
    <w:rsid w:val="00716A61"/>
    <w:rsid w:val="00716EDA"/>
    <w:rsid w:val="007171EC"/>
    <w:rsid w:val="0071770D"/>
    <w:rsid w:val="00717F58"/>
    <w:rsid w:val="00720836"/>
    <w:rsid w:val="007208A9"/>
    <w:rsid w:val="00721058"/>
    <w:rsid w:val="00721071"/>
    <w:rsid w:val="0072136A"/>
    <w:rsid w:val="00721434"/>
    <w:rsid w:val="007214A9"/>
    <w:rsid w:val="007228C4"/>
    <w:rsid w:val="007228CD"/>
    <w:rsid w:val="00723D2D"/>
    <w:rsid w:val="00724BB3"/>
    <w:rsid w:val="00725449"/>
    <w:rsid w:val="0072627B"/>
    <w:rsid w:val="00726C7F"/>
    <w:rsid w:val="00726E2F"/>
    <w:rsid w:val="007308EA"/>
    <w:rsid w:val="00732DB0"/>
    <w:rsid w:val="00734179"/>
    <w:rsid w:val="00734744"/>
    <w:rsid w:val="00734A64"/>
    <w:rsid w:val="00734EC0"/>
    <w:rsid w:val="00734F52"/>
    <w:rsid w:val="00737567"/>
    <w:rsid w:val="007378B9"/>
    <w:rsid w:val="00737A57"/>
    <w:rsid w:val="00737C1A"/>
    <w:rsid w:val="00741DF0"/>
    <w:rsid w:val="00742447"/>
    <w:rsid w:val="00742DC1"/>
    <w:rsid w:val="00742F76"/>
    <w:rsid w:val="0074327B"/>
    <w:rsid w:val="00744C9D"/>
    <w:rsid w:val="007473CD"/>
    <w:rsid w:val="00747945"/>
    <w:rsid w:val="00747D2F"/>
    <w:rsid w:val="00747E27"/>
    <w:rsid w:val="00750D17"/>
    <w:rsid w:val="00752112"/>
    <w:rsid w:val="00752BBC"/>
    <w:rsid w:val="00752BF1"/>
    <w:rsid w:val="00753527"/>
    <w:rsid w:val="0075374B"/>
    <w:rsid w:val="0075381B"/>
    <w:rsid w:val="0075383E"/>
    <w:rsid w:val="00753AB9"/>
    <w:rsid w:val="00753B8B"/>
    <w:rsid w:val="00753E31"/>
    <w:rsid w:val="00753F52"/>
    <w:rsid w:val="007545F3"/>
    <w:rsid w:val="007551F4"/>
    <w:rsid w:val="00755AF0"/>
    <w:rsid w:val="007567D5"/>
    <w:rsid w:val="00757E85"/>
    <w:rsid w:val="00757F72"/>
    <w:rsid w:val="007605EB"/>
    <w:rsid w:val="00760911"/>
    <w:rsid w:val="00760A45"/>
    <w:rsid w:val="00761186"/>
    <w:rsid w:val="00761699"/>
    <w:rsid w:val="007616DC"/>
    <w:rsid w:val="0076205C"/>
    <w:rsid w:val="00762B28"/>
    <w:rsid w:val="00763B4A"/>
    <w:rsid w:val="00763F71"/>
    <w:rsid w:val="007642F1"/>
    <w:rsid w:val="007644D1"/>
    <w:rsid w:val="00765B5F"/>
    <w:rsid w:val="0076680F"/>
    <w:rsid w:val="007668A2"/>
    <w:rsid w:val="00766A9E"/>
    <w:rsid w:val="00767749"/>
    <w:rsid w:val="007700B8"/>
    <w:rsid w:val="00771415"/>
    <w:rsid w:val="00771CA7"/>
    <w:rsid w:val="00772149"/>
    <w:rsid w:val="00772CD7"/>
    <w:rsid w:val="00772DCE"/>
    <w:rsid w:val="007736F2"/>
    <w:rsid w:val="0077401B"/>
    <w:rsid w:val="00774168"/>
    <w:rsid w:val="007741DE"/>
    <w:rsid w:val="0077730A"/>
    <w:rsid w:val="00780B37"/>
    <w:rsid w:val="00780E09"/>
    <w:rsid w:val="007817C2"/>
    <w:rsid w:val="00781B59"/>
    <w:rsid w:val="0078272B"/>
    <w:rsid w:val="00783380"/>
    <w:rsid w:val="007838DD"/>
    <w:rsid w:val="0078477A"/>
    <w:rsid w:val="007858BF"/>
    <w:rsid w:val="00785C3F"/>
    <w:rsid w:val="00786032"/>
    <w:rsid w:val="007862A7"/>
    <w:rsid w:val="00786F55"/>
    <w:rsid w:val="00790B59"/>
    <w:rsid w:val="007911F2"/>
    <w:rsid w:val="007913A0"/>
    <w:rsid w:val="00791658"/>
    <w:rsid w:val="0079236D"/>
    <w:rsid w:val="007934C3"/>
    <w:rsid w:val="00793AC8"/>
    <w:rsid w:val="00793DE9"/>
    <w:rsid w:val="0079416B"/>
    <w:rsid w:val="00795228"/>
    <w:rsid w:val="00795959"/>
    <w:rsid w:val="0079602E"/>
    <w:rsid w:val="007966E5"/>
    <w:rsid w:val="00796EE5"/>
    <w:rsid w:val="0079745E"/>
    <w:rsid w:val="00797470"/>
    <w:rsid w:val="007A0037"/>
    <w:rsid w:val="007A0575"/>
    <w:rsid w:val="007A0856"/>
    <w:rsid w:val="007A091F"/>
    <w:rsid w:val="007A09A5"/>
    <w:rsid w:val="007A1E8F"/>
    <w:rsid w:val="007A1EF5"/>
    <w:rsid w:val="007A1F64"/>
    <w:rsid w:val="007A49F1"/>
    <w:rsid w:val="007A4C22"/>
    <w:rsid w:val="007A6D64"/>
    <w:rsid w:val="007A6EA7"/>
    <w:rsid w:val="007A73F5"/>
    <w:rsid w:val="007A77E5"/>
    <w:rsid w:val="007A7BC5"/>
    <w:rsid w:val="007B1D18"/>
    <w:rsid w:val="007B2236"/>
    <w:rsid w:val="007B2CA2"/>
    <w:rsid w:val="007B33F5"/>
    <w:rsid w:val="007B3E6B"/>
    <w:rsid w:val="007B4400"/>
    <w:rsid w:val="007B49E7"/>
    <w:rsid w:val="007B5005"/>
    <w:rsid w:val="007B644B"/>
    <w:rsid w:val="007B7C18"/>
    <w:rsid w:val="007C0045"/>
    <w:rsid w:val="007C01F8"/>
    <w:rsid w:val="007C01FA"/>
    <w:rsid w:val="007C0507"/>
    <w:rsid w:val="007C2B68"/>
    <w:rsid w:val="007C306F"/>
    <w:rsid w:val="007C3A7D"/>
    <w:rsid w:val="007C42EF"/>
    <w:rsid w:val="007C4AAD"/>
    <w:rsid w:val="007C4CE7"/>
    <w:rsid w:val="007C4E70"/>
    <w:rsid w:val="007C5622"/>
    <w:rsid w:val="007C69F0"/>
    <w:rsid w:val="007C784C"/>
    <w:rsid w:val="007C78DF"/>
    <w:rsid w:val="007D06AF"/>
    <w:rsid w:val="007D0B6D"/>
    <w:rsid w:val="007D0C17"/>
    <w:rsid w:val="007D1230"/>
    <w:rsid w:val="007D137A"/>
    <w:rsid w:val="007D1698"/>
    <w:rsid w:val="007D1DDE"/>
    <w:rsid w:val="007D2816"/>
    <w:rsid w:val="007D43DA"/>
    <w:rsid w:val="007D44D9"/>
    <w:rsid w:val="007D47AA"/>
    <w:rsid w:val="007D4E31"/>
    <w:rsid w:val="007D5640"/>
    <w:rsid w:val="007D5644"/>
    <w:rsid w:val="007D5CC3"/>
    <w:rsid w:val="007D648B"/>
    <w:rsid w:val="007D6777"/>
    <w:rsid w:val="007D6831"/>
    <w:rsid w:val="007D7012"/>
    <w:rsid w:val="007D7192"/>
    <w:rsid w:val="007E10C7"/>
    <w:rsid w:val="007E150D"/>
    <w:rsid w:val="007E1A30"/>
    <w:rsid w:val="007E1A43"/>
    <w:rsid w:val="007E2003"/>
    <w:rsid w:val="007E2081"/>
    <w:rsid w:val="007E2272"/>
    <w:rsid w:val="007E25C9"/>
    <w:rsid w:val="007E274E"/>
    <w:rsid w:val="007E2D05"/>
    <w:rsid w:val="007E3624"/>
    <w:rsid w:val="007E5495"/>
    <w:rsid w:val="007E58CD"/>
    <w:rsid w:val="007E5F99"/>
    <w:rsid w:val="007E6529"/>
    <w:rsid w:val="007E71D8"/>
    <w:rsid w:val="007E735E"/>
    <w:rsid w:val="007E7A91"/>
    <w:rsid w:val="007F033B"/>
    <w:rsid w:val="007F1A09"/>
    <w:rsid w:val="007F2D48"/>
    <w:rsid w:val="007F36DE"/>
    <w:rsid w:val="007F4C47"/>
    <w:rsid w:val="007F6705"/>
    <w:rsid w:val="007F6ECD"/>
    <w:rsid w:val="00800810"/>
    <w:rsid w:val="008012E8"/>
    <w:rsid w:val="00801858"/>
    <w:rsid w:val="0080243F"/>
    <w:rsid w:val="008029AD"/>
    <w:rsid w:val="00803BE9"/>
    <w:rsid w:val="00803FCF"/>
    <w:rsid w:val="00805863"/>
    <w:rsid w:val="00805A50"/>
    <w:rsid w:val="00805FEB"/>
    <w:rsid w:val="00806919"/>
    <w:rsid w:val="008100A4"/>
    <w:rsid w:val="008106F8"/>
    <w:rsid w:val="00811AA0"/>
    <w:rsid w:val="00811C5E"/>
    <w:rsid w:val="00812380"/>
    <w:rsid w:val="00812481"/>
    <w:rsid w:val="00812F9A"/>
    <w:rsid w:val="0081374B"/>
    <w:rsid w:val="00813B25"/>
    <w:rsid w:val="008141C2"/>
    <w:rsid w:val="00814549"/>
    <w:rsid w:val="00815522"/>
    <w:rsid w:val="008156D9"/>
    <w:rsid w:val="00815B3B"/>
    <w:rsid w:val="0081629E"/>
    <w:rsid w:val="0081675D"/>
    <w:rsid w:val="008202CC"/>
    <w:rsid w:val="00820E1F"/>
    <w:rsid w:val="00822D52"/>
    <w:rsid w:val="00824FDC"/>
    <w:rsid w:val="00825A4E"/>
    <w:rsid w:val="00825BC0"/>
    <w:rsid w:val="00826047"/>
    <w:rsid w:val="008277A2"/>
    <w:rsid w:val="008304DA"/>
    <w:rsid w:val="0083074E"/>
    <w:rsid w:val="0083307B"/>
    <w:rsid w:val="00834027"/>
    <w:rsid w:val="008346BF"/>
    <w:rsid w:val="00835587"/>
    <w:rsid w:val="00835A01"/>
    <w:rsid w:val="00836D98"/>
    <w:rsid w:val="008375E1"/>
    <w:rsid w:val="008410FC"/>
    <w:rsid w:val="00841E78"/>
    <w:rsid w:val="008435BF"/>
    <w:rsid w:val="008436FF"/>
    <w:rsid w:val="008450AF"/>
    <w:rsid w:val="00845859"/>
    <w:rsid w:val="00846910"/>
    <w:rsid w:val="00846F82"/>
    <w:rsid w:val="00847C6B"/>
    <w:rsid w:val="00850338"/>
    <w:rsid w:val="00850856"/>
    <w:rsid w:val="00850A6C"/>
    <w:rsid w:val="00852102"/>
    <w:rsid w:val="00852364"/>
    <w:rsid w:val="00852507"/>
    <w:rsid w:val="008541AB"/>
    <w:rsid w:val="00854B9E"/>
    <w:rsid w:val="00855530"/>
    <w:rsid w:val="00855A2F"/>
    <w:rsid w:val="00856E35"/>
    <w:rsid w:val="008575B3"/>
    <w:rsid w:val="00857B1E"/>
    <w:rsid w:val="00857F84"/>
    <w:rsid w:val="00860032"/>
    <w:rsid w:val="008603D9"/>
    <w:rsid w:val="00860A51"/>
    <w:rsid w:val="0086131C"/>
    <w:rsid w:val="0086241D"/>
    <w:rsid w:val="008627E5"/>
    <w:rsid w:val="00865331"/>
    <w:rsid w:val="00866B96"/>
    <w:rsid w:val="00866EFF"/>
    <w:rsid w:val="008705F6"/>
    <w:rsid w:val="008714CD"/>
    <w:rsid w:val="00873D65"/>
    <w:rsid w:val="00874211"/>
    <w:rsid w:val="00874C7F"/>
    <w:rsid w:val="00875E59"/>
    <w:rsid w:val="008760DD"/>
    <w:rsid w:val="0088052C"/>
    <w:rsid w:val="0088117B"/>
    <w:rsid w:val="0088126F"/>
    <w:rsid w:val="00882D06"/>
    <w:rsid w:val="00883444"/>
    <w:rsid w:val="00883C42"/>
    <w:rsid w:val="00886945"/>
    <w:rsid w:val="00890859"/>
    <w:rsid w:val="00891053"/>
    <w:rsid w:val="00891B4C"/>
    <w:rsid w:val="00891FB7"/>
    <w:rsid w:val="0089207F"/>
    <w:rsid w:val="00892A7B"/>
    <w:rsid w:val="00897A83"/>
    <w:rsid w:val="008A06FA"/>
    <w:rsid w:val="008A0A70"/>
    <w:rsid w:val="008A104F"/>
    <w:rsid w:val="008A352D"/>
    <w:rsid w:val="008A39D2"/>
    <w:rsid w:val="008A5109"/>
    <w:rsid w:val="008A517D"/>
    <w:rsid w:val="008A5A34"/>
    <w:rsid w:val="008A5FFA"/>
    <w:rsid w:val="008A7162"/>
    <w:rsid w:val="008A76A3"/>
    <w:rsid w:val="008A7B94"/>
    <w:rsid w:val="008B0683"/>
    <w:rsid w:val="008B179F"/>
    <w:rsid w:val="008B187B"/>
    <w:rsid w:val="008B187D"/>
    <w:rsid w:val="008B243E"/>
    <w:rsid w:val="008B384D"/>
    <w:rsid w:val="008B3CD6"/>
    <w:rsid w:val="008B4474"/>
    <w:rsid w:val="008B5817"/>
    <w:rsid w:val="008B5B7B"/>
    <w:rsid w:val="008B624D"/>
    <w:rsid w:val="008C01CB"/>
    <w:rsid w:val="008C03BA"/>
    <w:rsid w:val="008C08C6"/>
    <w:rsid w:val="008C1ADF"/>
    <w:rsid w:val="008C1BF0"/>
    <w:rsid w:val="008C1D06"/>
    <w:rsid w:val="008C212D"/>
    <w:rsid w:val="008C2DBA"/>
    <w:rsid w:val="008C31B4"/>
    <w:rsid w:val="008C3624"/>
    <w:rsid w:val="008C362E"/>
    <w:rsid w:val="008C3636"/>
    <w:rsid w:val="008C401D"/>
    <w:rsid w:val="008C47BE"/>
    <w:rsid w:val="008C5231"/>
    <w:rsid w:val="008C5A1F"/>
    <w:rsid w:val="008C5C7E"/>
    <w:rsid w:val="008C6920"/>
    <w:rsid w:val="008C73DE"/>
    <w:rsid w:val="008C77C2"/>
    <w:rsid w:val="008D0844"/>
    <w:rsid w:val="008D1017"/>
    <w:rsid w:val="008D331A"/>
    <w:rsid w:val="008D3B50"/>
    <w:rsid w:val="008D3D4B"/>
    <w:rsid w:val="008D442B"/>
    <w:rsid w:val="008D4523"/>
    <w:rsid w:val="008D528B"/>
    <w:rsid w:val="008D5FC9"/>
    <w:rsid w:val="008D68CE"/>
    <w:rsid w:val="008D7144"/>
    <w:rsid w:val="008D7DE3"/>
    <w:rsid w:val="008E0A9C"/>
    <w:rsid w:val="008E12FE"/>
    <w:rsid w:val="008E251B"/>
    <w:rsid w:val="008E2672"/>
    <w:rsid w:val="008E271C"/>
    <w:rsid w:val="008E2BBB"/>
    <w:rsid w:val="008E406F"/>
    <w:rsid w:val="008E543A"/>
    <w:rsid w:val="008E592D"/>
    <w:rsid w:val="008E6EAD"/>
    <w:rsid w:val="008E6F99"/>
    <w:rsid w:val="008E791F"/>
    <w:rsid w:val="008F021F"/>
    <w:rsid w:val="008F0267"/>
    <w:rsid w:val="008F2980"/>
    <w:rsid w:val="008F2BCF"/>
    <w:rsid w:val="008F317E"/>
    <w:rsid w:val="008F3460"/>
    <w:rsid w:val="008F4447"/>
    <w:rsid w:val="008F4A34"/>
    <w:rsid w:val="008F4C8E"/>
    <w:rsid w:val="008F5017"/>
    <w:rsid w:val="008F54B1"/>
    <w:rsid w:val="008F5E30"/>
    <w:rsid w:val="008F5F00"/>
    <w:rsid w:val="008F6759"/>
    <w:rsid w:val="008F6DE5"/>
    <w:rsid w:val="008F6E92"/>
    <w:rsid w:val="008F7791"/>
    <w:rsid w:val="0090038F"/>
    <w:rsid w:val="00900D50"/>
    <w:rsid w:val="009024EC"/>
    <w:rsid w:val="0090361B"/>
    <w:rsid w:val="00904B1B"/>
    <w:rsid w:val="009070C4"/>
    <w:rsid w:val="00907445"/>
    <w:rsid w:val="00910863"/>
    <w:rsid w:val="0091266D"/>
    <w:rsid w:val="00912851"/>
    <w:rsid w:val="00913431"/>
    <w:rsid w:val="00917CFF"/>
    <w:rsid w:val="0092065A"/>
    <w:rsid w:val="00920823"/>
    <w:rsid w:val="009219FD"/>
    <w:rsid w:val="00921E45"/>
    <w:rsid w:val="00922C0D"/>
    <w:rsid w:val="00922C36"/>
    <w:rsid w:val="00923ABD"/>
    <w:rsid w:val="009240B7"/>
    <w:rsid w:val="00924CEA"/>
    <w:rsid w:val="00925AB2"/>
    <w:rsid w:val="00926A36"/>
    <w:rsid w:val="00926C8B"/>
    <w:rsid w:val="00927625"/>
    <w:rsid w:val="00927922"/>
    <w:rsid w:val="009305C7"/>
    <w:rsid w:val="0093079F"/>
    <w:rsid w:val="0093091B"/>
    <w:rsid w:val="0093107E"/>
    <w:rsid w:val="0093120F"/>
    <w:rsid w:val="00931DFA"/>
    <w:rsid w:val="009329D8"/>
    <w:rsid w:val="00932E9B"/>
    <w:rsid w:val="00933804"/>
    <w:rsid w:val="00934288"/>
    <w:rsid w:val="00934BEC"/>
    <w:rsid w:val="00934CB8"/>
    <w:rsid w:val="009355A2"/>
    <w:rsid w:val="00935CAF"/>
    <w:rsid w:val="00936330"/>
    <w:rsid w:val="0093642B"/>
    <w:rsid w:val="00936456"/>
    <w:rsid w:val="00937B3B"/>
    <w:rsid w:val="009411ED"/>
    <w:rsid w:val="0094159B"/>
    <w:rsid w:val="00941610"/>
    <w:rsid w:val="00942908"/>
    <w:rsid w:val="00942AD0"/>
    <w:rsid w:val="00943E91"/>
    <w:rsid w:val="00944341"/>
    <w:rsid w:val="009449A9"/>
    <w:rsid w:val="00944BC7"/>
    <w:rsid w:val="00944CBA"/>
    <w:rsid w:val="00945AA1"/>
    <w:rsid w:val="00950B27"/>
    <w:rsid w:val="00951D2D"/>
    <w:rsid w:val="00951EB2"/>
    <w:rsid w:val="009525DE"/>
    <w:rsid w:val="00952BF0"/>
    <w:rsid w:val="009531DE"/>
    <w:rsid w:val="00953C80"/>
    <w:rsid w:val="0095473A"/>
    <w:rsid w:val="009548AE"/>
    <w:rsid w:val="00954EF3"/>
    <w:rsid w:val="00956605"/>
    <w:rsid w:val="0095672F"/>
    <w:rsid w:val="00956F9F"/>
    <w:rsid w:val="009619A2"/>
    <w:rsid w:val="00962568"/>
    <w:rsid w:val="009628AD"/>
    <w:rsid w:val="00962E81"/>
    <w:rsid w:val="00964F00"/>
    <w:rsid w:val="00964F64"/>
    <w:rsid w:val="00965013"/>
    <w:rsid w:val="00965925"/>
    <w:rsid w:val="00965A18"/>
    <w:rsid w:val="00965B29"/>
    <w:rsid w:val="0096604E"/>
    <w:rsid w:val="009660B2"/>
    <w:rsid w:val="00966BA8"/>
    <w:rsid w:val="009717E0"/>
    <w:rsid w:val="00972B7E"/>
    <w:rsid w:val="00973176"/>
    <w:rsid w:val="00973BD0"/>
    <w:rsid w:val="00973C35"/>
    <w:rsid w:val="00975B97"/>
    <w:rsid w:val="00975EFE"/>
    <w:rsid w:val="0097728D"/>
    <w:rsid w:val="00977FFC"/>
    <w:rsid w:val="00980861"/>
    <w:rsid w:val="00980B73"/>
    <w:rsid w:val="00981260"/>
    <w:rsid w:val="009813D9"/>
    <w:rsid w:val="00981B38"/>
    <w:rsid w:val="00982A69"/>
    <w:rsid w:val="00982BDF"/>
    <w:rsid w:val="00986057"/>
    <w:rsid w:val="00986EB4"/>
    <w:rsid w:val="00990DF7"/>
    <w:rsid w:val="00991E8C"/>
    <w:rsid w:val="0099218F"/>
    <w:rsid w:val="009924AB"/>
    <w:rsid w:val="00992CFA"/>
    <w:rsid w:val="00993BDE"/>
    <w:rsid w:val="00994223"/>
    <w:rsid w:val="00994B72"/>
    <w:rsid w:val="00994DF7"/>
    <w:rsid w:val="00995BE7"/>
    <w:rsid w:val="009967F7"/>
    <w:rsid w:val="00997B30"/>
    <w:rsid w:val="009A0C32"/>
    <w:rsid w:val="009A136D"/>
    <w:rsid w:val="009A28C2"/>
    <w:rsid w:val="009A2AEC"/>
    <w:rsid w:val="009A3296"/>
    <w:rsid w:val="009A33EF"/>
    <w:rsid w:val="009A3DEC"/>
    <w:rsid w:val="009A5342"/>
    <w:rsid w:val="009A5DEC"/>
    <w:rsid w:val="009A69A4"/>
    <w:rsid w:val="009A6ED4"/>
    <w:rsid w:val="009A72DE"/>
    <w:rsid w:val="009A7807"/>
    <w:rsid w:val="009A78AA"/>
    <w:rsid w:val="009B0B1F"/>
    <w:rsid w:val="009B1B23"/>
    <w:rsid w:val="009B255D"/>
    <w:rsid w:val="009B3714"/>
    <w:rsid w:val="009B47AC"/>
    <w:rsid w:val="009B5C4B"/>
    <w:rsid w:val="009B724F"/>
    <w:rsid w:val="009B7F82"/>
    <w:rsid w:val="009C079D"/>
    <w:rsid w:val="009C07B9"/>
    <w:rsid w:val="009C0AA9"/>
    <w:rsid w:val="009C13C1"/>
    <w:rsid w:val="009C1914"/>
    <w:rsid w:val="009C2723"/>
    <w:rsid w:val="009C3474"/>
    <w:rsid w:val="009C34FD"/>
    <w:rsid w:val="009C3813"/>
    <w:rsid w:val="009C64E2"/>
    <w:rsid w:val="009C64F0"/>
    <w:rsid w:val="009C7A66"/>
    <w:rsid w:val="009C7C96"/>
    <w:rsid w:val="009D0097"/>
    <w:rsid w:val="009D0547"/>
    <w:rsid w:val="009D13B6"/>
    <w:rsid w:val="009D1829"/>
    <w:rsid w:val="009D26E5"/>
    <w:rsid w:val="009D3835"/>
    <w:rsid w:val="009D3FB5"/>
    <w:rsid w:val="009D42AE"/>
    <w:rsid w:val="009D5038"/>
    <w:rsid w:val="009D5FEE"/>
    <w:rsid w:val="009D73BB"/>
    <w:rsid w:val="009D74DD"/>
    <w:rsid w:val="009D7C47"/>
    <w:rsid w:val="009E0609"/>
    <w:rsid w:val="009E2CE5"/>
    <w:rsid w:val="009E356C"/>
    <w:rsid w:val="009E39FB"/>
    <w:rsid w:val="009E3EF8"/>
    <w:rsid w:val="009E486C"/>
    <w:rsid w:val="009E4ACF"/>
    <w:rsid w:val="009E4ECD"/>
    <w:rsid w:val="009E55BD"/>
    <w:rsid w:val="009E605C"/>
    <w:rsid w:val="009E6F3E"/>
    <w:rsid w:val="009E7167"/>
    <w:rsid w:val="009E746D"/>
    <w:rsid w:val="009F03DE"/>
    <w:rsid w:val="009F061E"/>
    <w:rsid w:val="009F0731"/>
    <w:rsid w:val="009F13DF"/>
    <w:rsid w:val="009F16D4"/>
    <w:rsid w:val="009F2E54"/>
    <w:rsid w:val="009F3773"/>
    <w:rsid w:val="009F3D69"/>
    <w:rsid w:val="009F5C08"/>
    <w:rsid w:val="009F6689"/>
    <w:rsid w:val="009F7048"/>
    <w:rsid w:val="009F77EA"/>
    <w:rsid w:val="00A003B0"/>
    <w:rsid w:val="00A00D57"/>
    <w:rsid w:val="00A014FA"/>
    <w:rsid w:val="00A021A7"/>
    <w:rsid w:val="00A02457"/>
    <w:rsid w:val="00A03E79"/>
    <w:rsid w:val="00A049BD"/>
    <w:rsid w:val="00A050A0"/>
    <w:rsid w:val="00A051F7"/>
    <w:rsid w:val="00A06C03"/>
    <w:rsid w:val="00A06CF0"/>
    <w:rsid w:val="00A07123"/>
    <w:rsid w:val="00A07220"/>
    <w:rsid w:val="00A101A1"/>
    <w:rsid w:val="00A1057C"/>
    <w:rsid w:val="00A11272"/>
    <w:rsid w:val="00A11712"/>
    <w:rsid w:val="00A11AEE"/>
    <w:rsid w:val="00A12E5F"/>
    <w:rsid w:val="00A136CA"/>
    <w:rsid w:val="00A1397D"/>
    <w:rsid w:val="00A14F65"/>
    <w:rsid w:val="00A16AB5"/>
    <w:rsid w:val="00A21092"/>
    <w:rsid w:val="00A240CE"/>
    <w:rsid w:val="00A24B77"/>
    <w:rsid w:val="00A258C8"/>
    <w:rsid w:val="00A25BB6"/>
    <w:rsid w:val="00A25E4C"/>
    <w:rsid w:val="00A2675C"/>
    <w:rsid w:val="00A31641"/>
    <w:rsid w:val="00A3285E"/>
    <w:rsid w:val="00A3292C"/>
    <w:rsid w:val="00A32934"/>
    <w:rsid w:val="00A34513"/>
    <w:rsid w:val="00A347A1"/>
    <w:rsid w:val="00A34972"/>
    <w:rsid w:val="00A359F7"/>
    <w:rsid w:val="00A35CF1"/>
    <w:rsid w:val="00A37233"/>
    <w:rsid w:val="00A37560"/>
    <w:rsid w:val="00A378F6"/>
    <w:rsid w:val="00A37D46"/>
    <w:rsid w:val="00A37F8C"/>
    <w:rsid w:val="00A40840"/>
    <w:rsid w:val="00A40FB4"/>
    <w:rsid w:val="00A41E16"/>
    <w:rsid w:val="00A43192"/>
    <w:rsid w:val="00A44FD8"/>
    <w:rsid w:val="00A469B8"/>
    <w:rsid w:val="00A47DA3"/>
    <w:rsid w:val="00A50728"/>
    <w:rsid w:val="00A5233D"/>
    <w:rsid w:val="00A525EB"/>
    <w:rsid w:val="00A5291F"/>
    <w:rsid w:val="00A52C02"/>
    <w:rsid w:val="00A537F6"/>
    <w:rsid w:val="00A53B76"/>
    <w:rsid w:val="00A547D9"/>
    <w:rsid w:val="00A564C7"/>
    <w:rsid w:val="00A56695"/>
    <w:rsid w:val="00A5776A"/>
    <w:rsid w:val="00A57DF3"/>
    <w:rsid w:val="00A57F3E"/>
    <w:rsid w:val="00A57F6D"/>
    <w:rsid w:val="00A634F3"/>
    <w:rsid w:val="00A642EB"/>
    <w:rsid w:val="00A64D25"/>
    <w:rsid w:val="00A65EDF"/>
    <w:rsid w:val="00A66F08"/>
    <w:rsid w:val="00A67735"/>
    <w:rsid w:val="00A67EAD"/>
    <w:rsid w:val="00A71540"/>
    <w:rsid w:val="00A71746"/>
    <w:rsid w:val="00A71A3C"/>
    <w:rsid w:val="00A721C2"/>
    <w:rsid w:val="00A72C0B"/>
    <w:rsid w:val="00A7377D"/>
    <w:rsid w:val="00A73CCD"/>
    <w:rsid w:val="00A74DBA"/>
    <w:rsid w:val="00A756C6"/>
    <w:rsid w:val="00A76C0E"/>
    <w:rsid w:val="00A77780"/>
    <w:rsid w:val="00A77794"/>
    <w:rsid w:val="00A77AC7"/>
    <w:rsid w:val="00A804EC"/>
    <w:rsid w:val="00A82313"/>
    <w:rsid w:val="00A82CB9"/>
    <w:rsid w:val="00A85BAE"/>
    <w:rsid w:val="00A861B1"/>
    <w:rsid w:val="00A8639D"/>
    <w:rsid w:val="00A8658B"/>
    <w:rsid w:val="00A8729D"/>
    <w:rsid w:val="00A908CA"/>
    <w:rsid w:val="00A90B40"/>
    <w:rsid w:val="00A91425"/>
    <w:rsid w:val="00A9153C"/>
    <w:rsid w:val="00A91C20"/>
    <w:rsid w:val="00A92748"/>
    <w:rsid w:val="00A92C17"/>
    <w:rsid w:val="00A936F7"/>
    <w:rsid w:val="00A93C49"/>
    <w:rsid w:val="00A94CE1"/>
    <w:rsid w:val="00A954D0"/>
    <w:rsid w:val="00A95602"/>
    <w:rsid w:val="00A95760"/>
    <w:rsid w:val="00A96572"/>
    <w:rsid w:val="00A9689F"/>
    <w:rsid w:val="00A974CA"/>
    <w:rsid w:val="00A97B4E"/>
    <w:rsid w:val="00AA0285"/>
    <w:rsid w:val="00AA0E62"/>
    <w:rsid w:val="00AA1692"/>
    <w:rsid w:val="00AA1F4F"/>
    <w:rsid w:val="00AA2A00"/>
    <w:rsid w:val="00AA2BB7"/>
    <w:rsid w:val="00AA2FAB"/>
    <w:rsid w:val="00AA459D"/>
    <w:rsid w:val="00AA47E4"/>
    <w:rsid w:val="00AA538F"/>
    <w:rsid w:val="00AA548B"/>
    <w:rsid w:val="00AA6067"/>
    <w:rsid w:val="00AA6204"/>
    <w:rsid w:val="00AA7278"/>
    <w:rsid w:val="00AB0595"/>
    <w:rsid w:val="00AB0D65"/>
    <w:rsid w:val="00AB34DE"/>
    <w:rsid w:val="00AB39C2"/>
    <w:rsid w:val="00AB3AE3"/>
    <w:rsid w:val="00AB3B97"/>
    <w:rsid w:val="00AB5BCC"/>
    <w:rsid w:val="00AB711F"/>
    <w:rsid w:val="00AC1425"/>
    <w:rsid w:val="00AC1769"/>
    <w:rsid w:val="00AC299E"/>
    <w:rsid w:val="00AC2FA0"/>
    <w:rsid w:val="00AC3FE7"/>
    <w:rsid w:val="00AC50BB"/>
    <w:rsid w:val="00AC560C"/>
    <w:rsid w:val="00AC5793"/>
    <w:rsid w:val="00AC6547"/>
    <w:rsid w:val="00AC749E"/>
    <w:rsid w:val="00AC76D0"/>
    <w:rsid w:val="00AD2CDF"/>
    <w:rsid w:val="00AD45D9"/>
    <w:rsid w:val="00AD47B6"/>
    <w:rsid w:val="00AD4B20"/>
    <w:rsid w:val="00AD547A"/>
    <w:rsid w:val="00AD6D6B"/>
    <w:rsid w:val="00AD7ACB"/>
    <w:rsid w:val="00AE06F2"/>
    <w:rsid w:val="00AE0ADA"/>
    <w:rsid w:val="00AE0B2D"/>
    <w:rsid w:val="00AE0B7C"/>
    <w:rsid w:val="00AE1494"/>
    <w:rsid w:val="00AE1D6F"/>
    <w:rsid w:val="00AE2BBD"/>
    <w:rsid w:val="00AE2C44"/>
    <w:rsid w:val="00AE3467"/>
    <w:rsid w:val="00AE38AA"/>
    <w:rsid w:val="00AE3D01"/>
    <w:rsid w:val="00AE6093"/>
    <w:rsid w:val="00AE618B"/>
    <w:rsid w:val="00AE6EA9"/>
    <w:rsid w:val="00AF0D98"/>
    <w:rsid w:val="00AF0E03"/>
    <w:rsid w:val="00AF0F8F"/>
    <w:rsid w:val="00AF12D7"/>
    <w:rsid w:val="00AF15C3"/>
    <w:rsid w:val="00AF25DC"/>
    <w:rsid w:val="00AF2CA9"/>
    <w:rsid w:val="00AF3523"/>
    <w:rsid w:val="00AF56B0"/>
    <w:rsid w:val="00AF577A"/>
    <w:rsid w:val="00AF6FFD"/>
    <w:rsid w:val="00AF7E59"/>
    <w:rsid w:val="00B004A3"/>
    <w:rsid w:val="00B0085B"/>
    <w:rsid w:val="00B0104E"/>
    <w:rsid w:val="00B02331"/>
    <w:rsid w:val="00B03B1A"/>
    <w:rsid w:val="00B04C6F"/>
    <w:rsid w:val="00B0567A"/>
    <w:rsid w:val="00B057BF"/>
    <w:rsid w:val="00B072A6"/>
    <w:rsid w:val="00B07BB5"/>
    <w:rsid w:val="00B07E69"/>
    <w:rsid w:val="00B10462"/>
    <w:rsid w:val="00B112F2"/>
    <w:rsid w:val="00B11E48"/>
    <w:rsid w:val="00B1200D"/>
    <w:rsid w:val="00B13D6C"/>
    <w:rsid w:val="00B14217"/>
    <w:rsid w:val="00B14ADF"/>
    <w:rsid w:val="00B14E25"/>
    <w:rsid w:val="00B1510D"/>
    <w:rsid w:val="00B15D41"/>
    <w:rsid w:val="00B175F2"/>
    <w:rsid w:val="00B20554"/>
    <w:rsid w:val="00B20691"/>
    <w:rsid w:val="00B21093"/>
    <w:rsid w:val="00B21F4B"/>
    <w:rsid w:val="00B23FC8"/>
    <w:rsid w:val="00B250FB"/>
    <w:rsid w:val="00B25171"/>
    <w:rsid w:val="00B25B26"/>
    <w:rsid w:val="00B25D64"/>
    <w:rsid w:val="00B26ECE"/>
    <w:rsid w:val="00B27404"/>
    <w:rsid w:val="00B307A9"/>
    <w:rsid w:val="00B30F28"/>
    <w:rsid w:val="00B3100A"/>
    <w:rsid w:val="00B3311F"/>
    <w:rsid w:val="00B34011"/>
    <w:rsid w:val="00B3445C"/>
    <w:rsid w:val="00B35396"/>
    <w:rsid w:val="00B3638C"/>
    <w:rsid w:val="00B37571"/>
    <w:rsid w:val="00B4036B"/>
    <w:rsid w:val="00B403FE"/>
    <w:rsid w:val="00B412B8"/>
    <w:rsid w:val="00B436B0"/>
    <w:rsid w:val="00B46A94"/>
    <w:rsid w:val="00B46AB3"/>
    <w:rsid w:val="00B471D4"/>
    <w:rsid w:val="00B50568"/>
    <w:rsid w:val="00B52969"/>
    <w:rsid w:val="00B5317F"/>
    <w:rsid w:val="00B53299"/>
    <w:rsid w:val="00B53A5E"/>
    <w:rsid w:val="00B53FDB"/>
    <w:rsid w:val="00B55534"/>
    <w:rsid w:val="00B55ABB"/>
    <w:rsid w:val="00B565C6"/>
    <w:rsid w:val="00B5664C"/>
    <w:rsid w:val="00B57262"/>
    <w:rsid w:val="00B576DE"/>
    <w:rsid w:val="00B600CD"/>
    <w:rsid w:val="00B61533"/>
    <w:rsid w:val="00B62628"/>
    <w:rsid w:val="00B62629"/>
    <w:rsid w:val="00B63637"/>
    <w:rsid w:val="00B65828"/>
    <w:rsid w:val="00B663F8"/>
    <w:rsid w:val="00B66C4D"/>
    <w:rsid w:val="00B6700A"/>
    <w:rsid w:val="00B7020C"/>
    <w:rsid w:val="00B708EA"/>
    <w:rsid w:val="00B73107"/>
    <w:rsid w:val="00B737DC"/>
    <w:rsid w:val="00B75B4B"/>
    <w:rsid w:val="00B75EDB"/>
    <w:rsid w:val="00B779EC"/>
    <w:rsid w:val="00B77F2A"/>
    <w:rsid w:val="00B80389"/>
    <w:rsid w:val="00B804E1"/>
    <w:rsid w:val="00B8055A"/>
    <w:rsid w:val="00B810D9"/>
    <w:rsid w:val="00B828F5"/>
    <w:rsid w:val="00B82BCB"/>
    <w:rsid w:val="00B82EC6"/>
    <w:rsid w:val="00B834C7"/>
    <w:rsid w:val="00B83E27"/>
    <w:rsid w:val="00B844F3"/>
    <w:rsid w:val="00B846D2"/>
    <w:rsid w:val="00B85D21"/>
    <w:rsid w:val="00B8652E"/>
    <w:rsid w:val="00B86545"/>
    <w:rsid w:val="00B86A3D"/>
    <w:rsid w:val="00B86DAD"/>
    <w:rsid w:val="00B86E9C"/>
    <w:rsid w:val="00B870E1"/>
    <w:rsid w:val="00B9017A"/>
    <w:rsid w:val="00B908DF"/>
    <w:rsid w:val="00B908F7"/>
    <w:rsid w:val="00B91F3E"/>
    <w:rsid w:val="00B93854"/>
    <w:rsid w:val="00B93C59"/>
    <w:rsid w:val="00B93D1B"/>
    <w:rsid w:val="00B94312"/>
    <w:rsid w:val="00B9548E"/>
    <w:rsid w:val="00B96417"/>
    <w:rsid w:val="00B9658F"/>
    <w:rsid w:val="00B96896"/>
    <w:rsid w:val="00B96C9D"/>
    <w:rsid w:val="00B97607"/>
    <w:rsid w:val="00BA144C"/>
    <w:rsid w:val="00BA16EA"/>
    <w:rsid w:val="00BA22CD"/>
    <w:rsid w:val="00BA3CCE"/>
    <w:rsid w:val="00BA57DC"/>
    <w:rsid w:val="00BA5807"/>
    <w:rsid w:val="00BA69AB"/>
    <w:rsid w:val="00BA6D92"/>
    <w:rsid w:val="00BA727A"/>
    <w:rsid w:val="00BA7661"/>
    <w:rsid w:val="00BA7AF8"/>
    <w:rsid w:val="00BB0853"/>
    <w:rsid w:val="00BB2DC8"/>
    <w:rsid w:val="00BB2FB9"/>
    <w:rsid w:val="00BB32F4"/>
    <w:rsid w:val="00BB3CD4"/>
    <w:rsid w:val="00BB48A7"/>
    <w:rsid w:val="00BB6859"/>
    <w:rsid w:val="00BB6B98"/>
    <w:rsid w:val="00BB6D91"/>
    <w:rsid w:val="00BB74B4"/>
    <w:rsid w:val="00BB77FC"/>
    <w:rsid w:val="00BC0799"/>
    <w:rsid w:val="00BC20BA"/>
    <w:rsid w:val="00BC2E44"/>
    <w:rsid w:val="00BC448F"/>
    <w:rsid w:val="00BC4504"/>
    <w:rsid w:val="00BC57A3"/>
    <w:rsid w:val="00BC5F74"/>
    <w:rsid w:val="00BC6528"/>
    <w:rsid w:val="00BC6A15"/>
    <w:rsid w:val="00BC7F8E"/>
    <w:rsid w:val="00BD1414"/>
    <w:rsid w:val="00BD219E"/>
    <w:rsid w:val="00BD247D"/>
    <w:rsid w:val="00BD2F47"/>
    <w:rsid w:val="00BD635D"/>
    <w:rsid w:val="00BD6980"/>
    <w:rsid w:val="00BD721B"/>
    <w:rsid w:val="00BD7A0A"/>
    <w:rsid w:val="00BD7E86"/>
    <w:rsid w:val="00BE0B8F"/>
    <w:rsid w:val="00BE17F7"/>
    <w:rsid w:val="00BE1F61"/>
    <w:rsid w:val="00BE2512"/>
    <w:rsid w:val="00BE4CCA"/>
    <w:rsid w:val="00BE5A1F"/>
    <w:rsid w:val="00BE61F3"/>
    <w:rsid w:val="00BE6DCD"/>
    <w:rsid w:val="00BE742A"/>
    <w:rsid w:val="00BE7C81"/>
    <w:rsid w:val="00BE7E03"/>
    <w:rsid w:val="00BF00F8"/>
    <w:rsid w:val="00BF0829"/>
    <w:rsid w:val="00BF0D88"/>
    <w:rsid w:val="00BF16B5"/>
    <w:rsid w:val="00BF16E2"/>
    <w:rsid w:val="00BF2AD2"/>
    <w:rsid w:val="00BF3189"/>
    <w:rsid w:val="00BF3A0C"/>
    <w:rsid w:val="00BF4843"/>
    <w:rsid w:val="00BF55AB"/>
    <w:rsid w:val="00BF5E08"/>
    <w:rsid w:val="00BF679E"/>
    <w:rsid w:val="00C007BB"/>
    <w:rsid w:val="00C00895"/>
    <w:rsid w:val="00C01F83"/>
    <w:rsid w:val="00C02078"/>
    <w:rsid w:val="00C03FA5"/>
    <w:rsid w:val="00C0402A"/>
    <w:rsid w:val="00C04866"/>
    <w:rsid w:val="00C05E56"/>
    <w:rsid w:val="00C065F0"/>
    <w:rsid w:val="00C0721F"/>
    <w:rsid w:val="00C07685"/>
    <w:rsid w:val="00C077AD"/>
    <w:rsid w:val="00C10F17"/>
    <w:rsid w:val="00C13F4B"/>
    <w:rsid w:val="00C1426A"/>
    <w:rsid w:val="00C143AA"/>
    <w:rsid w:val="00C151CC"/>
    <w:rsid w:val="00C1562D"/>
    <w:rsid w:val="00C158CB"/>
    <w:rsid w:val="00C15B9D"/>
    <w:rsid w:val="00C15C7D"/>
    <w:rsid w:val="00C15D9D"/>
    <w:rsid w:val="00C15E57"/>
    <w:rsid w:val="00C16051"/>
    <w:rsid w:val="00C16123"/>
    <w:rsid w:val="00C16726"/>
    <w:rsid w:val="00C16F8D"/>
    <w:rsid w:val="00C1717F"/>
    <w:rsid w:val="00C1762B"/>
    <w:rsid w:val="00C179BD"/>
    <w:rsid w:val="00C20CE9"/>
    <w:rsid w:val="00C23819"/>
    <w:rsid w:val="00C24601"/>
    <w:rsid w:val="00C248B7"/>
    <w:rsid w:val="00C253ED"/>
    <w:rsid w:val="00C25A22"/>
    <w:rsid w:val="00C25B15"/>
    <w:rsid w:val="00C264ED"/>
    <w:rsid w:val="00C26E08"/>
    <w:rsid w:val="00C27064"/>
    <w:rsid w:val="00C278BF"/>
    <w:rsid w:val="00C27D0B"/>
    <w:rsid w:val="00C303E3"/>
    <w:rsid w:val="00C30722"/>
    <w:rsid w:val="00C314B6"/>
    <w:rsid w:val="00C31849"/>
    <w:rsid w:val="00C318BB"/>
    <w:rsid w:val="00C31CD9"/>
    <w:rsid w:val="00C31F57"/>
    <w:rsid w:val="00C334B7"/>
    <w:rsid w:val="00C33E6F"/>
    <w:rsid w:val="00C342A1"/>
    <w:rsid w:val="00C356C2"/>
    <w:rsid w:val="00C35AC3"/>
    <w:rsid w:val="00C37BAF"/>
    <w:rsid w:val="00C401F7"/>
    <w:rsid w:val="00C40A72"/>
    <w:rsid w:val="00C42F81"/>
    <w:rsid w:val="00C44C4D"/>
    <w:rsid w:val="00C4579F"/>
    <w:rsid w:val="00C457D9"/>
    <w:rsid w:val="00C45970"/>
    <w:rsid w:val="00C45C40"/>
    <w:rsid w:val="00C47EC7"/>
    <w:rsid w:val="00C5090A"/>
    <w:rsid w:val="00C50916"/>
    <w:rsid w:val="00C50C6C"/>
    <w:rsid w:val="00C515A4"/>
    <w:rsid w:val="00C51C01"/>
    <w:rsid w:val="00C525DC"/>
    <w:rsid w:val="00C54B17"/>
    <w:rsid w:val="00C54B29"/>
    <w:rsid w:val="00C55047"/>
    <w:rsid w:val="00C55D76"/>
    <w:rsid w:val="00C560A4"/>
    <w:rsid w:val="00C57C3B"/>
    <w:rsid w:val="00C57F3C"/>
    <w:rsid w:val="00C607CA"/>
    <w:rsid w:val="00C609C2"/>
    <w:rsid w:val="00C61399"/>
    <w:rsid w:val="00C61449"/>
    <w:rsid w:val="00C6206E"/>
    <w:rsid w:val="00C637A7"/>
    <w:rsid w:val="00C64326"/>
    <w:rsid w:val="00C6559A"/>
    <w:rsid w:val="00C656B1"/>
    <w:rsid w:val="00C66DF4"/>
    <w:rsid w:val="00C67505"/>
    <w:rsid w:val="00C67881"/>
    <w:rsid w:val="00C67CAC"/>
    <w:rsid w:val="00C70A01"/>
    <w:rsid w:val="00C7222E"/>
    <w:rsid w:val="00C72907"/>
    <w:rsid w:val="00C73379"/>
    <w:rsid w:val="00C7409A"/>
    <w:rsid w:val="00C746F1"/>
    <w:rsid w:val="00C7590C"/>
    <w:rsid w:val="00C7696C"/>
    <w:rsid w:val="00C77307"/>
    <w:rsid w:val="00C80163"/>
    <w:rsid w:val="00C812A4"/>
    <w:rsid w:val="00C81786"/>
    <w:rsid w:val="00C81E50"/>
    <w:rsid w:val="00C82079"/>
    <w:rsid w:val="00C82789"/>
    <w:rsid w:val="00C86701"/>
    <w:rsid w:val="00C86777"/>
    <w:rsid w:val="00C867BE"/>
    <w:rsid w:val="00C86A26"/>
    <w:rsid w:val="00C86F62"/>
    <w:rsid w:val="00C908CE"/>
    <w:rsid w:val="00C9137C"/>
    <w:rsid w:val="00C919FA"/>
    <w:rsid w:val="00C91E32"/>
    <w:rsid w:val="00C91EB6"/>
    <w:rsid w:val="00C9401E"/>
    <w:rsid w:val="00C94AAB"/>
    <w:rsid w:val="00C9576F"/>
    <w:rsid w:val="00C9611E"/>
    <w:rsid w:val="00C965D3"/>
    <w:rsid w:val="00C96B0B"/>
    <w:rsid w:val="00C97AF8"/>
    <w:rsid w:val="00CA0D5E"/>
    <w:rsid w:val="00CA1D9F"/>
    <w:rsid w:val="00CA2177"/>
    <w:rsid w:val="00CA243F"/>
    <w:rsid w:val="00CA3641"/>
    <w:rsid w:val="00CA49E6"/>
    <w:rsid w:val="00CA7212"/>
    <w:rsid w:val="00CA7A3D"/>
    <w:rsid w:val="00CA7FCA"/>
    <w:rsid w:val="00CB09DF"/>
    <w:rsid w:val="00CB1563"/>
    <w:rsid w:val="00CB19DB"/>
    <w:rsid w:val="00CB1F69"/>
    <w:rsid w:val="00CB3118"/>
    <w:rsid w:val="00CB35A9"/>
    <w:rsid w:val="00CB40E9"/>
    <w:rsid w:val="00CB487C"/>
    <w:rsid w:val="00CB5751"/>
    <w:rsid w:val="00CB5E28"/>
    <w:rsid w:val="00CB6023"/>
    <w:rsid w:val="00CB6038"/>
    <w:rsid w:val="00CB61BF"/>
    <w:rsid w:val="00CB6A80"/>
    <w:rsid w:val="00CB7F10"/>
    <w:rsid w:val="00CC2938"/>
    <w:rsid w:val="00CC3703"/>
    <w:rsid w:val="00CC3A9F"/>
    <w:rsid w:val="00CC3D44"/>
    <w:rsid w:val="00CC5721"/>
    <w:rsid w:val="00CC5746"/>
    <w:rsid w:val="00CC668A"/>
    <w:rsid w:val="00CC6BDB"/>
    <w:rsid w:val="00CC7DF4"/>
    <w:rsid w:val="00CD1736"/>
    <w:rsid w:val="00CD1BF5"/>
    <w:rsid w:val="00CD2BA5"/>
    <w:rsid w:val="00CD2DF7"/>
    <w:rsid w:val="00CD3367"/>
    <w:rsid w:val="00CD3DBB"/>
    <w:rsid w:val="00CD46B6"/>
    <w:rsid w:val="00CD4CD0"/>
    <w:rsid w:val="00CD718E"/>
    <w:rsid w:val="00CD7C13"/>
    <w:rsid w:val="00CE0637"/>
    <w:rsid w:val="00CE0C8B"/>
    <w:rsid w:val="00CE2C92"/>
    <w:rsid w:val="00CE4EE3"/>
    <w:rsid w:val="00CE5698"/>
    <w:rsid w:val="00CE67A3"/>
    <w:rsid w:val="00CE764B"/>
    <w:rsid w:val="00CF1A6F"/>
    <w:rsid w:val="00CF1BB2"/>
    <w:rsid w:val="00CF20BF"/>
    <w:rsid w:val="00CF460D"/>
    <w:rsid w:val="00CF4B78"/>
    <w:rsid w:val="00CF614B"/>
    <w:rsid w:val="00CF630D"/>
    <w:rsid w:val="00CF66F5"/>
    <w:rsid w:val="00CF6D93"/>
    <w:rsid w:val="00CF72AC"/>
    <w:rsid w:val="00D00257"/>
    <w:rsid w:val="00D00A47"/>
    <w:rsid w:val="00D00CC8"/>
    <w:rsid w:val="00D01816"/>
    <w:rsid w:val="00D01E82"/>
    <w:rsid w:val="00D01F19"/>
    <w:rsid w:val="00D02194"/>
    <w:rsid w:val="00D02686"/>
    <w:rsid w:val="00D04224"/>
    <w:rsid w:val="00D05E92"/>
    <w:rsid w:val="00D06D4D"/>
    <w:rsid w:val="00D10B7A"/>
    <w:rsid w:val="00D123E0"/>
    <w:rsid w:val="00D12A46"/>
    <w:rsid w:val="00D139A4"/>
    <w:rsid w:val="00D15546"/>
    <w:rsid w:val="00D1600C"/>
    <w:rsid w:val="00D16471"/>
    <w:rsid w:val="00D16940"/>
    <w:rsid w:val="00D16BC0"/>
    <w:rsid w:val="00D16FED"/>
    <w:rsid w:val="00D171DD"/>
    <w:rsid w:val="00D174D6"/>
    <w:rsid w:val="00D1791B"/>
    <w:rsid w:val="00D17D10"/>
    <w:rsid w:val="00D200BA"/>
    <w:rsid w:val="00D20A2A"/>
    <w:rsid w:val="00D20AF7"/>
    <w:rsid w:val="00D21640"/>
    <w:rsid w:val="00D2193D"/>
    <w:rsid w:val="00D224CC"/>
    <w:rsid w:val="00D22C7E"/>
    <w:rsid w:val="00D23014"/>
    <w:rsid w:val="00D2333D"/>
    <w:rsid w:val="00D2355E"/>
    <w:rsid w:val="00D23B89"/>
    <w:rsid w:val="00D23C27"/>
    <w:rsid w:val="00D23CAD"/>
    <w:rsid w:val="00D242F4"/>
    <w:rsid w:val="00D254B1"/>
    <w:rsid w:val="00D26302"/>
    <w:rsid w:val="00D268D7"/>
    <w:rsid w:val="00D271C4"/>
    <w:rsid w:val="00D2747A"/>
    <w:rsid w:val="00D2757E"/>
    <w:rsid w:val="00D30A72"/>
    <w:rsid w:val="00D31526"/>
    <w:rsid w:val="00D3291A"/>
    <w:rsid w:val="00D33076"/>
    <w:rsid w:val="00D33352"/>
    <w:rsid w:val="00D343C0"/>
    <w:rsid w:val="00D35242"/>
    <w:rsid w:val="00D35913"/>
    <w:rsid w:val="00D359D7"/>
    <w:rsid w:val="00D35B7B"/>
    <w:rsid w:val="00D35E8E"/>
    <w:rsid w:val="00D3789D"/>
    <w:rsid w:val="00D37ADB"/>
    <w:rsid w:val="00D416F0"/>
    <w:rsid w:val="00D435C4"/>
    <w:rsid w:val="00D45EC1"/>
    <w:rsid w:val="00D479BB"/>
    <w:rsid w:val="00D50738"/>
    <w:rsid w:val="00D5141A"/>
    <w:rsid w:val="00D51C95"/>
    <w:rsid w:val="00D51E41"/>
    <w:rsid w:val="00D53B03"/>
    <w:rsid w:val="00D53F72"/>
    <w:rsid w:val="00D54A9C"/>
    <w:rsid w:val="00D54FA4"/>
    <w:rsid w:val="00D553A0"/>
    <w:rsid w:val="00D55502"/>
    <w:rsid w:val="00D5576F"/>
    <w:rsid w:val="00D562B8"/>
    <w:rsid w:val="00D562E5"/>
    <w:rsid w:val="00D567B2"/>
    <w:rsid w:val="00D56EF4"/>
    <w:rsid w:val="00D57600"/>
    <w:rsid w:val="00D61715"/>
    <w:rsid w:val="00D618AB"/>
    <w:rsid w:val="00D6240C"/>
    <w:rsid w:val="00D627ED"/>
    <w:rsid w:val="00D63B3D"/>
    <w:rsid w:val="00D63F93"/>
    <w:rsid w:val="00D64148"/>
    <w:rsid w:val="00D650E0"/>
    <w:rsid w:val="00D661E4"/>
    <w:rsid w:val="00D66D95"/>
    <w:rsid w:val="00D6798B"/>
    <w:rsid w:val="00D70490"/>
    <w:rsid w:val="00D70BCF"/>
    <w:rsid w:val="00D70F99"/>
    <w:rsid w:val="00D71880"/>
    <w:rsid w:val="00D71BC5"/>
    <w:rsid w:val="00D72668"/>
    <w:rsid w:val="00D733F8"/>
    <w:rsid w:val="00D734D1"/>
    <w:rsid w:val="00D73D75"/>
    <w:rsid w:val="00D7428A"/>
    <w:rsid w:val="00D7497F"/>
    <w:rsid w:val="00D765BC"/>
    <w:rsid w:val="00D76A21"/>
    <w:rsid w:val="00D76DB6"/>
    <w:rsid w:val="00D7789F"/>
    <w:rsid w:val="00D800BC"/>
    <w:rsid w:val="00D805F9"/>
    <w:rsid w:val="00D80B21"/>
    <w:rsid w:val="00D81432"/>
    <w:rsid w:val="00D81CE7"/>
    <w:rsid w:val="00D8257C"/>
    <w:rsid w:val="00D83197"/>
    <w:rsid w:val="00D86367"/>
    <w:rsid w:val="00D87258"/>
    <w:rsid w:val="00D87293"/>
    <w:rsid w:val="00D91638"/>
    <w:rsid w:val="00D91EF6"/>
    <w:rsid w:val="00D9450D"/>
    <w:rsid w:val="00D95E4A"/>
    <w:rsid w:val="00D9680A"/>
    <w:rsid w:val="00DA0346"/>
    <w:rsid w:val="00DA061D"/>
    <w:rsid w:val="00DA17C9"/>
    <w:rsid w:val="00DA2CAB"/>
    <w:rsid w:val="00DA4A1D"/>
    <w:rsid w:val="00DA4CCF"/>
    <w:rsid w:val="00DA70ED"/>
    <w:rsid w:val="00DA7F55"/>
    <w:rsid w:val="00DB09A2"/>
    <w:rsid w:val="00DB13E4"/>
    <w:rsid w:val="00DB2EE9"/>
    <w:rsid w:val="00DB3690"/>
    <w:rsid w:val="00DB6DDE"/>
    <w:rsid w:val="00DB6ECB"/>
    <w:rsid w:val="00DB79E1"/>
    <w:rsid w:val="00DC1EAF"/>
    <w:rsid w:val="00DC24C6"/>
    <w:rsid w:val="00DC34FD"/>
    <w:rsid w:val="00DC3820"/>
    <w:rsid w:val="00DC40D5"/>
    <w:rsid w:val="00DC504F"/>
    <w:rsid w:val="00DC50DC"/>
    <w:rsid w:val="00DC5726"/>
    <w:rsid w:val="00DC59B2"/>
    <w:rsid w:val="00DC6B6B"/>
    <w:rsid w:val="00DC794C"/>
    <w:rsid w:val="00DC7CA2"/>
    <w:rsid w:val="00DD021C"/>
    <w:rsid w:val="00DD257A"/>
    <w:rsid w:val="00DD2856"/>
    <w:rsid w:val="00DD3656"/>
    <w:rsid w:val="00DD4009"/>
    <w:rsid w:val="00DD52EA"/>
    <w:rsid w:val="00DD57ED"/>
    <w:rsid w:val="00DD596D"/>
    <w:rsid w:val="00DD6FD4"/>
    <w:rsid w:val="00DD794B"/>
    <w:rsid w:val="00DD7D4A"/>
    <w:rsid w:val="00DE1302"/>
    <w:rsid w:val="00DE1656"/>
    <w:rsid w:val="00DE21F9"/>
    <w:rsid w:val="00DE304B"/>
    <w:rsid w:val="00DE38FA"/>
    <w:rsid w:val="00DE41D9"/>
    <w:rsid w:val="00DE47DB"/>
    <w:rsid w:val="00DE4E41"/>
    <w:rsid w:val="00DE522D"/>
    <w:rsid w:val="00DE58CF"/>
    <w:rsid w:val="00DE60FA"/>
    <w:rsid w:val="00DE61CF"/>
    <w:rsid w:val="00DE647E"/>
    <w:rsid w:val="00DE6C69"/>
    <w:rsid w:val="00DE7388"/>
    <w:rsid w:val="00DF0009"/>
    <w:rsid w:val="00DF09E4"/>
    <w:rsid w:val="00DF0A14"/>
    <w:rsid w:val="00DF0C9A"/>
    <w:rsid w:val="00DF1FD1"/>
    <w:rsid w:val="00DF2AC8"/>
    <w:rsid w:val="00DF3204"/>
    <w:rsid w:val="00DF322E"/>
    <w:rsid w:val="00DF49FA"/>
    <w:rsid w:val="00DF54A9"/>
    <w:rsid w:val="00DF5546"/>
    <w:rsid w:val="00DF61CC"/>
    <w:rsid w:val="00DF7125"/>
    <w:rsid w:val="00DF752C"/>
    <w:rsid w:val="00DF75C1"/>
    <w:rsid w:val="00DF7FF8"/>
    <w:rsid w:val="00E001AD"/>
    <w:rsid w:val="00E00ADE"/>
    <w:rsid w:val="00E011B0"/>
    <w:rsid w:val="00E012D2"/>
    <w:rsid w:val="00E0132A"/>
    <w:rsid w:val="00E01741"/>
    <w:rsid w:val="00E01BB8"/>
    <w:rsid w:val="00E02597"/>
    <w:rsid w:val="00E02765"/>
    <w:rsid w:val="00E02814"/>
    <w:rsid w:val="00E03323"/>
    <w:rsid w:val="00E03622"/>
    <w:rsid w:val="00E03F23"/>
    <w:rsid w:val="00E044E3"/>
    <w:rsid w:val="00E04E88"/>
    <w:rsid w:val="00E04EB6"/>
    <w:rsid w:val="00E05DC2"/>
    <w:rsid w:val="00E0629A"/>
    <w:rsid w:val="00E063A3"/>
    <w:rsid w:val="00E0763D"/>
    <w:rsid w:val="00E07B27"/>
    <w:rsid w:val="00E07B2F"/>
    <w:rsid w:val="00E07D83"/>
    <w:rsid w:val="00E10817"/>
    <w:rsid w:val="00E10C1A"/>
    <w:rsid w:val="00E110C1"/>
    <w:rsid w:val="00E1152A"/>
    <w:rsid w:val="00E1201A"/>
    <w:rsid w:val="00E12074"/>
    <w:rsid w:val="00E129A7"/>
    <w:rsid w:val="00E12A75"/>
    <w:rsid w:val="00E12BD3"/>
    <w:rsid w:val="00E12D1F"/>
    <w:rsid w:val="00E13F83"/>
    <w:rsid w:val="00E144B7"/>
    <w:rsid w:val="00E14EF3"/>
    <w:rsid w:val="00E15262"/>
    <w:rsid w:val="00E17B54"/>
    <w:rsid w:val="00E17F42"/>
    <w:rsid w:val="00E20ADB"/>
    <w:rsid w:val="00E21A2D"/>
    <w:rsid w:val="00E222E8"/>
    <w:rsid w:val="00E22833"/>
    <w:rsid w:val="00E24210"/>
    <w:rsid w:val="00E244BE"/>
    <w:rsid w:val="00E24646"/>
    <w:rsid w:val="00E26C47"/>
    <w:rsid w:val="00E27201"/>
    <w:rsid w:val="00E2744F"/>
    <w:rsid w:val="00E27E44"/>
    <w:rsid w:val="00E3001E"/>
    <w:rsid w:val="00E304FD"/>
    <w:rsid w:val="00E309A2"/>
    <w:rsid w:val="00E30D7A"/>
    <w:rsid w:val="00E30FC2"/>
    <w:rsid w:val="00E31FFD"/>
    <w:rsid w:val="00E32233"/>
    <w:rsid w:val="00E32DDD"/>
    <w:rsid w:val="00E33CDA"/>
    <w:rsid w:val="00E33CEE"/>
    <w:rsid w:val="00E33EB7"/>
    <w:rsid w:val="00E33F66"/>
    <w:rsid w:val="00E34B7C"/>
    <w:rsid w:val="00E34BED"/>
    <w:rsid w:val="00E34DB9"/>
    <w:rsid w:val="00E3528A"/>
    <w:rsid w:val="00E356DF"/>
    <w:rsid w:val="00E358C0"/>
    <w:rsid w:val="00E35C70"/>
    <w:rsid w:val="00E37ABE"/>
    <w:rsid w:val="00E40075"/>
    <w:rsid w:val="00E401D1"/>
    <w:rsid w:val="00E4039B"/>
    <w:rsid w:val="00E4061E"/>
    <w:rsid w:val="00E4174F"/>
    <w:rsid w:val="00E41FBF"/>
    <w:rsid w:val="00E4224F"/>
    <w:rsid w:val="00E433D9"/>
    <w:rsid w:val="00E43407"/>
    <w:rsid w:val="00E45262"/>
    <w:rsid w:val="00E501F2"/>
    <w:rsid w:val="00E505AE"/>
    <w:rsid w:val="00E50DA2"/>
    <w:rsid w:val="00E52CE5"/>
    <w:rsid w:val="00E52F1E"/>
    <w:rsid w:val="00E533CE"/>
    <w:rsid w:val="00E537FA"/>
    <w:rsid w:val="00E53AF8"/>
    <w:rsid w:val="00E53E78"/>
    <w:rsid w:val="00E54611"/>
    <w:rsid w:val="00E55E8A"/>
    <w:rsid w:val="00E56390"/>
    <w:rsid w:val="00E56A86"/>
    <w:rsid w:val="00E56BA0"/>
    <w:rsid w:val="00E62AA0"/>
    <w:rsid w:val="00E63830"/>
    <w:rsid w:val="00E63951"/>
    <w:rsid w:val="00E64ED1"/>
    <w:rsid w:val="00E6501F"/>
    <w:rsid w:val="00E650A3"/>
    <w:rsid w:val="00E65DED"/>
    <w:rsid w:val="00E65DF7"/>
    <w:rsid w:val="00E66F7A"/>
    <w:rsid w:val="00E721B9"/>
    <w:rsid w:val="00E7372D"/>
    <w:rsid w:val="00E752A2"/>
    <w:rsid w:val="00E75315"/>
    <w:rsid w:val="00E755CB"/>
    <w:rsid w:val="00E755E5"/>
    <w:rsid w:val="00E75A76"/>
    <w:rsid w:val="00E75F44"/>
    <w:rsid w:val="00E76164"/>
    <w:rsid w:val="00E76DB7"/>
    <w:rsid w:val="00E801D0"/>
    <w:rsid w:val="00E8031A"/>
    <w:rsid w:val="00E80F8B"/>
    <w:rsid w:val="00E80FA4"/>
    <w:rsid w:val="00E80FD4"/>
    <w:rsid w:val="00E8212D"/>
    <w:rsid w:val="00E83A77"/>
    <w:rsid w:val="00E83D4E"/>
    <w:rsid w:val="00E84472"/>
    <w:rsid w:val="00E849B5"/>
    <w:rsid w:val="00E84A38"/>
    <w:rsid w:val="00E85641"/>
    <w:rsid w:val="00E85AB7"/>
    <w:rsid w:val="00E85DC0"/>
    <w:rsid w:val="00E862A7"/>
    <w:rsid w:val="00E8649B"/>
    <w:rsid w:val="00E86C62"/>
    <w:rsid w:val="00E87117"/>
    <w:rsid w:val="00E871D2"/>
    <w:rsid w:val="00E8785E"/>
    <w:rsid w:val="00E908A4"/>
    <w:rsid w:val="00E91532"/>
    <w:rsid w:val="00E91E9A"/>
    <w:rsid w:val="00E922DD"/>
    <w:rsid w:val="00E92F62"/>
    <w:rsid w:val="00E93EBB"/>
    <w:rsid w:val="00E95483"/>
    <w:rsid w:val="00E95509"/>
    <w:rsid w:val="00E96278"/>
    <w:rsid w:val="00EA079D"/>
    <w:rsid w:val="00EA0B7C"/>
    <w:rsid w:val="00EA0D54"/>
    <w:rsid w:val="00EA12AB"/>
    <w:rsid w:val="00EA2071"/>
    <w:rsid w:val="00EA2319"/>
    <w:rsid w:val="00EA286A"/>
    <w:rsid w:val="00EA2A7A"/>
    <w:rsid w:val="00EA2CA1"/>
    <w:rsid w:val="00EA30D3"/>
    <w:rsid w:val="00EA347F"/>
    <w:rsid w:val="00EA366A"/>
    <w:rsid w:val="00EA367D"/>
    <w:rsid w:val="00EA3A96"/>
    <w:rsid w:val="00EA6790"/>
    <w:rsid w:val="00EA76EB"/>
    <w:rsid w:val="00EB0F7D"/>
    <w:rsid w:val="00EB1293"/>
    <w:rsid w:val="00EB280D"/>
    <w:rsid w:val="00EB2945"/>
    <w:rsid w:val="00EB3313"/>
    <w:rsid w:val="00EB4BBE"/>
    <w:rsid w:val="00EB554D"/>
    <w:rsid w:val="00EB5946"/>
    <w:rsid w:val="00EB688E"/>
    <w:rsid w:val="00EB6F30"/>
    <w:rsid w:val="00EC03A2"/>
    <w:rsid w:val="00EC0C5D"/>
    <w:rsid w:val="00EC1F63"/>
    <w:rsid w:val="00EC2291"/>
    <w:rsid w:val="00EC2A99"/>
    <w:rsid w:val="00EC2ADB"/>
    <w:rsid w:val="00EC3835"/>
    <w:rsid w:val="00EC3A14"/>
    <w:rsid w:val="00EC46C8"/>
    <w:rsid w:val="00EC52CE"/>
    <w:rsid w:val="00EC647E"/>
    <w:rsid w:val="00EC64A3"/>
    <w:rsid w:val="00ED1465"/>
    <w:rsid w:val="00ED1605"/>
    <w:rsid w:val="00ED16EB"/>
    <w:rsid w:val="00ED29BD"/>
    <w:rsid w:val="00ED4B09"/>
    <w:rsid w:val="00ED4DDA"/>
    <w:rsid w:val="00ED545B"/>
    <w:rsid w:val="00ED5638"/>
    <w:rsid w:val="00ED5EFE"/>
    <w:rsid w:val="00ED722A"/>
    <w:rsid w:val="00ED7A8A"/>
    <w:rsid w:val="00ED7F0F"/>
    <w:rsid w:val="00EE28D6"/>
    <w:rsid w:val="00EE2D59"/>
    <w:rsid w:val="00EE2DE0"/>
    <w:rsid w:val="00EE3D57"/>
    <w:rsid w:val="00EE4024"/>
    <w:rsid w:val="00EE4132"/>
    <w:rsid w:val="00EE4FC9"/>
    <w:rsid w:val="00EE5FE7"/>
    <w:rsid w:val="00EE6141"/>
    <w:rsid w:val="00EE61BE"/>
    <w:rsid w:val="00EE6626"/>
    <w:rsid w:val="00EE6672"/>
    <w:rsid w:val="00EE6E49"/>
    <w:rsid w:val="00EE6EEC"/>
    <w:rsid w:val="00EE74C7"/>
    <w:rsid w:val="00EF055B"/>
    <w:rsid w:val="00EF08F1"/>
    <w:rsid w:val="00EF0BDB"/>
    <w:rsid w:val="00EF11B2"/>
    <w:rsid w:val="00EF1F06"/>
    <w:rsid w:val="00EF68E2"/>
    <w:rsid w:val="00EF6CF6"/>
    <w:rsid w:val="00EF708F"/>
    <w:rsid w:val="00EF76E5"/>
    <w:rsid w:val="00EF7904"/>
    <w:rsid w:val="00EF7C5B"/>
    <w:rsid w:val="00F00E48"/>
    <w:rsid w:val="00F01417"/>
    <w:rsid w:val="00F01FF1"/>
    <w:rsid w:val="00F023C0"/>
    <w:rsid w:val="00F02603"/>
    <w:rsid w:val="00F059CF"/>
    <w:rsid w:val="00F05A97"/>
    <w:rsid w:val="00F063BC"/>
    <w:rsid w:val="00F072CB"/>
    <w:rsid w:val="00F07E6A"/>
    <w:rsid w:val="00F107D3"/>
    <w:rsid w:val="00F10DB5"/>
    <w:rsid w:val="00F11FA0"/>
    <w:rsid w:val="00F13009"/>
    <w:rsid w:val="00F13BFC"/>
    <w:rsid w:val="00F15B71"/>
    <w:rsid w:val="00F17CC4"/>
    <w:rsid w:val="00F206EC"/>
    <w:rsid w:val="00F21124"/>
    <w:rsid w:val="00F21F3A"/>
    <w:rsid w:val="00F22B23"/>
    <w:rsid w:val="00F22E9B"/>
    <w:rsid w:val="00F23A32"/>
    <w:rsid w:val="00F23AD1"/>
    <w:rsid w:val="00F240F9"/>
    <w:rsid w:val="00F2433C"/>
    <w:rsid w:val="00F276F6"/>
    <w:rsid w:val="00F27C4E"/>
    <w:rsid w:val="00F30041"/>
    <w:rsid w:val="00F30206"/>
    <w:rsid w:val="00F30307"/>
    <w:rsid w:val="00F320B1"/>
    <w:rsid w:val="00F32671"/>
    <w:rsid w:val="00F32DE8"/>
    <w:rsid w:val="00F33AC0"/>
    <w:rsid w:val="00F34EAF"/>
    <w:rsid w:val="00F351C9"/>
    <w:rsid w:val="00F35514"/>
    <w:rsid w:val="00F35EDB"/>
    <w:rsid w:val="00F362CF"/>
    <w:rsid w:val="00F373AB"/>
    <w:rsid w:val="00F3759B"/>
    <w:rsid w:val="00F378C7"/>
    <w:rsid w:val="00F378EB"/>
    <w:rsid w:val="00F37D2C"/>
    <w:rsid w:val="00F37E95"/>
    <w:rsid w:val="00F417DF"/>
    <w:rsid w:val="00F42194"/>
    <w:rsid w:val="00F42483"/>
    <w:rsid w:val="00F42923"/>
    <w:rsid w:val="00F43BB3"/>
    <w:rsid w:val="00F44BC7"/>
    <w:rsid w:val="00F47181"/>
    <w:rsid w:val="00F47531"/>
    <w:rsid w:val="00F50BA5"/>
    <w:rsid w:val="00F51B91"/>
    <w:rsid w:val="00F52882"/>
    <w:rsid w:val="00F532DA"/>
    <w:rsid w:val="00F53301"/>
    <w:rsid w:val="00F53A8F"/>
    <w:rsid w:val="00F54A78"/>
    <w:rsid w:val="00F5523B"/>
    <w:rsid w:val="00F55552"/>
    <w:rsid w:val="00F564BA"/>
    <w:rsid w:val="00F56F10"/>
    <w:rsid w:val="00F57956"/>
    <w:rsid w:val="00F57E04"/>
    <w:rsid w:val="00F603CB"/>
    <w:rsid w:val="00F60A01"/>
    <w:rsid w:val="00F60D4F"/>
    <w:rsid w:val="00F60DF0"/>
    <w:rsid w:val="00F62678"/>
    <w:rsid w:val="00F631D5"/>
    <w:rsid w:val="00F63976"/>
    <w:rsid w:val="00F641B0"/>
    <w:rsid w:val="00F6562C"/>
    <w:rsid w:val="00F67ED9"/>
    <w:rsid w:val="00F70A35"/>
    <w:rsid w:val="00F71987"/>
    <w:rsid w:val="00F7252E"/>
    <w:rsid w:val="00F72C16"/>
    <w:rsid w:val="00F73A76"/>
    <w:rsid w:val="00F73BD2"/>
    <w:rsid w:val="00F74FA4"/>
    <w:rsid w:val="00F755BB"/>
    <w:rsid w:val="00F75822"/>
    <w:rsid w:val="00F75E16"/>
    <w:rsid w:val="00F76D6E"/>
    <w:rsid w:val="00F80B12"/>
    <w:rsid w:val="00F80F73"/>
    <w:rsid w:val="00F82C4E"/>
    <w:rsid w:val="00F83534"/>
    <w:rsid w:val="00F838B5"/>
    <w:rsid w:val="00F8424F"/>
    <w:rsid w:val="00F84B3B"/>
    <w:rsid w:val="00F84CAD"/>
    <w:rsid w:val="00F84EDC"/>
    <w:rsid w:val="00F86171"/>
    <w:rsid w:val="00F86A66"/>
    <w:rsid w:val="00F86B9E"/>
    <w:rsid w:val="00F906D8"/>
    <w:rsid w:val="00F9150F"/>
    <w:rsid w:val="00F92595"/>
    <w:rsid w:val="00F92698"/>
    <w:rsid w:val="00F92DE1"/>
    <w:rsid w:val="00F92E9E"/>
    <w:rsid w:val="00F930BB"/>
    <w:rsid w:val="00F93636"/>
    <w:rsid w:val="00F93CD9"/>
    <w:rsid w:val="00F947A8"/>
    <w:rsid w:val="00F9501B"/>
    <w:rsid w:val="00F951DC"/>
    <w:rsid w:val="00F954A3"/>
    <w:rsid w:val="00F95C08"/>
    <w:rsid w:val="00F9690D"/>
    <w:rsid w:val="00F96C33"/>
    <w:rsid w:val="00F97E22"/>
    <w:rsid w:val="00FA0301"/>
    <w:rsid w:val="00FA046E"/>
    <w:rsid w:val="00FA0715"/>
    <w:rsid w:val="00FA14EB"/>
    <w:rsid w:val="00FA1DDE"/>
    <w:rsid w:val="00FA1EB7"/>
    <w:rsid w:val="00FA231D"/>
    <w:rsid w:val="00FA27D2"/>
    <w:rsid w:val="00FA2ED7"/>
    <w:rsid w:val="00FA30D4"/>
    <w:rsid w:val="00FA3D18"/>
    <w:rsid w:val="00FA41B5"/>
    <w:rsid w:val="00FA4DB0"/>
    <w:rsid w:val="00FA5E06"/>
    <w:rsid w:val="00FA5FF1"/>
    <w:rsid w:val="00FA758E"/>
    <w:rsid w:val="00FA7604"/>
    <w:rsid w:val="00FB0943"/>
    <w:rsid w:val="00FB2593"/>
    <w:rsid w:val="00FB2EB4"/>
    <w:rsid w:val="00FB36C7"/>
    <w:rsid w:val="00FB4870"/>
    <w:rsid w:val="00FB5599"/>
    <w:rsid w:val="00FB6622"/>
    <w:rsid w:val="00FB7157"/>
    <w:rsid w:val="00FB7342"/>
    <w:rsid w:val="00FC1483"/>
    <w:rsid w:val="00FC3CDD"/>
    <w:rsid w:val="00FC4BCC"/>
    <w:rsid w:val="00FC7DB8"/>
    <w:rsid w:val="00FD018C"/>
    <w:rsid w:val="00FD01C1"/>
    <w:rsid w:val="00FD0230"/>
    <w:rsid w:val="00FD04F8"/>
    <w:rsid w:val="00FD060C"/>
    <w:rsid w:val="00FD0796"/>
    <w:rsid w:val="00FD1C6D"/>
    <w:rsid w:val="00FD5A37"/>
    <w:rsid w:val="00FE0C3A"/>
    <w:rsid w:val="00FE1104"/>
    <w:rsid w:val="00FE13C6"/>
    <w:rsid w:val="00FE221C"/>
    <w:rsid w:val="00FE2649"/>
    <w:rsid w:val="00FE2826"/>
    <w:rsid w:val="00FE30C0"/>
    <w:rsid w:val="00FE4B30"/>
    <w:rsid w:val="00FE4B9B"/>
    <w:rsid w:val="00FE5161"/>
    <w:rsid w:val="00FE556C"/>
    <w:rsid w:val="00FE6485"/>
    <w:rsid w:val="00FE73E9"/>
    <w:rsid w:val="00FE7BA0"/>
    <w:rsid w:val="00FE7D32"/>
    <w:rsid w:val="00FF0A78"/>
    <w:rsid w:val="00FF291A"/>
    <w:rsid w:val="00FF2B35"/>
    <w:rsid w:val="00FF3C10"/>
    <w:rsid w:val="00FF5318"/>
    <w:rsid w:val="00FF55B3"/>
    <w:rsid w:val="00FF5F21"/>
    <w:rsid w:val="00FF616A"/>
    <w:rsid w:val="00FF7133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8FE030"/>
  <w15:docId w15:val="{B83D7727-5223-4CFB-8B3C-131EB0FF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lang w:val="en-GB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1"/>
      <w:outlineLvl w:val="1"/>
    </w:pPr>
    <w:rPr>
      <w:rFonts w:ascii="Calibri" w:eastAsia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4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4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4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4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1"/>
    </w:pPr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3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FE7"/>
  </w:style>
  <w:style w:type="paragraph" w:styleId="Footer">
    <w:name w:val="footer"/>
    <w:basedOn w:val="Normal"/>
    <w:link w:val="FooterChar"/>
    <w:uiPriority w:val="99"/>
    <w:unhideWhenUsed/>
    <w:rsid w:val="00AC3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FE7"/>
  </w:style>
  <w:style w:type="paragraph" w:styleId="BalloonText">
    <w:name w:val="Balloon Text"/>
    <w:basedOn w:val="Normal"/>
    <w:link w:val="BalloonTextChar"/>
    <w:uiPriority w:val="99"/>
    <w:semiHidden/>
    <w:unhideWhenUsed/>
    <w:rsid w:val="00D31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1D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E6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E6A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338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09A2"/>
    <w:pPr>
      <w:widowControl/>
    </w:pPr>
    <w:rPr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2A46"/>
  </w:style>
  <w:style w:type="paragraph" w:styleId="BlockText">
    <w:name w:val="Block Text"/>
    <w:basedOn w:val="Normal"/>
    <w:uiPriority w:val="99"/>
    <w:semiHidden/>
    <w:unhideWhenUsed/>
    <w:rsid w:val="00D12A4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2A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2A46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2A4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2A46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12A46"/>
    <w:pPr>
      <w:ind w:left="0" w:firstLine="360"/>
    </w:pPr>
    <w:rPr>
      <w:rFonts w:asciiTheme="minorHAnsi" w:eastAsia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D12A46"/>
    <w:rPr>
      <w:rFonts w:ascii="Calibri" w:eastAsia="Calibri" w:hAnsi="Calibri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12A46"/>
    <w:rPr>
      <w:rFonts w:ascii="Calibri" w:eastAsia="Calibri" w:hAnsi="Calibri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A4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A46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12A4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12A46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2A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2A46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12A4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12A46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2A4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12A4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12A46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12A46"/>
  </w:style>
  <w:style w:type="character" w:customStyle="1" w:styleId="DateChar">
    <w:name w:val="Date Char"/>
    <w:basedOn w:val="DefaultParagraphFont"/>
    <w:link w:val="Date"/>
    <w:uiPriority w:val="99"/>
    <w:semiHidden/>
    <w:rsid w:val="00D12A46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12A4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12A46"/>
    <w:rPr>
      <w:rFonts w:ascii="Segoe UI" w:hAnsi="Segoe UI" w:cs="Segoe UI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12A4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12A46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2A4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2A46"/>
    <w:rPr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12A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12A46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A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A46"/>
    <w:rPr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46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46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46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4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4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12A4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2A46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nhideWhenUsed/>
    <w:rsid w:val="00D12A4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12A46"/>
    <w:rPr>
      <w:rFonts w:ascii="Consolas" w:hAnsi="Consolas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12A4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12A4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12A4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12A4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12A4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12A4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12A4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12A4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12A4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12A4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4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46"/>
    <w:rPr>
      <w:i/>
      <w:iCs/>
      <w:color w:val="4F81BD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D12A4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12A4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12A4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12A4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12A4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12A46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2A46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2A46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12A46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12A46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12A4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12A4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12A4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12A4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12A4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12A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12A4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12A46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12A4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12A46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12A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12A46"/>
    <w:rPr>
      <w:rFonts w:ascii="Consolas" w:hAnsi="Consolas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12A4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12A46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D12A46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D12A4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12A4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12A4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12A46"/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12A4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A46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12A4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46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12A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12A46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12A4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12A46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2A46"/>
    <w:rPr>
      <w:rFonts w:eastAsiaTheme="minorEastAsia"/>
      <w:color w:val="5A5A5A" w:themeColor="text1" w:themeTint="A5"/>
      <w:spacing w:val="15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12A4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12A46"/>
  </w:style>
  <w:style w:type="paragraph" w:styleId="Title">
    <w:name w:val="Title"/>
    <w:basedOn w:val="Normal"/>
    <w:next w:val="Normal"/>
    <w:link w:val="TitleChar"/>
    <w:uiPriority w:val="10"/>
    <w:qFormat/>
    <w:rsid w:val="00D12A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4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D12A4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12A4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12A4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12A4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12A4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12A4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12A4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12A4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12A4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12A4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2A46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A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B53FDB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B53FD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6164"/>
    <w:rPr>
      <w:color w:val="605E5C"/>
      <w:shd w:val="clear" w:color="auto" w:fill="E1DFDD"/>
    </w:rPr>
  </w:style>
  <w:style w:type="paragraph" w:customStyle="1" w:styleId="Default">
    <w:name w:val="Default"/>
    <w:rsid w:val="00310FB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788F"/>
    <w:rPr>
      <w:lang w:val="en-GB"/>
    </w:rPr>
  </w:style>
  <w:style w:type="paragraph" w:customStyle="1" w:styleId="xmsonormal">
    <w:name w:val="x_msonormal"/>
    <w:basedOn w:val="Normal"/>
    <w:rsid w:val="00F9690D"/>
    <w:pPr>
      <w:widowControl/>
    </w:pPr>
    <w:rPr>
      <w:rFonts w:ascii="Calibri" w:hAnsi="Calibri" w:cs="Calibri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721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487">
          <w:marLeft w:val="36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lutter.com/investo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ssprereg.btci.com/prereg/key.process?key=PERBKEDN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2021-04-29T08:53:36+00:00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F880B-0422-4C0A-9FDD-C6E7CB6EC7D8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4345495-c26a-4b35-a9ac-0c0cefb3f2cd"/>
    <ds:schemaRef ds:uri="c1c288a4-8439-4883-85b1-6e18b300cde5"/>
  </ds:schemaRefs>
</ds:datastoreItem>
</file>

<file path=customXml/itemProps2.xml><?xml version="1.0" encoding="utf-8"?>
<ds:datastoreItem xmlns:ds="http://schemas.openxmlformats.org/officeDocument/2006/customXml" ds:itemID="{41ED6D07-E613-4BAE-BD26-958983974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1DB40-5150-4F31-ABEA-8001D9CCE260}"/>
</file>

<file path=customXml/itemProps4.xml><?xml version="1.0" encoding="utf-8"?>
<ds:datastoreItem xmlns:ds="http://schemas.openxmlformats.org/officeDocument/2006/customXml" ds:itemID="{8AB4D39F-6298-4948-9DD2-7F9AA0B4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May 2006</vt:lpstr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May 2006</dc:title>
  <dc:creator>Paul Rushton</dc:creator>
  <cp:lastModifiedBy>Liam Kealy</cp:lastModifiedBy>
  <cp:revision>2</cp:revision>
  <cp:lastPrinted>2021-04-28T15:05:00Z</cp:lastPrinted>
  <dcterms:created xsi:type="dcterms:W3CDTF">2021-04-28T15:47:00Z</dcterms:created>
  <dcterms:modified xsi:type="dcterms:W3CDTF">2021-04-28T15:47:00Z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2016-10-26T00:00:00Z</vt:filetime>
  </property>
  <property fmtid="{D5CDD505-2E9C-101B-9397-08002B2CF9AE}" pid="4" name="ContentTypeId">
    <vt:lpwstr>0x010100BE156B1CF39149A8843C57AB06C49AFE0011B886BEF4CCD94F85F46E94360FD412</vt:lpwstr>
  </property>
  <property fmtid="{D5CDD505-2E9C-101B-9397-08002B2CF9AE}" pid="5" name="IssuerName">
    <vt:lpwstr/>
  </property>
  <property fmtid="{D5CDD505-2E9C-101B-9397-08002B2CF9AE}" pid="6" name="MigrateFolderIssueDetected">
    <vt:bool>false</vt:bool>
  </property>
  <property fmtid="{D5CDD505-2E9C-101B-9397-08002B2CF9AE}" pid="7" name="Order">
    <vt:r8>172815100</vt:r8>
  </property>
  <property fmtid="{D5CDD505-2E9C-101B-9397-08002B2CF9AE}" pid="8" name="JobType">
    <vt:lpwstr/>
  </property>
  <property fmtid="{D5CDD505-2E9C-101B-9397-08002B2CF9AE}" pid="9" name="IssuerID">
    <vt:lpwstr/>
  </property>
  <property fmtid="{D5CDD505-2E9C-101B-9397-08002B2CF9AE}" pid="10" name="SendToWeb">
    <vt:bool>false</vt:bool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Contact">
    <vt:lpwstr/>
  </property>
  <property fmtid="{D5CDD505-2E9C-101B-9397-08002B2CF9AE}" pid="14" name="MigrateFolderIssueDetected0">
    <vt:bool>false</vt:bool>
  </property>
</Properties>
</file>