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C77E8" w14:textId="0DE824EA" w:rsidR="00F95B23" w:rsidRDefault="00A658E7" w:rsidP="00E5154C">
      <w:pPr>
        <w:spacing w:after="0"/>
        <w:jc w:val="right"/>
        <w:rPr>
          <w:b/>
        </w:rPr>
      </w:pPr>
      <w:r>
        <w:rPr>
          <w:b/>
        </w:rPr>
        <w:t>2</w:t>
      </w:r>
      <w:r w:rsidR="000D472E">
        <w:rPr>
          <w:b/>
        </w:rPr>
        <w:t>9</w:t>
      </w:r>
      <w:r>
        <w:rPr>
          <w:b/>
        </w:rPr>
        <w:t xml:space="preserve"> September</w:t>
      </w:r>
      <w:r w:rsidR="00C34DA7">
        <w:rPr>
          <w:b/>
        </w:rPr>
        <w:t xml:space="preserve"> </w:t>
      </w:r>
      <w:r w:rsidR="00CF1FF1">
        <w:rPr>
          <w:b/>
        </w:rPr>
        <w:t>20</w:t>
      </w:r>
      <w:r w:rsidR="00C34DA7">
        <w:rPr>
          <w:b/>
        </w:rPr>
        <w:t>2</w:t>
      </w:r>
      <w:r>
        <w:rPr>
          <w:b/>
        </w:rPr>
        <w:t>1</w:t>
      </w:r>
    </w:p>
    <w:p w14:paraId="364E61B9" w14:textId="77777777" w:rsidR="00AF23DA" w:rsidRPr="007B6FB7" w:rsidRDefault="00AF23DA" w:rsidP="00E5154C">
      <w:pPr>
        <w:spacing w:after="0"/>
        <w:jc w:val="right"/>
        <w:rPr>
          <w:b/>
        </w:rPr>
      </w:pPr>
    </w:p>
    <w:p w14:paraId="7240BAC6" w14:textId="481B776E" w:rsidR="006F08A8" w:rsidRDefault="00C34DA7" w:rsidP="00E5154C">
      <w:pPr>
        <w:pStyle w:val="w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  <w:color w:val="000000"/>
          <w:sz w:val="27"/>
          <w:szCs w:val="27"/>
        </w:rPr>
      </w:pPr>
      <w:r>
        <w:rPr>
          <w:rStyle w:val="r"/>
          <w:rFonts w:ascii="Calibri" w:hAnsi="Calibri"/>
          <w:b/>
          <w:bCs/>
          <w:color w:val="000000"/>
          <w:sz w:val="22"/>
          <w:szCs w:val="22"/>
        </w:rPr>
        <w:t>Flutter Entertainment</w:t>
      </w:r>
      <w:r w:rsidR="00F95B23" w:rsidRPr="006F08A8">
        <w:rPr>
          <w:rStyle w:val="r"/>
          <w:rFonts w:ascii="Calibri" w:hAnsi="Calibri"/>
          <w:b/>
          <w:bCs/>
          <w:color w:val="000000"/>
          <w:sz w:val="22"/>
          <w:szCs w:val="22"/>
        </w:rPr>
        <w:t xml:space="preserve"> plc (the “Company”)</w:t>
      </w:r>
      <w:r w:rsidR="00F95B23">
        <w:br/>
      </w:r>
      <w:r w:rsidR="00E5154C" w:rsidRPr="00E5154C">
        <w:rPr>
          <w:rStyle w:val="r"/>
          <w:rFonts w:ascii="Calibri" w:hAnsi="Calibri"/>
          <w:b/>
          <w:bCs/>
          <w:color w:val="000000"/>
          <w:sz w:val="22"/>
          <w:szCs w:val="22"/>
        </w:rPr>
        <w:t>Block Listing Application</w:t>
      </w:r>
    </w:p>
    <w:p w14:paraId="384A2050" w14:textId="77777777" w:rsidR="007B6FB7" w:rsidRDefault="007B6FB7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</w:p>
    <w:p w14:paraId="38519FAE" w14:textId="37D2B8E6" w:rsidR="00204393" w:rsidRDefault="00E5154C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E5154C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A block listing application has been made, in aggregate, for </w:t>
      </w:r>
      <w:r w:rsidR="00F26B17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25</w:t>
      </w:r>
      <w:r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0</w:t>
      </w:r>
      <w:r w:rsidRPr="00E5154C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,000 </w:t>
      </w:r>
      <w:r w:rsidR="006479C7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O</w:t>
      </w:r>
      <w:r w:rsidRPr="00E5154C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rdinary </w:t>
      </w:r>
      <w:r w:rsidR="006479C7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S</w:t>
      </w:r>
      <w:r w:rsidRPr="00E5154C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hares of </w:t>
      </w:r>
      <w:r w:rsidR="00633762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€</w:t>
      </w:r>
      <w:r w:rsidRPr="00E5154C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0.09 each in the Company, pursuant to</w:t>
      </w:r>
      <w:r w:rsidR="00204393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:</w:t>
      </w:r>
    </w:p>
    <w:p w14:paraId="0ACBBD28" w14:textId="195E3E98" w:rsidR="00EA173E" w:rsidRPr="00EA173E" w:rsidRDefault="00EA173E" w:rsidP="00EA173E">
      <w:pPr>
        <w:pStyle w:val="h"/>
        <w:numPr>
          <w:ilvl w:val="0"/>
          <w:numId w:val="4"/>
        </w:numPr>
        <w:shd w:val="clear" w:color="auto" w:fill="FFFFFF"/>
        <w:spacing w:after="0" w:line="336" w:lineRule="atLeast"/>
        <w:ind w:hanging="11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Flutter Entertainment plc 2015 Deferred Share Incentive </w:t>
      </w:r>
      <w:proofErr w:type="gramStart"/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Plan;</w:t>
      </w:r>
      <w:proofErr w:type="gramEnd"/>
    </w:p>
    <w:p w14:paraId="45245457" w14:textId="6D6F2783" w:rsidR="00EA173E" w:rsidRPr="00EA173E" w:rsidRDefault="00EA173E" w:rsidP="00EA173E">
      <w:pPr>
        <w:pStyle w:val="h"/>
        <w:numPr>
          <w:ilvl w:val="0"/>
          <w:numId w:val="4"/>
        </w:numPr>
        <w:shd w:val="clear" w:color="auto" w:fill="FFFFFF"/>
        <w:spacing w:after="0" w:line="336" w:lineRule="atLeast"/>
        <w:ind w:hanging="11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Flutter Entertainment plc 2015 Medium Term Incentive </w:t>
      </w:r>
      <w:proofErr w:type="gramStart"/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Plan;</w:t>
      </w:r>
      <w:proofErr w:type="gramEnd"/>
    </w:p>
    <w:p w14:paraId="1DC458E9" w14:textId="5C4BB7E3" w:rsidR="00EA173E" w:rsidRPr="00EA173E" w:rsidRDefault="00EA173E" w:rsidP="00EA173E">
      <w:pPr>
        <w:pStyle w:val="h"/>
        <w:numPr>
          <w:ilvl w:val="0"/>
          <w:numId w:val="4"/>
        </w:numPr>
        <w:shd w:val="clear" w:color="auto" w:fill="FFFFFF"/>
        <w:spacing w:after="0" w:line="336" w:lineRule="atLeast"/>
        <w:ind w:hanging="11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Flutter Entertainment plc 2015 Long Term Incentive </w:t>
      </w:r>
      <w:proofErr w:type="gramStart"/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Plan;</w:t>
      </w:r>
      <w:proofErr w:type="gramEnd"/>
    </w:p>
    <w:p w14:paraId="1093AB2E" w14:textId="5FDA5D80" w:rsidR="00EA173E" w:rsidRPr="00EA173E" w:rsidRDefault="00EA173E" w:rsidP="00EA173E">
      <w:pPr>
        <w:pStyle w:val="h"/>
        <w:numPr>
          <w:ilvl w:val="0"/>
          <w:numId w:val="4"/>
        </w:numPr>
        <w:shd w:val="clear" w:color="auto" w:fill="FFFFFF"/>
        <w:spacing w:after="0" w:line="336" w:lineRule="atLeast"/>
        <w:ind w:hanging="11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Flutter Entertainment plc </w:t>
      </w:r>
      <w:proofErr w:type="spellStart"/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Sharesave</w:t>
      </w:r>
      <w:proofErr w:type="spellEnd"/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 </w:t>
      </w:r>
      <w:proofErr w:type="gramStart"/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Scheme;</w:t>
      </w:r>
      <w:proofErr w:type="gramEnd"/>
    </w:p>
    <w:p w14:paraId="0C1AB099" w14:textId="5741CFC4" w:rsidR="00EA173E" w:rsidRPr="00EA173E" w:rsidRDefault="00EA173E" w:rsidP="00EA173E">
      <w:pPr>
        <w:pStyle w:val="h"/>
        <w:numPr>
          <w:ilvl w:val="0"/>
          <w:numId w:val="4"/>
        </w:numPr>
        <w:shd w:val="clear" w:color="auto" w:fill="FFFFFF"/>
        <w:spacing w:after="0" w:line="336" w:lineRule="atLeast"/>
        <w:ind w:hanging="11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Flutter Entertainment plc Restricted Share </w:t>
      </w:r>
      <w:proofErr w:type="gramStart"/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Plan;</w:t>
      </w:r>
      <w:proofErr w:type="gramEnd"/>
    </w:p>
    <w:p w14:paraId="76F5897D" w14:textId="12CC6AFF" w:rsidR="00EA173E" w:rsidRPr="00EA173E" w:rsidRDefault="00EA173E" w:rsidP="00EA173E">
      <w:pPr>
        <w:pStyle w:val="h"/>
        <w:numPr>
          <w:ilvl w:val="0"/>
          <w:numId w:val="4"/>
        </w:numPr>
        <w:shd w:val="clear" w:color="auto" w:fill="FFFFFF"/>
        <w:spacing w:after="0" w:line="336" w:lineRule="atLeast"/>
        <w:ind w:hanging="11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Paddy Power </w:t>
      </w:r>
      <w:proofErr w:type="spellStart"/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Sharesave</w:t>
      </w:r>
      <w:proofErr w:type="spellEnd"/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 </w:t>
      </w:r>
      <w:proofErr w:type="gramStart"/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Scheme;</w:t>
      </w:r>
      <w:proofErr w:type="gramEnd"/>
    </w:p>
    <w:p w14:paraId="44A86B2F" w14:textId="4731757A" w:rsidR="00EA173E" w:rsidRPr="00EA173E" w:rsidRDefault="00EA173E" w:rsidP="00EA173E">
      <w:pPr>
        <w:pStyle w:val="h"/>
        <w:numPr>
          <w:ilvl w:val="0"/>
          <w:numId w:val="4"/>
        </w:numPr>
        <w:shd w:val="clear" w:color="auto" w:fill="FFFFFF"/>
        <w:spacing w:after="0" w:line="336" w:lineRule="atLeast"/>
        <w:ind w:hanging="11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Betfair Group Plc 2009 Long Term Incentive </w:t>
      </w:r>
      <w:proofErr w:type="gramStart"/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Plan;</w:t>
      </w:r>
      <w:proofErr w:type="gramEnd"/>
    </w:p>
    <w:p w14:paraId="0C24BDC6" w14:textId="4F74B60A" w:rsidR="00EA173E" w:rsidRPr="00EA173E" w:rsidRDefault="00EA173E" w:rsidP="00EA173E">
      <w:pPr>
        <w:pStyle w:val="h"/>
        <w:numPr>
          <w:ilvl w:val="0"/>
          <w:numId w:val="4"/>
        </w:numPr>
        <w:shd w:val="clear" w:color="auto" w:fill="FFFFFF"/>
        <w:spacing w:after="0" w:line="336" w:lineRule="atLeast"/>
        <w:ind w:hanging="11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Betfair Group Plc Deferred Share Incentive </w:t>
      </w:r>
      <w:proofErr w:type="gramStart"/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Plan;</w:t>
      </w:r>
      <w:proofErr w:type="gramEnd"/>
    </w:p>
    <w:p w14:paraId="78910448" w14:textId="4B788CFA" w:rsidR="00EA173E" w:rsidRPr="00EA173E" w:rsidRDefault="00EA173E" w:rsidP="00EA173E">
      <w:pPr>
        <w:pStyle w:val="h"/>
        <w:numPr>
          <w:ilvl w:val="0"/>
          <w:numId w:val="4"/>
        </w:numPr>
        <w:shd w:val="clear" w:color="auto" w:fill="FFFFFF"/>
        <w:spacing w:after="0" w:line="336" w:lineRule="atLeast"/>
        <w:ind w:hanging="11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Amaya Gaming Group Inc. Stock Option Plan; and</w:t>
      </w:r>
    </w:p>
    <w:p w14:paraId="6F8D52E3" w14:textId="7369945F" w:rsidR="00EA173E" w:rsidRDefault="00EA173E" w:rsidP="00EA173E">
      <w:pPr>
        <w:pStyle w:val="h"/>
        <w:numPr>
          <w:ilvl w:val="0"/>
          <w:numId w:val="4"/>
        </w:numPr>
        <w:shd w:val="clear" w:color="auto" w:fill="FFFFFF"/>
        <w:spacing w:before="0" w:beforeAutospacing="0" w:after="0" w:afterAutospacing="0" w:line="336" w:lineRule="atLeast"/>
        <w:ind w:hanging="11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EA173E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The Stars Group Inc. Equity Incentive Plan</w:t>
      </w:r>
    </w:p>
    <w:p w14:paraId="0CFC62C5" w14:textId="77777777" w:rsidR="00EA173E" w:rsidRDefault="00EA173E" w:rsidP="00204393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</w:p>
    <w:p w14:paraId="00D7ECB6" w14:textId="1743E7C2" w:rsidR="007B6FB7" w:rsidRDefault="00E5154C" w:rsidP="00204393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 w:rsidRPr="00E5154C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to be admitted to (</w:t>
      </w:r>
      <w:proofErr w:type="spellStart"/>
      <w:r w:rsidRPr="00E5154C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i</w:t>
      </w:r>
      <w:proofErr w:type="spellEnd"/>
      <w:r w:rsidRPr="00E5154C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>) listing on the premium listing segment of the Official List of the Financial Conduct Authority and to the secondary listing segment of Euronext Dublin as an overseas company; and (ii) trading on the London Stock Exchange's main market for listed securities and Euronext Dublin's Main Securities Market.</w:t>
      </w:r>
      <w:r w:rsidR="000D0FA2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 </w:t>
      </w:r>
    </w:p>
    <w:p w14:paraId="38DA6AE2" w14:textId="77777777" w:rsidR="00E5154C" w:rsidRDefault="00E5154C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</w:p>
    <w:p w14:paraId="5A1ED3D3" w14:textId="00218AF1" w:rsidR="00E5154C" w:rsidRPr="00E5154C" w:rsidRDefault="00E5154C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  <w:r w:rsidRPr="00E5154C">
        <w:rPr>
          <w:rStyle w:val="r"/>
          <w:rFonts w:ascii="Calibri" w:hAnsi="Calibri"/>
          <w:color w:val="000000"/>
          <w:sz w:val="22"/>
          <w:szCs w:val="22"/>
        </w:rPr>
        <w:t xml:space="preserve">Admission is expected to become effective </w:t>
      </w:r>
      <w:r w:rsidRPr="00B53876">
        <w:rPr>
          <w:rStyle w:val="r"/>
          <w:rFonts w:ascii="Calibri" w:hAnsi="Calibri"/>
          <w:color w:val="000000"/>
          <w:sz w:val="22"/>
          <w:szCs w:val="22"/>
        </w:rPr>
        <w:t xml:space="preserve">on </w:t>
      </w:r>
      <w:r w:rsidR="000D472E">
        <w:rPr>
          <w:rStyle w:val="r"/>
          <w:rFonts w:ascii="Calibri" w:hAnsi="Calibri"/>
          <w:color w:val="000000"/>
          <w:sz w:val="22"/>
          <w:szCs w:val="22"/>
        </w:rPr>
        <w:t>1 October</w:t>
      </w:r>
      <w:r w:rsidR="000D0FA2">
        <w:rPr>
          <w:rStyle w:val="r"/>
          <w:rFonts w:ascii="Calibri" w:hAnsi="Calibri"/>
          <w:color w:val="000000"/>
          <w:sz w:val="22"/>
          <w:szCs w:val="22"/>
        </w:rPr>
        <w:t xml:space="preserve"> 202</w:t>
      </w:r>
      <w:r w:rsidR="00A658E7">
        <w:rPr>
          <w:rStyle w:val="r"/>
          <w:rFonts w:ascii="Calibri" w:hAnsi="Calibri"/>
          <w:color w:val="000000"/>
          <w:sz w:val="22"/>
          <w:szCs w:val="22"/>
        </w:rPr>
        <w:t>1</w:t>
      </w:r>
      <w:r w:rsidRPr="00E5154C">
        <w:rPr>
          <w:rStyle w:val="r"/>
          <w:rFonts w:ascii="Calibri" w:hAnsi="Calibri"/>
          <w:color w:val="000000"/>
          <w:sz w:val="22"/>
          <w:szCs w:val="22"/>
        </w:rPr>
        <w:t>.</w:t>
      </w:r>
    </w:p>
    <w:p w14:paraId="599A21F9" w14:textId="77777777" w:rsidR="00E5154C" w:rsidRDefault="00E5154C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</w:p>
    <w:p w14:paraId="5A0B12F5" w14:textId="5943271A" w:rsidR="00E5154C" w:rsidRDefault="00E5154C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  <w:r w:rsidRPr="00E5154C">
        <w:rPr>
          <w:rStyle w:val="r"/>
          <w:rFonts w:ascii="Calibri" w:hAnsi="Calibri"/>
          <w:color w:val="000000"/>
          <w:sz w:val="22"/>
          <w:szCs w:val="22"/>
        </w:rPr>
        <w:t xml:space="preserve">When issued </w:t>
      </w:r>
      <w:proofErr w:type="gramStart"/>
      <w:r w:rsidRPr="00E5154C">
        <w:rPr>
          <w:rStyle w:val="r"/>
          <w:rFonts w:ascii="Calibri" w:hAnsi="Calibri"/>
          <w:color w:val="000000"/>
          <w:sz w:val="22"/>
          <w:szCs w:val="22"/>
        </w:rPr>
        <w:t>all of</w:t>
      </w:r>
      <w:proofErr w:type="gramEnd"/>
      <w:r w:rsidRPr="00E5154C">
        <w:rPr>
          <w:rStyle w:val="r"/>
          <w:rFonts w:ascii="Calibri" w:hAnsi="Calibri"/>
          <w:color w:val="000000"/>
          <w:sz w:val="22"/>
          <w:szCs w:val="22"/>
        </w:rPr>
        <w:t xml:space="preserve"> the above shares will be fully paid and will rank </w:t>
      </w:r>
      <w:proofErr w:type="spellStart"/>
      <w:r w:rsidRPr="00E5154C">
        <w:rPr>
          <w:rStyle w:val="r"/>
          <w:rFonts w:ascii="Calibri" w:hAnsi="Calibri"/>
          <w:color w:val="000000"/>
          <w:sz w:val="22"/>
          <w:szCs w:val="22"/>
        </w:rPr>
        <w:t>pari</w:t>
      </w:r>
      <w:proofErr w:type="spellEnd"/>
      <w:r w:rsidRPr="00E5154C">
        <w:rPr>
          <w:rStyle w:val="r"/>
          <w:rFonts w:ascii="Calibri" w:hAnsi="Calibri"/>
          <w:color w:val="000000"/>
          <w:sz w:val="22"/>
          <w:szCs w:val="22"/>
        </w:rPr>
        <w:t xml:space="preserve"> passu in all respects with the existing issued </w:t>
      </w:r>
      <w:r w:rsidR="00633762">
        <w:rPr>
          <w:rStyle w:val="r"/>
          <w:rFonts w:ascii="Calibri" w:hAnsi="Calibri"/>
          <w:color w:val="000000"/>
          <w:sz w:val="22"/>
          <w:szCs w:val="22"/>
        </w:rPr>
        <w:t>O</w:t>
      </w:r>
      <w:r w:rsidRPr="00E5154C">
        <w:rPr>
          <w:rStyle w:val="r"/>
          <w:rFonts w:ascii="Calibri" w:hAnsi="Calibri"/>
          <w:color w:val="000000"/>
          <w:sz w:val="22"/>
          <w:szCs w:val="22"/>
        </w:rPr>
        <w:t xml:space="preserve">rdinary </w:t>
      </w:r>
      <w:r w:rsidR="00633762">
        <w:rPr>
          <w:rStyle w:val="r"/>
          <w:rFonts w:ascii="Calibri" w:hAnsi="Calibri"/>
          <w:color w:val="000000"/>
          <w:sz w:val="22"/>
          <w:szCs w:val="22"/>
        </w:rPr>
        <w:t>S</w:t>
      </w:r>
      <w:r w:rsidRPr="00E5154C">
        <w:rPr>
          <w:rStyle w:val="r"/>
          <w:rFonts w:ascii="Calibri" w:hAnsi="Calibri"/>
          <w:color w:val="000000"/>
          <w:sz w:val="22"/>
          <w:szCs w:val="22"/>
        </w:rPr>
        <w:t>hares of the Company.</w:t>
      </w:r>
    </w:p>
    <w:p w14:paraId="6CEE40CE" w14:textId="0B391227" w:rsidR="00A84B43" w:rsidRPr="00A84B43" w:rsidRDefault="00A84B43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</w:p>
    <w:p w14:paraId="76A0A0C3" w14:textId="795FE49B" w:rsidR="006F08A8" w:rsidRPr="006F08A8" w:rsidRDefault="006F08A8" w:rsidP="00E5154C">
      <w:pPr>
        <w:pStyle w:val="h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000000"/>
          <w:sz w:val="27"/>
          <w:szCs w:val="27"/>
        </w:rPr>
      </w:pPr>
      <w:r w:rsidRPr="006F08A8">
        <w:rPr>
          <w:rStyle w:val="r"/>
          <w:rFonts w:ascii="Calibri" w:hAnsi="Calibri"/>
          <w:b/>
          <w:color w:val="000000"/>
          <w:sz w:val="22"/>
          <w:szCs w:val="22"/>
        </w:rPr>
        <w:t>Enquiries</w:t>
      </w:r>
      <w:r>
        <w:rPr>
          <w:rStyle w:val="r"/>
          <w:rFonts w:ascii="Calibri" w:hAnsi="Calibri"/>
          <w:b/>
          <w:color w:val="000000"/>
          <w:sz w:val="22"/>
          <w:szCs w:val="22"/>
        </w:rPr>
        <w:t>:</w:t>
      </w:r>
    </w:p>
    <w:p w14:paraId="1B5B362C" w14:textId="0F5C24F1" w:rsidR="003C2355" w:rsidRPr="007B6FB7" w:rsidRDefault="00C34DA7" w:rsidP="00E5154C">
      <w:pPr>
        <w:pStyle w:val="h"/>
        <w:shd w:val="clear" w:color="auto" w:fill="FFFFFF"/>
        <w:spacing w:before="0" w:beforeAutospacing="0" w:after="0" w:afterAutospacing="0" w:line="336" w:lineRule="atLeast"/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</w:pPr>
      <w:r>
        <w:rPr>
          <w:rStyle w:val="r"/>
          <w:rFonts w:ascii="Calibri" w:hAnsi="Calibri"/>
          <w:color w:val="000000"/>
          <w:sz w:val="22"/>
          <w:szCs w:val="22"/>
        </w:rPr>
        <w:t>Fiona Gildea</w:t>
      </w:r>
      <w:r w:rsidR="00633762">
        <w:rPr>
          <w:rStyle w:val="aj"/>
          <w:rFonts w:ascii="Calibri" w:eastAsiaTheme="minorHAnsi" w:hAnsi="Calibri"/>
          <w:color w:val="000000" w:themeColor="text1"/>
          <w:sz w:val="22"/>
          <w:szCs w:val="22"/>
          <w:lang w:eastAsia="en-IE"/>
        </w:rPr>
        <w:t xml:space="preserve">, </w:t>
      </w:r>
      <w:r w:rsidR="007B6FB7" w:rsidRPr="007B6FB7">
        <w:rPr>
          <w:rStyle w:val="r"/>
          <w:rFonts w:ascii="Calibri" w:hAnsi="Calibri"/>
          <w:color w:val="000000"/>
          <w:sz w:val="22"/>
          <w:szCs w:val="22"/>
        </w:rPr>
        <w:t>Deputy Company Secretary</w:t>
      </w:r>
    </w:p>
    <w:p w14:paraId="0939E620" w14:textId="2A2E5BAE" w:rsidR="00633762" w:rsidRPr="00633762" w:rsidRDefault="00633762" w:rsidP="00E5154C">
      <w:pPr>
        <w:pStyle w:val="e"/>
        <w:shd w:val="clear" w:color="auto" w:fill="FFFFFF"/>
        <w:spacing w:before="0" w:beforeAutospacing="0" w:after="0" w:afterAutospacing="0"/>
        <w:jc w:val="both"/>
        <w:rPr>
          <w:rStyle w:val="r"/>
          <w:rFonts w:ascii="Calibri" w:hAnsi="Calibri"/>
          <w:color w:val="000000"/>
          <w:sz w:val="22"/>
          <w:szCs w:val="22"/>
        </w:rPr>
      </w:pPr>
      <w:r>
        <w:rPr>
          <w:rStyle w:val="r"/>
          <w:rFonts w:ascii="Calibri" w:hAnsi="Calibri"/>
          <w:color w:val="000000"/>
          <w:sz w:val="22"/>
          <w:szCs w:val="22"/>
        </w:rPr>
        <w:t xml:space="preserve">T: </w:t>
      </w:r>
      <w:r w:rsidR="0058218C">
        <w:rPr>
          <w:rStyle w:val="r"/>
          <w:rFonts w:ascii="Calibri" w:hAnsi="Calibri"/>
          <w:color w:val="000000"/>
          <w:sz w:val="22"/>
          <w:szCs w:val="22"/>
        </w:rPr>
        <w:t>+35317790022</w:t>
      </w:r>
      <w:r w:rsidR="00A84B43">
        <w:rPr>
          <w:rStyle w:val="r"/>
          <w:rFonts w:ascii="Calibri" w:hAnsi="Calibri"/>
          <w:color w:val="000000"/>
          <w:sz w:val="22"/>
          <w:szCs w:val="22"/>
        </w:rPr>
        <w:t xml:space="preserve"> </w:t>
      </w:r>
    </w:p>
    <w:p w14:paraId="1592DB49" w14:textId="77777777" w:rsidR="00C34DA7" w:rsidRPr="007B6FB7" w:rsidRDefault="00C34DA7" w:rsidP="00E5154C">
      <w:pPr>
        <w:pStyle w:val="e"/>
        <w:shd w:val="clear" w:color="auto" w:fill="FFFFFF"/>
        <w:spacing w:before="0" w:beforeAutospacing="0" w:after="0" w:afterAutospacing="0"/>
        <w:jc w:val="both"/>
        <w:rPr>
          <w:rStyle w:val="r"/>
          <w:rFonts w:ascii="Calibri" w:hAnsi="Calibri"/>
          <w:color w:val="000000"/>
          <w:sz w:val="22"/>
          <w:szCs w:val="22"/>
        </w:rPr>
      </w:pPr>
    </w:p>
    <w:p w14:paraId="54056727" w14:textId="77777777" w:rsidR="007B6FB7" w:rsidRPr="007B6FB7" w:rsidRDefault="007B6FB7" w:rsidP="00E5154C">
      <w:pPr>
        <w:pStyle w:val="e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  <w:r w:rsidRPr="007B6FB7">
        <w:rPr>
          <w:rStyle w:val="r"/>
          <w:rFonts w:ascii="Calibri" w:hAnsi="Calibri"/>
          <w:color w:val="000000"/>
          <w:sz w:val="22"/>
          <w:szCs w:val="22"/>
        </w:rPr>
        <w:t xml:space="preserve"> </w:t>
      </w:r>
    </w:p>
    <w:p w14:paraId="6E531B48" w14:textId="77777777" w:rsidR="003D54CA" w:rsidRDefault="003D54CA" w:rsidP="00E5154C">
      <w:pPr>
        <w:pStyle w:val="e"/>
        <w:shd w:val="clear" w:color="auto" w:fill="FFFFFF"/>
        <w:spacing w:before="0" w:beforeAutospacing="0" w:after="0" w:afterAutospacing="0" w:line="336" w:lineRule="atLeast"/>
        <w:jc w:val="both"/>
        <w:rPr>
          <w:rStyle w:val="r"/>
          <w:rFonts w:ascii="Calibri" w:hAnsi="Calibri"/>
          <w:color w:val="000000"/>
          <w:sz w:val="22"/>
          <w:szCs w:val="22"/>
        </w:rPr>
      </w:pPr>
    </w:p>
    <w:p w14:paraId="054A8A60" w14:textId="77777777" w:rsidR="006F08A8" w:rsidRDefault="006F08A8" w:rsidP="00E5154C">
      <w:pPr>
        <w:pStyle w:val="e"/>
        <w:shd w:val="clear" w:color="auto" w:fill="FFFFFF"/>
        <w:spacing w:before="0" w:beforeAutospacing="0" w:after="0" w:afterAutospacing="0" w:line="336" w:lineRule="atLeast"/>
        <w:jc w:val="both"/>
        <w:rPr>
          <w:color w:val="000000"/>
          <w:sz w:val="27"/>
          <w:szCs w:val="27"/>
        </w:rPr>
      </w:pPr>
    </w:p>
    <w:p w14:paraId="17AB4A09" w14:textId="77777777" w:rsidR="006F08A8" w:rsidRDefault="006F08A8" w:rsidP="00E5154C">
      <w:pPr>
        <w:spacing w:after="0"/>
      </w:pPr>
    </w:p>
    <w:sectPr w:rsidR="006F08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08CC0" w14:textId="77777777" w:rsidR="00576BF1" w:rsidRDefault="00576BF1" w:rsidP="00633762">
      <w:pPr>
        <w:spacing w:after="0" w:line="240" w:lineRule="auto"/>
      </w:pPr>
      <w:r>
        <w:separator/>
      </w:r>
    </w:p>
  </w:endnote>
  <w:endnote w:type="continuationSeparator" w:id="0">
    <w:p w14:paraId="0C7EC74B" w14:textId="77777777" w:rsidR="00576BF1" w:rsidRDefault="00576BF1" w:rsidP="00633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188DC" w14:textId="77777777" w:rsidR="00633762" w:rsidRDefault="00633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B9F74" w14:textId="77777777" w:rsidR="00633762" w:rsidRDefault="00633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98194" w14:textId="77777777" w:rsidR="00633762" w:rsidRDefault="00633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ACC05" w14:textId="77777777" w:rsidR="00576BF1" w:rsidRDefault="00576BF1" w:rsidP="00633762">
      <w:pPr>
        <w:spacing w:after="0" w:line="240" w:lineRule="auto"/>
      </w:pPr>
      <w:r>
        <w:separator/>
      </w:r>
    </w:p>
  </w:footnote>
  <w:footnote w:type="continuationSeparator" w:id="0">
    <w:p w14:paraId="3147BC9A" w14:textId="77777777" w:rsidR="00576BF1" w:rsidRDefault="00576BF1" w:rsidP="00633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A2640" w14:textId="77777777" w:rsidR="00633762" w:rsidRDefault="006337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A6835" w14:textId="77777777" w:rsidR="00633762" w:rsidRDefault="006337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3FE7B" w14:textId="77777777" w:rsidR="00633762" w:rsidRDefault="006337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37DA8"/>
    <w:multiLevelType w:val="hybridMultilevel"/>
    <w:tmpl w:val="D7CC6EAA"/>
    <w:lvl w:ilvl="0" w:tplc="8E247592">
      <w:numFmt w:val="bullet"/>
      <w:lvlText w:val="·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C7338"/>
    <w:multiLevelType w:val="hybridMultilevel"/>
    <w:tmpl w:val="7EECA1CE"/>
    <w:lvl w:ilvl="0" w:tplc="456A6F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913"/>
    <w:multiLevelType w:val="hybridMultilevel"/>
    <w:tmpl w:val="B178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D29C5"/>
    <w:multiLevelType w:val="hybridMultilevel"/>
    <w:tmpl w:val="636EC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F0C0C"/>
    <w:multiLevelType w:val="hybridMultilevel"/>
    <w:tmpl w:val="D7706FBE"/>
    <w:lvl w:ilvl="0" w:tplc="456A6FB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23"/>
    <w:rsid w:val="0004400D"/>
    <w:rsid w:val="00086752"/>
    <w:rsid w:val="000D0FA2"/>
    <w:rsid w:val="000D472E"/>
    <w:rsid w:val="00166C1C"/>
    <w:rsid w:val="001A551F"/>
    <w:rsid w:val="001B2510"/>
    <w:rsid w:val="001E1B89"/>
    <w:rsid w:val="001E72FA"/>
    <w:rsid w:val="001F5968"/>
    <w:rsid w:val="00204393"/>
    <w:rsid w:val="00230C7A"/>
    <w:rsid w:val="002523FE"/>
    <w:rsid w:val="00252854"/>
    <w:rsid w:val="002A2117"/>
    <w:rsid w:val="00360B31"/>
    <w:rsid w:val="0038032B"/>
    <w:rsid w:val="003A71F9"/>
    <w:rsid w:val="003C2355"/>
    <w:rsid w:val="003D54CA"/>
    <w:rsid w:val="004475E4"/>
    <w:rsid w:val="00493F3B"/>
    <w:rsid w:val="004A394F"/>
    <w:rsid w:val="004E1F90"/>
    <w:rsid w:val="00573019"/>
    <w:rsid w:val="00576BF1"/>
    <w:rsid w:val="0058218C"/>
    <w:rsid w:val="005B5331"/>
    <w:rsid w:val="005C1C51"/>
    <w:rsid w:val="005E35EE"/>
    <w:rsid w:val="00606515"/>
    <w:rsid w:val="006303F6"/>
    <w:rsid w:val="00633762"/>
    <w:rsid w:val="006479C7"/>
    <w:rsid w:val="0066284F"/>
    <w:rsid w:val="006F08A8"/>
    <w:rsid w:val="007962F0"/>
    <w:rsid w:val="007A6B5E"/>
    <w:rsid w:val="007B6FB7"/>
    <w:rsid w:val="007D597B"/>
    <w:rsid w:val="00924771"/>
    <w:rsid w:val="00970DB5"/>
    <w:rsid w:val="00982DB5"/>
    <w:rsid w:val="00A24385"/>
    <w:rsid w:val="00A62AC0"/>
    <w:rsid w:val="00A658E7"/>
    <w:rsid w:val="00A84B43"/>
    <w:rsid w:val="00AA4D43"/>
    <w:rsid w:val="00AB66D3"/>
    <w:rsid w:val="00AE333B"/>
    <w:rsid w:val="00AF23DA"/>
    <w:rsid w:val="00B53876"/>
    <w:rsid w:val="00B54EED"/>
    <w:rsid w:val="00B92CA8"/>
    <w:rsid w:val="00BF6D5D"/>
    <w:rsid w:val="00C241AE"/>
    <w:rsid w:val="00C34DA7"/>
    <w:rsid w:val="00C5752B"/>
    <w:rsid w:val="00C74A3E"/>
    <w:rsid w:val="00CB4D18"/>
    <w:rsid w:val="00CF1FF1"/>
    <w:rsid w:val="00D64DFE"/>
    <w:rsid w:val="00D7707C"/>
    <w:rsid w:val="00DC0F71"/>
    <w:rsid w:val="00E5154C"/>
    <w:rsid w:val="00EA173E"/>
    <w:rsid w:val="00EB73C0"/>
    <w:rsid w:val="00ED13C3"/>
    <w:rsid w:val="00EF3E60"/>
    <w:rsid w:val="00F13300"/>
    <w:rsid w:val="00F26B17"/>
    <w:rsid w:val="00F703FE"/>
    <w:rsid w:val="00F735D0"/>
    <w:rsid w:val="00F7535A"/>
    <w:rsid w:val="00F8040A"/>
    <w:rsid w:val="00F95B23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6CC4"/>
  <w15:chartTrackingRefBased/>
  <w15:docId w15:val="{5816A04E-0F52-4C08-96F7-4964A3A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">
    <w:name w:val="v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">
    <w:name w:val="t"/>
    <w:basedOn w:val="DefaultParagraphFont"/>
    <w:rsid w:val="006F08A8"/>
  </w:style>
  <w:style w:type="paragraph" w:customStyle="1" w:styleId="w">
    <w:name w:val="w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">
    <w:name w:val="r"/>
    <w:basedOn w:val="DefaultParagraphFont"/>
    <w:rsid w:val="006F08A8"/>
  </w:style>
  <w:style w:type="paragraph" w:customStyle="1" w:styleId="x">
    <w:name w:val="x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">
    <w:name w:val="p"/>
    <w:basedOn w:val="DefaultParagraphFont"/>
    <w:rsid w:val="006F08A8"/>
  </w:style>
  <w:style w:type="paragraph" w:customStyle="1" w:styleId="h">
    <w:name w:val="h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">
    <w:name w:val="e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">
    <w:name w:val="y"/>
    <w:basedOn w:val="Normal"/>
    <w:rsid w:val="006F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4400D"/>
    <w:pPr>
      <w:spacing w:after="0" w:line="240" w:lineRule="auto"/>
      <w:ind w:left="720"/>
      <w:contextualSpacing/>
    </w:pPr>
    <w:rPr>
      <w:rFonts w:ascii="Book Antiqua" w:eastAsia="Times New Roman" w:hAnsi="Book Antiqua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4400D"/>
    <w:rPr>
      <w:rFonts w:ascii="Book Antiqua" w:eastAsia="Times New Roman" w:hAnsi="Book Antiqua" w:cs="Times New Roman"/>
      <w:lang w:val="en-US"/>
    </w:rPr>
  </w:style>
  <w:style w:type="paragraph" w:customStyle="1" w:styleId="ap">
    <w:name w:val="ap"/>
    <w:basedOn w:val="Normal"/>
    <w:rsid w:val="00F804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E" w:eastAsia="en-IE"/>
    </w:rPr>
  </w:style>
  <w:style w:type="character" w:customStyle="1" w:styleId="aj">
    <w:name w:val="aj"/>
    <w:basedOn w:val="DefaultParagraphFont"/>
    <w:rsid w:val="00F8040A"/>
  </w:style>
  <w:style w:type="character" w:styleId="Hyperlink">
    <w:name w:val="Hyperlink"/>
    <w:basedOn w:val="DefaultParagraphFont"/>
    <w:uiPriority w:val="99"/>
    <w:unhideWhenUsed/>
    <w:rsid w:val="007B6F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FB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DA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3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62"/>
  </w:style>
  <w:style w:type="paragraph" w:styleId="Footer">
    <w:name w:val="footer"/>
    <w:basedOn w:val="Normal"/>
    <w:link w:val="FooterChar"/>
    <w:uiPriority w:val="99"/>
    <w:unhideWhenUsed/>
    <w:rsid w:val="00633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62"/>
  </w:style>
  <w:style w:type="paragraph" w:customStyle="1" w:styleId="be">
    <w:name w:val="be"/>
    <w:basedOn w:val="Normal"/>
    <w:rsid w:val="0063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as">
    <w:name w:val="as"/>
    <w:basedOn w:val="DefaultParagraphFont"/>
    <w:rsid w:val="00633762"/>
  </w:style>
  <w:style w:type="character" w:customStyle="1" w:styleId="ar">
    <w:name w:val="ar"/>
    <w:basedOn w:val="DefaultParagraphFont"/>
    <w:rsid w:val="00633762"/>
  </w:style>
  <w:style w:type="character" w:customStyle="1" w:styleId="aq">
    <w:name w:val="aq"/>
    <w:basedOn w:val="DefaultParagraphFont"/>
    <w:rsid w:val="0063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2021-09-29T08:46:42+00:00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85910-8371-46A8-B70F-046EB3822AF0}"/>
</file>

<file path=customXml/itemProps2.xml><?xml version="1.0" encoding="utf-8"?>
<ds:datastoreItem xmlns:ds="http://schemas.openxmlformats.org/officeDocument/2006/customXml" ds:itemID="{2866CE10-7A91-4642-AF30-D86E893F9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FC95A-95E7-4777-8196-2A5CF662EADA}">
  <ds:schemaRefs>
    <ds:schemaRef ds:uri="http://schemas.microsoft.com/office/infopath/2007/PartnerControls"/>
    <ds:schemaRef ds:uri="66f011ac-6660-476e-888c-60753975454a"/>
    <ds:schemaRef ds:uri="http://purl.org/dc/elements/1.1/"/>
    <ds:schemaRef ds:uri="http://schemas.microsoft.com/office/2006/metadata/properties"/>
    <ds:schemaRef ds:uri="2f3a1f5a-1709-4b32-abfa-090cac1ab9c4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26015B-C13E-4E39-9E5C-B50B362D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Pritti Patel</dc:creator>
  <cp:keywords/>
  <dc:description/>
  <cp:lastModifiedBy>Christina King</cp:lastModifiedBy>
  <cp:revision>2</cp:revision>
  <cp:lastPrinted>2018-02-20T12:26:00Z</cp:lastPrinted>
  <dcterms:created xsi:type="dcterms:W3CDTF">2021-09-21T08:49:00Z</dcterms:created>
  <dcterms:modified xsi:type="dcterms:W3CDTF">2021-09-21T08:49:00Z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176314300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