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594733">
      <w:pPr>
        <w:spacing w:line="288" w:lineRule="auto"/>
        <w:jc w:val="center"/>
        <w:rPr>
          <w:rFonts w:ascii="Arial" w:eastAsia="Arial" w:hAnsi="Arial" w:cs="Arial"/>
        </w:rPr>
      </w:pPr>
      <w:bookmarkStart w:id="0" w:name="Section1"/>
      <w:bookmarkStart w:id="1" w:name="_GoBack"/>
      <w:bookmarkEnd w:id="0"/>
      <w:bookmarkEnd w:id="1"/>
      <w:r>
        <w:rPr>
          <w:noProof/>
        </w:rPr>
        <w:drawing>
          <wp:inline distT="0" distB="0" distL="0" distR="0">
            <wp:extent cx="1646047" cy="35814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646047" cy="358140"/>
                    </a:xfrm>
                    <a:prstGeom prst="rect">
                      <a:avLst/>
                    </a:prstGeom>
                    <a:noFill/>
                    <a:ln>
                      <a:noFill/>
                    </a:ln>
                  </pic:spPr>
                </pic:pic>
              </a:graphicData>
            </a:graphic>
          </wp:inline>
        </w:drawing>
      </w:r>
    </w:p>
    <w:p w:rsidR="00A77B3E" w:rsidRDefault="00594733">
      <w:pPr>
        <w:spacing w:after="40" w:line="288" w:lineRule="auto"/>
        <w:jc w:val="right"/>
        <w:outlineLvl w:val="0"/>
        <w:rPr>
          <w:rFonts w:ascii="Arial" w:eastAsia="Arial" w:hAnsi="Arial" w:cs="Arial"/>
        </w:rPr>
      </w:pPr>
      <w:r>
        <w:rPr>
          <w:rFonts w:ascii="Calibri" w:eastAsia="Calibri" w:hAnsi="Calibri" w:cs="Calibri"/>
          <w:b/>
          <w:sz w:val="22"/>
        </w:rPr>
        <w:t>2 November 2021</w:t>
      </w:r>
    </w:p>
    <w:p w:rsidR="00A77B3E" w:rsidRDefault="00594733">
      <w:pPr>
        <w:spacing w:after="80" w:line="288" w:lineRule="auto"/>
        <w:jc w:val="center"/>
        <w:rPr>
          <w:rFonts w:ascii="Arial" w:eastAsia="Arial" w:hAnsi="Arial" w:cs="Arial"/>
        </w:rPr>
      </w:pPr>
      <w:r>
        <w:rPr>
          <w:rFonts w:ascii="Calibri" w:eastAsia="Calibri" w:hAnsi="Calibri" w:cs="Calibri"/>
          <w:b/>
          <w:sz w:val="22"/>
        </w:rPr>
        <w:t>Q3 2021 Trading Update</w:t>
      </w:r>
    </w:p>
    <w:p w:rsidR="00A77B3E" w:rsidRDefault="00594733">
      <w:pPr>
        <w:spacing w:after="120" w:line="288" w:lineRule="auto"/>
        <w:jc w:val="center"/>
      </w:pPr>
      <w:r>
        <w:rPr>
          <w:rFonts w:ascii="Calibri" w:eastAsia="Calibri" w:hAnsi="Calibri" w:cs="Calibri"/>
          <w:b/>
          <w:sz w:val="22"/>
        </w:rPr>
        <w:t xml:space="preserve">Strong underlying growth continues; leadership maintained in US </w:t>
      </w:r>
    </w:p>
    <w:p w:rsidR="00A77B3E" w:rsidRDefault="00594733">
      <w:pPr>
        <w:spacing w:after="120" w:line="288" w:lineRule="auto"/>
        <w:jc w:val="center"/>
        <w:rPr>
          <w:rFonts w:ascii="Calibri" w:eastAsia="Calibri" w:hAnsi="Calibri" w:cs="Calibri"/>
          <w:sz w:val="21"/>
        </w:rPr>
      </w:pPr>
      <w:r>
        <w:rPr>
          <w:rFonts w:ascii="Calibri" w:eastAsia="Calibri" w:hAnsi="Calibri" w:cs="Calibri"/>
          <w:sz w:val="21"/>
        </w:rPr>
        <w:t xml:space="preserve">Flutter Entertainment plc (the “Group”) announces a trading update </w:t>
      </w:r>
      <w:r>
        <w:rPr>
          <w:rFonts w:ascii="Calibri" w:eastAsia="Calibri" w:hAnsi="Calibri" w:cs="Calibri"/>
          <w:sz w:val="21"/>
          <w:shd w:val="clear" w:color="auto" w:fill="FFFFFF"/>
        </w:rPr>
        <w:t>for three months ended 30 September 2021.</w:t>
      </w:r>
    </w:p>
    <w:p w:rsidR="00A77B3E" w:rsidRDefault="00A77B3E">
      <w:pPr>
        <w:spacing w:after="120" w:line="288" w:lineRule="auto"/>
        <w:jc w:val="center"/>
        <w:rPr>
          <w:rFonts w:ascii="Arial" w:eastAsia="Arial" w:hAnsi="Arial" w:cs="Arial"/>
        </w:rPr>
        <w:sectPr w:rsidR="00A77B3E">
          <w:headerReference w:type="default" r:id="rId8"/>
          <w:footerReference w:type="default" r:id="rId9"/>
          <w:type w:val="continuous"/>
          <w:pgSz w:w="11900" w:h="16838"/>
          <w:pgMar w:top="1304" w:right="1020" w:bottom="1247" w:left="907" w:header="270" w:footer="270" w:gutter="0"/>
          <w:cols w:space="708"/>
          <w:docGrid w:linePitch="360"/>
        </w:sect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1224"/>
        <w:gridCol w:w="1224"/>
        <w:gridCol w:w="1224"/>
        <w:gridCol w:w="1224"/>
      </w:tblGrid>
      <w:tr w:rsidR="00F8358B">
        <w:trPr>
          <w:cantSplit/>
          <w:trHeight w:hRule="exact" w:val="315"/>
          <w:jc w:val="center"/>
        </w:trPr>
        <w:tc>
          <w:tcPr>
            <w:tcW w:w="40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i/>
                <w:color w:val="000000"/>
                <w:sz w:val="18"/>
              </w:rPr>
              <w:t>Unaudited £m</w:t>
            </w:r>
          </w:p>
        </w:tc>
        <w:tc>
          <w:tcPr>
            <w:tcW w:w="1200"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Q3 2021</w:t>
            </w:r>
          </w:p>
        </w:tc>
        <w:tc>
          <w:tcPr>
            <w:tcW w:w="1200"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Q3 2020</w:t>
            </w:r>
          </w:p>
        </w:tc>
        <w:tc>
          <w:tcPr>
            <w:tcW w:w="120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color w:val="000000"/>
                <w:sz w:val="22"/>
              </w:rPr>
              <w:t>YoY %</w:t>
            </w:r>
          </w:p>
        </w:tc>
        <w:tc>
          <w:tcPr>
            <w:tcW w:w="1200" w:type="dxa"/>
            <w:tcBorders>
              <w:top w:val="single" w:sz="8" w:space="0" w:color="000000"/>
              <w:left w:val="nil"/>
              <w:bottom w:val="nil"/>
              <w:right w:val="single" w:sz="8" w:space="0" w:color="000000"/>
            </w:tcBorders>
            <w:shd w:val="clear" w:color="auto" w:fill="FFFFFF"/>
            <w:tcMar>
              <w:top w:w="0" w:type="dxa"/>
              <w:left w:w="53" w:type="dxa"/>
              <w:bottom w:w="0" w:type="dxa"/>
              <w:right w:w="53" w:type="dxa"/>
            </w:tcMar>
            <w:vAlign w:val="center"/>
          </w:tcPr>
          <w:p w:rsidR="00F8358B" w:rsidRDefault="00594733">
            <w:pPr>
              <w:keepNext/>
              <w:jc w:val="center"/>
              <w:rPr>
                <w:rFonts w:ascii="Calibri" w:eastAsia="Calibri" w:hAnsi="Calibri" w:cs="Calibri"/>
                <w:b/>
                <w:sz w:val="22"/>
              </w:rPr>
            </w:pPr>
            <w:r>
              <w:rPr>
                <w:rFonts w:ascii="Calibri" w:eastAsia="Calibri" w:hAnsi="Calibri" w:cs="Calibri"/>
                <w:b/>
                <w:sz w:val="22"/>
              </w:rPr>
              <w:t>YoY % CC</w:t>
            </w:r>
            <w:r>
              <w:rPr>
                <w:rFonts w:ascii="Calibri" w:eastAsia="Calibri" w:hAnsi="Calibri" w:cs="Calibri"/>
                <w:b/>
                <w:sz w:val="22"/>
                <w:vertAlign w:val="superscript"/>
              </w:rPr>
              <w:t>1</w:t>
            </w:r>
          </w:p>
        </w:tc>
      </w:tr>
      <w:tr w:rsidR="00F8358B">
        <w:trPr>
          <w:cantSplit/>
          <w:trHeight w:hRule="exact" w:val="75"/>
          <w:jc w:val="center"/>
        </w:trPr>
        <w:tc>
          <w:tcPr>
            <w:tcW w:w="4095" w:type="dxa"/>
            <w:tcBorders>
              <w:top w:val="nil"/>
              <w:left w:val="single" w:sz="8" w:space="0" w:color="000000"/>
              <w:bottom w:val="nil"/>
              <w:right w:val="nil"/>
            </w:tcBorders>
            <w:shd w:val="clear" w:color="auto" w:fill="FFFFFF"/>
            <w:tcMar>
              <w:top w:w="0" w:type="dxa"/>
              <w:left w:w="0" w:type="dxa"/>
              <w:bottom w:w="0" w:type="dxa"/>
              <w:right w:w="0" w:type="dxa"/>
            </w:tcMar>
            <w:vAlign w:val="bottom"/>
          </w:tcPr>
          <w:p w:rsidR="00F8358B" w:rsidRDefault="00F8358B">
            <w:pPr>
              <w:keepNext/>
            </w:pPr>
          </w:p>
        </w:tc>
        <w:tc>
          <w:tcPr>
            <w:tcW w:w="1200" w:type="dxa"/>
            <w:tcBorders>
              <w:top w:val="nil"/>
              <w:left w:val="nil"/>
              <w:bottom w:val="nil"/>
              <w:right w:val="nil"/>
            </w:tcBorders>
            <w:tcMar>
              <w:top w:w="0" w:type="dxa"/>
              <w:left w:w="53" w:type="dxa"/>
              <w:bottom w:w="0" w:type="dxa"/>
              <w:right w:w="15" w:type="dxa"/>
            </w:tcMar>
            <w:vAlign w:val="bottom"/>
          </w:tcPr>
          <w:p w:rsidR="00F8358B" w:rsidRDefault="00F8358B">
            <w:pPr>
              <w:keepNext/>
              <w:spacing w:before="53" w:after="30"/>
              <w:jc w:val="right"/>
            </w:pPr>
          </w:p>
        </w:tc>
        <w:tc>
          <w:tcPr>
            <w:tcW w:w="1200" w:type="dxa"/>
            <w:tcBorders>
              <w:top w:val="nil"/>
              <w:left w:val="nil"/>
              <w:bottom w:val="nil"/>
              <w:right w:val="nil"/>
            </w:tcBorders>
            <w:tcMar>
              <w:top w:w="0" w:type="dxa"/>
              <w:left w:w="53" w:type="dxa"/>
              <w:bottom w:w="0" w:type="dxa"/>
              <w:right w:w="15" w:type="dxa"/>
            </w:tcMar>
            <w:vAlign w:val="bottom"/>
          </w:tcPr>
          <w:p w:rsidR="00F8358B" w:rsidRDefault="00F8358B">
            <w:pPr>
              <w:keepNext/>
              <w:spacing w:before="53" w:after="30"/>
              <w:jc w:val="right"/>
            </w:pPr>
          </w:p>
        </w:tc>
        <w:tc>
          <w:tcPr>
            <w:tcW w:w="1200" w:type="dxa"/>
            <w:tcBorders>
              <w:top w:val="nil"/>
              <w:left w:val="nil"/>
              <w:bottom w:val="nil"/>
              <w:right w:val="nil"/>
            </w:tcBorders>
            <w:shd w:val="clear" w:color="auto" w:fill="FFFFFF"/>
            <w:tcMar>
              <w:top w:w="0" w:type="dxa"/>
              <w:left w:w="53" w:type="dxa"/>
              <w:bottom w:w="0" w:type="dxa"/>
              <w:right w:w="15" w:type="dxa"/>
            </w:tcMar>
            <w:vAlign w:val="bottom"/>
          </w:tcPr>
          <w:p w:rsidR="00F8358B" w:rsidRDefault="00F8358B">
            <w:pPr>
              <w:keepNext/>
              <w:spacing w:before="53" w:after="30"/>
            </w:pPr>
          </w:p>
        </w:tc>
        <w:tc>
          <w:tcPr>
            <w:tcW w:w="1200" w:type="dxa"/>
            <w:tcBorders>
              <w:top w:val="nil"/>
              <w:left w:val="nil"/>
              <w:bottom w:val="nil"/>
              <w:right w:val="single" w:sz="8" w:space="0" w:color="000000"/>
            </w:tcBorders>
            <w:shd w:val="clear" w:color="auto" w:fill="FFFFFF"/>
            <w:tcMar>
              <w:top w:w="0" w:type="dxa"/>
              <w:left w:w="53" w:type="dxa"/>
              <w:bottom w:w="0" w:type="dxa"/>
              <w:right w:w="15" w:type="dxa"/>
            </w:tcMar>
            <w:vAlign w:val="bottom"/>
          </w:tcPr>
          <w:p w:rsidR="00F8358B" w:rsidRDefault="00F8358B">
            <w:pPr>
              <w:keepNext/>
              <w:spacing w:before="53" w:after="30"/>
            </w:pPr>
          </w:p>
        </w:tc>
      </w:tr>
      <w:tr w:rsidR="00F8358B">
        <w:trPr>
          <w:cantSplit/>
          <w:trHeight w:hRule="exact" w:val="315"/>
          <w:jc w:val="center"/>
        </w:trPr>
        <w:tc>
          <w:tcPr>
            <w:tcW w:w="40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76" w:lineRule="auto"/>
              <w:rPr>
                <w:rFonts w:ascii="Arial" w:eastAsia="Arial" w:hAnsi="Arial" w:cs="Arial"/>
                <w:b/>
                <w:sz w:val="22"/>
              </w:rPr>
            </w:pPr>
            <w:r>
              <w:rPr>
                <w:rFonts w:ascii="Calibri" w:eastAsia="Calibri" w:hAnsi="Calibri" w:cs="Calibri"/>
                <w:b/>
                <w:sz w:val="22"/>
              </w:rPr>
              <w:t>Average monthly players</w:t>
            </w:r>
            <w:r>
              <w:rPr>
                <w:rFonts w:ascii="Calibri" w:eastAsia="Calibri" w:hAnsi="Calibri" w:cs="Calibri"/>
                <w:b/>
                <w:sz w:val="22"/>
                <w:vertAlign w:val="superscript"/>
              </w:rPr>
              <w:t>2</w:t>
            </w:r>
            <w:r>
              <w:rPr>
                <w:rFonts w:ascii="Calibri" w:eastAsia="Calibri" w:hAnsi="Calibri" w:cs="Calibri"/>
                <w:b/>
                <w:sz w:val="22"/>
              </w:rPr>
              <w:t xml:space="preserve"> (‘000s)</w:t>
            </w:r>
          </w:p>
        </w:tc>
        <w:tc>
          <w:tcPr>
            <w:tcW w:w="1200" w:type="dxa"/>
            <w:tcBorders>
              <w:top w:val="nil"/>
              <w:left w:val="nil"/>
              <w:bottom w:val="nil"/>
              <w:right w:val="nil"/>
            </w:tcBorders>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b/>
                <w:color w:val="000000"/>
                <w:sz w:val="22"/>
              </w:rPr>
              <w:t>7,257</w:t>
            </w:r>
          </w:p>
        </w:tc>
        <w:tc>
          <w:tcPr>
            <w:tcW w:w="1200" w:type="dxa"/>
            <w:tcBorders>
              <w:top w:val="nil"/>
              <w:left w:val="nil"/>
              <w:bottom w:val="nil"/>
              <w:right w:val="nil"/>
            </w:tcBorders>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b/>
                <w:color w:val="000000"/>
                <w:sz w:val="22"/>
              </w:rPr>
              <w:t>6,401</w:t>
            </w:r>
          </w:p>
        </w:tc>
        <w:tc>
          <w:tcPr>
            <w:tcW w:w="1200" w:type="dxa"/>
            <w:tcBorders>
              <w:top w:val="nil"/>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b/>
                <w:i/>
                <w:color w:val="000000"/>
                <w:sz w:val="22"/>
              </w:rPr>
              <w:t>+13%</w:t>
            </w:r>
          </w:p>
        </w:tc>
        <w:tc>
          <w:tcPr>
            <w:tcW w:w="1200"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r>
      <w:tr w:rsidR="00F8358B">
        <w:trPr>
          <w:cantSplit/>
          <w:trHeight w:hRule="exact" w:val="60"/>
          <w:jc w:val="center"/>
        </w:trPr>
        <w:tc>
          <w:tcPr>
            <w:tcW w:w="4095" w:type="dxa"/>
            <w:tcBorders>
              <w:top w:val="nil"/>
              <w:left w:val="single" w:sz="8" w:space="0" w:color="000000"/>
              <w:bottom w:val="nil"/>
              <w:right w:val="nil"/>
            </w:tcBorders>
            <w:shd w:val="clear" w:color="auto" w:fill="FFFFFF"/>
            <w:tcMar>
              <w:top w:w="0" w:type="dxa"/>
              <w:left w:w="0" w:type="dxa"/>
              <w:bottom w:w="0" w:type="dxa"/>
              <w:right w:w="0" w:type="dxa"/>
            </w:tcMar>
            <w:vAlign w:val="bottom"/>
          </w:tcPr>
          <w:p w:rsidR="00F8358B" w:rsidRDefault="00F8358B">
            <w:pPr>
              <w:keepNext/>
            </w:pPr>
          </w:p>
        </w:tc>
        <w:tc>
          <w:tcPr>
            <w:tcW w:w="1200" w:type="dxa"/>
            <w:tcBorders>
              <w:top w:val="nil"/>
              <w:left w:val="nil"/>
              <w:bottom w:val="nil"/>
              <w:right w:val="nil"/>
            </w:tcBorders>
            <w:shd w:val="clear" w:color="auto" w:fill="FFFFFF"/>
            <w:tcMar>
              <w:top w:w="0" w:type="dxa"/>
              <w:left w:w="53" w:type="dxa"/>
              <w:bottom w:w="0" w:type="dxa"/>
              <w:right w:w="15" w:type="dxa"/>
            </w:tcMar>
            <w:vAlign w:val="bottom"/>
          </w:tcPr>
          <w:p w:rsidR="00F8358B" w:rsidRDefault="00F8358B">
            <w:pPr>
              <w:keepNext/>
              <w:spacing w:before="53" w:after="30"/>
              <w:jc w:val="center"/>
            </w:pPr>
          </w:p>
        </w:tc>
        <w:tc>
          <w:tcPr>
            <w:tcW w:w="1200" w:type="dxa"/>
            <w:tcBorders>
              <w:top w:val="nil"/>
              <w:left w:val="nil"/>
              <w:bottom w:val="nil"/>
              <w:right w:val="nil"/>
            </w:tcBorders>
            <w:shd w:val="clear" w:color="auto" w:fill="FFFFFF"/>
            <w:tcMar>
              <w:top w:w="0" w:type="dxa"/>
              <w:left w:w="53" w:type="dxa"/>
              <w:bottom w:w="0" w:type="dxa"/>
              <w:right w:w="15" w:type="dxa"/>
            </w:tcMar>
            <w:vAlign w:val="bottom"/>
          </w:tcPr>
          <w:p w:rsidR="00F8358B" w:rsidRDefault="00F8358B">
            <w:pPr>
              <w:keepNext/>
              <w:spacing w:before="53" w:after="30"/>
              <w:jc w:val="center"/>
            </w:pPr>
          </w:p>
        </w:tc>
        <w:tc>
          <w:tcPr>
            <w:tcW w:w="1200" w:type="dxa"/>
            <w:tcBorders>
              <w:top w:val="nil"/>
              <w:left w:val="nil"/>
              <w:bottom w:val="nil"/>
              <w:right w:val="nil"/>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c>
          <w:tcPr>
            <w:tcW w:w="1200"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r>
      <w:tr w:rsidR="00F8358B">
        <w:trPr>
          <w:cantSplit/>
          <w:trHeight w:hRule="exact" w:val="315"/>
          <w:jc w:val="center"/>
        </w:trPr>
        <w:tc>
          <w:tcPr>
            <w:tcW w:w="40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69" w:lineRule="auto"/>
              <w:rPr>
                <w:rFonts w:ascii="Calibri" w:eastAsia="Calibri" w:hAnsi="Calibri" w:cs="Calibri"/>
                <w:sz w:val="22"/>
              </w:rPr>
            </w:pPr>
            <w:r>
              <w:rPr>
                <w:rFonts w:ascii="Calibri" w:eastAsia="Calibri" w:hAnsi="Calibri" w:cs="Calibri"/>
                <w:sz w:val="22"/>
              </w:rPr>
              <w:t>Sports revenue</w:t>
            </w:r>
          </w:p>
        </w:tc>
        <w:tc>
          <w:tcPr>
            <w:tcW w:w="1200" w:type="dxa"/>
            <w:tcBorders>
              <w:top w:val="nil"/>
              <w:left w:val="nil"/>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906</w:t>
            </w:r>
          </w:p>
        </w:tc>
        <w:tc>
          <w:tcPr>
            <w:tcW w:w="1200" w:type="dxa"/>
            <w:tcBorders>
              <w:top w:val="nil"/>
              <w:left w:val="nil"/>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798</w:t>
            </w:r>
          </w:p>
        </w:tc>
        <w:tc>
          <w:tcPr>
            <w:tcW w:w="1200" w:type="dxa"/>
            <w:tcBorders>
              <w:top w:val="nil"/>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+13%</w:t>
            </w:r>
          </w:p>
        </w:tc>
        <w:tc>
          <w:tcPr>
            <w:tcW w:w="1200"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+17%</w:t>
            </w:r>
          </w:p>
        </w:tc>
      </w:tr>
      <w:tr w:rsidR="00F8358B">
        <w:trPr>
          <w:cantSplit/>
          <w:trHeight w:hRule="exact" w:val="315"/>
          <w:jc w:val="center"/>
        </w:trPr>
        <w:tc>
          <w:tcPr>
            <w:tcW w:w="40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69" w:lineRule="auto"/>
              <w:rPr>
                <w:rFonts w:ascii="Calibri" w:eastAsia="Calibri" w:hAnsi="Calibri" w:cs="Calibri"/>
                <w:sz w:val="22"/>
              </w:rPr>
            </w:pPr>
            <w:r>
              <w:rPr>
                <w:rFonts w:ascii="Calibri" w:eastAsia="Calibri" w:hAnsi="Calibri" w:cs="Calibri"/>
                <w:sz w:val="22"/>
              </w:rPr>
              <w:t>Gaming revenue</w:t>
            </w:r>
          </w:p>
        </w:tc>
        <w:tc>
          <w:tcPr>
            <w:tcW w:w="1200"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534</w:t>
            </w:r>
          </w:p>
        </w:tc>
        <w:tc>
          <w:tcPr>
            <w:tcW w:w="1200"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527</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+1%</w:t>
            </w:r>
          </w:p>
        </w:tc>
        <w:tc>
          <w:tcPr>
            <w:tcW w:w="1200" w:type="dxa"/>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+5%</w:t>
            </w:r>
          </w:p>
        </w:tc>
      </w:tr>
      <w:tr w:rsidR="00F8358B">
        <w:trPr>
          <w:cantSplit/>
          <w:trHeight w:hRule="exact" w:val="315"/>
          <w:jc w:val="center"/>
        </w:trPr>
        <w:tc>
          <w:tcPr>
            <w:tcW w:w="40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76" w:lineRule="auto"/>
              <w:outlineLvl w:val="1"/>
              <w:rPr>
                <w:rFonts w:ascii="Calibri" w:eastAsia="Calibri" w:hAnsi="Calibri" w:cs="Calibri"/>
                <w:b/>
                <w:sz w:val="22"/>
              </w:rPr>
            </w:pPr>
            <w:r>
              <w:rPr>
                <w:rFonts w:ascii="Calibri" w:eastAsia="Calibri" w:hAnsi="Calibri" w:cs="Calibri"/>
                <w:b/>
                <w:sz w:val="22"/>
              </w:rPr>
              <w:t>Total revenue</w:t>
            </w:r>
          </w:p>
        </w:tc>
        <w:tc>
          <w:tcPr>
            <w:tcW w:w="1200" w:type="dxa"/>
            <w:tcBorders>
              <w:top w:val="single" w:sz="8" w:space="0" w:color="000000"/>
              <w:left w:val="nil"/>
              <w:bottom w:val="nil"/>
              <w:right w:val="nil"/>
            </w:tcBorders>
            <w:shd w:val="clear" w:color="auto" w:fill="FFFFFF"/>
            <w:tcMar>
              <w:top w:w="0" w:type="dxa"/>
              <w:left w:w="53" w:type="dxa"/>
              <w:bottom w:w="0" w:type="dxa"/>
              <w:right w:w="15" w:type="dxa"/>
            </w:tcMar>
            <w:vAlign w:val="bottom"/>
          </w:tcPr>
          <w:p w:rsidR="00F8358B" w:rsidRDefault="00594733">
            <w:pPr>
              <w:keepNext/>
              <w:spacing w:before="33" w:after="30"/>
              <w:jc w:val="center"/>
            </w:pPr>
            <w:r>
              <w:rPr>
                <w:rFonts w:ascii="Calibri" w:eastAsia="Calibri" w:hAnsi="Calibri" w:cs="Calibri"/>
                <w:b/>
                <w:color w:val="000000"/>
                <w:sz w:val="22"/>
              </w:rPr>
              <w:t>1,439</w:t>
            </w:r>
          </w:p>
        </w:tc>
        <w:tc>
          <w:tcPr>
            <w:tcW w:w="1200" w:type="dxa"/>
            <w:tcBorders>
              <w:top w:val="single" w:sz="8" w:space="0" w:color="000000"/>
              <w:left w:val="nil"/>
              <w:bottom w:val="nil"/>
              <w:right w:val="nil"/>
            </w:tcBorders>
            <w:shd w:val="clear" w:color="auto" w:fill="FFFFFF"/>
            <w:tcMar>
              <w:top w:w="0" w:type="dxa"/>
              <w:left w:w="53" w:type="dxa"/>
              <w:bottom w:w="0" w:type="dxa"/>
              <w:right w:w="15" w:type="dxa"/>
            </w:tcMar>
            <w:vAlign w:val="bottom"/>
          </w:tcPr>
          <w:p w:rsidR="00F8358B" w:rsidRDefault="00594733">
            <w:pPr>
              <w:keepNext/>
              <w:spacing w:before="33" w:after="30"/>
              <w:jc w:val="center"/>
            </w:pPr>
            <w:r>
              <w:rPr>
                <w:rFonts w:ascii="Calibri" w:eastAsia="Calibri" w:hAnsi="Calibri" w:cs="Calibri"/>
                <w:b/>
                <w:color w:val="000000"/>
                <w:sz w:val="22"/>
              </w:rPr>
              <w:t>1,325</w:t>
            </w:r>
          </w:p>
        </w:tc>
        <w:tc>
          <w:tcPr>
            <w:tcW w:w="120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i/>
                <w:color w:val="000000"/>
                <w:sz w:val="22"/>
              </w:rPr>
              <w:t>+9%</w:t>
            </w:r>
          </w:p>
        </w:tc>
        <w:tc>
          <w:tcPr>
            <w:tcW w:w="1200" w:type="dxa"/>
            <w:tcBorders>
              <w:top w:val="single" w:sz="8" w:space="0" w:color="000000"/>
              <w:left w:val="single" w:sz="8" w:space="0" w:color="FFFFFF"/>
              <w:bottom w:val="nil"/>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i/>
                <w:color w:val="000000"/>
                <w:sz w:val="22"/>
              </w:rPr>
              <w:t>+12%</w:t>
            </w:r>
          </w:p>
        </w:tc>
      </w:tr>
      <w:tr w:rsidR="00F8358B">
        <w:trPr>
          <w:cantSplit/>
          <w:trHeight w:hRule="exact" w:val="60"/>
          <w:jc w:val="center"/>
        </w:trPr>
        <w:tc>
          <w:tcPr>
            <w:tcW w:w="40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F8358B"/>
        </w:tc>
        <w:tc>
          <w:tcPr>
            <w:tcW w:w="1200" w:type="dxa"/>
            <w:tcBorders>
              <w:top w:val="nil"/>
              <w:left w:val="nil"/>
              <w:bottom w:val="single" w:sz="8" w:space="0" w:color="000000"/>
              <w:right w:val="nil"/>
            </w:tcBorders>
            <w:shd w:val="clear" w:color="auto" w:fill="FFFFFF"/>
            <w:tcMar>
              <w:top w:w="0" w:type="dxa"/>
              <w:left w:w="53" w:type="dxa"/>
              <w:bottom w:w="0" w:type="dxa"/>
              <w:right w:w="15" w:type="dxa"/>
            </w:tcMar>
            <w:vAlign w:val="center"/>
          </w:tcPr>
          <w:p w:rsidR="00F8358B" w:rsidRDefault="00F8358B">
            <w:pPr>
              <w:jc w:val="right"/>
            </w:pPr>
          </w:p>
        </w:tc>
        <w:tc>
          <w:tcPr>
            <w:tcW w:w="1200" w:type="dxa"/>
            <w:tcBorders>
              <w:top w:val="nil"/>
              <w:left w:val="nil"/>
              <w:bottom w:val="single" w:sz="8" w:space="0" w:color="000000"/>
              <w:right w:val="nil"/>
            </w:tcBorders>
            <w:shd w:val="clear" w:color="auto" w:fill="FFFFFF"/>
            <w:tcMar>
              <w:top w:w="0" w:type="dxa"/>
              <w:left w:w="53" w:type="dxa"/>
              <w:bottom w:w="0" w:type="dxa"/>
              <w:right w:w="15" w:type="dxa"/>
            </w:tcMar>
            <w:vAlign w:val="center"/>
          </w:tcPr>
          <w:p w:rsidR="00F8358B" w:rsidRDefault="00F8358B">
            <w:pPr>
              <w:jc w:val="right"/>
            </w:pPr>
          </w:p>
        </w:tc>
        <w:tc>
          <w:tcPr>
            <w:tcW w:w="1200"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F8358B">
            <w:pPr>
              <w:spacing w:before="53" w:after="30"/>
            </w:pPr>
          </w:p>
        </w:tc>
        <w:tc>
          <w:tcPr>
            <w:tcW w:w="1200" w:type="dxa"/>
            <w:tcBorders>
              <w:top w:val="nil"/>
              <w:left w:val="nil"/>
              <w:bottom w:val="single" w:sz="8" w:space="0" w:color="000000"/>
              <w:right w:val="single" w:sz="8" w:space="0" w:color="000000"/>
            </w:tcBorders>
            <w:shd w:val="clear" w:color="auto" w:fill="FFFFFF"/>
            <w:tcMar>
              <w:top w:w="0" w:type="dxa"/>
              <w:left w:w="53" w:type="dxa"/>
              <w:bottom w:w="0" w:type="dxa"/>
              <w:right w:w="15" w:type="dxa"/>
            </w:tcMar>
            <w:vAlign w:val="bottom"/>
          </w:tcPr>
          <w:p w:rsidR="00F8358B" w:rsidRDefault="00F8358B">
            <w:pPr>
              <w:spacing w:before="53" w:after="30"/>
            </w:pPr>
          </w:p>
        </w:tc>
      </w:tr>
    </w:tbl>
    <w:p w:rsidR="00F8358B" w:rsidRDefault="00594733">
      <w:pPr>
        <w:spacing w:line="269" w:lineRule="auto"/>
        <w:ind w:firstLine="142"/>
        <w:jc w:val="both"/>
        <w:rPr>
          <w:rFonts w:ascii="Calibri" w:eastAsia="Calibri" w:hAnsi="Calibri" w:cs="Calibri"/>
          <w:sz w:val="22"/>
        </w:rPr>
      </w:pPr>
      <w:r>
        <w:rPr>
          <w:rFonts w:ascii="Calibri" w:eastAsia="Calibri" w:hAnsi="Calibri" w:cs="Calibri"/>
          <w:i/>
        </w:rPr>
        <w:t xml:space="preserve">       </w:t>
      </w:r>
      <w:r>
        <w:rPr>
          <w:rFonts w:ascii="Calibri" w:eastAsia="Calibri" w:hAnsi="Calibri" w:cs="Calibri"/>
          <w:i/>
          <w:sz w:val="18"/>
        </w:rPr>
        <w:t>All commentary within this trading update refers to constant currency</w:t>
      </w:r>
      <w:r>
        <w:rPr>
          <w:rFonts w:ascii="Calibri" w:eastAsia="Calibri" w:hAnsi="Calibri" w:cs="Calibri"/>
          <w:i/>
          <w:sz w:val="20"/>
          <w:vertAlign w:val="superscript"/>
        </w:rPr>
        <w:t>1</w:t>
      </w:r>
      <w:r>
        <w:rPr>
          <w:rFonts w:ascii="Calibri" w:eastAsia="Calibri" w:hAnsi="Calibri" w:cs="Calibri"/>
          <w:i/>
          <w:sz w:val="18"/>
        </w:rPr>
        <w:t xml:space="preserve"> growth rates. Any differences due to rounding.</w:t>
      </w:r>
    </w:p>
    <w:p w:rsidR="00F8358B" w:rsidRDefault="00F8358B">
      <w:pPr>
        <w:spacing w:line="269" w:lineRule="auto"/>
        <w:ind w:firstLine="142"/>
        <w:jc w:val="both"/>
        <w:rPr>
          <w:rFonts w:ascii="Calibri" w:eastAsia="Calibri" w:hAnsi="Calibri" w:cs="Calibri"/>
          <w:i/>
          <w:sz w:val="18"/>
        </w:rPr>
      </w:pPr>
    </w:p>
    <w:p w:rsidR="00F8358B" w:rsidRDefault="00F8358B">
      <w:pPr>
        <w:spacing w:line="269" w:lineRule="auto"/>
        <w:ind w:firstLine="142"/>
        <w:jc w:val="both"/>
        <w:rPr>
          <w:rFonts w:ascii="Calibri" w:eastAsia="Calibri" w:hAnsi="Calibri" w:cs="Calibri"/>
          <w:sz w:val="22"/>
        </w:rPr>
        <w:sectPr w:rsidR="00F8358B">
          <w:type w:val="continuous"/>
          <w:pgSz w:w="11900" w:h="16838"/>
          <w:pgMar w:top="1304" w:right="1020" w:bottom="1247" w:left="907" w:header="270" w:footer="270" w:gutter="0"/>
          <w:cols w:space="708"/>
        </w:sectPr>
      </w:pPr>
    </w:p>
    <w:p w:rsidR="00F8358B" w:rsidRDefault="00594733" w:rsidP="00594733">
      <w:pPr>
        <w:numPr>
          <w:ilvl w:val="0"/>
          <w:numId w:val="2"/>
        </w:numPr>
        <w:spacing w:after="80" w:line="288" w:lineRule="auto"/>
        <w:ind w:left="425"/>
        <w:jc w:val="both"/>
        <w:outlineLvl w:val="1"/>
        <w:rPr>
          <w:rFonts w:ascii="Calibri" w:eastAsia="Calibri" w:hAnsi="Calibri" w:cs="Calibri"/>
          <w:sz w:val="22"/>
        </w:rPr>
      </w:pPr>
      <w:bookmarkStart w:id="2" w:name="Section3"/>
      <w:bookmarkEnd w:id="2"/>
      <w:r>
        <w:rPr>
          <w:rFonts w:ascii="Calibri" w:eastAsia="Calibri" w:hAnsi="Calibri" w:cs="Calibri"/>
          <w:sz w:val="22"/>
        </w:rPr>
        <w:t>Group Online revenue +13% driven by AMP</w:t>
      </w:r>
      <w:r>
        <w:rPr>
          <w:rFonts w:ascii="Calibri" w:eastAsia="Calibri" w:hAnsi="Calibri" w:cs="Calibri"/>
          <w:sz w:val="22"/>
          <w:vertAlign w:val="superscript"/>
        </w:rPr>
        <w:t>2</w:t>
      </w:r>
      <w:r>
        <w:rPr>
          <w:rFonts w:ascii="Calibri" w:eastAsia="Calibri" w:hAnsi="Calibri" w:cs="Calibri"/>
          <w:sz w:val="22"/>
        </w:rPr>
        <w:t xml:space="preserve"> growth of 13%</w:t>
      </w:r>
    </w:p>
    <w:p w:rsidR="00F8358B" w:rsidRDefault="00594733" w:rsidP="00594733">
      <w:pPr>
        <w:numPr>
          <w:ilvl w:val="0"/>
          <w:numId w:val="4"/>
        </w:numPr>
        <w:spacing w:after="80" w:line="288" w:lineRule="auto"/>
        <w:ind w:left="850"/>
        <w:jc w:val="both"/>
        <w:rPr>
          <w:rFonts w:ascii="Calibri" w:eastAsia="Calibri" w:hAnsi="Calibri" w:cs="Calibri"/>
          <w:sz w:val="22"/>
        </w:rPr>
      </w:pPr>
      <w:r>
        <w:rPr>
          <w:rFonts w:ascii="Calibri" w:eastAsia="Calibri" w:hAnsi="Calibri" w:cs="Calibri"/>
          <w:b/>
          <w:sz w:val="22"/>
        </w:rPr>
        <w:t>UK &amp; Ireland</w:t>
      </w:r>
      <w:r>
        <w:rPr>
          <w:rFonts w:ascii="Calibri" w:eastAsia="Calibri" w:hAnsi="Calibri" w:cs="Calibri"/>
          <w:sz w:val="22"/>
        </w:rPr>
        <w:t>;</w:t>
      </w:r>
      <w:r>
        <w:rPr>
          <w:rFonts w:ascii="Calibri" w:eastAsia="Calibri" w:hAnsi="Calibri" w:cs="Calibri"/>
          <w:b/>
          <w:sz w:val="22"/>
        </w:rPr>
        <w:t xml:space="preserve"> -5% </w:t>
      </w:r>
      <w:r>
        <w:rPr>
          <w:rFonts w:ascii="Calibri" w:eastAsia="Calibri" w:hAnsi="Calibri" w:cs="Calibri"/>
          <w:sz w:val="22"/>
        </w:rPr>
        <w:t xml:space="preserve">reflecting busier, high profile sporting calendar in prior year; recreational growth continues with an increase in AMPs of +19% </w:t>
      </w:r>
    </w:p>
    <w:p w:rsidR="00F8358B" w:rsidRDefault="00594733" w:rsidP="00594733">
      <w:pPr>
        <w:numPr>
          <w:ilvl w:val="0"/>
          <w:numId w:val="4"/>
        </w:numPr>
        <w:spacing w:after="80" w:line="288" w:lineRule="auto"/>
        <w:ind w:left="850"/>
        <w:jc w:val="both"/>
        <w:rPr>
          <w:rFonts w:ascii="Arial" w:eastAsia="Arial" w:hAnsi="Arial" w:cs="Arial"/>
          <w:sz w:val="22"/>
        </w:rPr>
      </w:pPr>
      <w:r>
        <w:rPr>
          <w:rFonts w:ascii="Calibri" w:eastAsia="Calibri" w:hAnsi="Calibri" w:cs="Calibri"/>
          <w:b/>
          <w:sz w:val="22"/>
        </w:rPr>
        <w:t>Australia +20%</w:t>
      </w:r>
      <w:r>
        <w:rPr>
          <w:rFonts w:ascii="Calibri" w:eastAsia="Calibri" w:hAnsi="Calibri" w:cs="Calibri"/>
          <w:sz w:val="22"/>
        </w:rPr>
        <w:t>;</w:t>
      </w:r>
      <w:r>
        <w:rPr>
          <w:rFonts w:ascii="Calibri" w:eastAsia="Calibri" w:hAnsi="Calibri" w:cs="Calibri"/>
          <w:b/>
          <w:sz w:val="22"/>
        </w:rPr>
        <w:t xml:space="preserve"> </w:t>
      </w:r>
      <w:r>
        <w:rPr>
          <w:rFonts w:ascii="Calibri" w:eastAsia="Calibri" w:hAnsi="Calibri" w:cs="Calibri"/>
          <w:sz w:val="22"/>
        </w:rPr>
        <w:t xml:space="preserve">excellent customer retention bolstered by benefit from stay-at-home restrictions </w:t>
      </w:r>
    </w:p>
    <w:p w:rsidR="00F8358B" w:rsidRDefault="00594733" w:rsidP="00594733">
      <w:pPr>
        <w:numPr>
          <w:ilvl w:val="0"/>
          <w:numId w:val="4"/>
        </w:numPr>
        <w:spacing w:after="80" w:line="288" w:lineRule="auto"/>
        <w:ind w:left="850"/>
        <w:jc w:val="both"/>
        <w:rPr>
          <w:rFonts w:ascii="Arial" w:eastAsia="Arial" w:hAnsi="Arial" w:cs="Arial"/>
          <w:sz w:val="22"/>
        </w:rPr>
      </w:pPr>
      <w:r>
        <w:rPr>
          <w:rFonts w:ascii="Calibri" w:eastAsia="Calibri" w:hAnsi="Calibri" w:cs="Calibri"/>
          <w:b/>
          <w:sz w:val="22"/>
        </w:rPr>
        <w:t>International -3%</w:t>
      </w:r>
      <w:r>
        <w:rPr>
          <w:rFonts w:ascii="Calibri" w:eastAsia="Calibri" w:hAnsi="Calibri" w:cs="Calibri"/>
          <w:sz w:val="22"/>
        </w:rPr>
        <w:t>; growth of 6% excluding German regulatory impact</w:t>
      </w:r>
    </w:p>
    <w:p w:rsidR="00F8358B" w:rsidRDefault="00594733" w:rsidP="00594733">
      <w:pPr>
        <w:numPr>
          <w:ilvl w:val="0"/>
          <w:numId w:val="4"/>
        </w:numPr>
        <w:spacing w:after="80" w:line="288" w:lineRule="auto"/>
        <w:ind w:left="850"/>
        <w:jc w:val="both"/>
        <w:rPr>
          <w:rFonts w:ascii="Arial" w:eastAsia="Arial" w:hAnsi="Arial" w:cs="Arial"/>
          <w:sz w:val="22"/>
        </w:rPr>
      </w:pPr>
      <w:r>
        <w:rPr>
          <w:rFonts w:ascii="Calibri" w:eastAsia="Calibri" w:hAnsi="Calibri" w:cs="Calibri"/>
          <w:b/>
          <w:sz w:val="22"/>
        </w:rPr>
        <w:t>US +85%</w:t>
      </w:r>
      <w:r>
        <w:rPr>
          <w:rFonts w:ascii="Calibri" w:eastAsia="Calibri" w:hAnsi="Calibri" w:cs="Calibri"/>
          <w:sz w:val="22"/>
        </w:rPr>
        <w:t>; online sports-betting share of 42%</w:t>
      </w:r>
      <w:r>
        <w:rPr>
          <w:rFonts w:ascii="Calibri" w:eastAsia="Calibri" w:hAnsi="Calibri" w:cs="Calibri"/>
          <w:sz w:val="22"/>
          <w:vertAlign w:val="superscript"/>
        </w:rPr>
        <w:t xml:space="preserve">3 </w:t>
      </w:r>
      <w:r>
        <w:rPr>
          <w:rFonts w:ascii="Calibri" w:eastAsia="Calibri" w:hAnsi="Calibri" w:cs="Calibri"/>
          <w:sz w:val="22"/>
        </w:rPr>
        <w:t>in Q3, with 1.9m AMPs in September</w:t>
      </w:r>
    </w:p>
    <w:p w:rsidR="00F8358B" w:rsidRDefault="00594733">
      <w:pPr>
        <w:spacing w:after="80" w:line="288" w:lineRule="auto"/>
        <w:ind w:left="-295" w:firstLine="425"/>
        <w:rPr>
          <w:rFonts w:ascii="Calibri" w:eastAsia="Calibri" w:hAnsi="Calibri" w:cs="Calibri"/>
          <w:sz w:val="22"/>
        </w:rPr>
      </w:pPr>
      <w:r>
        <w:rPr>
          <w:rFonts w:ascii="Calibri" w:eastAsia="Calibri" w:hAnsi="Calibri" w:cs="Calibri"/>
          <w:b/>
          <w:sz w:val="22"/>
        </w:rPr>
        <w:t xml:space="preserve">Current trading and full year guidance </w:t>
      </w:r>
    </w:p>
    <w:p w:rsidR="00F8358B" w:rsidRDefault="00594733" w:rsidP="00594733">
      <w:pPr>
        <w:numPr>
          <w:ilvl w:val="0"/>
          <w:numId w:val="5"/>
        </w:numPr>
        <w:spacing w:after="120" w:line="317" w:lineRule="auto"/>
        <w:ind w:left="425"/>
        <w:jc w:val="both"/>
        <w:rPr>
          <w:rFonts w:ascii="Calibri" w:eastAsia="Calibri" w:hAnsi="Calibri" w:cs="Calibri"/>
          <w:sz w:val="22"/>
        </w:rPr>
      </w:pPr>
      <w:r>
        <w:rPr>
          <w:rFonts w:ascii="Calibri" w:eastAsia="Calibri" w:hAnsi="Calibri" w:cs="Calibri"/>
          <w:b/>
          <w:sz w:val="22"/>
        </w:rPr>
        <w:t>Group ex-US:</w:t>
      </w:r>
      <w:r>
        <w:rPr>
          <w:rFonts w:ascii="Calibri" w:eastAsia="Calibri" w:hAnsi="Calibri" w:cs="Calibri"/>
          <w:sz w:val="22"/>
        </w:rPr>
        <w:t xml:space="preserve"> Unfavourable sports results in first 24 days of October have impacted EBITDA by circa £60m. Combined with expected £10m EBITDA impact in Q4 from temporary Netherlands exit, Adjusted EBITDA expectations for 2021 now expected to be </w:t>
      </w:r>
      <w:r>
        <w:rPr>
          <w:rFonts w:ascii="Calibri" w:eastAsia="Calibri" w:hAnsi="Calibri" w:cs="Calibri"/>
          <w:b/>
          <w:sz w:val="22"/>
        </w:rPr>
        <w:t>£1.24bn - £1.28bn</w:t>
      </w:r>
      <w:r>
        <w:rPr>
          <w:rFonts w:ascii="Calibri" w:eastAsia="Calibri" w:hAnsi="Calibri" w:cs="Calibri"/>
          <w:sz w:val="22"/>
        </w:rPr>
        <w:t xml:space="preserve"> (previous guidance: £1.27bn - £1.37bn). </w:t>
      </w:r>
    </w:p>
    <w:p w:rsidR="00F8358B" w:rsidRDefault="00594733" w:rsidP="00594733">
      <w:pPr>
        <w:numPr>
          <w:ilvl w:val="0"/>
          <w:numId w:val="5"/>
        </w:numPr>
        <w:spacing w:after="120" w:line="317" w:lineRule="auto"/>
        <w:ind w:left="425"/>
        <w:jc w:val="both"/>
        <w:rPr>
          <w:rFonts w:ascii="Calibri" w:eastAsia="Calibri" w:hAnsi="Calibri" w:cs="Calibri"/>
          <w:sz w:val="22"/>
        </w:rPr>
      </w:pPr>
      <w:r>
        <w:rPr>
          <w:rFonts w:ascii="Calibri" w:eastAsia="Calibri" w:hAnsi="Calibri" w:cs="Calibri"/>
          <w:b/>
          <w:sz w:val="22"/>
        </w:rPr>
        <w:t xml:space="preserve">US: </w:t>
      </w:r>
      <w:r>
        <w:rPr>
          <w:rFonts w:ascii="Calibri" w:eastAsia="Calibri" w:hAnsi="Calibri" w:cs="Calibri"/>
          <w:sz w:val="22"/>
        </w:rPr>
        <w:t>Net revenue</w:t>
      </w:r>
      <w:r>
        <w:rPr>
          <w:rFonts w:ascii="Calibri" w:eastAsia="Calibri" w:hAnsi="Calibri" w:cs="Calibri"/>
          <w:b/>
          <w:sz w:val="22"/>
        </w:rPr>
        <w:t xml:space="preserve"> </w:t>
      </w:r>
      <w:r>
        <w:rPr>
          <w:rFonts w:ascii="Calibri" w:eastAsia="Calibri" w:hAnsi="Calibri" w:cs="Calibri"/>
          <w:sz w:val="22"/>
        </w:rPr>
        <w:t xml:space="preserve">guidance unchanged at £1.285bn - £1.425bn ($1.8bn - $2.0bn) with Adjusted EBITDA loss expected to be between </w:t>
      </w:r>
      <w:r>
        <w:rPr>
          <w:rFonts w:ascii="Calibri" w:eastAsia="Calibri" w:hAnsi="Calibri" w:cs="Calibri"/>
          <w:b/>
          <w:sz w:val="22"/>
        </w:rPr>
        <w:t>£250m and £275m</w:t>
      </w:r>
      <w:r>
        <w:rPr>
          <w:rFonts w:ascii="Calibri" w:eastAsia="Calibri" w:hAnsi="Calibri" w:cs="Calibri"/>
          <w:sz w:val="22"/>
        </w:rPr>
        <w:t xml:space="preserve"> (previous loss guidance: £225m to £275m). This includes a £15m impact from adverse sports results in October.</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Peter Jackson, Chief Executive, commented:</w:t>
      </w:r>
    </w:p>
    <w:p w:rsidR="00F8358B" w:rsidRDefault="00594733">
      <w:pPr>
        <w:spacing w:after="80" w:line="288" w:lineRule="auto"/>
        <w:jc w:val="both"/>
      </w:pPr>
      <w:r>
        <w:rPr>
          <w:rFonts w:ascii="Calibri" w:eastAsia="Calibri" w:hAnsi="Calibri" w:cs="Calibri"/>
          <w:i/>
          <w:sz w:val="22"/>
        </w:rPr>
        <w:t xml:space="preserve">“Flutter delivered a strong third quarter performance, with double-digit growth in our global player base. This resulted in the Group delivering revenue growth of 12% despite challenging comparatives including a concentration of key sporting events in the prior year. </w:t>
      </w:r>
    </w:p>
    <w:p w:rsidR="00F8358B" w:rsidRDefault="00594733">
      <w:pPr>
        <w:spacing w:after="80" w:line="288" w:lineRule="auto"/>
        <w:jc w:val="both"/>
        <w:rPr>
          <w:rFonts w:ascii="Calibri" w:eastAsia="Calibri" w:hAnsi="Calibri" w:cs="Calibri"/>
          <w:i/>
          <w:sz w:val="22"/>
        </w:rPr>
      </w:pPr>
      <w:r>
        <w:rPr>
          <w:rFonts w:ascii="Calibri" w:eastAsia="Calibri" w:hAnsi="Calibri" w:cs="Calibri"/>
          <w:i/>
          <w:sz w:val="22"/>
        </w:rPr>
        <w:t xml:space="preserve">In the US we maintained our leadership position, with the quality of our product offering leading to high levels of customer engagement. As expected, the start of the NFL season saw a step-up in competitive intensity. We remained disciplined however, leveraging the broad set of high quality marketing assets at our disposal. The customer response has been very encouraging with FanDuel now regularly experiencing staking levels on Sundays that match its 2021 SuperBowl performance. Early engagement on NBA since the recent start of season has also been strong. </w:t>
      </w:r>
    </w:p>
    <w:p w:rsidR="00F8358B" w:rsidRDefault="00594733">
      <w:pPr>
        <w:spacing w:after="80" w:line="288" w:lineRule="auto"/>
        <w:jc w:val="both"/>
        <w:rPr>
          <w:rFonts w:ascii="Calibri" w:eastAsia="Calibri" w:hAnsi="Calibri" w:cs="Calibri"/>
          <w:i/>
          <w:sz w:val="22"/>
        </w:rPr>
      </w:pPr>
      <w:r>
        <w:rPr>
          <w:rFonts w:ascii="Calibri" w:eastAsia="Calibri" w:hAnsi="Calibri" w:cs="Calibri"/>
          <w:i/>
          <w:sz w:val="22"/>
        </w:rPr>
        <w:t>Across our business we continue to lead on customer protection and we recently announced measures to enhance the protection of younger customers in the UK &amp; Ireland as part of our risk based “Triple Step” approach to affordability.</w:t>
      </w:r>
    </w:p>
    <w:p w:rsidR="00F8358B" w:rsidRDefault="00594733">
      <w:pPr>
        <w:spacing w:after="80" w:line="288" w:lineRule="auto"/>
        <w:jc w:val="both"/>
        <w:rPr>
          <w:rFonts w:ascii="Calibri" w:eastAsia="Calibri" w:hAnsi="Calibri" w:cs="Calibri"/>
          <w:i/>
          <w:sz w:val="22"/>
        </w:rPr>
      </w:pPr>
      <w:r>
        <w:rPr>
          <w:rFonts w:ascii="Calibri" w:eastAsia="Calibri" w:hAnsi="Calibri" w:cs="Calibri"/>
          <w:i/>
          <w:sz w:val="22"/>
        </w:rPr>
        <w:t>While a run of customer-friendly results in October have resulted in win margins being below expected levels in the quarter to date, the underlying strength of our business is clear; we have grown our online recreational player base by 46% in just two years</w:t>
      </w:r>
      <w:r>
        <w:rPr>
          <w:rFonts w:ascii="Calibri" w:eastAsia="Calibri" w:hAnsi="Calibri" w:cs="Calibri"/>
          <w:i/>
          <w:sz w:val="22"/>
          <w:vertAlign w:val="superscript"/>
        </w:rPr>
        <w:t>2</w:t>
      </w:r>
      <w:r>
        <w:rPr>
          <w:rFonts w:ascii="Calibri" w:eastAsia="Calibri" w:hAnsi="Calibri" w:cs="Calibri"/>
          <w:i/>
          <w:sz w:val="22"/>
        </w:rPr>
        <w:t xml:space="preserve">. With more international jurisdictions and US states on the path to regulation, we look forward to sustainably growing our global player base further in 2022.” </w:t>
      </w:r>
    </w:p>
    <w:p w:rsidR="00F8358B" w:rsidRDefault="00F8358B">
      <w:pPr>
        <w:spacing w:after="80" w:line="276" w:lineRule="auto"/>
        <w:jc w:val="both"/>
        <w:rPr>
          <w:rFonts w:ascii="Calibri" w:eastAsia="Calibri" w:hAnsi="Calibri" w:cs="Calibri"/>
          <w:i/>
          <w:sz w:val="22"/>
        </w:rPr>
      </w:pPr>
    </w:p>
    <w:p w:rsidR="00F8358B" w:rsidRDefault="00F8358B">
      <w:pPr>
        <w:spacing w:after="80" w:line="276" w:lineRule="auto"/>
        <w:jc w:val="both"/>
        <w:sectPr w:rsidR="00F8358B">
          <w:type w:val="continuous"/>
          <w:pgSz w:w="11900" w:h="16838"/>
          <w:pgMar w:top="1304" w:right="1020" w:bottom="1247" w:left="907" w:header="270" w:footer="270" w:gutter="0"/>
          <w:cols w:space="708"/>
        </w:sectPr>
      </w:pPr>
    </w:p>
    <w:p w:rsidR="00F8358B" w:rsidRDefault="00F8358B">
      <w:pPr>
        <w:spacing w:after="120" w:line="288" w:lineRule="auto"/>
        <w:rPr>
          <w:rFonts w:ascii="Calibri" w:eastAsia="Calibri" w:hAnsi="Calibri" w:cs="Calibri"/>
          <w:b/>
          <w:sz w:val="22"/>
        </w:rPr>
      </w:pPr>
      <w:bookmarkStart w:id="3" w:name="Section4"/>
      <w:bookmarkEnd w:id="3"/>
    </w:p>
    <w:p w:rsidR="00F8358B" w:rsidRDefault="00594733">
      <w:pPr>
        <w:spacing w:after="120" w:line="288" w:lineRule="auto"/>
        <w:outlineLvl w:val="0"/>
        <w:rPr>
          <w:rFonts w:ascii="Calibri" w:eastAsia="Calibri" w:hAnsi="Calibri" w:cs="Calibri"/>
          <w:b/>
          <w:sz w:val="22"/>
        </w:rPr>
      </w:pPr>
      <w:r>
        <w:rPr>
          <w:rFonts w:ascii="Calibri" w:eastAsia="Calibri" w:hAnsi="Calibri" w:cs="Calibri"/>
          <w:b/>
          <w:sz w:val="22"/>
        </w:rPr>
        <w:lastRenderedPageBreak/>
        <w:t>Divisional analysis</w:t>
      </w:r>
    </w:p>
    <w:p w:rsidR="00F8358B" w:rsidRDefault="00F8358B">
      <w:pPr>
        <w:spacing w:after="120" w:line="288" w:lineRule="auto"/>
        <w:outlineLvl w:val="0"/>
        <w:sectPr w:rsidR="00F8358B">
          <w:type w:val="continuous"/>
          <w:pgSz w:w="11900" w:h="16838"/>
          <w:pgMar w:top="1304" w:right="1020" w:bottom="1247" w:left="907" w:header="270" w:footer="270" w:gutter="0"/>
          <w:cols w:space="708"/>
        </w:sect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025"/>
        <w:gridCol w:w="1025"/>
        <w:gridCol w:w="1025"/>
        <w:gridCol w:w="1025"/>
        <w:gridCol w:w="1025"/>
        <w:gridCol w:w="122"/>
        <w:gridCol w:w="1270"/>
        <w:gridCol w:w="1270"/>
      </w:tblGrid>
      <w:tr w:rsidR="00F8358B">
        <w:trPr>
          <w:cantSplit/>
          <w:trHeight w:hRule="exact" w:val="465"/>
          <w:jc w:val="center"/>
        </w:trPr>
        <w:tc>
          <w:tcPr>
            <w:tcW w:w="2115" w:type="dxa"/>
            <w:vMerge w:val="restart"/>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69" w:lineRule="auto"/>
              <w:rPr>
                <w:rFonts w:ascii="Calibri" w:eastAsia="Calibri" w:hAnsi="Calibri" w:cs="Calibri"/>
                <w:i/>
                <w:sz w:val="18"/>
              </w:rPr>
            </w:pPr>
            <w:r>
              <w:rPr>
                <w:rFonts w:ascii="Calibri" w:eastAsia="Calibri" w:hAnsi="Calibri" w:cs="Calibri"/>
                <w:i/>
                <w:sz w:val="18"/>
              </w:rPr>
              <w:t>Unaudited revenue</w:t>
            </w:r>
          </w:p>
          <w:p w:rsidR="00F8358B" w:rsidRDefault="00594733">
            <w:pPr>
              <w:spacing w:line="276" w:lineRule="auto"/>
              <w:rPr>
                <w:rFonts w:ascii="Calibri" w:eastAsia="Calibri" w:hAnsi="Calibri" w:cs="Calibri"/>
                <w:i/>
                <w:sz w:val="18"/>
              </w:rPr>
            </w:pPr>
            <w:r>
              <w:rPr>
                <w:rFonts w:ascii="Calibri" w:eastAsia="Calibri" w:hAnsi="Calibri" w:cs="Calibri"/>
                <w:i/>
                <w:sz w:val="18"/>
              </w:rPr>
              <w:t>£m</w:t>
            </w:r>
          </w:p>
        </w:tc>
        <w:tc>
          <w:tcPr>
            <w:tcW w:w="3015" w:type="dxa"/>
            <w:gridSpan w:val="3"/>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 xml:space="preserve">Total </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 xml:space="preserve">Sports </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 xml:space="preserve">Gaming </w:t>
            </w:r>
          </w:p>
        </w:tc>
        <w:tc>
          <w:tcPr>
            <w:tcW w:w="120" w:type="dxa"/>
            <w:tcBorders>
              <w:top w:val="nil"/>
              <w:left w:val="single" w:sz="8" w:space="0" w:color="000000"/>
              <w:bottom w:val="nil"/>
              <w:right w:val="nil"/>
            </w:tcBorders>
            <w:shd w:val="clear" w:color="auto" w:fill="FFFFFF"/>
            <w:tcMar>
              <w:top w:w="0" w:type="dxa"/>
              <w:left w:w="0" w:type="dxa"/>
              <w:bottom w:w="0" w:type="dxa"/>
              <w:right w:w="0" w:type="dxa"/>
            </w:tcMar>
            <w:vAlign w:val="bottom"/>
          </w:tcPr>
          <w:p w:rsidR="00F8358B" w:rsidRDefault="00F8358B">
            <w:pPr>
              <w:keepNext/>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rsidR="00F8358B" w:rsidRDefault="00594733">
            <w:pPr>
              <w:keepNext/>
              <w:jc w:val="center"/>
              <w:outlineLvl w:val="1"/>
              <w:rPr>
                <w:rFonts w:ascii="Calibri" w:eastAsia="Calibri" w:hAnsi="Calibri" w:cs="Calibri"/>
                <w:b/>
                <w:sz w:val="22"/>
              </w:rPr>
            </w:pPr>
            <w:r>
              <w:rPr>
                <w:rFonts w:ascii="Calibri" w:eastAsia="Calibri" w:hAnsi="Calibri" w:cs="Calibri"/>
                <w:b/>
                <w:sz w:val="22"/>
              </w:rPr>
              <w:t>Average monthly players</w:t>
            </w:r>
            <w:r>
              <w:rPr>
                <w:rFonts w:ascii="Calibri" w:eastAsia="Calibri" w:hAnsi="Calibri" w:cs="Calibri"/>
                <w:b/>
                <w:sz w:val="22"/>
                <w:vertAlign w:val="superscript"/>
              </w:rPr>
              <w:t>2</w:t>
            </w:r>
          </w:p>
        </w:tc>
      </w:tr>
      <w:tr w:rsidR="00F8358B">
        <w:trPr>
          <w:cantSplit/>
          <w:trHeight w:hRule="exact" w:val="555"/>
          <w:jc w:val="center"/>
        </w:trPr>
        <w:tc>
          <w:tcPr>
            <w:tcW w:w="2115" w:type="dxa"/>
            <w:vMerge/>
            <w:tcBorders>
              <w:top w:val="nil"/>
              <w:left w:val="single" w:sz="8" w:space="0" w:color="000000"/>
              <w:bottom w:val="single" w:sz="8" w:space="0" w:color="000000"/>
              <w:right w:val="nil"/>
            </w:tcBorders>
          </w:tcPr>
          <w:p w:rsidR="00F8358B" w:rsidRDefault="00F8358B">
            <w:pPr>
              <w:keepNext/>
            </w:pP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Q3 2021</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Q3 2020</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33"/>
              <w:jc w:val="center"/>
            </w:pPr>
            <w:r>
              <w:rPr>
                <w:rFonts w:ascii="Calibri" w:eastAsia="Calibri" w:hAnsi="Calibri" w:cs="Calibri"/>
                <w:b/>
                <w:color w:val="000000"/>
                <w:sz w:val="22"/>
              </w:rPr>
              <w:t>YoY %</w:t>
            </w:r>
          </w:p>
          <w:p w:rsidR="00F8358B" w:rsidRDefault="00594733">
            <w:pPr>
              <w:spacing w:after="30"/>
              <w:jc w:val="center"/>
            </w:pPr>
            <w:r>
              <w:rPr>
                <w:rFonts w:ascii="Calibri" w:eastAsia="Calibri" w:hAnsi="Calibri" w:cs="Calibri"/>
                <w:b/>
                <w:color w:val="000000"/>
                <w:sz w:val="22"/>
              </w:rPr>
              <w:t>CC</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 xml:space="preserve">YoY % </w:t>
            </w:r>
          </w:p>
          <w:p w:rsidR="00F8358B" w:rsidRDefault="00594733">
            <w:pPr>
              <w:jc w:val="center"/>
            </w:pPr>
            <w:r>
              <w:rPr>
                <w:rFonts w:ascii="Calibri" w:eastAsia="Calibri" w:hAnsi="Calibri" w:cs="Calibri"/>
                <w:b/>
                <w:color w:val="000000"/>
                <w:sz w:val="22"/>
              </w:rPr>
              <w:t>CC</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center"/>
            </w:pPr>
            <w:r>
              <w:rPr>
                <w:rFonts w:ascii="Calibri" w:eastAsia="Calibri" w:hAnsi="Calibri" w:cs="Calibri"/>
                <w:b/>
                <w:color w:val="000000"/>
                <w:sz w:val="22"/>
              </w:rPr>
              <w:t xml:space="preserve">YoY % </w:t>
            </w:r>
          </w:p>
          <w:p w:rsidR="00F8358B" w:rsidRDefault="00594733">
            <w:pPr>
              <w:jc w:val="center"/>
            </w:pPr>
            <w:r>
              <w:rPr>
                <w:rFonts w:ascii="Calibri" w:eastAsia="Calibri" w:hAnsi="Calibri" w:cs="Calibri"/>
                <w:b/>
                <w:color w:val="000000"/>
                <w:sz w:val="22"/>
              </w:rPr>
              <w:t>CC</w:t>
            </w:r>
          </w:p>
        </w:tc>
        <w:tc>
          <w:tcPr>
            <w:tcW w:w="120"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F8358B">
            <w:pPr>
              <w:keepNext/>
              <w:spacing w:before="53" w:after="30"/>
            </w:pPr>
          </w:p>
        </w:tc>
        <w:tc>
          <w:tcPr>
            <w:tcW w:w="124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b/>
                <w:color w:val="000000"/>
                <w:sz w:val="22"/>
              </w:rPr>
              <w:t>Q3 2021 (000s)</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b/>
                <w:color w:val="000000"/>
                <w:sz w:val="22"/>
              </w:rPr>
              <w:t>YoY%</w:t>
            </w:r>
          </w:p>
        </w:tc>
      </w:tr>
      <w:tr w:rsidR="00F8358B">
        <w:trPr>
          <w:cantSplit/>
          <w:trHeight w:hRule="exact" w:val="315"/>
          <w:jc w:val="center"/>
        </w:trPr>
        <w:tc>
          <w:tcPr>
            <w:tcW w:w="211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69" w:lineRule="auto"/>
            </w:pPr>
            <w:r>
              <w:rPr>
                <w:rFonts w:ascii="Calibri" w:eastAsia="Calibri" w:hAnsi="Calibri" w:cs="Calibri"/>
                <w:color w:val="000000"/>
                <w:sz w:val="22"/>
              </w:rPr>
              <w:t>UK &amp; Ireland</w:t>
            </w:r>
          </w:p>
        </w:tc>
        <w:tc>
          <w:tcPr>
            <w:tcW w:w="100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33" w:after="30"/>
              <w:jc w:val="center"/>
            </w:pPr>
            <w:r>
              <w:rPr>
                <w:rFonts w:ascii="Calibri" w:eastAsia="Calibri" w:hAnsi="Calibri" w:cs="Calibri"/>
                <w:color w:val="000000"/>
                <w:sz w:val="22"/>
              </w:rPr>
              <w:t>491</w:t>
            </w:r>
          </w:p>
        </w:tc>
        <w:tc>
          <w:tcPr>
            <w:tcW w:w="100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33" w:after="30"/>
              <w:jc w:val="center"/>
            </w:pPr>
            <w:r>
              <w:rPr>
                <w:rFonts w:ascii="Calibri" w:eastAsia="Calibri" w:hAnsi="Calibri" w:cs="Calibri"/>
                <w:color w:val="000000"/>
                <w:sz w:val="22"/>
              </w:rPr>
              <w:t>519</w:t>
            </w:r>
          </w:p>
        </w:tc>
        <w:tc>
          <w:tcPr>
            <w:tcW w:w="100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i/>
                <w:color w:val="000000"/>
                <w:sz w:val="22"/>
              </w:rPr>
              <w:t>-5%</w:t>
            </w:r>
          </w:p>
        </w:tc>
        <w:tc>
          <w:tcPr>
            <w:tcW w:w="100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i/>
                <w:color w:val="000000"/>
                <w:sz w:val="22"/>
              </w:rPr>
              <w:t>-9%</w:t>
            </w:r>
          </w:p>
        </w:tc>
        <w:tc>
          <w:tcPr>
            <w:tcW w:w="100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i/>
                <w:color w:val="000000"/>
                <w:sz w:val="22"/>
              </w:rPr>
              <w:t>+2%</w:t>
            </w:r>
          </w:p>
        </w:tc>
        <w:tc>
          <w:tcPr>
            <w:tcW w:w="1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c>
          <w:tcPr>
            <w:tcW w:w="124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33" w:after="30"/>
              <w:jc w:val="center"/>
            </w:pPr>
            <w:r>
              <w:rPr>
                <w:rFonts w:ascii="Calibri" w:eastAsia="Calibri" w:hAnsi="Calibri" w:cs="Calibri"/>
                <w:color w:val="000000"/>
                <w:sz w:val="22"/>
              </w:rPr>
              <w:t>3,060</w:t>
            </w:r>
          </w:p>
        </w:tc>
        <w:tc>
          <w:tcPr>
            <w:tcW w:w="1245" w:type="dxa"/>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i/>
                <w:color w:val="000000"/>
                <w:sz w:val="22"/>
              </w:rPr>
              <w:t>+19%</w:t>
            </w:r>
          </w:p>
        </w:tc>
      </w:tr>
      <w:tr w:rsidR="00F8358B">
        <w:trPr>
          <w:cantSplit/>
          <w:trHeight w:hRule="exact" w:val="315"/>
          <w:jc w:val="center"/>
        </w:trPr>
        <w:tc>
          <w:tcPr>
            <w:tcW w:w="211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69" w:lineRule="auto"/>
            </w:pPr>
            <w:r>
              <w:rPr>
                <w:rFonts w:ascii="Calibri" w:eastAsia="Calibri" w:hAnsi="Calibri" w:cs="Calibri"/>
                <w:i/>
                <w:color w:val="000000"/>
                <w:sz w:val="22"/>
              </w:rPr>
              <w:t>- UK &amp; Ireland Online</w:t>
            </w:r>
          </w:p>
        </w:tc>
        <w:tc>
          <w:tcPr>
            <w:tcW w:w="1005"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i/>
                <w:color w:val="000000"/>
                <w:sz w:val="22"/>
              </w:rPr>
              <w:t>423</w:t>
            </w:r>
          </w:p>
        </w:tc>
        <w:tc>
          <w:tcPr>
            <w:tcW w:w="1005" w:type="dxa"/>
            <w:tcBorders>
              <w:top w:val="nil"/>
              <w:left w:val="single" w:sz="8" w:space="0" w:color="000000"/>
              <w:bottom w:val="nil"/>
              <w:right w:val="nil"/>
            </w:tcBorders>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i/>
                <w:color w:val="000000"/>
                <w:sz w:val="22"/>
              </w:rPr>
              <w:t>446</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b/>
                <w:i/>
                <w:color w:val="000000"/>
                <w:sz w:val="22"/>
              </w:rPr>
              <w:t>-5%</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-8%</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+2%</w:t>
            </w:r>
          </w:p>
        </w:tc>
        <w:tc>
          <w:tcPr>
            <w:tcW w:w="1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c>
          <w:tcPr>
            <w:tcW w:w="1245"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i/>
                <w:color w:val="000000"/>
                <w:sz w:val="22"/>
              </w:rPr>
              <w:t>3,060</w:t>
            </w:r>
          </w:p>
        </w:tc>
        <w:tc>
          <w:tcPr>
            <w:tcW w:w="1245" w:type="dxa"/>
            <w:tcBorders>
              <w:top w:val="nil"/>
              <w:left w:val="single" w:sz="8" w:space="0" w:color="000000"/>
              <w:bottom w:val="nil"/>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+19%</w:t>
            </w:r>
          </w:p>
        </w:tc>
      </w:tr>
      <w:tr w:rsidR="00F8358B">
        <w:trPr>
          <w:cantSplit/>
          <w:trHeight w:hRule="exact" w:val="315"/>
          <w:jc w:val="center"/>
        </w:trPr>
        <w:tc>
          <w:tcPr>
            <w:tcW w:w="211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76" w:lineRule="auto"/>
            </w:pPr>
            <w:r>
              <w:rPr>
                <w:rFonts w:ascii="Calibri" w:eastAsia="Calibri" w:hAnsi="Calibri" w:cs="Calibri"/>
                <w:i/>
                <w:color w:val="000000"/>
                <w:sz w:val="22"/>
              </w:rPr>
              <w:t>- UK &amp; Ireland Retail</w:t>
            </w:r>
          </w:p>
        </w:tc>
        <w:tc>
          <w:tcPr>
            <w:tcW w:w="1005" w:type="dxa"/>
            <w:tcBorders>
              <w:top w:val="nil"/>
              <w:left w:val="single" w:sz="8" w:space="0" w:color="000000"/>
              <w:bottom w:val="nil"/>
              <w:right w:val="nil"/>
            </w:tcBorders>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i/>
                <w:color w:val="000000"/>
                <w:sz w:val="22"/>
              </w:rPr>
              <w:t>68</w:t>
            </w:r>
          </w:p>
        </w:tc>
        <w:tc>
          <w:tcPr>
            <w:tcW w:w="1005" w:type="dxa"/>
            <w:tcBorders>
              <w:top w:val="nil"/>
              <w:left w:val="single" w:sz="8" w:space="0" w:color="000000"/>
              <w:bottom w:val="nil"/>
              <w:right w:val="nil"/>
            </w:tcBorders>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i/>
                <w:color w:val="000000"/>
                <w:sz w:val="22"/>
              </w:rPr>
              <w:t>74</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b/>
                <w:i/>
                <w:color w:val="000000"/>
                <w:sz w:val="22"/>
              </w:rPr>
              <w:t>-6%</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-11%</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+6%</w:t>
            </w:r>
          </w:p>
        </w:tc>
        <w:tc>
          <w:tcPr>
            <w:tcW w:w="120"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F8358B">
            <w:pPr>
              <w:keepNext/>
              <w:spacing w:before="53" w:after="30"/>
              <w:jc w:val="center"/>
            </w:pPr>
          </w:p>
        </w:tc>
        <w:tc>
          <w:tcPr>
            <w:tcW w:w="1245"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F8358B">
            <w:pPr>
              <w:keepNext/>
              <w:spacing w:before="53" w:after="30"/>
              <w:jc w:val="center"/>
            </w:pPr>
          </w:p>
        </w:tc>
        <w:tc>
          <w:tcPr>
            <w:tcW w:w="1245" w:type="dxa"/>
            <w:tcBorders>
              <w:top w:val="nil"/>
              <w:left w:val="single" w:sz="8" w:space="0" w:color="000000"/>
              <w:bottom w:val="nil"/>
              <w:right w:val="single" w:sz="8" w:space="0" w:color="000000"/>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r>
      <w:tr w:rsidR="00F8358B">
        <w:trPr>
          <w:cantSplit/>
          <w:trHeight w:hRule="exact" w:val="315"/>
          <w:jc w:val="center"/>
        </w:trPr>
        <w:tc>
          <w:tcPr>
            <w:tcW w:w="211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color w:val="000000"/>
                <w:sz w:val="22"/>
              </w:rPr>
              <w:t>Australia</w:t>
            </w:r>
          </w:p>
        </w:tc>
        <w:tc>
          <w:tcPr>
            <w:tcW w:w="1005"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370</w:t>
            </w:r>
          </w:p>
        </w:tc>
        <w:tc>
          <w:tcPr>
            <w:tcW w:w="1005" w:type="dxa"/>
            <w:tcBorders>
              <w:top w:val="nil"/>
              <w:left w:val="single" w:sz="8" w:space="0" w:color="000000"/>
              <w:bottom w:val="nil"/>
              <w:right w:val="nil"/>
            </w:tcBorders>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320</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b/>
                <w:i/>
                <w:color w:val="000000"/>
                <w:sz w:val="22"/>
              </w:rPr>
              <w:t>+20%</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+20%</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c>
          <w:tcPr>
            <w:tcW w:w="1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c>
          <w:tcPr>
            <w:tcW w:w="1245"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1,086</w:t>
            </w:r>
          </w:p>
        </w:tc>
        <w:tc>
          <w:tcPr>
            <w:tcW w:w="1245" w:type="dxa"/>
            <w:tcBorders>
              <w:top w:val="nil"/>
              <w:left w:val="single" w:sz="8" w:space="0" w:color="000000"/>
              <w:bottom w:val="nil"/>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+24%</w:t>
            </w:r>
          </w:p>
        </w:tc>
      </w:tr>
      <w:tr w:rsidR="00F8358B">
        <w:trPr>
          <w:cantSplit/>
          <w:trHeight w:hRule="exact" w:val="315"/>
          <w:jc w:val="center"/>
        </w:trPr>
        <w:tc>
          <w:tcPr>
            <w:tcW w:w="211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spacing w:line="276" w:lineRule="auto"/>
            </w:pPr>
            <w:r>
              <w:rPr>
                <w:rFonts w:ascii="Calibri" w:eastAsia="Calibri" w:hAnsi="Calibri" w:cs="Calibri"/>
                <w:color w:val="000000"/>
                <w:sz w:val="22"/>
              </w:rPr>
              <w:t>International</w:t>
            </w:r>
          </w:p>
        </w:tc>
        <w:tc>
          <w:tcPr>
            <w:tcW w:w="1005"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299</w:t>
            </w:r>
          </w:p>
        </w:tc>
        <w:tc>
          <w:tcPr>
            <w:tcW w:w="1005"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325</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b/>
                <w:i/>
                <w:color w:val="000000"/>
                <w:sz w:val="22"/>
              </w:rPr>
              <w:t>-3%</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+14%</w:t>
            </w:r>
          </w:p>
        </w:tc>
        <w:tc>
          <w:tcPr>
            <w:tcW w:w="1005"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-6%</w:t>
            </w:r>
          </w:p>
        </w:tc>
        <w:tc>
          <w:tcPr>
            <w:tcW w:w="1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c>
          <w:tcPr>
            <w:tcW w:w="1245" w:type="dxa"/>
            <w:tcBorders>
              <w:top w:val="nil"/>
              <w:left w:val="single" w:sz="8" w:space="0" w:color="000000"/>
              <w:bottom w:val="nil"/>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1,799</w:t>
            </w:r>
          </w:p>
        </w:tc>
        <w:tc>
          <w:tcPr>
            <w:tcW w:w="1245" w:type="dxa"/>
            <w:tcBorders>
              <w:top w:val="nil"/>
              <w:left w:val="single" w:sz="8" w:space="0" w:color="000000"/>
              <w:bottom w:val="nil"/>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-2%</w:t>
            </w:r>
          </w:p>
        </w:tc>
      </w:tr>
      <w:tr w:rsidR="00F8358B">
        <w:trPr>
          <w:cantSplit/>
          <w:trHeight w:hRule="exact" w:val="315"/>
          <w:jc w:val="center"/>
        </w:trPr>
        <w:tc>
          <w:tcPr>
            <w:tcW w:w="211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color w:val="000000"/>
                <w:sz w:val="22"/>
              </w:rPr>
              <w:t>US</w:t>
            </w:r>
          </w:p>
        </w:tc>
        <w:tc>
          <w:tcPr>
            <w:tcW w:w="100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280</w:t>
            </w:r>
          </w:p>
        </w:tc>
        <w:tc>
          <w:tcPr>
            <w:tcW w:w="100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161</w:t>
            </w:r>
          </w:p>
        </w:tc>
        <w:tc>
          <w:tcPr>
            <w:tcW w:w="100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b/>
                <w:i/>
                <w:color w:val="000000"/>
                <w:sz w:val="22"/>
              </w:rPr>
              <w:t>+85%</w:t>
            </w:r>
          </w:p>
        </w:tc>
        <w:tc>
          <w:tcPr>
            <w:tcW w:w="100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+97%</w:t>
            </w:r>
          </w:p>
        </w:tc>
        <w:tc>
          <w:tcPr>
            <w:tcW w:w="100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+65%</w:t>
            </w:r>
          </w:p>
        </w:tc>
        <w:tc>
          <w:tcPr>
            <w:tcW w:w="1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F8358B">
            <w:pPr>
              <w:keepNext/>
              <w:spacing w:before="53" w:after="30"/>
              <w:jc w:val="center"/>
            </w:pPr>
          </w:p>
        </w:tc>
        <w:tc>
          <w:tcPr>
            <w:tcW w:w="124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jc w:val="center"/>
            </w:pPr>
            <w:r>
              <w:rPr>
                <w:rFonts w:ascii="Calibri" w:eastAsia="Calibri" w:hAnsi="Calibri" w:cs="Calibri"/>
                <w:color w:val="000000"/>
                <w:sz w:val="22"/>
              </w:rPr>
              <w:t>1,312</w:t>
            </w:r>
          </w:p>
        </w:tc>
        <w:tc>
          <w:tcPr>
            <w:tcW w:w="1245" w:type="dxa"/>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53" w:after="30"/>
              <w:jc w:val="center"/>
            </w:pPr>
            <w:r>
              <w:rPr>
                <w:rFonts w:ascii="Calibri" w:eastAsia="Calibri" w:hAnsi="Calibri" w:cs="Calibri"/>
                <w:i/>
                <w:color w:val="000000"/>
                <w:sz w:val="22"/>
              </w:rPr>
              <w:t>+17%</w:t>
            </w:r>
          </w:p>
        </w:tc>
      </w:tr>
      <w:tr w:rsidR="00F8358B">
        <w:trPr>
          <w:cantSplit/>
          <w:trHeight w:hRule="exact" w:val="315"/>
          <w:jc w:val="center"/>
        </w:trPr>
        <w:tc>
          <w:tcPr>
            <w:tcW w:w="211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spacing w:line="276" w:lineRule="auto"/>
            </w:pPr>
            <w:r>
              <w:rPr>
                <w:rFonts w:ascii="Calibri" w:eastAsia="Calibri" w:hAnsi="Calibri" w:cs="Calibri"/>
                <w:b/>
                <w:color w:val="000000"/>
                <w:sz w:val="22"/>
              </w:rPr>
              <w:t>Group</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15" w:type="dxa"/>
            </w:tcMar>
            <w:vAlign w:val="bottom"/>
          </w:tcPr>
          <w:p w:rsidR="00F8358B" w:rsidRDefault="00594733">
            <w:pPr>
              <w:spacing w:before="33" w:after="30"/>
              <w:jc w:val="center"/>
            </w:pPr>
            <w:r>
              <w:rPr>
                <w:rFonts w:ascii="Calibri" w:eastAsia="Calibri" w:hAnsi="Calibri" w:cs="Calibri"/>
                <w:b/>
                <w:color w:val="000000"/>
                <w:sz w:val="22"/>
              </w:rPr>
              <w:t>1,439</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15" w:type="dxa"/>
            </w:tcMar>
            <w:vAlign w:val="bottom"/>
          </w:tcPr>
          <w:p w:rsidR="00F8358B" w:rsidRDefault="00594733">
            <w:pPr>
              <w:spacing w:before="33" w:after="30"/>
              <w:jc w:val="center"/>
            </w:pPr>
            <w:r>
              <w:rPr>
                <w:rFonts w:ascii="Calibri" w:eastAsia="Calibri" w:hAnsi="Calibri" w:cs="Calibri"/>
                <w:b/>
                <w:color w:val="000000"/>
                <w:sz w:val="22"/>
              </w:rPr>
              <w:t>1,325</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spacing w:before="33" w:after="30"/>
              <w:jc w:val="center"/>
            </w:pPr>
            <w:r>
              <w:rPr>
                <w:rFonts w:ascii="Calibri" w:eastAsia="Calibri" w:hAnsi="Calibri" w:cs="Calibri"/>
                <w:b/>
                <w:i/>
                <w:color w:val="000000"/>
                <w:sz w:val="22"/>
              </w:rPr>
              <w:t>+12%</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spacing w:before="33" w:after="30"/>
              <w:jc w:val="center"/>
            </w:pPr>
            <w:r>
              <w:rPr>
                <w:rFonts w:ascii="Calibri" w:eastAsia="Calibri" w:hAnsi="Calibri" w:cs="Calibri"/>
                <w:b/>
                <w:i/>
                <w:color w:val="000000"/>
                <w:sz w:val="22"/>
              </w:rPr>
              <w:t>+17%</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spacing w:before="33" w:after="30"/>
              <w:jc w:val="center"/>
            </w:pPr>
            <w:r>
              <w:rPr>
                <w:rFonts w:ascii="Calibri" w:eastAsia="Calibri" w:hAnsi="Calibri" w:cs="Calibri"/>
                <w:b/>
                <w:i/>
                <w:color w:val="000000"/>
                <w:sz w:val="22"/>
              </w:rPr>
              <w:t>+5%</w:t>
            </w:r>
          </w:p>
        </w:tc>
        <w:tc>
          <w:tcPr>
            <w:tcW w:w="1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rsidR="00F8358B" w:rsidRDefault="00F8358B">
            <w:pPr>
              <w:spacing w:before="53" w:after="30"/>
              <w:jc w:val="center"/>
            </w:pPr>
          </w:p>
        </w:tc>
        <w:tc>
          <w:tcPr>
            <w:tcW w:w="124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15" w:type="dxa"/>
            </w:tcMar>
            <w:vAlign w:val="bottom"/>
          </w:tcPr>
          <w:p w:rsidR="00F8358B" w:rsidRDefault="00594733">
            <w:pPr>
              <w:spacing w:before="33" w:after="30"/>
              <w:jc w:val="center"/>
            </w:pPr>
            <w:r>
              <w:rPr>
                <w:rFonts w:ascii="Calibri" w:eastAsia="Calibri" w:hAnsi="Calibri" w:cs="Calibri"/>
                <w:b/>
                <w:color w:val="000000"/>
                <w:sz w:val="22"/>
              </w:rPr>
              <w:t>7,257</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rsidR="00F8358B" w:rsidRDefault="00594733">
            <w:pPr>
              <w:spacing w:before="33" w:after="30"/>
              <w:jc w:val="center"/>
            </w:pPr>
            <w:r>
              <w:rPr>
                <w:rFonts w:ascii="Calibri" w:eastAsia="Calibri" w:hAnsi="Calibri" w:cs="Calibri"/>
                <w:b/>
                <w:i/>
                <w:color w:val="000000"/>
                <w:sz w:val="22"/>
              </w:rPr>
              <w:t>+13%</w:t>
            </w:r>
          </w:p>
        </w:tc>
      </w:tr>
    </w:tbl>
    <w:p w:rsidR="00F8358B" w:rsidRDefault="00F8358B">
      <w:pPr>
        <w:spacing w:line="288" w:lineRule="auto"/>
        <w:jc w:val="center"/>
        <w:rPr>
          <w:rFonts w:ascii="Arial" w:eastAsia="Arial" w:hAnsi="Arial" w:cs="Arial"/>
        </w:rPr>
      </w:pPr>
    </w:p>
    <w:p w:rsidR="00F8358B" w:rsidRDefault="00F8358B">
      <w:pPr>
        <w:spacing w:line="288" w:lineRule="auto"/>
        <w:jc w:val="center"/>
        <w:rPr>
          <w:rFonts w:ascii="Arial" w:eastAsia="Arial" w:hAnsi="Arial" w:cs="Arial"/>
        </w:rPr>
        <w:sectPr w:rsidR="00F8358B">
          <w:type w:val="continuous"/>
          <w:pgSz w:w="11900" w:h="16838"/>
          <w:pgMar w:top="1304" w:right="1020" w:bottom="1247" w:left="907" w:header="270" w:footer="270" w:gutter="0"/>
          <w:cols w:space="708"/>
        </w:sectPr>
      </w:pPr>
    </w:p>
    <w:p w:rsidR="00F8358B" w:rsidRDefault="00594733">
      <w:pPr>
        <w:spacing w:after="80" w:line="288" w:lineRule="auto"/>
        <w:jc w:val="both"/>
        <w:outlineLvl w:val="1"/>
        <w:rPr>
          <w:rFonts w:ascii="Calibri" w:eastAsia="Calibri" w:hAnsi="Calibri" w:cs="Calibri"/>
          <w:b/>
          <w:i/>
          <w:sz w:val="22"/>
        </w:rPr>
      </w:pPr>
      <w:bookmarkStart w:id="4" w:name="Section6"/>
      <w:bookmarkEnd w:id="4"/>
      <w:r>
        <w:rPr>
          <w:rFonts w:ascii="Calibri" w:eastAsia="Calibri" w:hAnsi="Calibri" w:cs="Calibri"/>
          <w:b/>
          <w:i/>
          <w:sz w:val="22"/>
        </w:rPr>
        <w:t>UK &amp; Ireland</w:t>
      </w:r>
    </w:p>
    <w:p w:rsidR="00F8358B" w:rsidRDefault="00594733">
      <w:pPr>
        <w:spacing w:after="80" w:line="288" w:lineRule="auto"/>
        <w:jc w:val="both"/>
        <w:rPr>
          <w:rFonts w:ascii="Calibri" w:eastAsia="Calibri" w:hAnsi="Calibri" w:cs="Calibri"/>
          <w:sz w:val="22"/>
        </w:rPr>
      </w:pPr>
      <w:r>
        <w:rPr>
          <w:rFonts w:ascii="Calibri" w:eastAsia="Calibri" w:hAnsi="Calibri" w:cs="Calibri"/>
          <w:i/>
          <w:sz w:val="22"/>
        </w:rPr>
        <w:t>Online</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We have delivered strong recreational customer growth across our UK &amp; Ireland brands with a 19% increase in AMPs. Revenue declined by 5% in Q3 with sports down 8% and gaming 2% higher. </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Sports revenue was primarily driven by a staking decline of 5% year-on-year as well as a 10 basis point reduction in net revenue margin to 9.8%. The staking decline reflected (i) the condensed nature of the Q3 2020 sporting calendar which included a large number of premium sporting fixtures (such as the conclusion of European domestic football leagues and European competitions), (ii) the easing of lockdown restrictions this year, with consumers having a wider variety of leisure activity options available to them and (iii) further enhancements to our Safer Gambling approach. The 10 basis point margin reduction year-on-year reflected less favourable sports results than in the prior year (-90 basis points), mostly offset by structural improvements in expected margin as customers increasingly engaged with higher margin “Bet Builder” products. </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Gaming revenue grew 2%, an improvement on the run-rate during Q2. AMPs were up 22% despite challenging prior year comparatives as well as increased competition for discretionary customer spend and the continuous improvements we are making to our Safer Gambling protections. </w:t>
      </w:r>
    </w:p>
    <w:p w:rsidR="00F8358B" w:rsidRDefault="00594733">
      <w:pPr>
        <w:spacing w:after="80" w:line="288" w:lineRule="auto"/>
        <w:jc w:val="both"/>
        <w:rPr>
          <w:rFonts w:ascii="Calibri" w:eastAsia="Calibri" w:hAnsi="Calibri" w:cs="Calibri"/>
          <w:i/>
          <w:sz w:val="22"/>
        </w:rPr>
      </w:pPr>
      <w:r>
        <w:rPr>
          <w:rFonts w:ascii="Calibri" w:eastAsia="Calibri" w:hAnsi="Calibri" w:cs="Calibri"/>
          <w:i/>
          <w:sz w:val="22"/>
        </w:rPr>
        <w:t>Retail</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Our retail estates across the UK and Ireland were fully open for the period with a total revenue decline of 6% year-on-year. Sports revenue declined 11% with half of this due to reduced margin while gaming was up 6%. As we continue to monitor the impact that Covid has had on our shops, it is worth noting that our Q3 UK retail revenues were 9% above Q3 2019 levels whereas revenue in Ireland was down 27%. We believe this primarily reflects the slower relaxation of Covid restrictions in Ireland. As a result, overall retail revenues were around 90% of 2019 levels.   </w:t>
      </w:r>
    </w:p>
    <w:p w:rsidR="00F8358B" w:rsidRDefault="00594733">
      <w:pPr>
        <w:spacing w:after="80" w:line="288" w:lineRule="auto"/>
        <w:jc w:val="both"/>
        <w:rPr>
          <w:rFonts w:ascii="Calibri" w:eastAsia="Calibri" w:hAnsi="Calibri" w:cs="Calibri"/>
          <w:sz w:val="22"/>
        </w:rPr>
      </w:pPr>
      <w:r>
        <w:rPr>
          <w:rFonts w:ascii="Calibri" w:eastAsia="Calibri" w:hAnsi="Calibri" w:cs="Calibri"/>
          <w:b/>
          <w:i/>
          <w:sz w:val="22"/>
        </w:rPr>
        <w:t>Australia</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Sportsbet’s excellent momentum continued in Q3 with revenue up 20% as strong customer retention resulted in AMP growth of 24% to 1.1m. Travel restrictions applied to over 60% of the Australian population during the period, resulting in Sportsbet capturing additional discretionary leisure spend. Sportsbook stakes were 15% higher year-on-year. Sportsbook net revenue margin increased by 40 basis points to 11.1%, which reflected favourable sports results against both our expectations and year-on-year. The improvement in expected margin during the quarter was offset by increased generosity investment.</w:t>
      </w:r>
    </w:p>
    <w:p w:rsidR="00F8358B" w:rsidRDefault="00594733">
      <w:pPr>
        <w:spacing w:after="80" w:line="257" w:lineRule="auto"/>
        <w:jc w:val="both"/>
        <w:rPr>
          <w:rFonts w:ascii="Calibri" w:eastAsia="Calibri" w:hAnsi="Calibri" w:cs="Calibri"/>
          <w:b/>
          <w:i/>
          <w:sz w:val="22"/>
        </w:rPr>
      </w:pPr>
      <w:r>
        <w:rPr>
          <w:rFonts w:ascii="Calibri" w:eastAsia="Calibri" w:hAnsi="Calibri" w:cs="Calibri"/>
          <w:b/>
          <w:i/>
          <w:sz w:val="22"/>
        </w:rPr>
        <w:t>International</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Revenue in our International division was 3% lower year-on-year, with gaming down 6% and sports up 14%. Performance reflected three key factors:</w:t>
      </w:r>
    </w:p>
    <w:p w:rsidR="00F8358B" w:rsidRDefault="00594733" w:rsidP="00594733">
      <w:pPr>
        <w:numPr>
          <w:ilvl w:val="0"/>
          <w:numId w:val="6"/>
        </w:numPr>
        <w:spacing w:after="80" w:line="288" w:lineRule="auto"/>
        <w:ind w:left="425"/>
        <w:jc w:val="both"/>
        <w:rPr>
          <w:rFonts w:ascii="Calibri" w:eastAsia="Calibri" w:hAnsi="Calibri" w:cs="Calibri"/>
          <w:sz w:val="22"/>
        </w:rPr>
      </w:pPr>
      <w:r>
        <w:rPr>
          <w:rFonts w:ascii="Calibri" w:eastAsia="Calibri" w:hAnsi="Calibri" w:cs="Calibri"/>
          <w:sz w:val="22"/>
        </w:rPr>
        <w:t xml:space="preserve">The regulatory impact of German product and tax changes. Excluding Germany, revenue grew 6%, with casino +21%, poker -16% and sports +25%. </w:t>
      </w:r>
    </w:p>
    <w:p w:rsidR="00F8358B" w:rsidRDefault="00594733" w:rsidP="00594733">
      <w:pPr>
        <w:numPr>
          <w:ilvl w:val="0"/>
          <w:numId w:val="6"/>
        </w:numPr>
        <w:spacing w:after="80" w:line="288" w:lineRule="auto"/>
        <w:ind w:left="425"/>
        <w:jc w:val="both"/>
        <w:rPr>
          <w:rFonts w:ascii="Calibri" w:eastAsia="Calibri" w:hAnsi="Calibri" w:cs="Calibri"/>
          <w:sz w:val="22"/>
        </w:rPr>
      </w:pPr>
      <w:r>
        <w:rPr>
          <w:rFonts w:ascii="Calibri" w:eastAsia="Calibri" w:hAnsi="Calibri" w:cs="Calibri"/>
          <w:sz w:val="22"/>
        </w:rPr>
        <w:t xml:space="preserve">The addition of Junglee which added 5 percentage points of growth year-on-year. </w:t>
      </w:r>
    </w:p>
    <w:p w:rsidR="00F8358B" w:rsidRDefault="00594733" w:rsidP="00594733">
      <w:pPr>
        <w:numPr>
          <w:ilvl w:val="0"/>
          <w:numId w:val="6"/>
        </w:numPr>
        <w:spacing w:after="80" w:line="288" w:lineRule="auto"/>
        <w:ind w:left="425"/>
        <w:jc w:val="both"/>
        <w:rPr>
          <w:rFonts w:ascii="Calibri" w:eastAsia="Calibri" w:hAnsi="Calibri" w:cs="Calibri"/>
          <w:sz w:val="22"/>
        </w:rPr>
      </w:pPr>
      <w:r>
        <w:rPr>
          <w:rFonts w:ascii="Calibri" w:eastAsia="Calibri" w:hAnsi="Calibri" w:cs="Calibri"/>
          <w:sz w:val="22"/>
        </w:rPr>
        <w:lastRenderedPageBreak/>
        <w:t xml:space="preserve">The easing of Covid related social restrictions across our main markets, leading to a reduction in player engagement versus prior year, particularly for poker. </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We continue to invest to improve the PokerStars customer proposition with enhanced generosity and we recently rolled out our new reward scheme to all customers. We are also continuing to make good progress in driving direct casino acquisition. Sports growth was driven by good performance across our sportsbooks. </w:t>
      </w:r>
    </w:p>
    <w:p w:rsidR="00F8358B" w:rsidRDefault="00594733">
      <w:pPr>
        <w:spacing w:after="80" w:line="288" w:lineRule="auto"/>
        <w:jc w:val="both"/>
        <w:rPr>
          <w:rFonts w:ascii="Calibri" w:eastAsia="Calibri" w:hAnsi="Calibri" w:cs="Calibri"/>
          <w:sz w:val="22"/>
        </w:rPr>
      </w:pPr>
      <w:r>
        <w:rPr>
          <w:rFonts w:ascii="Calibri" w:eastAsia="Calibri" w:hAnsi="Calibri" w:cs="Calibri"/>
          <w:b/>
          <w:i/>
          <w:sz w:val="22"/>
        </w:rPr>
        <w:t>US</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Our US business continued to lead the market in Q3 with a 42% share of online sports betting and an 18% share of online gaming</w:t>
      </w:r>
      <w:r>
        <w:rPr>
          <w:rFonts w:ascii="Calibri" w:eastAsia="Calibri" w:hAnsi="Calibri" w:cs="Calibri"/>
          <w:sz w:val="22"/>
          <w:vertAlign w:val="superscript"/>
        </w:rPr>
        <w:t>3</w:t>
      </w:r>
      <w:r>
        <w:rPr>
          <w:rFonts w:ascii="Calibri" w:eastAsia="Calibri" w:hAnsi="Calibri" w:cs="Calibri"/>
          <w:sz w:val="22"/>
        </w:rPr>
        <w:t>. Revenue grew by 85% to £280m ($386m) with FanDuel accounting for 94% of the total.</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In Q3, our sportsbook and casino player numbers doubled year-on-year. Tougher Q3 comparatives for daily fantasy sports (166 NBA games in 2020 versus just 9 in 2021) and TVG (Kentucky Derby in September 2020 versus May 2021) impacted player volumes for both. As a result, overall AMPs increased by 17% to 1.3m in Q3, with 1.9m players active in September at the start of the NFL season. </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Sports revenue increased by 97% to £184m ($254m), including sportsbook growth of 422%. </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Sportsbook stakes grew 80% in the quarter with volumes on NFL Sundays now consistently reaching levels generated during the 2021 Super Bowl. These high volumes have been handled comfortably on the Group’s Global Betting Platform following FanDuel’s full migration on to that platform. Sportsbook net revenue margin increased by 410 basis points year-on-year to 6.2% reflecting (i) the significant investment we made during Q3 2020 following the return of sports, (ii) favourable sports results in 2021 and (iii) our beneficial product mix. We continued our significant investment in customer acquisition and retention during the quarter, including leveraging our official sports betting partnership with the NFL. FanDuel sportsbook is now live online in 12 states with 2 recent launches in Arizona (Sep) and Connecticut (Oct). Revenue from our other sports businesses (TVG and DFS) declined by 22% reflecting the tough calendar comparatives referenced above. </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Gaming revenue increased by 65% to £95m ($132m) with our gaming products now available in 5 states following our Connecticut launch in October. Our new gaming promotions platform is now live, providing greater flexibility to reward multi-product players and improving the user experience on casino.</w:t>
      </w:r>
    </w:p>
    <w:p w:rsidR="00F8358B" w:rsidRDefault="00594733">
      <w:pPr>
        <w:spacing w:after="80" w:line="288" w:lineRule="auto"/>
        <w:jc w:val="both"/>
        <w:rPr>
          <w:rFonts w:ascii="Calibri" w:eastAsia="Calibri" w:hAnsi="Calibri" w:cs="Calibri"/>
          <w:b/>
          <w:i/>
          <w:sz w:val="22"/>
        </w:rPr>
      </w:pPr>
      <w:r>
        <w:rPr>
          <w:rFonts w:ascii="Calibri" w:eastAsia="Calibri" w:hAnsi="Calibri" w:cs="Calibri"/>
          <w:b/>
          <w:i/>
          <w:sz w:val="22"/>
        </w:rPr>
        <w:t xml:space="preserve">Outlook and guidance </w:t>
      </w:r>
    </w:p>
    <w:p w:rsidR="00F8358B" w:rsidRDefault="00594733" w:rsidP="00594733">
      <w:pPr>
        <w:numPr>
          <w:ilvl w:val="0"/>
          <w:numId w:val="7"/>
        </w:numPr>
        <w:spacing w:after="120" w:line="317" w:lineRule="auto"/>
        <w:ind w:left="425"/>
        <w:jc w:val="both"/>
        <w:rPr>
          <w:rFonts w:ascii="Calibri" w:eastAsia="Calibri" w:hAnsi="Calibri" w:cs="Calibri"/>
          <w:sz w:val="22"/>
        </w:rPr>
      </w:pPr>
      <w:r>
        <w:rPr>
          <w:rFonts w:ascii="Calibri" w:eastAsia="Calibri" w:hAnsi="Calibri" w:cs="Calibri"/>
          <w:b/>
          <w:sz w:val="22"/>
        </w:rPr>
        <w:t xml:space="preserve">Netherlands update: </w:t>
      </w:r>
      <w:r>
        <w:rPr>
          <w:rFonts w:ascii="Calibri" w:eastAsia="Calibri" w:hAnsi="Calibri" w:cs="Calibri"/>
          <w:sz w:val="22"/>
        </w:rPr>
        <w:t xml:space="preserve">Following the recent announcement from the Netherlands Gambling Authority, we suspended our Dutch operations on 1 October. We estimate that this temporary closure will cost the Group £10m in EBITDA in 2021 and approximately £40m in 2022. This assumes we recommence trading in Q3 2022 and that our Dutch operations break even in H2 next year as we invest to re-engage customers. </w:t>
      </w:r>
    </w:p>
    <w:p w:rsidR="00F8358B" w:rsidRDefault="00594733" w:rsidP="00594733">
      <w:pPr>
        <w:numPr>
          <w:ilvl w:val="0"/>
          <w:numId w:val="7"/>
        </w:numPr>
        <w:spacing w:after="120" w:line="317" w:lineRule="auto"/>
        <w:ind w:left="425"/>
        <w:jc w:val="both"/>
        <w:rPr>
          <w:rFonts w:ascii="Calibri" w:eastAsia="Calibri" w:hAnsi="Calibri" w:cs="Calibri"/>
          <w:sz w:val="22"/>
        </w:rPr>
      </w:pPr>
      <w:r>
        <w:rPr>
          <w:rFonts w:ascii="Calibri" w:eastAsia="Calibri" w:hAnsi="Calibri" w:cs="Calibri"/>
          <w:b/>
          <w:sz w:val="22"/>
        </w:rPr>
        <w:t>Group ex-US:</w:t>
      </w:r>
      <w:r>
        <w:rPr>
          <w:rFonts w:ascii="Calibri" w:eastAsia="Calibri" w:hAnsi="Calibri" w:cs="Calibri"/>
          <w:sz w:val="22"/>
        </w:rPr>
        <w:t xml:space="preserve"> Unfavourable sports results in the first 24 days of October have impacted EBITDA by around £60m. Combined with the expected £10m EBITDA impact from the Netherlands, we are revising our Adjusted EBITDA expectations for 2021 to £1.24bn - £1.28bn (previous guidance: £1.27bn - £1.37bn). </w:t>
      </w:r>
    </w:p>
    <w:p w:rsidR="00F8358B" w:rsidRDefault="00594733" w:rsidP="00594733">
      <w:pPr>
        <w:numPr>
          <w:ilvl w:val="0"/>
          <w:numId w:val="7"/>
        </w:numPr>
        <w:spacing w:after="120" w:line="317" w:lineRule="auto"/>
        <w:ind w:left="425"/>
        <w:jc w:val="both"/>
        <w:rPr>
          <w:rFonts w:ascii="Calibri" w:eastAsia="Calibri" w:hAnsi="Calibri" w:cs="Calibri"/>
          <w:sz w:val="22"/>
        </w:rPr>
      </w:pPr>
      <w:r>
        <w:rPr>
          <w:rFonts w:ascii="Calibri" w:eastAsia="Calibri" w:hAnsi="Calibri" w:cs="Calibri"/>
          <w:b/>
          <w:sz w:val="22"/>
        </w:rPr>
        <w:t xml:space="preserve">US: </w:t>
      </w:r>
      <w:r>
        <w:rPr>
          <w:rFonts w:ascii="Calibri" w:eastAsia="Calibri" w:hAnsi="Calibri" w:cs="Calibri"/>
          <w:sz w:val="22"/>
        </w:rPr>
        <w:t>Net revenue</w:t>
      </w:r>
      <w:r>
        <w:rPr>
          <w:rFonts w:ascii="Calibri" w:eastAsia="Calibri" w:hAnsi="Calibri" w:cs="Calibri"/>
          <w:b/>
          <w:sz w:val="22"/>
        </w:rPr>
        <w:t xml:space="preserve"> </w:t>
      </w:r>
      <w:r>
        <w:rPr>
          <w:rFonts w:ascii="Calibri" w:eastAsia="Calibri" w:hAnsi="Calibri" w:cs="Calibri"/>
          <w:sz w:val="22"/>
        </w:rPr>
        <w:t xml:space="preserve">guidance remains unchanged at £1.285bn - £1.425bn ($1.8bn - $2.0bn) with an Adjusted EBITDA loss now expected to be £250m - £275m (previous guidance: £225m - £275m). This revised EBITDA range includes a £15m impact from adverse sports results in October.   </w:t>
      </w:r>
    </w:p>
    <w:p w:rsidR="00F8358B" w:rsidRDefault="00F8358B">
      <w:pPr>
        <w:spacing w:after="80" w:line="288" w:lineRule="auto"/>
        <w:ind w:left="-295"/>
        <w:rPr>
          <w:rFonts w:ascii="Calibri" w:eastAsia="Calibri" w:hAnsi="Calibri" w:cs="Calibri"/>
          <w:sz w:val="22"/>
        </w:rPr>
      </w:pPr>
    </w:p>
    <w:p w:rsidR="00F8358B" w:rsidRDefault="00594733">
      <w:pPr>
        <w:pageBreakBefore/>
        <w:spacing w:after="120" w:line="288" w:lineRule="auto"/>
        <w:rPr>
          <w:rFonts w:ascii="Calibri" w:eastAsia="Calibri" w:hAnsi="Calibri" w:cs="Calibri"/>
          <w:sz w:val="22"/>
        </w:rPr>
      </w:pPr>
      <w:r>
        <w:rPr>
          <w:rFonts w:ascii="Calibri" w:eastAsia="Calibri" w:hAnsi="Calibri" w:cs="Calibri"/>
          <w:i/>
          <w:sz w:val="18"/>
          <w:vertAlign w:val="superscript"/>
        </w:rPr>
        <w:t xml:space="preserve">1 </w:t>
      </w:r>
      <w:r>
        <w:rPr>
          <w:rFonts w:ascii="Calibri" w:eastAsia="Calibri" w:hAnsi="Calibri" w:cs="Calibri"/>
          <w:i/>
          <w:sz w:val="18"/>
        </w:rPr>
        <w:t>Constant currency (“cc”) growth is calculated by retranslating the non-sterling denominated component of Q3 2020 at Q3 2021 exchange rates. Growth rates in the commentary are in local or constant currency.</w:t>
      </w:r>
    </w:p>
    <w:p w:rsidR="00F8358B" w:rsidRDefault="00594733">
      <w:pPr>
        <w:spacing w:after="80" w:line="288" w:lineRule="auto"/>
        <w:jc w:val="both"/>
        <w:rPr>
          <w:rFonts w:ascii="Arial" w:eastAsia="Arial" w:hAnsi="Arial" w:cs="Arial"/>
        </w:rPr>
      </w:pPr>
      <w:r>
        <w:rPr>
          <w:rFonts w:ascii="Calibri" w:eastAsia="Calibri" w:hAnsi="Calibri" w:cs="Calibri"/>
          <w:i/>
          <w:sz w:val="18"/>
          <w:vertAlign w:val="superscript"/>
        </w:rPr>
        <w:t xml:space="preserve">2 </w:t>
      </w:r>
      <w:r>
        <w:rPr>
          <w:rFonts w:ascii="Calibri" w:eastAsia="Calibri" w:hAnsi="Calibri" w:cs="Calibri"/>
          <w:i/>
          <w:sz w:val="18"/>
        </w:rPr>
        <w:t>Average Monthly Players represent the average number of players who have placed and/or wagered a stake and/or contributed to rake or tournament fees during the month in the reporting period. The AMP numbers do not include Junglee players in 2020 or 2021 to allow for better comparability of underlying player growth for International and Group. Two year AMP growth refers to Q3 2021 compared with Q3 2019.</w:t>
      </w:r>
    </w:p>
    <w:p w:rsidR="00F8358B" w:rsidRDefault="00594733">
      <w:pPr>
        <w:spacing w:after="80" w:line="288" w:lineRule="auto"/>
        <w:jc w:val="both"/>
        <w:rPr>
          <w:rFonts w:ascii="Calibri" w:eastAsia="Calibri" w:hAnsi="Calibri" w:cs="Calibri"/>
          <w:i/>
          <w:sz w:val="18"/>
          <w:vertAlign w:val="superscript"/>
        </w:rPr>
      </w:pPr>
      <w:r>
        <w:rPr>
          <w:rFonts w:ascii="Calibri" w:eastAsia="Calibri" w:hAnsi="Calibri" w:cs="Calibri"/>
          <w:i/>
          <w:sz w:val="18"/>
          <w:vertAlign w:val="superscript"/>
        </w:rPr>
        <w:t xml:space="preserve">3 </w:t>
      </w:r>
      <w:r>
        <w:rPr>
          <w:rFonts w:ascii="Calibri" w:eastAsia="Calibri" w:hAnsi="Calibri" w:cs="Calibri"/>
          <w:i/>
          <w:sz w:val="18"/>
        </w:rPr>
        <w:t>Online sportsbook market share is the GGR market share of FanDuel and FOX Bet for Q3 in the states in which FanDuel was live based on published gaming regulator reports in those states. Market share calculations do not include September data for Arizona, Colorado, Illinois, Tennessee and Virginia as the data has yet to be released. During Q3 FanDuel was live in 11 states; Arizona (AZ), Colorado (CO), Illinois (IL), Indiana (IN), Iowa (IA), Michigan (MI), New Jersey (NJ), Pennsylvania (PA), Tennessee (TN), Virginia (VA) and West Virginia (WV). During Q3 FOX Bet was live in 4 states; CO, NJ, MI and PA. Online gaming market share reflects combined MI, NJ, PA and WV market share of our gaming brands.</w:t>
      </w: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6"/>
        <w:gridCol w:w="4483"/>
      </w:tblGrid>
      <w:tr w:rsidR="00F8358B">
        <w:trPr>
          <w:cantSplit/>
          <w:trHeight w:hRule="exact" w:val="1305"/>
        </w:trPr>
        <w:tc>
          <w:tcPr>
            <w:tcW w:w="9960" w:type="dxa"/>
            <w:gridSpan w:val="2"/>
            <w:tcBorders>
              <w:top w:val="single" w:sz="8" w:space="0" w:color="000000"/>
              <w:left w:val="single" w:sz="8" w:space="0" w:color="000000"/>
              <w:bottom w:val="nil"/>
              <w:right w:val="single" w:sz="8" w:space="0" w:color="000000"/>
            </w:tcBorders>
            <w:tcMar>
              <w:top w:w="0" w:type="dxa"/>
              <w:left w:w="53" w:type="dxa"/>
              <w:bottom w:w="0" w:type="dxa"/>
              <w:right w:w="53" w:type="dxa"/>
            </w:tcMar>
            <w:vAlign w:val="bottom"/>
          </w:tcPr>
          <w:p w:rsidR="00F8358B" w:rsidRDefault="00594733">
            <w:pPr>
              <w:keepNext/>
              <w:spacing w:before="33" w:line="288" w:lineRule="auto"/>
              <w:jc w:val="both"/>
              <w:rPr>
                <w:rFonts w:ascii="Calibri" w:eastAsia="Calibri" w:hAnsi="Calibri" w:cs="Calibri"/>
                <w:sz w:val="20"/>
              </w:rPr>
            </w:pPr>
            <w:r>
              <w:rPr>
                <w:rFonts w:ascii="Calibri" w:eastAsia="Calibri" w:hAnsi="Calibri" w:cs="Calibri"/>
                <w:b/>
                <w:sz w:val="20"/>
              </w:rPr>
              <w:t>Analyst briefing:</w:t>
            </w:r>
            <w:r>
              <w:rPr>
                <w:rFonts w:ascii="Calibri" w:eastAsia="Calibri" w:hAnsi="Calibri" w:cs="Calibri"/>
                <w:sz w:val="20"/>
              </w:rPr>
              <w:t> </w:t>
            </w:r>
          </w:p>
          <w:p w:rsidR="00F8358B" w:rsidRDefault="00594733">
            <w:pPr>
              <w:spacing w:after="30" w:line="288" w:lineRule="auto"/>
              <w:jc w:val="both"/>
              <w:rPr>
                <w:rFonts w:ascii="Calibri" w:eastAsia="Calibri" w:hAnsi="Calibri" w:cs="Calibri"/>
                <w:sz w:val="20"/>
              </w:rPr>
            </w:pPr>
            <w:r>
              <w:rPr>
                <w:rFonts w:ascii="Calibri" w:eastAsia="Calibri" w:hAnsi="Calibri" w:cs="Calibri"/>
                <w:sz w:val="20"/>
              </w:rPr>
              <w:t>Th</w:t>
            </w:r>
            <w:r>
              <w:rPr>
                <w:rFonts w:ascii="Calibri" w:eastAsia="Calibri" w:hAnsi="Calibri" w:cs="Calibri"/>
                <w:sz w:val="20"/>
                <w:shd w:val="clear" w:color="auto" w:fill="FFFFFF"/>
              </w:rPr>
              <w:t xml:space="preserve">e Group will host a questions and answers call for institutional investors and analysts this morning at 9:00am (GMT). To dial into the conference call, participants need to register </w:t>
            </w:r>
            <w:hyperlink r:id="rId10" w:history="1">
              <w:r>
                <w:rPr>
                  <w:rFonts w:ascii="Calibri" w:eastAsia="Calibri" w:hAnsi="Calibri" w:cs="Calibri"/>
                  <w:color w:val="0000FF"/>
                  <w:sz w:val="20"/>
                  <w:u w:val="single"/>
                  <w:shd w:val="clear" w:color="auto" w:fill="FFFFFF"/>
                </w:rPr>
                <w:t>here</w:t>
              </w:r>
            </w:hyperlink>
            <w:r>
              <w:rPr>
                <w:rFonts w:ascii="Calibri" w:eastAsia="Calibri" w:hAnsi="Calibri" w:cs="Calibri"/>
                <w:sz w:val="20"/>
                <w:shd w:val="clear" w:color="auto" w:fill="FFFFFF"/>
              </w:rPr>
              <w:t xml:space="preserve"> where they will be provided with the dial in details to access the call. </w:t>
            </w:r>
          </w:p>
        </w:tc>
      </w:tr>
      <w:tr w:rsidR="00F8358B">
        <w:trPr>
          <w:cantSplit/>
          <w:trHeight w:hRule="exact" w:val="120"/>
        </w:trPr>
        <w:tc>
          <w:tcPr>
            <w:tcW w:w="556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4395" w:type="dxa"/>
            <w:tcBorders>
              <w:top w:val="nil"/>
              <w:left w:val="nil"/>
              <w:bottom w:val="nil"/>
              <w:right w:val="single" w:sz="8" w:space="0" w:color="000000"/>
            </w:tcBorders>
            <w:tcMar>
              <w:top w:w="0" w:type="dxa"/>
              <w:left w:w="0" w:type="dxa"/>
              <w:bottom w:w="0" w:type="dxa"/>
              <w:right w:w="0" w:type="dxa"/>
            </w:tcMar>
            <w:vAlign w:val="bottom"/>
          </w:tcPr>
          <w:p w:rsidR="00F8358B" w:rsidRDefault="00F8358B">
            <w:pPr>
              <w:keepNext/>
            </w:pPr>
          </w:p>
        </w:tc>
      </w:tr>
      <w:tr w:rsidR="00F8358B">
        <w:trPr>
          <w:cantSplit/>
          <w:trHeight w:hRule="exact" w:val="315"/>
        </w:trPr>
        <w:tc>
          <w:tcPr>
            <w:tcW w:w="5565" w:type="dxa"/>
            <w:tcBorders>
              <w:top w:val="nil"/>
              <w:left w:val="single" w:sz="8" w:space="0" w:color="000000"/>
              <w:bottom w:val="nil"/>
              <w:right w:val="nil"/>
            </w:tcBorders>
            <w:tcMar>
              <w:top w:w="0" w:type="dxa"/>
              <w:left w:w="53" w:type="dxa"/>
              <w:bottom w:w="0" w:type="dxa"/>
              <w:right w:w="53" w:type="dxa"/>
            </w:tcMar>
            <w:vAlign w:val="bottom"/>
          </w:tcPr>
          <w:p w:rsidR="00F8358B" w:rsidRDefault="00594733">
            <w:pPr>
              <w:keepNext/>
              <w:spacing w:before="53" w:after="30"/>
            </w:pPr>
            <w:r>
              <w:rPr>
                <w:rFonts w:ascii="Calibri" w:eastAsia="Calibri" w:hAnsi="Calibri" w:cs="Calibri"/>
                <w:b/>
                <w:color w:val="000000"/>
                <w:sz w:val="20"/>
              </w:rPr>
              <w:t>Contacts:</w:t>
            </w:r>
          </w:p>
        </w:tc>
        <w:tc>
          <w:tcPr>
            <w:tcW w:w="4395" w:type="dxa"/>
            <w:tcBorders>
              <w:top w:val="nil"/>
              <w:left w:val="nil"/>
              <w:bottom w:val="nil"/>
              <w:right w:val="single" w:sz="8" w:space="0" w:color="000000"/>
            </w:tcBorders>
            <w:tcMar>
              <w:top w:w="0" w:type="dxa"/>
              <w:left w:w="0" w:type="dxa"/>
              <w:bottom w:w="0" w:type="dxa"/>
              <w:right w:w="0" w:type="dxa"/>
            </w:tcMar>
            <w:vAlign w:val="bottom"/>
          </w:tcPr>
          <w:p w:rsidR="00F8358B" w:rsidRDefault="00F8358B">
            <w:pPr>
              <w:keepNext/>
            </w:pPr>
          </w:p>
        </w:tc>
      </w:tr>
      <w:tr w:rsidR="00F8358B">
        <w:trPr>
          <w:cantSplit/>
          <w:trHeight w:hRule="exact" w:val="105"/>
        </w:trPr>
        <w:tc>
          <w:tcPr>
            <w:tcW w:w="556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4395" w:type="dxa"/>
            <w:tcBorders>
              <w:top w:val="nil"/>
              <w:left w:val="nil"/>
              <w:bottom w:val="nil"/>
              <w:right w:val="single" w:sz="8" w:space="0" w:color="000000"/>
            </w:tcBorders>
            <w:tcMar>
              <w:top w:w="0" w:type="dxa"/>
              <w:left w:w="0" w:type="dxa"/>
              <w:bottom w:w="0" w:type="dxa"/>
              <w:right w:w="0" w:type="dxa"/>
            </w:tcMar>
            <w:vAlign w:val="bottom"/>
          </w:tcPr>
          <w:p w:rsidR="00F8358B" w:rsidRDefault="00F8358B">
            <w:pPr>
              <w:keepNext/>
            </w:pPr>
          </w:p>
        </w:tc>
      </w:tr>
      <w:tr w:rsidR="00F8358B">
        <w:trPr>
          <w:cantSplit/>
          <w:trHeight w:hRule="exact" w:val="300"/>
        </w:trPr>
        <w:tc>
          <w:tcPr>
            <w:tcW w:w="5565" w:type="dxa"/>
            <w:tcBorders>
              <w:top w:val="nil"/>
              <w:left w:val="single" w:sz="8" w:space="0" w:color="000000"/>
              <w:bottom w:val="nil"/>
              <w:right w:val="nil"/>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i/>
                <w:color w:val="000000"/>
                <w:sz w:val="20"/>
              </w:rPr>
              <w:t>Investor Relations:</w:t>
            </w:r>
          </w:p>
        </w:tc>
        <w:tc>
          <w:tcPr>
            <w:tcW w:w="4395" w:type="dxa"/>
            <w:tcBorders>
              <w:top w:val="nil"/>
              <w:left w:val="nil"/>
              <w:bottom w:val="nil"/>
              <w:right w:val="single" w:sz="8" w:space="0" w:color="000000"/>
            </w:tcBorders>
            <w:tcMar>
              <w:top w:w="0" w:type="dxa"/>
              <w:left w:w="0" w:type="dxa"/>
              <w:bottom w:w="0" w:type="dxa"/>
              <w:right w:w="0" w:type="dxa"/>
            </w:tcMar>
            <w:vAlign w:val="bottom"/>
          </w:tcPr>
          <w:p w:rsidR="00F8358B" w:rsidRDefault="00F8358B">
            <w:pPr>
              <w:keepNext/>
            </w:pPr>
          </w:p>
        </w:tc>
      </w:tr>
      <w:tr w:rsidR="00F8358B">
        <w:trPr>
          <w:cantSplit/>
          <w:trHeight w:hRule="exact" w:val="285"/>
        </w:trPr>
        <w:tc>
          <w:tcPr>
            <w:tcW w:w="5565" w:type="dxa"/>
            <w:tcBorders>
              <w:top w:val="nil"/>
              <w:left w:val="single" w:sz="8" w:space="0" w:color="000000"/>
              <w:bottom w:val="nil"/>
              <w:right w:val="nil"/>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David Jennings, Group Director of Investor Relations &amp; FP&amp;A</w:t>
            </w:r>
          </w:p>
        </w:tc>
        <w:tc>
          <w:tcPr>
            <w:tcW w:w="4395" w:type="dxa"/>
            <w:tcBorders>
              <w:top w:val="nil"/>
              <w:left w:val="nil"/>
              <w:bottom w:val="nil"/>
              <w:right w:val="single" w:sz="8" w:space="0" w:color="000000"/>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+ 353 87 951 3560</w:t>
            </w:r>
          </w:p>
        </w:tc>
      </w:tr>
      <w:tr w:rsidR="00F8358B">
        <w:trPr>
          <w:cantSplit/>
          <w:trHeight w:hRule="exact" w:val="300"/>
        </w:trPr>
        <w:tc>
          <w:tcPr>
            <w:tcW w:w="5565" w:type="dxa"/>
            <w:tcBorders>
              <w:top w:val="nil"/>
              <w:left w:val="single" w:sz="8" w:space="0" w:color="000000"/>
              <w:bottom w:val="nil"/>
              <w:right w:val="nil"/>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Ciara O’Mullane, Investor Relations</w:t>
            </w:r>
          </w:p>
        </w:tc>
        <w:tc>
          <w:tcPr>
            <w:tcW w:w="4395" w:type="dxa"/>
            <w:tcBorders>
              <w:top w:val="nil"/>
              <w:left w:val="nil"/>
              <w:bottom w:val="nil"/>
              <w:right w:val="single" w:sz="8" w:space="0" w:color="000000"/>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+ 353 87 947 7862</w:t>
            </w:r>
          </w:p>
        </w:tc>
      </w:tr>
      <w:tr w:rsidR="00F8358B">
        <w:trPr>
          <w:cantSplit/>
          <w:trHeight w:hRule="exact" w:val="300"/>
        </w:trPr>
        <w:tc>
          <w:tcPr>
            <w:tcW w:w="5565" w:type="dxa"/>
            <w:tcBorders>
              <w:top w:val="nil"/>
              <w:left w:val="single" w:sz="8" w:space="0" w:color="000000"/>
              <w:bottom w:val="nil"/>
              <w:right w:val="nil"/>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Liam Kealy, Investor Relations</w:t>
            </w:r>
          </w:p>
        </w:tc>
        <w:tc>
          <w:tcPr>
            <w:tcW w:w="4395" w:type="dxa"/>
            <w:tcBorders>
              <w:top w:val="nil"/>
              <w:left w:val="nil"/>
              <w:bottom w:val="nil"/>
              <w:right w:val="single" w:sz="8" w:space="0" w:color="000000"/>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+ 353 87 665 2014</w:t>
            </w:r>
          </w:p>
        </w:tc>
      </w:tr>
      <w:tr w:rsidR="00F8358B">
        <w:trPr>
          <w:cantSplit/>
          <w:trHeight w:hRule="exact" w:val="300"/>
        </w:trPr>
        <w:tc>
          <w:tcPr>
            <w:tcW w:w="5565" w:type="dxa"/>
            <w:tcBorders>
              <w:top w:val="nil"/>
              <w:left w:val="single" w:sz="8" w:space="0" w:color="000000"/>
              <w:bottom w:val="nil"/>
              <w:right w:val="nil"/>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i/>
                <w:color w:val="000000"/>
                <w:sz w:val="20"/>
              </w:rPr>
              <w:t>Press:</w:t>
            </w:r>
          </w:p>
        </w:tc>
        <w:tc>
          <w:tcPr>
            <w:tcW w:w="4395" w:type="dxa"/>
            <w:tcBorders>
              <w:top w:val="nil"/>
              <w:left w:val="nil"/>
              <w:bottom w:val="nil"/>
              <w:right w:val="single" w:sz="8" w:space="0" w:color="000000"/>
            </w:tcBorders>
            <w:tcMar>
              <w:top w:w="0" w:type="dxa"/>
              <w:left w:w="0" w:type="dxa"/>
              <w:bottom w:w="0" w:type="dxa"/>
              <w:right w:w="0" w:type="dxa"/>
            </w:tcMar>
            <w:vAlign w:val="bottom"/>
          </w:tcPr>
          <w:p w:rsidR="00F8358B" w:rsidRDefault="00F8358B">
            <w:pPr>
              <w:keepNext/>
            </w:pPr>
          </w:p>
        </w:tc>
      </w:tr>
      <w:tr w:rsidR="00F8358B">
        <w:trPr>
          <w:cantSplit/>
          <w:trHeight w:hRule="exact" w:val="300"/>
        </w:trPr>
        <w:tc>
          <w:tcPr>
            <w:tcW w:w="5565" w:type="dxa"/>
            <w:tcBorders>
              <w:top w:val="nil"/>
              <w:left w:val="single" w:sz="8" w:space="0" w:color="000000"/>
              <w:bottom w:val="nil"/>
              <w:right w:val="nil"/>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Lindsay Dunford, Corporate Communications</w:t>
            </w:r>
          </w:p>
        </w:tc>
        <w:tc>
          <w:tcPr>
            <w:tcW w:w="4395" w:type="dxa"/>
            <w:tcBorders>
              <w:top w:val="nil"/>
              <w:left w:val="nil"/>
              <w:bottom w:val="nil"/>
              <w:right w:val="single" w:sz="8" w:space="0" w:color="000000"/>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+ 44 79 3197 2959</w:t>
            </w:r>
          </w:p>
        </w:tc>
      </w:tr>
      <w:tr w:rsidR="00F8358B">
        <w:trPr>
          <w:cantSplit/>
          <w:trHeight w:hRule="exact" w:val="300"/>
        </w:trPr>
        <w:tc>
          <w:tcPr>
            <w:tcW w:w="5565" w:type="dxa"/>
            <w:tcBorders>
              <w:top w:val="nil"/>
              <w:left w:val="single" w:sz="8" w:space="0" w:color="000000"/>
              <w:bottom w:val="nil"/>
              <w:right w:val="nil"/>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Rob Allen, Corporate Communications</w:t>
            </w:r>
          </w:p>
        </w:tc>
        <w:tc>
          <w:tcPr>
            <w:tcW w:w="4395" w:type="dxa"/>
            <w:tcBorders>
              <w:top w:val="nil"/>
              <w:left w:val="nil"/>
              <w:bottom w:val="nil"/>
              <w:right w:val="single" w:sz="8" w:space="0" w:color="000000"/>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+ 44 75 5444 1363</w:t>
            </w:r>
          </w:p>
        </w:tc>
      </w:tr>
      <w:tr w:rsidR="00F8358B">
        <w:trPr>
          <w:cantSplit/>
          <w:trHeight w:hRule="exact" w:val="300"/>
        </w:trPr>
        <w:tc>
          <w:tcPr>
            <w:tcW w:w="5565" w:type="dxa"/>
            <w:tcBorders>
              <w:top w:val="nil"/>
              <w:left w:val="single" w:sz="8" w:space="0" w:color="000000"/>
              <w:bottom w:val="nil"/>
              <w:right w:val="nil"/>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Billy Murphy, Drury Communications</w:t>
            </w:r>
          </w:p>
        </w:tc>
        <w:tc>
          <w:tcPr>
            <w:tcW w:w="4395" w:type="dxa"/>
            <w:tcBorders>
              <w:top w:val="nil"/>
              <w:left w:val="nil"/>
              <w:bottom w:val="nil"/>
              <w:right w:val="single" w:sz="8" w:space="0" w:color="000000"/>
            </w:tcBorders>
            <w:tcMar>
              <w:top w:w="0" w:type="dxa"/>
              <w:left w:w="53" w:type="dxa"/>
              <w:bottom w:w="0" w:type="dxa"/>
              <w:right w:w="53" w:type="dxa"/>
            </w:tcMar>
          </w:tcPr>
          <w:p w:rsidR="00F8358B" w:rsidRDefault="00594733">
            <w:pPr>
              <w:keepNext/>
              <w:spacing w:before="53" w:after="30"/>
              <w:ind w:left="55"/>
            </w:pPr>
            <w:r>
              <w:rPr>
                <w:rFonts w:ascii="Calibri" w:eastAsia="Calibri" w:hAnsi="Calibri" w:cs="Calibri"/>
                <w:color w:val="000000"/>
                <w:sz w:val="20"/>
              </w:rPr>
              <w:t>+ 353 1 260 5000</w:t>
            </w:r>
          </w:p>
        </w:tc>
      </w:tr>
      <w:tr w:rsidR="00F8358B">
        <w:trPr>
          <w:cantSplit/>
          <w:trHeight w:hRule="exact" w:val="300"/>
        </w:trPr>
        <w:tc>
          <w:tcPr>
            <w:tcW w:w="5565" w:type="dxa"/>
            <w:tcBorders>
              <w:top w:val="nil"/>
              <w:left w:val="single" w:sz="8" w:space="0" w:color="000000"/>
              <w:bottom w:val="single" w:sz="8" w:space="0" w:color="000000"/>
              <w:right w:val="nil"/>
            </w:tcBorders>
            <w:tcMar>
              <w:top w:w="0" w:type="dxa"/>
              <w:left w:w="53" w:type="dxa"/>
              <w:bottom w:w="0" w:type="dxa"/>
              <w:right w:w="53" w:type="dxa"/>
            </w:tcMar>
          </w:tcPr>
          <w:p w:rsidR="00F8358B" w:rsidRDefault="00594733">
            <w:pPr>
              <w:spacing w:before="53" w:after="30"/>
              <w:ind w:left="55"/>
            </w:pPr>
            <w:r>
              <w:rPr>
                <w:rFonts w:ascii="Calibri" w:eastAsia="Calibri" w:hAnsi="Calibri" w:cs="Calibri"/>
                <w:color w:val="000000"/>
                <w:sz w:val="20"/>
              </w:rPr>
              <w:t>James Murgatroyd, Finsbury</w:t>
            </w:r>
          </w:p>
        </w:tc>
        <w:tc>
          <w:tcPr>
            <w:tcW w:w="4395" w:type="dxa"/>
            <w:tcBorders>
              <w:top w:val="nil"/>
              <w:left w:val="nil"/>
              <w:bottom w:val="single" w:sz="8" w:space="0" w:color="000000"/>
              <w:right w:val="single" w:sz="8" w:space="0" w:color="000000"/>
            </w:tcBorders>
            <w:tcMar>
              <w:top w:w="0" w:type="dxa"/>
              <w:left w:w="53" w:type="dxa"/>
              <w:bottom w:w="0" w:type="dxa"/>
              <w:right w:w="53" w:type="dxa"/>
            </w:tcMar>
          </w:tcPr>
          <w:p w:rsidR="00F8358B" w:rsidRDefault="00594733">
            <w:pPr>
              <w:spacing w:before="53" w:after="30"/>
              <w:ind w:left="55"/>
            </w:pPr>
            <w:r>
              <w:rPr>
                <w:rFonts w:ascii="Calibri" w:eastAsia="Calibri" w:hAnsi="Calibri" w:cs="Calibri"/>
                <w:color w:val="000000"/>
                <w:sz w:val="20"/>
              </w:rPr>
              <w:t>+ 44 20 7251 3801</w:t>
            </w:r>
          </w:p>
        </w:tc>
      </w:tr>
    </w:tbl>
    <w:p w:rsidR="00F8358B" w:rsidRDefault="00F8358B">
      <w:pPr>
        <w:spacing w:before="80" w:after="80" w:line="288" w:lineRule="auto"/>
        <w:jc w:val="both"/>
        <w:rPr>
          <w:rFonts w:ascii="Arial" w:eastAsia="Arial" w:hAnsi="Arial" w:cs="Arial"/>
        </w:rPr>
      </w:pPr>
    </w:p>
    <w:p w:rsidR="00F8358B" w:rsidRDefault="00594733">
      <w:pPr>
        <w:spacing w:after="80" w:line="288" w:lineRule="auto"/>
        <w:jc w:val="both"/>
        <w:rPr>
          <w:rFonts w:ascii="Calibri" w:eastAsia="Calibri" w:hAnsi="Calibri" w:cs="Calibri"/>
          <w:sz w:val="22"/>
        </w:rPr>
      </w:pPr>
      <w:r>
        <w:rPr>
          <w:rFonts w:ascii="Calibri" w:eastAsia="Calibri" w:hAnsi="Calibri" w:cs="Calibri"/>
          <w:b/>
          <w:sz w:val="22"/>
        </w:rPr>
        <w:t xml:space="preserve">About Flutter Entertainment plc: </w:t>
      </w:r>
    </w:p>
    <w:p w:rsidR="00F8358B" w:rsidRDefault="00594733">
      <w:pPr>
        <w:spacing w:after="80" w:line="288" w:lineRule="auto"/>
        <w:jc w:val="both"/>
        <w:rPr>
          <w:rFonts w:ascii="Calibri" w:eastAsia="Calibri" w:hAnsi="Calibri" w:cs="Calibri"/>
          <w:sz w:val="22"/>
        </w:rPr>
      </w:pPr>
      <w:r>
        <w:rPr>
          <w:rFonts w:ascii="Calibri" w:eastAsia="Calibri" w:hAnsi="Calibri" w:cs="Calibri"/>
          <w:sz w:val="22"/>
        </w:rPr>
        <w:t xml:space="preserve">Flutter Entertainment plc (the “Group”) is a global sports-betting and gaming company reporting as four divisions: </w:t>
      </w:r>
    </w:p>
    <w:p w:rsidR="00F8358B" w:rsidRDefault="00594733" w:rsidP="00594733">
      <w:pPr>
        <w:numPr>
          <w:ilvl w:val="0"/>
          <w:numId w:val="8"/>
        </w:numPr>
        <w:spacing w:after="80" w:line="288" w:lineRule="auto"/>
        <w:ind w:left="425" w:hanging="425"/>
        <w:jc w:val="both"/>
        <w:rPr>
          <w:rFonts w:ascii="Calibri" w:eastAsia="Calibri" w:hAnsi="Calibri" w:cs="Calibri"/>
          <w:sz w:val="22"/>
        </w:rPr>
      </w:pPr>
      <w:r>
        <w:rPr>
          <w:rFonts w:ascii="Calibri" w:eastAsia="Calibri" w:hAnsi="Calibri" w:cs="Calibri"/>
          <w:b/>
          <w:sz w:val="22"/>
        </w:rPr>
        <w:t>UK &amp; Ireland:</w:t>
      </w:r>
      <w:r>
        <w:rPr>
          <w:rFonts w:ascii="Calibri" w:eastAsia="Calibri" w:hAnsi="Calibri" w:cs="Calibri"/>
          <w:sz w:val="22"/>
        </w:rPr>
        <w:t xml:space="preserve"> includes Sky Betting and Gaming, Paddy Power and Betfair brands offering a diverse range of sportsbook, exchange and gaming services across the UK and Ireland, along with over 600 Paddy Power betting shops in the UK and Ireland.</w:t>
      </w:r>
    </w:p>
    <w:p w:rsidR="00F8358B" w:rsidRDefault="00594733" w:rsidP="00594733">
      <w:pPr>
        <w:numPr>
          <w:ilvl w:val="0"/>
          <w:numId w:val="8"/>
        </w:numPr>
        <w:spacing w:after="80" w:line="288" w:lineRule="auto"/>
        <w:ind w:left="425" w:hanging="425"/>
        <w:jc w:val="both"/>
        <w:rPr>
          <w:rFonts w:ascii="Calibri" w:eastAsia="Calibri" w:hAnsi="Calibri" w:cs="Calibri"/>
          <w:sz w:val="22"/>
        </w:rPr>
      </w:pPr>
      <w:r>
        <w:rPr>
          <w:rFonts w:ascii="Calibri" w:eastAsia="Calibri" w:hAnsi="Calibri" w:cs="Calibri"/>
          <w:b/>
          <w:sz w:val="22"/>
        </w:rPr>
        <w:t xml:space="preserve">Australia: </w:t>
      </w:r>
      <w:r>
        <w:rPr>
          <w:rFonts w:ascii="Calibri" w:eastAsia="Calibri" w:hAnsi="Calibri" w:cs="Calibri"/>
          <w:sz w:val="22"/>
        </w:rPr>
        <w:t>the Sportsbet brand offers online sport betting and is the Australian market leader.</w:t>
      </w:r>
    </w:p>
    <w:p w:rsidR="00F8358B" w:rsidRDefault="00594733" w:rsidP="00594733">
      <w:pPr>
        <w:numPr>
          <w:ilvl w:val="0"/>
          <w:numId w:val="8"/>
        </w:numPr>
        <w:spacing w:after="80" w:line="288" w:lineRule="auto"/>
        <w:ind w:left="425" w:hanging="425"/>
        <w:jc w:val="both"/>
        <w:rPr>
          <w:rFonts w:ascii="Calibri" w:eastAsia="Calibri" w:hAnsi="Calibri" w:cs="Calibri"/>
          <w:sz w:val="22"/>
        </w:rPr>
      </w:pPr>
      <w:r>
        <w:rPr>
          <w:rFonts w:ascii="Calibri" w:eastAsia="Calibri" w:hAnsi="Calibri" w:cs="Calibri"/>
          <w:b/>
          <w:sz w:val="22"/>
        </w:rPr>
        <w:t xml:space="preserve">International: </w:t>
      </w:r>
      <w:r>
        <w:rPr>
          <w:rFonts w:ascii="Calibri" w:eastAsia="Calibri" w:hAnsi="Calibri" w:cs="Calibri"/>
          <w:sz w:val="22"/>
        </w:rPr>
        <w:t xml:space="preserve">includes PokerStars, Adjarabet, Betfair and Junglee operating in multiple jurisdictions around the world offering a diverse range of sportsbook, exchange and gaming services. </w:t>
      </w:r>
    </w:p>
    <w:p w:rsidR="00F8358B" w:rsidRDefault="00594733" w:rsidP="00594733">
      <w:pPr>
        <w:numPr>
          <w:ilvl w:val="0"/>
          <w:numId w:val="8"/>
        </w:numPr>
        <w:spacing w:after="80" w:line="288" w:lineRule="auto"/>
        <w:ind w:left="425" w:hanging="425"/>
        <w:jc w:val="both"/>
        <w:rPr>
          <w:rFonts w:ascii="Calibri" w:eastAsia="Calibri" w:hAnsi="Calibri" w:cs="Calibri"/>
          <w:sz w:val="22"/>
        </w:rPr>
      </w:pPr>
      <w:r>
        <w:rPr>
          <w:rFonts w:ascii="Calibri" w:eastAsia="Calibri" w:hAnsi="Calibri" w:cs="Calibri"/>
          <w:b/>
          <w:sz w:val="22"/>
        </w:rPr>
        <w:t xml:space="preserve">US: </w:t>
      </w:r>
      <w:r>
        <w:rPr>
          <w:rFonts w:ascii="Calibri" w:eastAsia="Calibri" w:hAnsi="Calibri" w:cs="Calibri"/>
          <w:sz w:val="22"/>
        </w:rPr>
        <w:t>includes FanDuel, TVG, Stardust, FOX Bet and PokerStars brands, offering regulated real money and free-to-play sports betting, online gaming, daily fantasy sports and online racing wagering products to customers across various states in the US.</w:t>
      </w:r>
    </w:p>
    <w:p w:rsidR="00F8358B" w:rsidRDefault="00F8358B">
      <w:pPr>
        <w:spacing w:line="276" w:lineRule="auto"/>
        <w:rPr>
          <w:rFonts w:ascii="Arial" w:eastAsia="Arial" w:hAnsi="Arial" w:cs="Arial"/>
        </w:rPr>
      </w:pPr>
    </w:p>
    <w:p w:rsidR="00F8358B" w:rsidRDefault="00F8358B">
      <w:pPr>
        <w:spacing w:line="276" w:lineRule="auto"/>
        <w:rPr>
          <w:rFonts w:ascii="Arial" w:eastAsia="Arial" w:hAnsi="Arial" w:cs="Arial"/>
        </w:rPr>
        <w:sectPr w:rsidR="00F8358B">
          <w:type w:val="continuous"/>
          <w:pgSz w:w="11900" w:h="16838"/>
          <w:pgMar w:top="1304" w:right="1020" w:bottom="1247" w:left="907" w:header="270" w:footer="270" w:gutter="0"/>
          <w:cols w:space="708"/>
        </w:sectPr>
      </w:pPr>
    </w:p>
    <w:p w:rsidR="00F8358B" w:rsidRDefault="00594733">
      <w:pPr>
        <w:spacing w:line="288" w:lineRule="auto"/>
        <w:outlineLvl w:val="0"/>
        <w:rPr>
          <w:rFonts w:ascii="Arial" w:eastAsia="Arial" w:hAnsi="Arial" w:cs="Arial"/>
          <w:sz w:val="22"/>
          <w:shd w:val="clear" w:color="auto" w:fill="FFFFFF"/>
        </w:rPr>
      </w:pPr>
      <w:bookmarkStart w:id="5" w:name="Section7"/>
      <w:bookmarkEnd w:id="5"/>
      <w:r>
        <w:rPr>
          <w:rFonts w:ascii="Calibri" w:eastAsia="Calibri" w:hAnsi="Calibri" w:cs="Calibri"/>
          <w:b/>
          <w:sz w:val="22"/>
          <w:shd w:val="clear" w:color="auto" w:fill="FFFFFF"/>
        </w:rPr>
        <w:t xml:space="preserve">Divisional Key Performance Indicators  - Q3 2021 </w:t>
      </w:r>
    </w:p>
    <w:p w:rsidR="00F8358B" w:rsidRDefault="00594733">
      <w:pPr>
        <w:spacing w:line="288" w:lineRule="auto"/>
        <w:rPr>
          <w:rFonts w:ascii="Calibri" w:eastAsia="Calibri" w:hAnsi="Calibri" w:cs="Calibri"/>
          <w:i/>
          <w:sz w:val="22"/>
        </w:rPr>
      </w:pPr>
      <w:r>
        <w:rPr>
          <w:rFonts w:ascii="Calibri" w:eastAsia="Calibri" w:hAnsi="Calibri" w:cs="Calibri"/>
          <w:i/>
          <w:sz w:val="22"/>
        </w:rPr>
        <w:t>Unaudited</w:t>
      </w:r>
    </w:p>
    <w:p w:rsidR="00F8358B" w:rsidRDefault="00F8358B">
      <w:pPr>
        <w:spacing w:line="288" w:lineRule="auto"/>
        <w:rPr>
          <w:rFonts w:ascii="Calibri" w:eastAsia="Calibri" w:hAnsi="Calibri" w:cs="Calibri"/>
          <w:i/>
          <w:sz w:val="22"/>
        </w:rPr>
      </w:pP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811"/>
        <w:gridCol w:w="811"/>
        <w:gridCol w:w="964"/>
        <w:gridCol w:w="811"/>
        <w:gridCol w:w="811"/>
        <w:gridCol w:w="964"/>
        <w:gridCol w:w="811"/>
        <w:gridCol w:w="811"/>
        <w:gridCol w:w="964"/>
        <w:gridCol w:w="811"/>
        <w:gridCol w:w="811"/>
        <w:gridCol w:w="964"/>
        <w:gridCol w:w="811"/>
        <w:gridCol w:w="811"/>
        <w:gridCol w:w="979"/>
      </w:tblGrid>
      <w:tr w:rsidR="00F8358B">
        <w:trPr>
          <w:cantSplit/>
          <w:trHeight w:hRule="exact" w:val="285"/>
        </w:trPr>
        <w:tc>
          <w:tcPr>
            <w:tcW w:w="2445" w:type="dxa"/>
            <w:tcBorders>
              <w:top w:val="nil"/>
              <w:left w:val="nil"/>
              <w:bottom w:val="single" w:sz="8" w:space="0" w:color="000000"/>
              <w:right w:val="nil"/>
            </w:tcBorders>
            <w:tcMar>
              <w:top w:w="0" w:type="dxa"/>
              <w:left w:w="53" w:type="dxa"/>
              <w:bottom w:w="0" w:type="dxa"/>
              <w:right w:w="53" w:type="dxa"/>
            </w:tcMar>
            <w:vAlign w:val="bottom"/>
          </w:tcPr>
          <w:p w:rsidR="00F8358B" w:rsidRDefault="00F8358B">
            <w:pPr>
              <w:keepNext/>
              <w:spacing w:before="53" w:after="30"/>
            </w:pPr>
          </w:p>
        </w:tc>
        <w:tc>
          <w:tcPr>
            <w:tcW w:w="2535" w:type="dxa"/>
            <w:gridSpan w:val="3"/>
            <w:tcBorders>
              <w:top w:val="single" w:sz="8" w:space="0" w:color="000000"/>
              <w:left w:val="single" w:sz="8" w:space="0" w:color="000000"/>
              <w:bottom w:val="nil"/>
              <w:right w:val="nil"/>
            </w:tcBorders>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color w:val="000000"/>
                <w:sz w:val="20"/>
              </w:rPr>
              <w:t>UK &amp; Ireland</w:t>
            </w:r>
          </w:p>
        </w:tc>
        <w:tc>
          <w:tcPr>
            <w:tcW w:w="2535" w:type="dxa"/>
            <w:gridSpan w:val="3"/>
            <w:tcBorders>
              <w:top w:val="single" w:sz="8" w:space="0" w:color="000000"/>
              <w:left w:val="single" w:sz="8" w:space="0" w:color="000000"/>
              <w:bottom w:val="nil"/>
              <w:right w:val="nil"/>
            </w:tcBorders>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color w:val="000000"/>
                <w:sz w:val="20"/>
              </w:rPr>
              <w:t>Australia</w:t>
            </w:r>
          </w:p>
        </w:tc>
        <w:tc>
          <w:tcPr>
            <w:tcW w:w="2535" w:type="dxa"/>
            <w:gridSpan w:val="3"/>
            <w:tcBorders>
              <w:top w:val="single" w:sz="8" w:space="0" w:color="000000"/>
              <w:left w:val="single" w:sz="8" w:space="0" w:color="000000"/>
              <w:bottom w:val="nil"/>
              <w:right w:val="nil"/>
            </w:tcBorders>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color w:val="000000"/>
                <w:sz w:val="20"/>
              </w:rPr>
              <w:t>International</w:t>
            </w:r>
          </w:p>
        </w:tc>
        <w:tc>
          <w:tcPr>
            <w:tcW w:w="2535" w:type="dxa"/>
            <w:gridSpan w:val="3"/>
            <w:tcBorders>
              <w:top w:val="single" w:sz="8" w:space="0" w:color="000000"/>
              <w:left w:val="single" w:sz="8" w:space="0" w:color="000000"/>
              <w:bottom w:val="nil"/>
              <w:right w:val="nil"/>
            </w:tcBorders>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color w:val="000000"/>
                <w:sz w:val="20"/>
              </w:rPr>
              <w:t>US</w:t>
            </w:r>
          </w:p>
        </w:tc>
        <w:tc>
          <w:tcPr>
            <w:tcW w:w="2550" w:type="dxa"/>
            <w:gridSpan w:val="3"/>
            <w:tcBorders>
              <w:top w:val="single" w:sz="8" w:space="0" w:color="000000"/>
              <w:left w:val="single" w:sz="8" w:space="0" w:color="000000"/>
              <w:bottom w:val="nil"/>
              <w:right w:val="single" w:sz="8" w:space="0" w:color="000000"/>
            </w:tcBorders>
            <w:shd w:val="clear" w:color="auto" w:fill="DBDBDB"/>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color w:val="000000"/>
                <w:sz w:val="20"/>
              </w:rPr>
              <w:t>Group</w:t>
            </w:r>
          </w:p>
        </w:tc>
      </w:tr>
      <w:tr w:rsidR="00F8358B">
        <w:trPr>
          <w:cantSplit/>
          <w:trHeight w:hRule="exact" w:val="285"/>
        </w:trPr>
        <w:tc>
          <w:tcPr>
            <w:tcW w:w="2445" w:type="dxa"/>
            <w:tcBorders>
              <w:top w:val="single" w:sz="8" w:space="0" w:color="000000"/>
              <w:left w:val="single" w:sz="8" w:space="0" w:color="000000"/>
              <w:bottom w:val="nil"/>
              <w:right w:val="nil"/>
            </w:tcBorders>
            <w:tcMar>
              <w:top w:w="0" w:type="dxa"/>
              <w:left w:w="53" w:type="dxa"/>
              <w:bottom w:w="0" w:type="dxa"/>
              <w:right w:w="53" w:type="dxa"/>
            </w:tcMar>
            <w:vAlign w:val="bottom"/>
          </w:tcPr>
          <w:p w:rsidR="00F8358B" w:rsidRDefault="00F8358B">
            <w:pPr>
              <w:keepNext/>
              <w:spacing w:before="33" w:after="30"/>
              <w:ind w:left="55"/>
            </w:pP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2021</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2020</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ind w:left="120"/>
              <w:jc w:val="right"/>
              <w:rPr>
                <w:rFonts w:ascii="Calibri" w:eastAsia="Calibri" w:hAnsi="Calibri" w:cs="Calibri"/>
                <w:b/>
                <w:sz w:val="20"/>
              </w:rPr>
            </w:pPr>
            <w:r>
              <w:rPr>
                <w:rFonts w:ascii="Calibri" w:eastAsia="Calibri" w:hAnsi="Calibri" w:cs="Calibri"/>
                <w:b/>
                <w:sz w:val="20"/>
              </w:rPr>
              <w:t>CC</w:t>
            </w:r>
            <w:r>
              <w:rPr>
                <w:rFonts w:ascii="Calibri" w:eastAsia="Calibri" w:hAnsi="Calibri" w:cs="Calibri"/>
                <w:b/>
                <w:sz w:val="20"/>
                <w:vertAlign w:val="superscript"/>
              </w:rPr>
              <w:t>1</w:t>
            </w:r>
            <w:r>
              <w:rPr>
                <w:rFonts w:ascii="Calibri" w:eastAsia="Calibri" w:hAnsi="Calibri" w:cs="Calibri"/>
                <w:b/>
                <w:sz w:val="20"/>
              </w:rPr>
              <w:t xml:space="preserve"> %</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2021</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2020</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ind w:left="120"/>
              <w:jc w:val="right"/>
              <w:rPr>
                <w:rFonts w:ascii="Calibri" w:eastAsia="Calibri" w:hAnsi="Calibri" w:cs="Calibri"/>
                <w:b/>
                <w:sz w:val="20"/>
              </w:rPr>
            </w:pPr>
            <w:r>
              <w:rPr>
                <w:rFonts w:ascii="Calibri" w:eastAsia="Calibri" w:hAnsi="Calibri" w:cs="Calibri"/>
                <w:b/>
                <w:sz w:val="20"/>
              </w:rPr>
              <w:t>CC</w:t>
            </w:r>
            <w:r>
              <w:rPr>
                <w:rFonts w:ascii="Calibri" w:eastAsia="Calibri" w:hAnsi="Calibri" w:cs="Calibri"/>
                <w:b/>
                <w:sz w:val="20"/>
                <w:vertAlign w:val="superscript"/>
              </w:rPr>
              <w:t>1</w:t>
            </w:r>
            <w:r>
              <w:rPr>
                <w:rFonts w:ascii="Calibri" w:eastAsia="Calibri" w:hAnsi="Calibri" w:cs="Calibri"/>
                <w:b/>
                <w:sz w:val="20"/>
              </w:rPr>
              <w:t xml:space="preserve"> %</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2021</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2020</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ind w:left="120"/>
              <w:jc w:val="right"/>
              <w:rPr>
                <w:rFonts w:ascii="Calibri" w:eastAsia="Calibri" w:hAnsi="Calibri" w:cs="Calibri"/>
                <w:b/>
                <w:sz w:val="20"/>
              </w:rPr>
            </w:pPr>
            <w:r>
              <w:rPr>
                <w:rFonts w:ascii="Calibri" w:eastAsia="Calibri" w:hAnsi="Calibri" w:cs="Calibri"/>
                <w:b/>
                <w:sz w:val="20"/>
              </w:rPr>
              <w:t>CC</w:t>
            </w:r>
            <w:r>
              <w:rPr>
                <w:rFonts w:ascii="Calibri" w:eastAsia="Calibri" w:hAnsi="Calibri" w:cs="Calibri"/>
                <w:b/>
                <w:sz w:val="20"/>
                <w:vertAlign w:val="superscript"/>
              </w:rPr>
              <w:t>1</w:t>
            </w:r>
            <w:r>
              <w:rPr>
                <w:rFonts w:ascii="Calibri" w:eastAsia="Calibri" w:hAnsi="Calibri" w:cs="Calibri"/>
                <w:b/>
                <w:sz w:val="20"/>
              </w:rPr>
              <w:t xml:space="preserve"> %</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2021</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2020</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ind w:left="120"/>
              <w:jc w:val="right"/>
              <w:rPr>
                <w:rFonts w:ascii="Calibri" w:eastAsia="Calibri" w:hAnsi="Calibri" w:cs="Calibri"/>
                <w:b/>
                <w:sz w:val="20"/>
              </w:rPr>
            </w:pPr>
            <w:r>
              <w:rPr>
                <w:rFonts w:ascii="Calibri" w:eastAsia="Calibri" w:hAnsi="Calibri" w:cs="Calibri"/>
                <w:b/>
                <w:sz w:val="20"/>
              </w:rPr>
              <w:t>CC</w:t>
            </w:r>
            <w:r>
              <w:rPr>
                <w:rFonts w:ascii="Calibri" w:eastAsia="Calibri" w:hAnsi="Calibri" w:cs="Calibri"/>
                <w:b/>
                <w:sz w:val="20"/>
                <w:vertAlign w:val="superscript"/>
              </w:rPr>
              <w:t>1</w:t>
            </w:r>
            <w:r>
              <w:rPr>
                <w:rFonts w:ascii="Calibri" w:eastAsia="Calibri" w:hAnsi="Calibri" w:cs="Calibri"/>
                <w:b/>
                <w:sz w:val="20"/>
              </w:rPr>
              <w:t xml:space="preserve"> %</w:t>
            </w:r>
          </w:p>
        </w:tc>
        <w:tc>
          <w:tcPr>
            <w:tcW w:w="79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2021</w:t>
            </w:r>
          </w:p>
        </w:tc>
        <w:tc>
          <w:tcPr>
            <w:tcW w:w="795" w:type="dxa"/>
            <w:tcBorders>
              <w:top w:val="single" w:sz="8" w:space="0" w:color="000000"/>
              <w:left w:val="nil"/>
              <w:bottom w:val="nil"/>
              <w:right w:val="nil"/>
            </w:tcBorders>
            <w:shd w:val="clear" w:color="auto" w:fill="DBDBDB"/>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2020</w:t>
            </w:r>
          </w:p>
        </w:tc>
        <w:tc>
          <w:tcPr>
            <w:tcW w:w="960" w:type="dxa"/>
            <w:tcBorders>
              <w:top w:val="single" w:sz="8" w:space="0" w:color="000000"/>
              <w:left w:val="nil"/>
              <w:bottom w:val="nil"/>
              <w:right w:val="single" w:sz="8" w:space="0" w:color="000000"/>
            </w:tcBorders>
            <w:shd w:val="clear" w:color="auto" w:fill="DBDBDB"/>
            <w:tcMar>
              <w:top w:w="0" w:type="dxa"/>
              <w:left w:w="53" w:type="dxa"/>
              <w:bottom w:w="0" w:type="dxa"/>
              <w:right w:w="53" w:type="dxa"/>
            </w:tcMar>
            <w:vAlign w:val="bottom"/>
          </w:tcPr>
          <w:p w:rsidR="00F8358B" w:rsidRDefault="00594733">
            <w:pPr>
              <w:keepNext/>
              <w:spacing w:before="33" w:after="30"/>
              <w:ind w:left="120"/>
              <w:jc w:val="right"/>
              <w:rPr>
                <w:rFonts w:ascii="Calibri" w:eastAsia="Calibri" w:hAnsi="Calibri" w:cs="Calibri"/>
                <w:b/>
                <w:sz w:val="20"/>
              </w:rPr>
            </w:pPr>
            <w:r>
              <w:rPr>
                <w:rFonts w:ascii="Calibri" w:eastAsia="Calibri" w:hAnsi="Calibri" w:cs="Calibri"/>
                <w:b/>
                <w:sz w:val="20"/>
              </w:rPr>
              <w:t>CC</w:t>
            </w:r>
            <w:r>
              <w:rPr>
                <w:rFonts w:ascii="Calibri" w:eastAsia="Calibri" w:hAnsi="Calibri" w:cs="Calibri"/>
                <w:b/>
                <w:sz w:val="20"/>
                <w:vertAlign w:val="superscript"/>
              </w:rPr>
              <w:t>1</w:t>
            </w:r>
            <w:r>
              <w:rPr>
                <w:rFonts w:ascii="Calibri" w:eastAsia="Calibri" w:hAnsi="Calibri" w:cs="Calibri"/>
                <w:b/>
                <w:sz w:val="20"/>
              </w:rPr>
              <w:t xml:space="preserve"> %</w:t>
            </w:r>
          </w:p>
        </w:tc>
      </w:tr>
      <w:tr w:rsidR="00F8358B">
        <w:trPr>
          <w:cantSplit/>
          <w:trHeight w:hRule="exact" w:val="285"/>
        </w:trPr>
        <w:tc>
          <w:tcPr>
            <w:tcW w:w="244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F8358B">
            <w:pPr>
              <w:keepNext/>
              <w:spacing w:before="53" w:after="30"/>
            </w:pP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94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ind w:right="120"/>
              <w:jc w:val="right"/>
            </w:pPr>
            <w:r>
              <w:rPr>
                <w:rFonts w:ascii="Calibri" w:eastAsia="Calibri" w:hAnsi="Calibri" w:cs="Calibri"/>
                <w:b/>
                <w:color w:val="000000"/>
                <w:sz w:val="20"/>
              </w:rPr>
              <w:t>Change</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94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ind w:right="120"/>
              <w:jc w:val="right"/>
            </w:pPr>
            <w:r>
              <w:rPr>
                <w:rFonts w:ascii="Calibri" w:eastAsia="Calibri" w:hAnsi="Calibri" w:cs="Calibri"/>
                <w:b/>
                <w:color w:val="000000"/>
                <w:sz w:val="20"/>
              </w:rPr>
              <w:t>Change</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94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ind w:right="120"/>
              <w:jc w:val="right"/>
            </w:pPr>
            <w:r>
              <w:rPr>
                <w:rFonts w:ascii="Calibri" w:eastAsia="Calibri" w:hAnsi="Calibri" w:cs="Calibri"/>
                <w:b/>
                <w:color w:val="000000"/>
                <w:sz w:val="20"/>
              </w:rPr>
              <w:t>Change</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94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ind w:right="120"/>
              <w:jc w:val="right"/>
            </w:pPr>
            <w:r>
              <w:rPr>
                <w:rFonts w:ascii="Calibri" w:eastAsia="Calibri" w:hAnsi="Calibri" w:cs="Calibri"/>
                <w:b/>
                <w:color w:val="000000"/>
                <w:sz w:val="20"/>
              </w:rPr>
              <w:t>Change</w:t>
            </w:r>
          </w:p>
        </w:tc>
        <w:tc>
          <w:tcPr>
            <w:tcW w:w="795" w:type="dxa"/>
            <w:tcBorders>
              <w:top w:val="nil"/>
              <w:left w:val="single" w:sz="8" w:space="0" w:color="000000"/>
              <w:bottom w:val="single" w:sz="8" w:space="0" w:color="000000"/>
              <w:right w:val="nil"/>
            </w:tcBorders>
            <w:shd w:val="clear" w:color="auto" w:fill="DBDBDB"/>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79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960" w:type="dxa"/>
            <w:tcBorders>
              <w:top w:val="nil"/>
              <w:left w:val="nil"/>
              <w:bottom w:val="single" w:sz="8" w:space="0" w:color="000000"/>
              <w:right w:val="single" w:sz="8" w:space="0" w:color="000000"/>
            </w:tcBorders>
            <w:shd w:val="clear" w:color="auto" w:fill="DBDBDB"/>
            <w:tcMar>
              <w:top w:w="0" w:type="dxa"/>
              <w:left w:w="53" w:type="dxa"/>
              <w:bottom w:w="0" w:type="dxa"/>
              <w:right w:w="15" w:type="dxa"/>
            </w:tcMar>
            <w:vAlign w:val="bottom"/>
          </w:tcPr>
          <w:p w:rsidR="00F8358B" w:rsidRDefault="00594733">
            <w:pPr>
              <w:keepNext/>
              <w:spacing w:before="53" w:after="30"/>
              <w:ind w:right="120"/>
              <w:jc w:val="right"/>
            </w:pPr>
            <w:r>
              <w:rPr>
                <w:rFonts w:ascii="Calibri" w:eastAsia="Calibri" w:hAnsi="Calibri" w:cs="Calibri"/>
                <w:b/>
                <w:color w:val="000000"/>
                <w:sz w:val="20"/>
              </w:rPr>
              <w:t>Change</w:t>
            </w:r>
          </w:p>
        </w:tc>
      </w:tr>
      <w:tr w:rsidR="00F8358B">
        <w:trPr>
          <w:cantSplit/>
          <w:trHeight w:hRule="exact" w:val="495"/>
        </w:trPr>
        <w:tc>
          <w:tcPr>
            <w:tcW w:w="244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rPr>
                <w:rFonts w:ascii="Calibri" w:eastAsia="Calibri" w:hAnsi="Calibri" w:cs="Calibri"/>
                <w:b/>
                <w:sz w:val="20"/>
              </w:rPr>
            </w:pPr>
            <w:r>
              <w:rPr>
                <w:rFonts w:ascii="Calibri" w:eastAsia="Calibri" w:hAnsi="Calibri" w:cs="Calibri"/>
                <w:b/>
                <w:sz w:val="20"/>
              </w:rPr>
              <w:t>Average monthly players</w:t>
            </w:r>
            <w:r>
              <w:rPr>
                <w:rFonts w:ascii="Calibri" w:eastAsia="Calibri" w:hAnsi="Calibri" w:cs="Calibri"/>
                <w:b/>
                <w:sz w:val="20"/>
                <w:vertAlign w:val="superscript"/>
              </w:rPr>
              <w:t>2</w:t>
            </w:r>
            <w:r>
              <w:rPr>
                <w:rFonts w:ascii="Calibri" w:eastAsia="Calibri" w:hAnsi="Calibri" w:cs="Calibri"/>
                <w:b/>
                <w:sz w:val="20"/>
              </w:rPr>
              <w:t xml:space="preserve"> (000's)</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3,060</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2,567</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+19%</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1,086</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876</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+24%</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1,799</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1,835</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-2%</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1,312</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1,122</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+17%</w:t>
            </w:r>
          </w:p>
        </w:tc>
        <w:tc>
          <w:tcPr>
            <w:tcW w:w="79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7,257</w:t>
            </w:r>
          </w:p>
        </w:tc>
        <w:tc>
          <w:tcPr>
            <w:tcW w:w="795" w:type="dxa"/>
            <w:tcBorders>
              <w:top w:val="single" w:sz="8" w:space="0" w:color="000000"/>
              <w:left w:val="nil"/>
              <w:bottom w:val="nil"/>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6,401</w:t>
            </w:r>
          </w:p>
        </w:tc>
        <w:tc>
          <w:tcPr>
            <w:tcW w:w="960" w:type="dxa"/>
            <w:tcBorders>
              <w:top w:val="single" w:sz="8" w:space="0" w:color="000000"/>
              <w:left w:val="nil"/>
              <w:bottom w:val="nil"/>
              <w:right w:val="single" w:sz="8" w:space="0" w:color="000000"/>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+13%</w:t>
            </w:r>
          </w:p>
        </w:tc>
      </w:tr>
      <w:tr w:rsidR="00F8358B">
        <w:trPr>
          <w:cantSplit/>
          <w:trHeight w:hRule="exact" w:val="28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color w:val="000000"/>
                <w:sz w:val="20"/>
              </w:rPr>
              <w:t>Sportsbook stakes</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2,627</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2,790</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-5%</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3,323</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3,003</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+15%</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349</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375</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-2%</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2,109</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1,247</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+80%</w:t>
            </w:r>
          </w:p>
        </w:tc>
        <w:tc>
          <w:tcPr>
            <w:tcW w:w="795" w:type="dxa"/>
            <w:tcBorders>
              <w:top w:val="nil"/>
              <w:left w:val="single" w:sz="8" w:space="0" w:color="000000"/>
              <w:bottom w:val="nil"/>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8,409</w:t>
            </w:r>
          </w:p>
        </w:tc>
        <w:tc>
          <w:tcPr>
            <w:tcW w:w="795" w:type="dxa"/>
            <w:tcBorders>
              <w:top w:val="nil"/>
              <w:left w:val="nil"/>
              <w:bottom w:val="nil"/>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7,415</w:t>
            </w:r>
          </w:p>
        </w:tc>
        <w:tc>
          <w:tcPr>
            <w:tcW w:w="960" w:type="dxa"/>
            <w:tcBorders>
              <w:top w:val="nil"/>
              <w:left w:val="nil"/>
              <w:bottom w:val="nil"/>
              <w:right w:val="single" w:sz="8" w:space="0" w:color="000000"/>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+17%</w:t>
            </w:r>
          </w:p>
        </w:tc>
      </w:tr>
      <w:tr w:rsidR="00F8358B">
        <w:trPr>
          <w:cantSplit/>
          <w:trHeight w:hRule="exact" w:val="49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i/>
                <w:color w:val="000000"/>
                <w:sz w:val="20"/>
              </w:rPr>
              <w:t>Sportsbook net revenue margin</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10.1%</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10.4%</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-30bps</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11.1%</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10.7%</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+40bps</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8.6%</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7.2%</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+140bps</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6.2%</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2.1%</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+410bps</w:t>
            </w:r>
          </w:p>
        </w:tc>
        <w:tc>
          <w:tcPr>
            <w:tcW w:w="795" w:type="dxa"/>
            <w:tcBorders>
              <w:top w:val="nil"/>
              <w:left w:val="single" w:sz="8" w:space="0" w:color="000000"/>
              <w:bottom w:val="nil"/>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9.5%</w:t>
            </w:r>
          </w:p>
        </w:tc>
        <w:tc>
          <w:tcPr>
            <w:tcW w:w="795" w:type="dxa"/>
            <w:tcBorders>
              <w:top w:val="nil"/>
              <w:left w:val="nil"/>
              <w:bottom w:val="nil"/>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9.0%</w:t>
            </w:r>
          </w:p>
        </w:tc>
        <w:tc>
          <w:tcPr>
            <w:tcW w:w="960" w:type="dxa"/>
            <w:tcBorders>
              <w:top w:val="nil"/>
              <w:left w:val="nil"/>
              <w:bottom w:val="nil"/>
              <w:right w:val="single" w:sz="8" w:space="0" w:color="000000"/>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i/>
                <w:color w:val="000000"/>
                <w:sz w:val="20"/>
              </w:rPr>
              <w:t>+50bps</w:t>
            </w:r>
          </w:p>
        </w:tc>
      </w:tr>
      <w:tr w:rsidR="00F8358B">
        <w:trPr>
          <w:cantSplit/>
          <w:trHeight w:hRule="exact" w:val="10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F8358B">
            <w:pPr>
              <w:keepNext/>
            </w:pP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F8358B">
            <w:pPr>
              <w:keepNext/>
              <w:jc w:val="right"/>
            </w:pPr>
          </w:p>
        </w:tc>
        <w:tc>
          <w:tcPr>
            <w:tcW w:w="795" w:type="dxa"/>
            <w:tcBorders>
              <w:top w:val="nil"/>
              <w:left w:val="single" w:sz="8" w:space="0" w:color="000000"/>
              <w:bottom w:val="nil"/>
              <w:right w:val="nil"/>
            </w:tcBorders>
            <w:shd w:val="clear" w:color="auto" w:fill="DBDBDB"/>
            <w:tcMar>
              <w:top w:w="0" w:type="dxa"/>
              <w:left w:w="53" w:type="dxa"/>
              <w:bottom w:w="0" w:type="dxa"/>
              <w:right w:w="53" w:type="dxa"/>
            </w:tcMar>
            <w:vAlign w:val="center"/>
          </w:tcPr>
          <w:p w:rsidR="00F8358B" w:rsidRDefault="00F8358B">
            <w:pPr>
              <w:keepNext/>
              <w:jc w:val="right"/>
            </w:pPr>
          </w:p>
        </w:tc>
        <w:tc>
          <w:tcPr>
            <w:tcW w:w="795" w:type="dxa"/>
            <w:tcBorders>
              <w:top w:val="nil"/>
              <w:left w:val="nil"/>
              <w:bottom w:val="nil"/>
              <w:right w:val="nil"/>
            </w:tcBorders>
            <w:shd w:val="clear" w:color="auto" w:fill="DBDBDB"/>
            <w:tcMar>
              <w:top w:w="0" w:type="dxa"/>
              <w:left w:w="53" w:type="dxa"/>
              <w:bottom w:w="0" w:type="dxa"/>
              <w:right w:w="53" w:type="dxa"/>
            </w:tcMar>
            <w:vAlign w:val="center"/>
          </w:tcPr>
          <w:p w:rsidR="00F8358B" w:rsidRDefault="00F8358B">
            <w:pPr>
              <w:keepNext/>
              <w:jc w:val="right"/>
            </w:pPr>
          </w:p>
        </w:tc>
        <w:tc>
          <w:tcPr>
            <w:tcW w:w="960" w:type="dxa"/>
            <w:tcBorders>
              <w:top w:val="nil"/>
              <w:left w:val="nil"/>
              <w:bottom w:val="nil"/>
              <w:right w:val="single" w:sz="8" w:space="0" w:color="000000"/>
            </w:tcBorders>
            <w:shd w:val="clear" w:color="auto" w:fill="DBDBDB"/>
            <w:tcMar>
              <w:top w:w="0" w:type="dxa"/>
              <w:left w:w="53" w:type="dxa"/>
              <w:bottom w:w="0" w:type="dxa"/>
              <w:right w:w="53" w:type="dxa"/>
            </w:tcMar>
            <w:vAlign w:val="center"/>
          </w:tcPr>
          <w:p w:rsidR="00F8358B" w:rsidRDefault="00F8358B">
            <w:pPr>
              <w:keepNext/>
              <w:jc w:val="right"/>
            </w:pPr>
          </w:p>
        </w:tc>
      </w:tr>
      <w:tr w:rsidR="00F8358B">
        <w:trPr>
          <w:cantSplit/>
          <w:trHeight w:hRule="exact" w:val="28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color w:val="000000"/>
                <w:sz w:val="20"/>
              </w:rPr>
              <w:t>Sports revenue</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302</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333</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-9%</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370</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320</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+20%</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50</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46</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+14%</w:t>
            </w:r>
          </w:p>
        </w:tc>
        <w:tc>
          <w:tcPr>
            <w:tcW w:w="79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184</w:t>
            </w: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99</w:t>
            </w:r>
          </w:p>
        </w:tc>
        <w:tc>
          <w:tcPr>
            <w:tcW w:w="945" w:type="dxa"/>
            <w:tcBorders>
              <w:top w:val="nil"/>
              <w:left w:val="nil"/>
              <w:bottom w:val="nil"/>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+97%</w:t>
            </w:r>
          </w:p>
        </w:tc>
        <w:tc>
          <w:tcPr>
            <w:tcW w:w="795" w:type="dxa"/>
            <w:tcBorders>
              <w:top w:val="nil"/>
              <w:left w:val="single" w:sz="8" w:space="0" w:color="000000"/>
              <w:bottom w:val="nil"/>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906</w:t>
            </w:r>
          </w:p>
        </w:tc>
        <w:tc>
          <w:tcPr>
            <w:tcW w:w="795" w:type="dxa"/>
            <w:tcBorders>
              <w:top w:val="nil"/>
              <w:left w:val="nil"/>
              <w:bottom w:val="nil"/>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798</w:t>
            </w:r>
          </w:p>
        </w:tc>
        <w:tc>
          <w:tcPr>
            <w:tcW w:w="960" w:type="dxa"/>
            <w:tcBorders>
              <w:top w:val="nil"/>
              <w:left w:val="nil"/>
              <w:bottom w:val="nil"/>
              <w:right w:val="single" w:sz="8" w:space="0" w:color="000000"/>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+17%</w:t>
            </w:r>
          </w:p>
        </w:tc>
      </w:tr>
      <w:tr w:rsidR="00F8358B">
        <w:trPr>
          <w:cantSplit/>
          <w:trHeight w:hRule="exact" w:val="28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color w:val="000000"/>
                <w:sz w:val="20"/>
              </w:rPr>
              <w:t>Gaming revenue</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189</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186</w:t>
            </w:r>
          </w:p>
        </w:tc>
        <w:tc>
          <w:tcPr>
            <w:tcW w:w="94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+2%</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0</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0</w:t>
            </w:r>
          </w:p>
        </w:tc>
        <w:tc>
          <w:tcPr>
            <w:tcW w:w="94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0%</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249</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279</w:t>
            </w:r>
          </w:p>
        </w:tc>
        <w:tc>
          <w:tcPr>
            <w:tcW w:w="94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-6%</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95</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62</w:t>
            </w:r>
          </w:p>
        </w:tc>
        <w:tc>
          <w:tcPr>
            <w:tcW w:w="94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+65%</w:t>
            </w:r>
          </w:p>
        </w:tc>
        <w:tc>
          <w:tcPr>
            <w:tcW w:w="795" w:type="dxa"/>
            <w:tcBorders>
              <w:top w:val="nil"/>
              <w:left w:val="single" w:sz="8" w:space="0" w:color="000000"/>
              <w:bottom w:val="single" w:sz="8" w:space="0" w:color="000000"/>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534</w:t>
            </w:r>
          </w:p>
        </w:tc>
        <w:tc>
          <w:tcPr>
            <w:tcW w:w="795"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527</w:t>
            </w:r>
          </w:p>
        </w:tc>
        <w:tc>
          <w:tcPr>
            <w:tcW w:w="960" w:type="dxa"/>
            <w:tcBorders>
              <w:top w:val="nil"/>
              <w:left w:val="nil"/>
              <w:bottom w:val="single" w:sz="8" w:space="0" w:color="000000"/>
              <w:right w:val="single" w:sz="8" w:space="0" w:color="000000"/>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color w:val="000000"/>
                <w:sz w:val="20"/>
              </w:rPr>
              <w:t>+5%</w:t>
            </w:r>
          </w:p>
        </w:tc>
      </w:tr>
      <w:tr w:rsidR="00F8358B">
        <w:trPr>
          <w:cantSplit/>
          <w:trHeight w:hRule="exact" w:val="285"/>
        </w:trPr>
        <w:tc>
          <w:tcPr>
            <w:tcW w:w="244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b/>
                <w:color w:val="000000"/>
                <w:sz w:val="20"/>
              </w:rPr>
              <w:t>Total revenue</w:t>
            </w:r>
          </w:p>
        </w:tc>
        <w:tc>
          <w:tcPr>
            <w:tcW w:w="7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491</w:t>
            </w:r>
          </w:p>
        </w:tc>
        <w:tc>
          <w:tcPr>
            <w:tcW w:w="7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519</w:t>
            </w:r>
          </w:p>
        </w:tc>
        <w:tc>
          <w:tcPr>
            <w:tcW w:w="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-5%</w:t>
            </w:r>
          </w:p>
        </w:tc>
        <w:tc>
          <w:tcPr>
            <w:tcW w:w="7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370</w:t>
            </w:r>
          </w:p>
        </w:tc>
        <w:tc>
          <w:tcPr>
            <w:tcW w:w="7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320</w:t>
            </w:r>
          </w:p>
        </w:tc>
        <w:tc>
          <w:tcPr>
            <w:tcW w:w="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+20%</w:t>
            </w:r>
          </w:p>
        </w:tc>
        <w:tc>
          <w:tcPr>
            <w:tcW w:w="7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299</w:t>
            </w:r>
          </w:p>
        </w:tc>
        <w:tc>
          <w:tcPr>
            <w:tcW w:w="7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325</w:t>
            </w:r>
          </w:p>
        </w:tc>
        <w:tc>
          <w:tcPr>
            <w:tcW w:w="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-3%</w:t>
            </w:r>
          </w:p>
        </w:tc>
        <w:tc>
          <w:tcPr>
            <w:tcW w:w="7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280</w:t>
            </w:r>
          </w:p>
        </w:tc>
        <w:tc>
          <w:tcPr>
            <w:tcW w:w="7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161</w:t>
            </w:r>
          </w:p>
        </w:tc>
        <w:tc>
          <w:tcPr>
            <w:tcW w:w="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+85%</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1,439</w:t>
            </w:r>
          </w:p>
        </w:tc>
        <w:tc>
          <w:tcPr>
            <w:tcW w:w="795"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1,325</w:t>
            </w:r>
          </w:p>
        </w:tc>
        <w:tc>
          <w:tcPr>
            <w:tcW w:w="960" w:type="dxa"/>
            <w:tcBorders>
              <w:top w:val="single" w:sz="8" w:space="0" w:color="000000"/>
              <w:left w:val="nil"/>
              <w:bottom w:val="single" w:sz="8" w:space="0" w:color="000000"/>
              <w:right w:val="single" w:sz="8" w:space="0" w:color="000000"/>
            </w:tcBorders>
            <w:shd w:val="clear" w:color="auto" w:fill="DBDBDB"/>
            <w:tcMar>
              <w:top w:w="0" w:type="dxa"/>
              <w:left w:w="53" w:type="dxa"/>
              <w:bottom w:w="0" w:type="dxa"/>
              <w:right w:w="53" w:type="dxa"/>
            </w:tcMar>
            <w:vAlign w:val="center"/>
          </w:tcPr>
          <w:p w:rsidR="00F8358B" w:rsidRDefault="00594733">
            <w:pPr>
              <w:keepNext/>
              <w:jc w:val="right"/>
            </w:pPr>
            <w:r>
              <w:rPr>
                <w:rFonts w:ascii="Calibri" w:eastAsia="Calibri" w:hAnsi="Calibri" w:cs="Calibri"/>
                <w:b/>
                <w:color w:val="000000"/>
                <w:sz w:val="20"/>
              </w:rPr>
              <w:t>+12%</w:t>
            </w:r>
          </w:p>
        </w:tc>
      </w:tr>
      <w:tr w:rsidR="00F8358B">
        <w:trPr>
          <w:cantSplit/>
          <w:trHeight w:hRule="exact" w:val="105"/>
        </w:trPr>
        <w:tc>
          <w:tcPr>
            <w:tcW w:w="24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single" w:sz="8" w:space="0" w:color="000000"/>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single" w:sz="8" w:space="0" w:color="000000"/>
              <w:right w:val="nil"/>
            </w:tcBorders>
            <w:tcMar>
              <w:top w:w="0" w:type="dxa"/>
              <w:left w:w="0" w:type="dxa"/>
              <w:bottom w:w="0" w:type="dxa"/>
              <w:right w:w="0" w:type="dxa"/>
            </w:tcMar>
            <w:vAlign w:val="bottom"/>
          </w:tcPr>
          <w:p w:rsidR="00F8358B" w:rsidRDefault="00F8358B">
            <w:pPr>
              <w:keepNext/>
            </w:pPr>
          </w:p>
        </w:tc>
        <w:tc>
          <w:tcPr>
            <w:tcW w:w="945" w:type="dxa"/>
            <w:tcBorders>
              <w:top w:val="single" w:sz="8" w:space="0" w:color="000000"/>
              <w:left w:val="nil"/>
              <w:bottom w:val="single" w:sz="8" w:space="0" w:color="000000"/>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single" w:sz="8" w:space="0" w:color="000000"/>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single" w:sz="8" w:space="0" w:color="000000"/>
              <w:right w:val="nil"/>
            </w:tcBorders>
            <w:tcMar>
              <w:top w:w="0" w:type="dxa"/>
              <w:left w:w="0" w:type="dxa"/>
              <w:bottom w:w="0" w:type="dxa"/>
              <w:right w:w="0" w:type="dxa"/>
            </w:tcMar>
            <w:vAlign w:val="bottom"/>
          </w:tcPr>
          <w:p w:rsidR="00F8358B" w:rsidRDefault="00F8358B">
            <w:pPr>
              <w:keepNext/>
            </w:pPr>
          </w:p>
        </w:tc>
        <w:tc>
          <w:tcPr>
            <w:tcW w:w="945" w:type="dxa"/>
            <w:tcBorders>
              <w:top w:val="single" w:sz="8" w:space="0" w:color="000000"/>
              <w:left w:val="nil"/>
              <w:bottom w:val="single" w:sz="8" w:space="0" w:color="000000"/>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single" w:sz="8" w:space="0" w:color="000000"/>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285"/>
        </w:trPr>
        <w:tc>
          <w:tcPr>
            <w:tcW w:w="2445" w:type="dxa"/>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bottom"/>
          </w:tcPr>
          <w:p w:rsidR="00F8358B" w:rsidRDefault="00F8358B">
            <w:pPr>
              <w:keepNext/>
              <w:spacing w:before="53" w:after="30"/>
            </w:pPr>
          </w:p>
        </w:tc>
        <w:tc>
          <w:tcPr>
            <w:tcW w:w="2535" w:type="dxa"/>
            <w:gridSpan w:val="3"/>
            <w:tcBorders>
              <w:top w:val="nil"/>
              <w:left w:val="nil"/>
              <w:bottom w:val="nil"/>
              <w:right w:val="single" w:sz="8" w:space="0" w:color="000000"/>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color w:val="000000"/>
                <w:sz w:val="20"/>
              </w:rPr>
              <w:t>UK &amp; Ireland Online</w:t>
            </w:r>
          </w:p>
        </w:tc>
        <w:tc>
          <w:tcPr>
            <w:tcW w:w="2535" w:type="dxa"/>
            <w:gridSpan w:val="3"/>
            <w:tcBorders>
              <w:top w:val="nil"/>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center"/>
            </w:pPr>
            <w:r>
              <w:rPr>
                <w:rFonts w:ascii="Calibri" w:eastAsia="Calibri" w:hAnsi="Calibri" w:cs="Calibri"/>
                <w:b/>
                <w:color w:val="000000"/>
                <w:sz w:val="20"/>
              </w:rPr>
              <w:t>UK &amp; Ireland Retail</w:t>
            </w: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480"/>
        </w:trPr>
        <w:tc>
          <w:tcPr>
            <w:tcW w:w="244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F8358B">
            <w:pPr>
              <w:keepNext/>
              <w:spacing w:before="33" w:after="30"/>
            </w:pP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2021</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2020</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ind w:left="120"/>
              <w:jc w:val="right"/>
              <w:rPr>
                <w:rFonts w:ascii="Calibri" w:eastAsia="Calibri" w:hAnsi="Calibri" w:cs="Calibri"/>
                <w:b/>
                <w:sz w:val="20"/>
              </w:rPr>
            </w:pPr>
            <w:r>
              <w:rPr>
                <w:rFonts w:ascii="Calibri" w:eastAsia="Calibri" w:hAnsi="Calibri" w:cs="Calibri"/>
                <w:b/>
                <w:sz w:val="20"/>
              </w:rPr>
              <w:t>CC</w:t>
            </w:r>
            <w:r>
              <w:rPr>
                <w:rFonts w:ascii="Calibri" w:eastAsia="Calibri" w:hAnsi="Calibri" w:cs="Calibri"/>
                <w:b/>
                <w:sz w:val="20"/>
                <w:vertAlign w:val="superscript"/>
              </w:rPr>
              <w:t>1</w:t>
            </w:r>
            <w:r>
              <w:rPr>
                <w:rFonts w:ascii="Calibri" w:eastAsia="Calibri" w:hAnsi="Calibri" w:cs="Calibri"/>
                <w:b/>
                <w:sz w:val="20"/>
              </w:rPr>
              <w:t xml:space="preserve"> %</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2021</w:t>
            </w:r>
          </w:p>
        </w:tc>
        <w:tc>
          <w:tcPr>
            <w:tcW w:w="7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jc w:val="right"/>
            </w:pPr>
            <w:r>
              <w:rPr>
                <w:rFonts w:ascii="Calibri" w:eastAsia="Calibri" w:hAnsi="Calibri" w:cs="Calibri"/>
                <w:b/>
                <w:color w:val="000000"/>
                <w:sz w:val="20"/>
              </w:rPr>
              <w:t>Q3 2020</w:t>
            </w:r>
          </w:p>
        </w:tc>
        <w:tc>
          <w:tcPr>
            <w:tcW w:w="94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F8358B" w:rsidRDefault="00594733">
            <w:pPr>
              <w:keepNext/>
              <w:spacing w:before="33" w:after="30"/>
              <w:ind w:left="120"/>
              <w:jc w:val="right"/>
              <w:rPr>
                <w:rFonts w:ascii="Calibri" w:eastAsia="Calibri" w:hAnsi="Calibri" w:cs="Calibri"/>
                <w:b/>
                <w:sz w:val="20"/>
              </w:rPr>
            </w:pPr>
            <w:r>
              <w:rPr>
                <w:rFonts w:ascii="Calibri" w:eastAsia="Calibri" w:hAnsi="Calibri" w:cs="Calibri"/>
                <w:b/>
                <w:sz w:val="20"/>
              </w:rPr>
              <w:t>CC</w:t>
            </w:r>
            <w:r>
              <w:rPr>
                <w:rFonts w:ascii="Calibri" w:eastAsia="Calibri" w:hAnsi="Calibri" w:cs="Calibri"/>
                <w:b/>
                <w:sz w:val="20"/>
                <w:vertAlign w:val="superscript"/>
              </w:rPr>
              <w:t>1</w:t>
            </w:r>
            <w:r>
              <w:rPr>
                <w:rFonts w:ascii="Calibri" w:eastAsia="Calibri" w:hAnsi="Calibri" w:cs="Calibri"/>
                <w:b/>
                <w:sz w:val="20"/>
              </w:rPr>
              <w:t xml:space="preserve"> %</w:t>
            </w: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285"/>
        </w:trPr>
        <w:tc>
          <w:tcPr>
            <w:tcW w:w="244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F8358B">
            <w:pPr>
              <w:keepNext/>
              <w:spacing w:before="53" w:after="30"/>
            </w:pP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94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ind w:right="120"/>
              <w:jc w:val="right"/>
            </w:pPr>
            <w:r>
              <w:rPr>
                <w:rFonts w:ascii="Calibri" w:eastAsia="Calibri" w:hAnsi="Calibri" w:cs="Calibri"/>
                <w:b/>
                <w:color w:val="000000"/>
                <w:sz w:val="20"/>
              </w:rPr>
              <w:t>Change</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F8358B" w:rsidRDefault="00594733">
            <w:pPr>
              <w:keepNext/>
              <w:spacing w:before="53" w:after="30"/>
              <w:jc w:val="right"/>
            </w:pPr>
            <w:r>
              <w:rPr>
                <w:rFonts w:ascii="Calibri" w:eastAsia="Calibri" w:hAnsi="Calibri" w:cs="Calibri"/>
                <w:b/>
                <w:color w:val="000000"/>
                <w:sz w:val="20"/>
              </w:rPr>
              <w:t>£m</w:t>
            </w:r>
          </w:p>
        </w:tc>
        <w:tc>
          <w:tcPr>
            <w:tcW w:w="94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F8358B" w:rsidRDefault="00594733">
            <w:pPr>
              <w:keepNext/>
              <w:spacing w:before="53" w:after="30"/>
              <w:ind w:right="120"/>
              <w:jc w:val="right"/>
            </w:pPr>
            <w:r>
              <w:rPr>
                <w:rFonts w:ascii="Calibri" w:eastAsia="Calibri" w:hAnsi="Calibri" w:cs="Calibri"/>
                <w:b/>
                <w:color w:val="000000"/>
                <w:sz w:val="20"/>
              </w:rPr>
              <w:t>Change</w:t>
            </w: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480"/>
        </w:trPr>
        <w:tc>
          <w:tcPr>
            <w:tcW w:w="244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rPr>
                <w:rFonts w:ascii="Calibri" w:eastAsia="Calibri" w:hAnsi="Calibri" w:cs="Calibri"/>
                <w:b/>
                <w:sz w:val="20"/>
              </w:rPr>
            </w:pPr>
            <w:r>
              <w:rPr>
                <w:rFonts w:ascii="Calibri" w:eastAsia="Calibri" w:hAnsi="Calibri" w:cs="Calibri"/>
                <w:b/>
                <w:sz w:val="20"/>
              </w:rPr>
              <w:t>Average monthly players</w:t>
            </w:r>
            <w:r>
              <w:rPr>
                <w:rFonts w:ascii="Calibri" w:eastAsia="Calibri" w:hAnsi="Calibri" w:cs="Calibri"/>
                <w:b/>
                <w:sz w:val="20"/>
                <w:vertAlign w:val="superscript"/>
              </w:rPr>
              <w:t>2</w:t>
            </w:r>
            <w:r>
              <w:rPr>
                <w:rFonts w:ascii="Calibri" w:eastAsia="Calibri" w:hAnsi="Calibri" w:cs="Calibri"/>
                <w:b/>
                <w:sz w:val="20"/>
              </w:rPr>
              <w:t xml:space="preserve"> (000's)</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b/>
                <w:i/>
                <w:color w:val="000000"/>
                <w:sz w:val="20"/>
              </w:rPr>
              <w:t>3,060</w:t>
            </w:r>
          </w:p>
        </w:tc>
        <w:tc>
          <w:tcPr>
            <w:tcW w:w="795" w:type="dxa"/>
            <w:tcBorders>
              <w:top w:val="single" w:sz="8" w:space="0" w:color="000000"/>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b/>
                <w:color w:val="000000"/>
                <w:sz w:val="20"/>
              </w:rPr>
              <w:t>2,567</w:t>
            </w:r>
          </w:p>
        </w:tc>
        <w:tc>
          <w:tcPr>
            <w:tcW w:w="945" w:type="dxa"/>
            <w:tcBorders>
              <w:top w:val="single" w:sz="8" w:space="0" w:color="000000"/>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b/>
                <w:color w:val="000000"/>
                <w:sz w:val="20"/>
              </w:rPr>
              <w:t>+19%</w:t>
            </w:r>
          </w:p>
        </w:tc>
        <w:tc>
          <w:tcPr>
            <w:tcW w:w="79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795" w:type="dxa"/>
            <w:tcBorders>
              <w:top w:val="single" w:sz="8" w:space="0" w:color="000000"/>
              <w:left w:val="nil"/>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945" w:type="dxa"/>
            <w:tcBorders>
              <w:top w:val="single" w:sz="8" w:space="0" w:color="000000"/>
              <w:left w:val="nil"/>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28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color w:val="000000"/>
                <w:sz w:val="20"/>
              </w:rPr>
              <w:t>Sportsbook stakes</w:t>
            </w:r>
          </w:p>
        </w:tc>
        <w:tc>
          <w:tcPr>
            <w:tcW w:w="79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2,262</w:t>
            </w:r>
          </w:p>
        </w:tc>
        <w:tc>
          <w:tcPr>
            <w:tcW w:w="79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2,396</w:t>
            </w:r>
          </w:p>
        </w:tc>
        <w:tc>
          <w:tcPr>
            <w:tcW w:w="94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-5%</w:t>
            </w:r>
          </w:p>
        </w:tc>
        <w:tc>
          <w:tcPr>
            <w:tcW w:w="79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365</w:t>
            </w:r>
          </w:p>
        </w:tc>
        <w:tc>
          <w:tcPr>
            <w:tcW w:w="79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394</w:t>
            </w:r>
          </w:p>
        </w:tc>
        <w:tc>
          <w:tcPr>
            <w:tcW w:w="94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-5%</w:t>
            </w: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480"/>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i/>
                <w:color w:val="000000"/>
                <w:sz w:val="20"/>
              </w:rPr>
              <w:t>Sportsbook net revenue margin</w:t>
            </w:r>
          </w:p>
        </w:tc>
        <w:tc>
          <w:tcPr>
            <w:tcW w:w="79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i/>
                <w:color w:val="000000"/>
                <w:sz w:val="20"/>
              </w:rPr>
              <w:t>9.8%</w:t>
            </w:r>
          </w:p>
        </w:tc>
        <w:tc>
          <w:tcPr>
            <w:tcW w:w="79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i/>
                <w:color w:val="000000"/>
                <w:sz w:val="20"/>
              </w:rPr>
              <w:t>9.9%</w:t>
            </w:r>
          </w:p>
        </w:tc>
        <w:tc>
          <w:tcPr>
            <w:tcW w:w="94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i/>
                <w:color w:val="000000"/>
                <w:sz w:val="20"/>
              </w:rPr>
              <w:t>-10bps</w:t>
            </w:r>
          </w:p>
        </w:tc>
        <w:tc>
          <w:tcPr>
            <w:tcW w:w="79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i/>
                <w:color w:val="000000"/>
                <w:sz w:val="20"/>
              </w:rPr>
              <w:t>12.5%</w:t>
            </w:r>
          </w:p>
        </w:tc>
        <w:tc>
          <w:tcPr>
            <w:tcW w:w="79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i/>
                <w:color w:val="000000"/>
                <w:sz w:val="20"/>
              </w:rPr>
              <w:t>13.4%</w:t>
            </w:r>
          </w:p>
        </w:tc>
        <w:tc>
          <w:tcPr>
            <w:tcW w:w="94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i/>
                <w:color w:val="000000"/>
                <w:sz w:val="20"/>
              </w:rPr>
              <w:t>-90bps</w:t>
            </w: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28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F8358B">
            <w:pPr>
              <w:keepNext/>
            </w:pPr>
          </w:p>
        </w:tc>
        <w:tc>
          <w:tcPr>
            <w:tcW w:w="79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79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94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79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79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94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F8358B">
            <w:pPr>
              <w:keepNext/>
              <w:jc w:val="center"/>
            </w:pP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28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color w:val="000000"/>
                <w:sz w:val="20"/>
              </w:rPr>
              <w:t>Sports revenue</w:t>
            </w:r>
          </w:p>
        </w:tc>
        <w:tc>
          <w:tcPr>
            <w:tcW w:w="79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256</w:t>
            </w:r>
          </w:p>
        </w:tc>
        <w:tc>
          <w:tcPr>
            <w:tcW w:w="79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281</w:t>
            </w:r>
          </w:p>
        </w:tc>
        <w:tc>
          <w:tcPr>
            <w:tcW w:w="94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-8%</w:t>
            </w:r>
          </w:p>
        </w:tc>
        <w:tc>
          <w:tcPr>
            <w:tcW w:w="79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45</w:t>
            </w:r>
          </w:p>
        </w:tc>
        <w:tc>
          <w:tcPr>
            <w:tcW w:w="79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53</w:t>
            </w:r>
          </w:p>
        </w:tc>
        <w:tc>
          <w:tcPr>
            <w:tcW w:w="945" w:type="dxa"/>
            <w:tcBorders>
              <w:top w:val="nil"/>
              <w:left w:val="nil"/>
              <w:bottom w:val="nil"/>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-11%</w:t>
            </w: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285"/>
        </w:trPr>
        <w:tc>
          <w:tcPr>
            <w:tcW w:w="2445" w:type="dxa"/>
            <w:tcBorders>
              <w:top w:val="nil"/>
              <w:left w:val="single" w:sz="8" w:space="0" w:color="000000"/>
              <w:bottom w:val="nil"/>
              <w:right w:val="nil"/>
            </w:tcBorders>
            <w:shd w:val="clear" w:color="auto" w:fill="FFFFFF"/>
            <w:tcMar>
              <w:top w:w="0" w:type="dxa"/>
              <w:left w:w="53" w:type="dxa"/>
              <w:bottom w:w="0" w:type="dxa"/>
              <w:right w:w="53" w:type="dxa"/>
            </w:tcMar>
            <w:vAlign w:val="center"/>
          </w:tcPr>
          <w:p w:rsidR="00F8358B" w:rsidRDefault="00594733">
            <w:pPr>
              <w:keepNext/>
            </w:pPr>
            <w:r>
              <w:rPr>
                <w:rFonts w:ascii="Calibri" w:eastAsia="Calibri" w:hAnsi="Calibri" w:cs="Calibri"/>
                <w:color w:val="000000"/>
                <w:sz w:val="20"/>
              </w:rPr>
              <w:t>Gaming revenue</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167</w:t>
            </w:r>
          </w:p>
        </w:tc>
        <w:tc>
          <w:tcPr>
            <w:tcW w:w="795" w:type="dxa"/>
            <w:tcBorders>
              <w:top w:val="nil"/>
              <w:left w:val="nil"/>
              <w:bottom w:val="single" w:sz="8" w:space="0" w:color="000000"/>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165</w:t>
            </w:r>
          </w:p>
        </w:tc>
        <w:tc>
          <w:tcPr>
            <w:tcW w:w="945" w:type="dxa"/>
            <w:tcBorders>
              <w:top w:val="nil"/>
              <w:left w:val="nil"/>
              <w:bottom w:val="single" w:sz="8" w:space="0" w:color="000000"/>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+2%</w:t>
            </w:r>
          </w:p>
        </w:tc>
        <w:tc>
          <w:tcPr>
            <w:tcW w:w="79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22</w:t>
            </w:r>
          </w:p>
        </w:tc>
        <w:tc>
          <w:tcPr>
            <w:tcW w:w="795" w:type="dxa"/>
            <w:tcBorders>
              <w:top w:val="nil"/>
              <w:left w:val="nil"/>
              <w:bottom w:val="single" w:sz="8" w:space="0" w:color="000000"/>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21</w:t>
            </w:r>
          </w:p>
        </w:tc>
        <w:tc>
          <w:tcPr>
            <w:tcW w:w="945" w:type="dxa"/>
            <w:tcBorders>
              <w:top w:val="nil"/>
              <w:left w:val="nil"/>
              <w:bottom w:val="single" w:sz="8" w:space="0" w:color="000000"/>
              <w:right w:val="nil"/>
            </w:tcBorders>
            <w:shd w:val="clear" w:color="auto" w:fill="FFFFFF"/>
            <w:tcMar>
              <w:top w:w="0" w:type="dxa"/>
              <w:left w:w="53" w:type="dxa"/>
              <w:bottom w:w="0" w:type="dxa"/>
              <w:right w:w="15" w:type="dxa"/>
            </w:tcMar>
            <w:vAlign w:val="center"/>
          </w:tcPr>
          <w:p w:rsidR="00F8358B" w:rsidRDefault="00594733">
            <w:pPr>
              <w:keepNext/>
              <w:jc w:val="center"/>
            </w:pPr>
            <w:r>
              <w:rPr>
                <w:rFonts w:ascii="Calibri" w:eastAsia="Calibri" w:hAnsi="Calibri" w:cs="Calibri"/>
                <w:color w:val="000000"/>
                <w:sz w:val="20"/>
              </w:rPr>
              <w:t>+6%</w:t>
            </w: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4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795" w:type="dxa"/>
            <w:tcBorders>
              <w:top w:val="nil"/>
              <w:left w:val="nil"/>
              <w:bottom w:val="nil"/>
              <w:right w:val="nil"/>
            </w:tcBorders>
            <w:tcMar>
              <w:top w:w="0" w:type="dxa"/>
              <w:left w:w="0" w:type="dxa"/>
              <w:bottom w:w="0" w:type="dxa"/>
              <w:right w:w="0" w:type="dxa"/>
            </w:tcMar>
            <w:vAlign w:val="bottom"/>
          </w:tcPr>
          <w:p w:rsidR="00F8358B" w:rsidRDefault="00F8358B">
            <w:pPr>
              <w:keepNext/>
            </w:pPr>
          </w:p>
        </w:tc>
        <w:tc>
          <w:tcPr>
            <w:tcW w:w="960" w:type="dxa"/>
            <w:tcBorders>
              <w:top w:val="nil"/>
              <w:left w:val="nil"/>
              <w:bottom w:val="nil"/>
              <w:right w:val="nil"/>
            </w:tcBorders>
            <w:tcMar>
              <w:top w:w="0" w:type="dxa"/>
              <w:left w:w="0" w:type="dxa"/>
              <w:bottom w:w="0" w:type="dxa"/>
              <w:right w:w="0" w:type="dxa"/>
            </w:tcMar>
            <w:vAlign w:val="bottom"/>
          </w:tcPr>
          <w:p w:rsidR="00F8358B" w:rsidRDefault="00F8358B">
            <w:pPr>
              <w:keepNext/>
            </w:pPr>
          </w:p>
        </w:tc>
      </w:tr>
      <w:tr w:rsidR="00F8358B">
        <w:trPr>
          <w:cantSplit/>
          <w:trHeight w:hRule="exact" w:val="285"/>
        </w:trPr>
        <w:tc>
          <w:tcPr>
            <w:tcW w:w="244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rsidR="00F8358B" w:rsidRDefault="00594733">
            <w:r>
              <w:rPr>
                <w:rFonts w:ascii="Calibri" w:eastAsia="Calibri" w:hAnsi="Calibri" w:cs="Calibri"/>
                <w:b/>
                <w:color w:val="000000"/>
                <w:sz w:val="20"/>
              </w:rPr>
              <w:t>Total revenue</w:t>
            </w:r>
          </w:p>
        </w:tc>
        <w:tc>
          <w:tcPr>
            <w:tcW w:w="7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15" w:type="dxa"/>
            </w:tcMar>
            <w:vAlign w:val="center"/>
          </w:tcPr>
          <w:p w:rsidR="00F8358B" w:rsidRDefault="00594733">
            <w:pPr>
              <w:jc w:val="center"/>
            </w:pPr>
            <w:r>
              <w:rPr>
                <w:rFonts w:ascii="Calibri" w:eastAsia="Calibri" w:hAnsi="Calibri" w:cs="Calibri"/>
                <w:b/>
                <w:color w:val="000000"/>
                <w:sz w:val="20"/>
              </w:rPr>
              <w:t>423</w:t>
            </w:r>
          </w:p>
        </w:tc>
        <w:tc>
          <w:tcPr>
            <w:tcW w:w="795" w:type="dxa"/>
            <w:tcBorders>
              <w:top w:val="single" w:sz="8" w:space="0" w:color="000000"/>
              <w:left w:val="nil"/>
              <w:bottom w:val="single" w:sz="8" w:space="0" w:color="000000"/>
              <w:right w:val="nil"/>
            </w:tcBorders>
            <w:shd w:val="clear" w:color="auto" w:fill="FFFFFF"/>
            <w:tcMar>
              <w:top w:w="0" w:type="dxa"/>
              <w:left w:w="53" w:type="dxa"/>
              <w:bottom w:w="0" w:type="dxa"/>
              <w:right w:w="15" w:type="dxa"/>
            </w:tcMar>
            <w:vAlign w:val="center"/>
          </w:tcPr>
          <w:p w:rsidR="00F8358B" w:rsidRDefault="00594733">
            <w:pPr>
              <w:jc w:val="center"/>
            </w:pPr>
            <w:r>
              <w:rPr>
                <w:rFonts w:ascii="Calibri" w:eastAsia="Calibri" w:hAnsi="Calibri" w:cs="Calibri"/>
                <w:b/>
                <w:color w:val="000000"/>
                <w:sz w:val="20"/>
              </w:rPr>
              <w:t>446</w:t>
            </w:r>
          </w:p>
        </w:tc>
        <w:tc>
          <w:tcPr>
            <w:tcW w:w="945" w:type="dxa"/>
            <w:tcBorders>
              <w:top w:val="single" w:sz="8" w:space="0" w:color="000000"/>
              <w:left w:val="nil"/>
              <w:bottom w:val="single" w:sz="8" w:space="0" w:color="000000"/>
              <w:right w:val="nil"/>
            </w:tcBorders>
            <w:shd w:val="clear" w:color="auto" w:fill="FFFFFF"/>
            <w:tcMar>
              <w:top w:w="0" w:type="dxa"/>
              <w:left w:w="53" w:type="dxa"/>
              <w:bottom w:w="0" w:type="dxa"/>
              <w:right w:w="15" w:type="dxa"/>
            </w:tcMar>
            <w:vAlign w:val="center"/>
          </w:tcPr>
          <w:p w:rsidR="00F8358B" w:rsidRDefault="00594733">
            <w:pPr>
              <w:jc w:val="center"/>
            </w:pPr>
            <w:r>
              <w:rPr>
                <w:rFonts w:ascii="Calibri" w:eastAsia="Calibri" w:hAnsi="Calibri" w:cs="Calibri"/>
                <w:b/>
                <w:color w:val="000000"/>
                <w:sz w:val="20"/>
              </w:rPr>
              <w:t>-5%</w:t>
            </w:r>
          </w:p>
        </w:tc>
        <w:tc>
          <w:tcPr>
            <w:tcW w:w="7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15" w:type="dxa"/>
            </w:tcMar>
            <w:vAlign w:val="center"/>
          </w:tcPr>
          <w:p w:rsidR="00F8358B" w:rsidRDefault="00594733">
            <w:pPr>
              <w:jc w:val="center"/>
            </w:pPr>
            <w:r>
              <w:rPr>
                <w:rFonts w:ascii="Calibri" w:eastAsia="Calibri" w:hAnsi="Calibri" w:cs="Calibri"/>
                <w:b/>
                <w:color w:val="000000"/>
                <w:sz w:val="20"/>
              </w:rPr>
              <w:t>68</w:t>
            </w:r>
          </w:p>
        </w:tc>
        <w:tc>
          <w:tcPr>
            <w:tcW w:w="795" w:type="dxa"/>
            <w:tcBorders>
              <w:top w:val="single" w:sz="8" w:space="0" w:color="000000"/>
              <w:left w:val="nil"/>
              <w:bottom w:val="single" w:sz="8" w:space="0" w:color="000000"/>
              <w:right w:val="nil"/>
            </w:tcBorders>
            <w:shd w:val="clear" w:color="auto" w:fill="FFFFFF"/>
            <w:tcMar>
              <w:top w:w="0" w:type="dxa"/>
              <w:left w:w="53" w:type="dxa"/>
              <w:bottom w:w="0" w:type="dxa"/>
              <w:right w:w="15" w:type="dxa"/>
            </w:tcMar>
            <w:vAlign w:val="center"/>
          </w:tcPr>
          <w:p w:rsidR="00F8358B" w:rsidRDefault="00594733">
            <w:pPr>
              <w:jc w:val="center"/>
            </w:pPr>
            <w:r>
              <w:rPr>
                <w:rFonts w:ascii="Calibri" w:eastAsia="Calibri" w:hAnsi="Calibri" w:cs="Calibri"/>
                <w:b/>
                <w:color w:val="000000"/>
                <w:sz w:val="20"/>
              </w:rPr>
              <w:t>74</w:t>
            </w:r>
          </w:p>
        </w:tc>
        <w:tc>
          <w:tcPr>
            <w:tcW w:w="945" w:type="dxa"/>
            <w:tcBorders>
              <w:top w:val="single" w:sz="8" w:space="0" w:color="000000"/>
              <w:left w:val="nil"/>
              <w:bottom w:val="single" w:sz="8" w:space="0" w:color="000000"/>
              <w:right w:val="nil"/>
            </w:tcBorders>
            <w:shd w:val="clear" w:color="auto" w:fill="FFFFFF"/>
            <w:tcMar>
              <w:top w:w="0" w:type="dxa"/>
              <w:left w:w="53" w:type="dxa"/>
              <w:bottom w:w="0" w:type="dxa"/>
              <w:right w:w="15" w:type="dxa"/>
            </w:tcMar>
            <w:vAlign w:val="center"/>
          </w:tcPr>
          <w:p w:rsidR="00F8358B" w:rsidRDefault="00594733">
            <w:pPr>
              <w:jc w:val="center"/>
            </w:pPr>
            <w:r>
              <w:rPr>
                <w:rFonts w:ascii="Calibri" w:eastAsia="Calibri" w:hAnsi="Calibri" w:cs="Calibri"/>
                <w:b/>
                <w:color w:val="000000"/>
                <w:sz w:val="20"/>
              </w:rPr>
              <w:t>-6%</w:t>
            </w:r>
          </w:p>
        </w:tc>
        <w:tc>
          <w:tcPr>
            <w:tcW w:w="795" w:type="dxa"/>
            <w:tcBorders>
              <w:top w:val="nil"/>
              <w:left w:val="single" w:sz="8" w:space="0" w:color="000000"/>
              <w:bottom w:val="nil"/>
              <w:right w:val="nil"/>
            </w:tcBorders>
            <w:tcMar>
              <w:top w:w="0" w:type="dxa"/>
              <w:left w:w="0" w:type="dxa"/>
              <w:bottom w:w="0" w:type="dxa"/>
              <w:right w:w="0" w:type="dxa"/>
            </w:tcMar>
            <w:vAlign w:val="bottom"/>
          </w:tcPr>
          <w:p w:rsidR="00F8358B" w:rsidRDefault="00F8358B"/>
        </w:tc>
        <w:tc>
          <w:tcPr>
            <w:tcW w:w="795" w:type="dxa"/>
            <w:tcBorders>
              <w:top w:val="nil"/>
              <w:left w:val="nil"/>
              <w:bottom w:val="nil"/>
              <w:right w:val="nil"/>
            </w:tcBorders>
            <w:tcMar>
              <w:top w:w="0" w:type="dxa"/>
              <w:left w:w="0" w:type="dxa"/>
              <w:bottom w:w="0" w:type="dxa"/>
              <w:right w:w="0" w:type="dxa"/>
            </w:tcMar>
            <w:vAlign w:val="bottom"/>
          </w:tcPr>
          <w:p w:rsidR="00F8358B" w:rsidRDefault="00F8358B"/>
        </w:tc>
        <w:tc>
          <w:tcPr>
            <w:tcW w:w="945" w:type="dxa"/>
            <w:tcBorders>
              <w:top w:val="nil"/>
              <w:left w:val="nil"/>
              <w:bottom w:val="nil"/>
              <w:right w:val="nil"/>
            </w:tcBorders>
            <w:tcMar>
              <w:top w:w="0" w:type="dxa"/>
              <w:left w:w="0" w:type="dxa"/>
              <w:bottom w:w="0" w:type="dxa"/>
              <w:right w:w="0" w:type="dxa"/>
            </w:tcMar>
            <w:vAlign w:val="bottom"/>
          </w:tcPr>
          <w:p w:rsidR="00F8358B" w:rsidRDefault="00F8358B"/>
        </w:tc>
        <w:tc>
          <w:tcPr>
            <w:tcW w:w="795" w:type="dxa"/>
            <w:tcBorders>
              <w:top w:val="nil"/>
              <w:left w:val="nil"/>
              <w:bottom w:val="nil"/>
              <w:right w:val="nil"/>
            </w:tcBorders>
            <w:tcMar>
              <w:top w:w="0" w:type="dxa"/>
              <w:left w:w="0" w:type="dxa"/>
              <w:bottom w:w="0" w:type="dxa"/>
              <w:right w:w="0" w:type="dxa"/>
            </w:tcMar>
            <w:vAlign w:val="bottom"/>
          </w:tcPr>
          <w:p w:rsidR="00F8358B" w:rsidRDefault="00F8358B"/>
        </w:tc>
        <w:tc>
          <w:tcPr>
            <w:tcW w:w="795" w:type="dxa"/>
            <w:tcBorders>
              <w:top w:val="nil"/>
              <w:left w:val="nil"/>
              <w:bottom w:val="nil"/>
              <w:right w:val="nil"/>
            </w:tcBorders>
            <w:tcMar>
              <w:top w:w="0" w:type="dxa"/>
              <w:left w:w="0" w:type="dxa"/>
              <w:bottom w:w="0" w:type="dxa"/>
              <w:right w:w="0" w:type="dxa"/>
            </w:tcMar>
            <w:vAlign w:val="bottom"/>
          </w:tcPr>
          <w:p w:rsidR="00F8358B" w:rsidRDefault="00F8358B"/>
        </w:tc>
        <w:tc>
          <w:tcPr>
            <w:tcW w:w="945" w:type="dxa"/>
            <w:tcBorders>
              <w:top w:val="nil"/>
              <w:left w:val="nil"/>
              <w:bottom w:val="nil"/>
              <w:right w:val="nil"/>
            </w:tcBorders>
            <w:tcMar>
              <w:top w:w="0" w:type="dxa"/>
              <w:left w:w="0" w:type="dxa"/>
              <w:bottom w:w="0" w:type="dxa"/>
              <w:right w:w="0" w:type="dxa"/>
            </w:tcMar>
            <w:vAlign w:val="bottom"/>
          </w:tcPr>
          <w:p w:rsidR="00F8358B" w:rsidRDefault="00F8358B"/>
        </w:tc>
        <w:tc>
          <w:tcPr>
            <w:tcW w:w="795" w:type="dxa"/>
            <w:tcBorders>
              <w:top w:val="nil"/>
              <w:left w:val="nil"/>
              <w:bottom w:val="nil"/>
              <w:right w:val="nil"/>
            </w:tcBorders>
            <w:tcMar>
              <w:top w:w="0" w:type="dxa"/>
              <w:left w:w="0" w:type="dxa"/>
              <w:bottom w:w="0" w:type="dxa"/>
              <w:right w:w="0" w:type="dxa"/>
            </w:tcMar>
            <w:vAlign w:val="bottom"/>
          </w:tcPr>
          <w:p w:rsidR="00F8358B" w:rsidRDefault="00F8358B"/>
        </w:tc>
        <w:tc>
          <w:tcPr>
            <w:tcW w:w="795" w:type="dxa"/>
            <w:tcBorders>
              <w:top w:val="nil"/>
              <w:left w:val="nil"/>
              <w:bottom w:val="nil"/>
              <w:right w:val="nil"/>
            </w:tcBorders>
            <w:tcMar>
              <w:top w:w="0" w:type="dxa"/>
              <w:left w:w="0" w:type="dxa"/>
              <w:bottom w:w="0" w:type="dxa"/>
              <w:right w:w="0" w:type="dxa"/>
            </w:tcMar>
            <w:vAlign w:val="bottom"/>
          </w:tcPr>
          <w:p w:rsidR="00F8358B" w:rsidRDefault="00F8358B"/>
        </w:tc>
        <w:tc>
          <w:tcPr>
            <w:tcW w:w="960" w:type="dxa"/>
            <w:tcBorders>
              <w:top w:val="nil"/>
              <w:left w:val="nil"/>
              <w:bottom w:val="nil"/>
              <w:right w:val="nil"/>
            </w:tcBorders>
            <w:tcMar>
              <w:top w:w="0" w:type="dxa"/>
              <w:left w:w="0" w:type="dxa"/>
              <w:bottom w:w="0" w:type="dxa"/>
              <w:right w:w="0" w:type="dxa"/>
            </w:tcMar>
            <w:vAlign w:val="bottom"/>
          </w:tcPr>
          <w:p w:rsidR="00F8358B" w:rsidRDefault="00F8358B"/>
        </w:tc>
      </w:tr>
    </w:tbl>
    <w:p w:rsidR="00F8358B" w:rsidRDefault="00F8358B">
      <w:pPr>
        <w:spacing w:before="120" w:line="288" w:lineRule="auto"/>
        <w:rPr>
          <w:rFonts w:ascii="Calibri" w:eastAsia="Calibri" w:hAnsi="Calibri" w:cs="Calibri"/>
          <w:i/>
          <w:sz w:val="22"/>
          <w:shd w:val="clear" w:color="auto" w:fill="FFFF00"/>
        </w:rPr>
      </w:pPr>
    </w:p>
    <w:p w:rsidR="00F8358B" w:rsidRDefault="00F8358B">
      <w:pPr>
        <w:spacing w:line="288" w:lineRule="auto"/>
        <w:rPr>
          <w:rFonts w:ascii="Arial" w:eastAsia="Arial" w:hAnsi="Arial" w:cs="Arial"/>
          <w:i/>
          <w:shd w:val="clear" w:color="auto" w:fill="FFFF00"/>
        </w:rPr>
      </w:pPr>
    </w:p>
    <w:p w:rsidR="00F8358B" w:rsidRDefault="00594733">
      <w:pPr>
        <w:spacing w:line="288" w:lineRule="auto"/>
        <w:rPr>
          <w:rFonts w:ascii="Calibri" w:eastAsia="Calibri" w:hAnsi="Calibri" w:cs="Calibri"/>
          <w:i/>
          <w:sz w:val="22"/>
          <w:shd w:val="clear" w:color="auto" w:fill="FFFF00"/>
        </w:rPr>
      </w:pPr>
      <w:r>
        <w:rPr>
          <w:rFonts w:ascii="Calibri" w:eastAsia="Calibri" w:hAnsi="Calibri" w:cs="Calibri"/>
          <w:i/>
          <w:sz w:val="18"/>
          <w:vertAlign w:val="superscript"/>
        </w:rPr>
        <w:t xml:space="preserve">1 </w:t>
      </w:r>
      <w:r>
        <w:rPr>
          <w:rFonts w:ascii="Calibri" w:eastAsia="Calibri" w:hAnsi="Calibri" w:cs="Calibri"/>
          <w:i/>
          <w:sz w:val="18"/>
        </w:rPr>
        <w:t>Constant currency (“cc”) growth is calculated by retranslating the non-sterling denominated component of Q3 2020 at Q3 2021 exchange rates.</w:t>
      </w:r>
    </w:p>
    <w:p w:rsidR="00F8358B" w:rsidRDefault="00594733">
      <w:pPr>
        <w:spacing w:line="288" w:lineRule="auto"/>
        <w:rPr>
          <w:rFonts w:ascii="Arial" w:eastAsia="Arial" w:hAnsi="Arial" w:cs="Arial"/>
          <w:i/>
          <w:sz w:val="18"/>
          <w:shd w:val="clear" w:color="auto" w:fill="FFFF00"/>
        </w:rPr>
      </w:pPr>
      <w:r>
        <w:rPr>
          <w:rFonts w:ascii="Calibri" w:eastAsia="Calibri" w:hAnsi="Calibri" w:cs="Calibri"/>
          <w:i/>
          <w:sz w:val="18"/>
          <w:vertAlign w:val="superscript"/>
        </w:rPr>
        <w:t>2</w:t>
      </w:r>
      <w:r>
        <w:rPr>
          <w:rFonts w:ascii="Calibri" w:eastAsia="Calibri" w:hAnsi="Calibri" w:cs="Calibri"/>
          <w:i/>
          <w:sz w:val="18"/>
        </w:rPr>
        <w:t xml:space="preserve"> </w:t>
      </w:r>
      <w:r>
        <w:rPr>
          <w:rFonts w:ascii="Calibri" w:eastAsia="Calibri" w:hAnsi="Calibri" w:cs="Calibri"/>
          <w:i/>
          <w:sz w:val="18"/>
          <w:vertAlign w:val="superscript"/>
        </w:rPr>
        <w:t xml:space="preserve"> </w:t>
      </w:r>
      <w:r>
        <w:rPr>
          <w:rFonts w:ascii="Calibri" w:eastAsia="Calibri" w:hAnsi="Calibri" w:cs="Calibri"/>
          <w:i/>
          <w:sz w:val="18"/>
        </w:rPr>
        <w:t>Average Monthly Players represent the average number of players who have placed and/or wagered a stake and/or contributed to rake or tournament fees during the month in the reporting period. The AMP numbers do not include Junglee players in 2020 or 2021 to allow for better comparability of underlying player growth for International and Group.</w:t>
      </w:r>
    </w:p>
    <w:sectPr w:rsidR="00F8358B">
      <w:headerReference w:type="default" r:id="rId11"/>
      <w:footerReference w:type="default" r:id="rId12"/>
      <w:type w:val="continuous"/>
      <w:pgSz w:w="16838" w:h="11900" w:orient="landscape"/>
      <w:pgMar w:top="1304" w:right="1020" w:bottom="1247" w:left="907"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743" w:rsidRDefault="00594733">
      <w:r>
        <w:separator/>
      </w:r>
    </w:p>
  </w:endnote>
  <w:endnote w:type="continuationSeparator" w:id="0">
    <w:p w:rsidR="00F57743" w:rsidRDefault="0059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58B" w:rsidRDefault="00594733">
    <w:pPr>
      <w:spacing w:line="288" w:lineRule="auto"/>
      <w:jc w:val="center"/>
      <w:rPr>
        <w:rFonts w:ascii="Calibri" w:eastAsia="Calibri" w:hAnsi="Calibri" w:cs="Calibri"/>
        <w:sz w:val="22"/>
      </w:rPr>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4</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58B" w:rsidRDefault="00594733">
    <w:pPr>
      <w:spacing w:line="288" w:lineRule="auto"/>
      <w:jc w:val="center"/>
      <w:rPr>
        <w:rFonts w:ascii="Calibri" w:eastAsia="Calibri" w:hAnsi="Calibri" w:cs="Calibri"/>
        <w:sz w:val="22"/>
      </w:rPr>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5</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743" w:rsidRDefault="00594733">
      <w:r>
        <w:separator/>
      </w:r>
    </w:p>
  </w:footnote>
  <w:footnote w:type="continuationSeparator" w:id="0">
    <w:p w:rsidR="00F57743" w:rsidRDefault="0059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58B" w:rsidRDefault="00F8358B">
    <w:pPr>
      <w:spacing w:line="288" w:lineRule="auto"/>
      <w:rPr>
        <w:rFonts w:ascii="Arial" w:eastAsia="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58B" w:rsidRDefault="00F8358B">
    <w:pPr>
      <w:spacing w:line="288" w:lineRule="auto"/>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C"/>
    <w:multiLevelType w:val="multilevel"/>
    <w:tmpl w:val="00000001"/>
    <w:lvl w:ilvl="0">
      <w:start w:val="1"/>
      <w:numFmt w:val="decimal"/>
      <w:lvlText w:val="•"/>
      <w:lvlJc w:val="left"/>
      <w:pPr>
        <w:tabs>
          <w:tab w:val="num" w:pos="425"/>
        </w:tabs>
        <w:ind w:left="720" w:hanging="360"/>
      </w:pPr>
      <w:rPr>
        <w:rFonts w:ascii="Calibri" w:eastAsia="Calibri" w:hAnsi="Calibri" w:cs="Calibri"/>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D"/>
    <w:multiLevelType w:val="multilevel"/>
    <w:tmpl w:val="0000000D"/>
    <w:styleLink w:val="EnDash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2F"/>
    <w:multiLevelType w:val="multilevel"/>
    <w:tmpl w:val="0000000D"/>
    <w:lvl w:ilvl="0">
      <w:start w:val="1"/>
      <w:numFmt w:val="decimal"/>
      <w:lvlText w:val="–"/>
      <w:lvlJc w:val="left"/>
      <w:pPr>
        <w:tabs>
          <w:tab w:val="num" w:pos="850"/>
        </w:tabs>
        <w:ind w:left="720" w:hanging="360"/>
      </w:pPr>
      <w:rPr>
        <w:rFonts w:ascii="Arial" w:eastAsia="Arial" w:hAnsi="Arial" w:cs="Arial"/>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7A"/>
    <w:multiLevelType w:val="multilevel"/>
    <w:tmpl w:val="00000001"/>
    <w:lvl w:ilvl="0">
      <w:start w:val="1"/>
      <w:numFmt w:val="decimal"/>
      <w:lvlText w:val="•"/>
      <w:lvlJc w:val="left"/>
      <w:pPr>
        <w:tabs>
          <w:tab w:val="num" w:pos="425"/>
        </w:tabs>
        <w:ind w:left="720" w:hanging="360"/>
      </w:pPr>
      <w:rPr>
        <w:rFonts w:ascii="Calibri" w:eastAsia="Calibri" w:hAnsi="Calibri" w:cs="Calibri"/>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93"/>
    <w:multiLevelType w:val="multilevel"/>
    <w:tmpl w:val="00000001"/>
    <w:lvl w:ilvl="0">
      <w:start w:val="1"/>
      <w:numFmt w:val="decimal"/>
      <w:lvlText w:val="•"/>
      <w:lvlJc w:val="left"/>
      <w:pPr>
        <w:tabs>
          <w:tab w:val="num" w:pos="425"/>
        </w:tabs>
        <w:ind w:left="720" w:hanging="360"/>
      </w:pPr>
      <w:rPr>
        <w:rFonts w:ascii="Calibri" w:eastAsia="Calibri" w:hAnsi="Calibri" w:cs="Calibri"/>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DC"/>
    <w:multiLevelType w:val="multilevel"/>
    <w:tmpl w:val="00000001"/>
    <w:lvl w:ilvl="0">
      <w:start w:val="1"/>
      <w:numFmt w:val="decimal"/>
      <w:lvlText w:val="•"/>
      <w:lvlJc w:val="left"/>
      <w:pPr>
        <w:tabs>
          <w:tab w:val="num" w:pos="425"/>
        </w:tabs>
        <w:ind w:left="720" w:hanging="360"/>
      </w:pPr>
      <w:rPr>
        <w:rFonts w:ascii="Calibri" w:eastAsia="Calibri" w:hAnsi="Calibri" w:cs="Calibri"/>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DE"/>
    <w:multiLevelType w:val="multilevel"/>
    <w:tmpl w:val="00000001"/>
    <w:lvl w:ilvl="0">
      <w:start w:val="1"/>
      <w:numFmt w:val="decimal"/>
      <w:lvlText w:val="•"/>
      <w:lvlJc w:val="left"/>
      <w:pPr>
        <w:tabs>
          <w:tab w:val="num" w:pos="425"/>
        </w:tabs>
        <w:ind w:left="720" w:hanging="360"/>
      </w:pPr>
      <w:rPr>
        <w:rFonts w:ascii="Calibri" w:eastAsia="Calibri" w:hAnsi="Calibri" w:cs="Calibri"/>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594733"/>
    <w:rsid w:val="00970894"/>
    <w:rsid w:val="00A77B3E"/>
    <w:rsid w:val="00CA2A55"/>
    <w:rsid w:val="00D62012"/>
    <w:rsid w:val="00F57743"/>
    <w:rsid w:val="00F835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F1B36E-2247-44D6-AA70-4F510B5D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numbering" w:customStyle="1" w:styleId="EnDashSYMBOL">
    <w:name w:val="EnDashSYMBOL–"/>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cossprereg.btci.com/prereg/key.process?key=PLCLMWK8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2021-11-02T09:24:01+00:00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B9A593B-37F8-4D10-BE80-DDC6454E9C33}"/>
</file>

<file path=customXml/itemProps2.xml><?xml version="1.0" encoding="utf-8"?>
<ds:datastoreItem xmlns:ds="http://schemas.openxmlformats.org/officeDocument/2006/customXml" ds:itemID="{E096B61E-9DF5-4429-8D5B-ADBD297125BE}"/>
</file>

<file path=customXml/itemProps3.xml><?xml version="1.0" encoding="utf-8"?>
<ds:datastoreItem xmlns:ds="http://schemas.openxmlformats.org/officeDocument/2006/customXml" ds:itemID="{2388072A-C94F-4D1F-8D03-F93B0B9B6C56}"/>
</file>

<file path=docProps/app.xml><?xml version="1.0" encoding="utf-8"?>
<Properties xmlns="http://schemas.openxmlformats.org/officeDocument/2006/extended-properties" xmlns:vt="http://schemas.openxmlformats.org/officeDocument/2006/docPropsVTypes">
  <Template>Normal</Template>
  <TotalTime>0</TotalTime>
  <Pages>3</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Flutter Annual Financial Statement (Investor Relations)</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Flutter Annual Financial Statement (Investor Relations)</dc:title>
  <dc:creator>Ciara O'Mullane</dc:creator>
  <cp:lastModifiedBy>Ciara O'Mullane</cp:lastModifiedBy>
  <cp:revision>2</cp:revision>
  <dcterms:created xsi:type="dcterms:W3CDTF">2021-11-01T17:10:00Z</dcterms:created>
  <dcterms:modified xsi:type="dcterms:W3CDTF">2021-11-01T17:10:00Z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177096400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