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B3E" w:rsidRDefault="00594733">
      <w:pPr>
        <w:spacing w:line="288" w:lineRule="auto"/>
        <w:jc w:val="center"/>
        <w:rPr>
          <w:rFonts w:ascii="Arial" w:eastAsia="Arial" w:hAnsi="Arial" w:cs="Arial"/>
        </w:rPr>
      </w:pPr>
      <w:bookmarkStart w:id="0" w:name="Section1"/>
      <w:bookmarkStart w:id="1" w:name="_GoBack"/>
      <w:bookmarkEnd w:id="0"/>
      <w:bookmarkEnd w:id="1"/>
      <w:r>
        <w:rPr>
          <w:noProof/>
        </w:rPr>
        <w:drawing>
          <wp:inline distT="0" distB="0" distL="0" distR="0">
            <wp:extent cx="1646047" cy="35814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a:xfrm>
                      <a:off x="0" y="0"/>
                      <a:ext cx="1646047" cy="358140"/>
                    </a:xfrm>
                    <a:prstGeom prst="rect">
                      <a:avLst/>
                    </a:prstGeom>
                    <a:noFill/>
                    <a:ln>
                      <a:noFill/>
                    </a:ln>
                  </pic:spPr>
                </pic:pic>
              </a:graphicData>
            </a:graphic>
          </wp:inline>
        </w:drawing>
      </w:r>
    </w:p>
    <w:p w:rsidR="00A77B3E" w:rsidRDefault="00594733">
      <w:pPr>
        <w:spacing w:after="40" w:line="288" w:lineRule="auto"/>
        <w:jc w:val="right"/>
        <w:outlineLvl w:val="0"/>
        <w:rPr>
          <w:rFonts w:ascii="Arial" w:eastAsia="Arial" w:hAnsi="Arial" w:cs="Arial"/>
        </w:rPr>
      </w:pPr>
      <w:r>
        <w:rPr>
          <w:rFonts w:ascii="Calibri" w:eastAsia="Calibri" w:hAnsi="Calibri" w:cs="Calibri"/>
          <w:b/>
          <w:sz w:val="22"/>
        </w:rPr>
        <w:t>2 November 2021</w:t>
      </w:r>
    </w:p>
    <w:p w:rsidR="00A77B3E" w:rsidRDefault="00594733">
      <w:pPr>
        <w:spacing w:after="80" w:line="288" w:lineRule="auto"/>
        <w:jc w:val="center"/>
        <w:rPr>
          <w:rFonts w:ascii="Arial" w:eastAsia="Arial" w:hAnsi="Arial" w:cs="Arial"/>
        </w:rPr>
      </w:pPr>
      <w:r>
        <w:rPr>
          <w:rFonts w:ascii="Calibri" w:eastAsia="Calibri" w:hAnsi="Calibri" w:cs="Calibri"/>
          <w:b/>
          <w:sz w:val="22"/>
        </w:rPr>
        <w:t>Q3 2021 Trading Update</w:t>
      </w:r>
    </w:p>
    <w:p w:rsidR="00A77B3E" w:rsidRDefault="00594733">
      <w:pPr>
        <w:spacing w:after="120" w:line="288" w:lineRule="auto"/>
        <w:jc w:val="center"/>
      </w:pPr>
      <w:r>
        <w:rPr>
          <w:rFonts w:ascii="Calibri" w:eastAsia="Calibri" w:hAnsi="Calibri" w:cs="Calibri"/>
          <w:b/>
          <w:sz w:val="22"/>
        </w:rPr>
        <w:t xml:space="preserve">Strong underlying growth continues; leadership maintained in US </w:t>
      </w:r>
    </w:p>
    <w:p w:rsidR="00A77B3E" w:rsidRDefault="00594733">
      <w:pPr>
        <w:spacing w:after="120" w:line="288" w:lineRule="auto"/>
        <w:jc w:val="center"/>
        <w:rPr>
          <w:rFonts w:ascii="Calibri" w:eastAsia="Calibri" w:hAnsi="Calibri" w:cs="Calibri"/>
          <w:sz w:val="21"/>
        </w:rPr>
      </w:pPr>
      <w:r>
        <w:rPr>
          <w:rFonts w:ascii="Calibri" w:eastAsia="Calibri" w:hAnsi="Calibri" w:cs="Calibri"/>
          <w:sz w:val="21"/>
        </w:rPr>
        <w:t xml:space="preserve">Flutter Entertainment plc (the “Group”) announces a trading update </w:t>
      </w:r>
      <w:r>
        <w:rPr>
          <w:rFonts w:ascii="Calibri" w:eastAsia="Calibri" w:hAnsi="Calibri" w:cs="Calibri"/>
          <w:sz w:val="21"/>
          <w:shd w:val="clear" w:color="auto" w:fill="FFFFFF"/>
        </w:rPr>
        <w:t>for three months ended 30 September 2021.</w:t>
      </w:r>
    </w:p>
    <w:p w:rsidR="00A77B3E" w:rsidRDefault="00A77B3E">
      <w:pPr>
        <w:spacing w:after="120" w:line="288" w:lineRule="auto"/>
        <w:jc w:val="center"/>
        <w:rPr>
          <w:rFonts w:ascii="Arial" w:eastAsia="Arial" w:hAnsi="Arial" w:cs="Arial"/>
        </w:rPr>
        <w:sectPr w:rsidR="00A77B3E">
          <w:headerReference w:type="default" r:id="rId8"/>
          <w:footerReference w:type="default" r:id="rId9"/>
          <w:type w:val="continuous"/>
          <w:pgSz w:w="11900" w:h="16838"/>
          <w:pgMar w:top="1304" w:right="1020" w:bottom="1247" w:left="907" w:header="270" w:footer="270" w:gutter="0"/>
          <w:cols w:space="708"/>
          <w:docGrid w:linePitch="360"/>
        </w:sect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7"/>
        <w:gridCol w:w="1224"/>
        <w:gridCol w:w="1224"/>
        <w:gridCol w:w="1224"/>
        <w:gridCol w:w="1224"/>
      </w:tblGrid>
      <w:tr w:rsidR="00F8358B">
        <w:trPr>
          <w:cantSplit/>
          <w:trHeight w:hRule="exact" w:val="315"/>
          <w:jc w:val="center"/>
        </w:trPr>
        <w:tc>
          <w:tcPr>
            <w:tcW w:w="409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pPr>
            <w:r>
              <w:rPr>
                <w:rFonts w:ascii="Calibri" w:eastAsia="Calibri" w:hAnsi="Calibri" w:cs="Calibri"/>
                <w:i/>
                <w:color w:val="000000"/>
                <w:sz w:val="18"/>
              </w:rPr>
              <w:t>Unaudited £m</w:t>
            </w:r>
          </w:p>
        </w:tc>
        <w:tc>
          <w:tcPr>
            <w:tcW w:w="1200"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rsidR="00F8358B" w:rsidRDefault="00594733">
            <w:pPr>
              <w:keepNext/>
              <w:jc w:val="center"/>
            </w:pPr>
            <w:r>
              <w:rPr>
                <w:rFonts w:ascii="Calibri" w:eastAsia="Calibri" w:hAnsi="Calibri" w:cs="Calibri"/>
                <w:b/>
                <w:color w:val="000000"/>
                <w:sz w:val="22"/>
              </w:rPr>
              <w:t>Q3 2021</w:t>
            </w:r>
          </w:p>
        </w:tc>
        <w:tc>
          <w:tcPr>
            <w:tcW w:w="1200"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rsidR="00F8358B" w:rsidRDefault="00594733">
            <w:pPr>
              <w:keepNext/>
              <w:jc w:val="center"/>
            </w:pPr>
            <w:r>
              <w:rPr>
                <w:rFonts w:ascii="Calibri" w:eastAsia="Calibri" w:hAnsi="Calibri" w:cs="Calibri"/>
                <w:b/>
                <w:color w:val="000000"/>
                <w:sz w:val="22"/>
              </w:rPr>
              <w:t>Q3 2020</w:t>
            </w:r>
          </w:p>
        </w:tc>
        <w:tc>
          <w:tcPr>
            <w:tcW w:w="1200"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jc w:val="center"/>
            </w:pPr>
            <w:r>
              <w:rPr>
                <w:rFonts w:ascii="Calibri" w:eastAsia="Calibri" w:hAnsi="Calibri" w:cs="Calibri"/>
                <w:b/>
                <w:color w:val="000000"/>
                <w:sz w:val="22"/>
              </w:rPr>
              <w:t>YoY %</w:t>
            </w:r>
          </w:p>
        </w:tc>
        <w:tc>
          <w:tcPr>
            <w:tcW w:w="1200" w:type="dxa"/>
            <w:tcBorders>
              <w:top w:val="single" w:sz="8" w:space="0" w:color="000000"/>
              <w:left w:val="nil"/>
              <w:bottom w:val="nil"/>
              <w:right w:val="single" w:sz="8" w:space="0" w:color="000000"/>
            </w:tcBorders>
            <w:shd w:val="clear" w:color="auto" w:fill="FFFFFF"/>
            <w:tcMar>
              <w:top w:w="0" w:type="dxa"/>
              <w:left w:w="53" w:type="dxa"/>
              <w:bottom w:w="0" w:type="dxa"/>
              <w:right w:w="53" w:type="dxa"/>
            </w:tcMar>
            <w:vAlign w:val="center"/>
          </w:tcPr>
          <w:p w:rsidR="00F8358B" w:rsidRDefault="00594733">
            <w:pPr>
              <w:keepNext/>
              <w:jc w:val="center"/>
              <w:rPr>
                <w:rFonts w:ascii="Calibri" w:eastAsia="Calibri" w:hAnsi="Calibri" w:cs="Calibri"/>
                <w:b/>
                <w:sz w:val="22"/>
              </w:rPr>
            </w:pPr>
            <w:r>
              <w:rPr>
                <w:rFonts w:ascii="Calibri" w:eastAsia="Calibri" w:hAnsi="Calibri" w:cs="Calibri"/>
                <w:b/>
                <w:sz w:val="22"/>
              </w:rPr>
              <w:t>YoY % CC</w:t>
            </w:r>
            <w:r>
              <w:rPr>
                <w:rFonts w:ascii="Calibri" w:eastAsia="Calibri" w:hAnsi="Calibri" w:cs="Calibri"/>
                <w:b/>
                <w:sz w:val="22"/>
                <w:vertAlign w:val="superscript"/>
              </w:rPr>
              <w:t>1</w:t>
            </w:r>
          </w:p>
        </w:tc>
      </w:tr>
      <w:tr w:rsidR="00F8358B">
        <w:trPr>
          <w:cantSplit/>
          <w:trHeight w:hRule="exact" w:val="75"/>
          <w:jc w:val="center"/>
        </w:trPr>
        <w:tc>
          <w:tcPr>
            <w:tcW w:w="4095" w:type="dxa"/>
            <w:tcBorders>
              <w:top w:val="nil"/>
              <w:left w:val="single" w:sz="8" w:space="0" w:color="000000"/>
              <w:bottom w:val="nil"/>
              <w:right w:val="nil"/>
            </w:tcBorders>
            <w:shd w:val="clear" w:color="auto" w:fill="FFFFFF"/>
            <w:tcMar>
              <w:top w:w="0" w:type="dxa"/>
              <w:left w:w="0" w:type="dxa"/>
              <w:bottom w:w="0" w:type="dxa"/>
              <w:right w:w="0" w:type="dxa"/>
            </w:tcMar>
            <w:vAlign w:val="bottom"/>
          </w:tcPr>
          <w:p w:rsidR="00F8358B" w:rsidRDefault="00F8358B">
            <w:pPr>
              <w:keepNext/>
            </w:pPr>
          </w:p>
        </w:tc>
        <w:tc>
          <w:tcPr>
            <w:tcW w:w="1200" w:type="dxa"/>
            <w:tcBorders>
              <w:top w:val="nil"/>
              <w:left w:val="nil"/>
              <w:bottom w:val="nil"/>
              <w:right w:val="nil"/>
            </w:tcBorders>
            <w:tcMar>
              <w:top w:w="0" w:type="dxa"/>
              <w:left w:w="53" w:type="dxa"/>
              <w:bottom w:w="0" w:type="dxa"/>
              <w:right w:w="15" w:type="dxa"/>
            </w:tcMar>
            <w:vAlign w:val="bottom"/>
          </w:tcPr>
          <w:p w:rsidR="00F8358B" w:rsidRDefault="00F8358B">
            <w:pPr>
              <w:keepNext/>
              <w:spacing w:before="53" w:after="30"/>
              <w:jc w:val="right"/>
            </w:pPr>
          </w:p>
        </w:tc>
        <w:tc>
          <w:tcPr>
            <w:tcW w:w="1200" w:type="dxa"/>
            <w:tcBorders>
              <w:top w:val="nil"/>
              <w:left w:val="nil"/>
              <w:bottom w:val="nil"/>
              <w:right w:val="nil"/>
            </w:tcBorders>
            <w:tcMar>
              <w:top w:w="0" w:type="dxa"/>
              <w:left w:w="53" w:type="dxa"/>
              <w:bottom w:w="0" w:type="dxa"/>
              <w:right w:w="15" w:type="dxa"/>
            </w:tcMar>
            <w:vAlign w:val="bottom"/>
          </w:tcPr>
          <w:p w:rsidR="00F8358B" w:rsidRDefault="00F8358B">
            <w:pPr>
              <w:keepNext/>
              <w:spacing w:before="53" w:after="30"/>
              <w:jc w:val="right"/>
            </w:pPr>
          </w:p>
        </w:tc>
        <w:tc>
          <w:tcPr>
            <w:tcW w:w="1200" w:type="dxa"/>
            <w:tcBorders>
              <w:top w:val="nil"/>
              <w:left w:val="nil"/>
              <w:bottom w:val="nil"/>
              <w:right w:val="nil"/>
            </w:tcBorders>
            <w:shd w:val="clear" w:color="auto" w:fill="FFFFFF"/>
            <w:tcMar>
              <w:top w:w="0" w:type="dxa"/>
              <w:left w:w="53" w:type="dxa"/>
              <w:bottom w:w="0" w:type="dxa"/>
              <w:right w:w="15" w:type="dxa"/>
            </w:tcMar>
            <w:vAlign w:val="bottom"/>
          </w:tcPr>
          <w:p w:rsidR="00F8358B" w:rsidRDefault="00F8358B">
            <w:pPr>
              <w:keepNext/>
              <w:spacing w:before="53" w:after="30"/>
            </w:pPr>
          </w:p>
        </w:tc>
        <w:tc>
          <w:tcPr>
            <w:tcW w:w="1200" w:type="dxa"/>
            <w:tcBorders>
              <w:top w:val="nil"/>
              <w:left w:val="nil"/>
              <w:bottom w:val="nil"/>
              <w:right w:val="single" w:sz="8" w:space="0" w:color="000000"/>
            </w:tcBorders>
            <w:shd w:val="clear" w:color="auto" w:fill="FFFFFF"/>
            <w:tcMar>
              <w:top w:w="0" w:type="dxa"/>
              <w:left w:w="53" w:type="dxa"/>
              <w:bottom w:w="0" w:type="dxa"/>
              <w:right w:w="15" w:type="dxa"/>
            </w:tcMar>
            <w:vAlign w:val="bottom"/>
          </w:tcPr>
          <w:p w:rsidR="00F8358B" w:rsidRDefault="00F8358B">
            <w:pPr>
              <w:keepNext/>
              <w:spacing w:before="53" w:after="30"/>
            </w:pPr>
          </w:p>
        </w:tc>
      </w:tr>
      <w:tr w:rsidR="00F8358B">
        <w:trPr>
          <w:cantSplit/>
          <w:trHeight w:hRule="exact" w:val="315"/>
          <w:jc w:val="center"/>
        </w:trPr>
        <w:tc>
          <w:tcPr>
            <w:tcW w:w="40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spacing w:line="276" w:lineRule="auto"/>
              <w:rPr>
                <w:rFonts w:ascii="Arial" w:eastAsia="Arial" w:hAnsi="Arial" w:cs="Arial"/>
                <w:b/>
                <w:sz w:val="22"/>
              </w:rPr>
            </w:pPr>
            <w:r>
              <w:rPr>
                <w:rFonts w:ascii="Calibri" w:eastAsia="Calibri" w:hAnsi="Calibri" w:cs="Calibri"/>
                <w:b/>
                <w:sz w:val="22"/>
              </w:rPr>
              <w:t>Average monthly players</w:t>
            </w:r>
            <w:r>
              <w:rPr>
                <w:rFonts w:ascii="Calibri" w:eastAsia="Calibri" w:hAnsi="Calibri" w:cs="Calibri"/>
                <w:b/>
                <w:sz w:val="22"/>
                <w:vertAlign w:val="superscript"/>
              </w:rPr>
              <w:t>2</w:t>
            </w:r>
            <w:r>
              <w:rPr>
                <w:rFonts w:ascii="Calibri" w:eastAsia="Calibri" w:hAnsi="Calibri" w:cs="Calibri"/>
                <w:b/>
                <w:sz w:val="22"/>
              </w:rPr>
              <w:t xml:space="preserve"> (‘000s)</w:t>
            </w:r>
          </w:p>
        </w:tc>
        <w:tc>
          <w:tcPr>
            <w:tcW w:w="1200" w:type="dxa"/>
            <w:tcBorders>
              <w:top w:val="nil"/>
              <w:left w:val="nil"/>
              <w:bottom w:val="nil"/>
              <w:right w:val="nil"/>
            </w:tcBorders>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b/>
                <w:color w:val="000000"/>
                <w:sz w:val="22"/>
              </w:rPr>
              <w:t>7,257</w:t>
            </w:r>
          </w:p>
        </w:tc>
        <w:tc>
          <w:tcPr>
            <w:tcW w:w="1200" w:type="dxa"/>
            <w:tcBorders>
              <w:top w:val="nil"/>
              <w:left w:val="nil"/>
              <w:bottom w:val="nil"/>
              <w:right w:val="nil"/>
            </w:tcBorders>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b/>
                <w:color w:val="000000"/>
                <w:sz w:val="22"/>
              </w:rPr>
              <w:t>6,401</w:t>
            </w:r>
          </w:p>
        </w:tc>
        <w:tc>
          <w:tcPr>
            <w:tcW w:w="1200" w:type="dxa"/>
            <w:tcBorders>
              <w:top w:val="nil"/>
              <w:left w:val="nil"/>
              <w:bottom w:val="nil"/>
              <w:right w:val="nil"/>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b/>
                <w:i/>
                <w:color w:val="000000"/>
                <w:sz w:val="22"/>
              </w:rPr>
              <w:t>+13%</w:t>
            </w:r>
          </w:p>
        </w:tc>
        <w:tc>
          <w:tcPr>
            <w:tcW w:w="1200" w:type="dxa"/>
            <w:tcBorders>
              <w:top w:val="nil"/>
              <w:left w:val="nil"/>
              <w:bottom w:val="nil"/>
              <w:right w:val="single" w:sz="8" w:space="0" w:color="000000"/>
            </w:tcBorders>
            <w:shd w:val="clear" w:color="auto" w:fill="FFFFFF"/>
            <w:tcMar>
              <w:top w:w="0" w:type="dxa"/>
              <w:left w:w="53" w:type="dxa"/>
              <w:bottom w:w="0" w:type="dxa"/>
              <w:right w:w="53" w:type="dxa"/>
            </w:tcMar>
            <w:vAlign w:val="bottom"/>
          </w:tcPr>
          <w:p w:rsidR="00F8358B" w:rsidRDefault="00F8358B">
            <w:pPr>
              <w:keepNext/>
              <w:spacing w:before="53" w:after="30"/>
              <w:jc w:val="center"/>
            </w:pPr>
          </w:p>
        </w:tc>
      </w:tr>
      <w:tr w:rsidR="00F8358B">
        <w:trPr>
          <w:cantSplit/>
          <w:trHeight w:hRule="exact" w:val="60"/>
          <w:jc w:val="center"/>
        </w:trPr>
        <w:tc>
          <w:tcPr>
            <w:tcW w:w="4095" w:type="dxa"/>
            <w:tcBorders>
              <w:top w:val="nil"/>
              <w:left w:val="single" w:sz="8" w:space="0" w:color="000000"/>
              <w:bottom w:val="nil"/>
              <w:right w:val="nil"/>
            </w:tcBorders>
            <w:shd w:val="clear" w:color="auto" w:fill="FFFFFF"/>
            <w:tcMar>
              <w:top w:w="0" w:type="dxa"/>
              <w:left w:w="0" w:type="dxa"/>
              <w:bottom w:w="0" w:type="dxa"/>
              <w:right w:w="0" w:type="dxa"/>
            </w:tcMar>
            <w:vAlign w:val="bottom"/>
          </w:tcPr>
          <w:p w:rsidR="00F8358B" w:rsidRDefault="00F8358B">
            <w:pPr>
              <w:keepNext/>
            </w:pPr>
          </w:p>
        </w:tc>
        <w:tc>
          <w:tcPr>
            <w:tcW w:w="1200" w:type="dxa"/>
            <w:tcBorders>
              <w:top w:val="nil"/>
              <w:left w:val="nil"/>
              <w:bottom w:val="nil"/>
              <w:right w:val="nil"/>
            </w:tcBorders>
            <w:shd w:val="clear" w:color="auto" w:fill="FFFFFF"/>
            <w:tcMar>
              <w:top w:w="0" w:type="dxa"/>
              <w:left w:w="53" w:type="dxa"/>
              <w:bottom w:w="0" w:type="dxa"/>
              <w:right w:w="15" w:type="dxa"/>
            </w:tcMar>
            <w:vAlign w:val="bottom"/>
          </w:tcPr>
          <w:p w:rsidR="00F8358B" w:rsidRDefault="00F8358B">
            <w:pPr>
              <w:keepNext/>
              <w:spacing w:before="53" w:after="30"/>
              <w:jc w:val="center"/>
            </w:pPr>
          </w:p>
        </w:tc>
        <w:tc>
          <w:tcPr>
            <w:tcW w:w="1200" w:type="dxa"/>
            <w:tcBorders>
              <w:top w:val="nil"/>
              <w:left w:val="nil"/>
              <w:bottom w:val="nil"/>
              <w:right w:val="nil"/>
            </w:tcBorders>
            <w:shd w:val="clear" w:color="auto" w:fill="FFFFFF"/>
            <w:tcMar>
              <w:top w:w="0" w:type="dxa"/>
              <w:left w:w="53" w:type="dxa"/>
              <w:bottom w:w="0" w:type="dxa"/>
              <w:right w:w="15" w:type="dxa"/>
            </w:tcMar>
            <w:vAlign w:val="bottom"/>
          </w:tcPr>
          <w:p w:rsidR="00F8358B" w:rsidRDefault="00F8358B">
            <w:pPr>
              <w:keepNext/>
              <w:spacing w:before="53" w:after="30"/>
              <w:jc w:val="center"/>
            </w:pPr>
          </w:p>
        </w:tc>
        <w:tc>
          <w:tcPr>
            <w:tcW w:w="1200" w:type="dxa"/>
            <w:tcBorders>
              <w:top w:val="nil"/>
              <w:left w:val="nil"/>
              <w:bottom w:val="nil"/>
              <w:right w:val="nil"/>
            </w:tcBorders>
            <w:shd w:val="clear" w:color="auto" w:fill="FFFFFF"/>
            <w:tcMar>
              <w:top w:w="0" w:type="dxa"/>
              <w:left w:w="53" w:type="dxa"/>
              <w:bottom w:w="0" w:type="dxa"/>
              <w:right w:w="53" w:type="dxa"/>
            </w:tcMar>
            <w:vAlign w:val="bottom"/>
          </w:tcPr>
          <w:p w:rsidR="00F8358B" w:rsidRDefault="00F8358B">
            <w:pPr>
              <w:keepNext/>
              <w:spacing w:before="53" w:after="30"/>
              <w:jc w:val="center"/>
            </w:pPr>
          </w:p>
        </w:tc>
        <w:tc>
          <w:tcPr>
            <w:tcW w:w="1200" w:type="dxa"/>
            <w:tcBorders>
              <w:top w:val="nil"/>
              <w:left w:val="nil"/>
              <w:bottom w:val="nil"/>
              <w:right w:val="single" w:sz="8" w:space="0" w:color="000000"/>
            </w:tcBorders>
            <w:shd w:val="clear" w:color="auto" w:fill="FFFFFF"/>
            <w:tcMar>
              <w:top w:w="0" w:type="dxa"/>
              <w:left w:w="53" w:type="dxa"/>
              <w:bottom w:w="0" w:type="dxa"/>
              <w:right w:w="53" w:type="dxa"/>
            </w:tcMar>
            <w:vAlign w:val="bottom"/>
          </w:tcPr>
          <w:p w:rsidR="00F8358B" w:rsidRDefault="00F8358B">
            <w:pPr>
              <w:keepNext/>
              <w:spacing w:before="53" w:after="30"/>
              <w:jc w:val="center"/>
            </w:pPr>
          </w:p>
        </w:tc>
      </w:tr>
      <w:tr w:rsidR="00F8358B">
        <w:trPr>
          <w:cantSplit/>
          <w:trHeight w:hRule="exact" w:val="315"/>
          <w:jc w:val="center"/>
        </w:trPr>
        <w:tc>
          <w:tcPr>
            <w:tcW w:w="40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spacing w:line="269" w:lineRule="auto"/>
              <w:rPr>
                <w:rFonts w:ascii="Calibri" w:eastAsia="Calibri" w:hAnsi="Calibri" w:cs="Calibri"/>
                <w:sz w:val="22"/>
              </w:rPr>
            </w:pPr>
            <w:r>
              <w:rPr>
                <w:rFonts w:ascii="Calibri" w:eastAsia="Calibri" w:hAnsi="Calibri" w:cs="Calibri"/>
                <w:sz w:val="22"/>
              </w:rPr>
              <w:t>Sports revenue</w:t>
            </w:r>
          </w:p>
        </w:tc>
        <w:tc>
          <w:tcPr>
            <w:tcW w:w="1200" w:type="dxa"/>
            <w:tcBorders>
              <w:top w:val="nil"/>
              <w:left w:val="nil"/>
              <w:bottom w:val="nil"/>
              <w:right w:val="nil"/>
            </w:tcBorders>
            <w:shd w:val="clear" w:color="auto" w:fill="FFFFFF"/>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color w:val="000000"/>
                <w:sz w:val="22"/>
              </w:rPr>
              <w:t>906</w:t>
            </w:r>
          </w:p>
        </w:tc>
        <w:tc>
          <w:tcPr>
            <w:tcW w:w="1200" w:type="dxa"/>
            <w:tcBorders>
              <w:top w:val="nil"/>
              <w:left w:val="nil"/>
              <w:bottom w:val="nil"/>
              <w:right w:val="nil"/>
            </w:tcBorders>
            <w:shd w:val="clear" w:color="auto" w:fill="FFFFFF"/>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color w:val="000000"/>
                <w:sz w:val="22"/>
              </w:rPr>
              <w:t>798</w:t>
            </w:r>
          </w:p>
        </w:tc>
        <w:tc>
          <w:tcPr>
            <w:tcW w:w="1200" w:type="dxa"/>
            <w:tcBorders>
              <w:top w:val="nil"/>
              <w:left w:val="nil"/>
              <w:bottom w:val="nil"/>
              <w:right w:val="nil"/>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i/>
                <w:color w:val="000000"/>
                <w:sz w:val="22"/>
              </w:rPr>
              <w:t>+13%</w:t>
            </w:r>
          </w:p>
        </w:tc>
        <w:tc>
          <w:tcPr>
            <w:tcW w:w="1200" w:type="dxa"/>
            <w:tcBorders>
              <w:top w:val="nil"/>
              <w:left w:val="nil"/>
              <w:bottom w:val="nil"/>
              <w:right w:val="single" w:sz="8" w:space="0" w:color="000000"/>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i/>
                <w:color w:val="000000"/>
                <w:sz w:val="22"/>
              </w:rPr>
              <w:t>+17%</w:t>
            </w:r>
          </w:p>
        </w:tc>
      </w:tr>
      <w:tr w:rsidR="00F8358B">
        <w:trPr>
          <w:cantSplit/>
          <w:trHeight w:hRule="exact" w:val="315"/>
          <w:jc w:val="center"/>
        </w:trPr>
        <w:tc>
          <w:tcPr>
            <w:tcW w:w="40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spacing w:line="269" w:lineRule="auto"/>
              <w:rPr>
                <w:rFonts w:ascii="Calibri" w:eastAsia="Calibri" w:hAnsi="Calibri" w:cs="Calibri"/>
                <w:sz w:val="22"/>
              </w:rPr>
            </w:pPr>
            <w:r>
              <w:rPr>
                <w:rFonts w:ascii="Calibri" w:eastAsia="Calibri" w:hAnsi="Calibri" w:cs="Calibri"/>
                <w:sz w:val="22"/>
              </w:rPr>
              <w:t>Gaming revenue</w:t>
            </w:r>
          </w:p>
        </w:tc>
        <w:tc>
          <w:tcPr>
            <w:tcW w:w="1200"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color w:val="000000"/>
                <w:sz w:val="22"/>
              </w:rPr>
              <w:t>534</w:t>
            </w:r>
          </w:p>
        </w:tc>
        <w:tc>
          <w:tcPr>
            <w:tcW w:w="1200"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color w:val="000000"/>
                <w:sz w:val="22"/>
              </w:rPr>
              <w:t>527</w:t>
            </w: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i/>
                <w:color w:val="000000"/>
                <w:sz w:val="22"/>
              </w:rPr>
              <w:t>+1%</w:t>
            </w:r>
          </w:p>
        </w:tc>
        <w:tc>
          <w:tcPr>
            <w:tcW w:w="1200" w:type="dxa"/>
            <w:tcBorders>
              <w:top w:val="nil"/>
              <w:left w:val="nil"/>
              <w:bottom w:val="single" w:sz="8" w:space="0" w:color="000000"/>
              <w:right w:val="single" w:sz="8" w:space="0" w:color="000000"/>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i/>
                <w:color w:val="000000"/>
                <w:sz w:val="22"/>
              </w:rPr>
              <w:t>+5%</w:t>
            </w:r>
          </w:p>
        </w:tc>
      </w:tr>
      <w:tr w:rsidR="00F8358B">
        <w:trPr>
          <w:cantSplit/>
          <w:trHeight w:hRule="exact" w:val="315"/>
          <w:jc w:val="center"/>
        </w:trPr>
        <w:tc>
          <w:tcPr>
            <w:tcW w:w="40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spacing w:line="276" w:lineRule="auto"/>
              <w:outlineLvl w:val="1"/>
              <w:rPr>
                <w:rFonts w:ascii="Calibri" w:eastAsia="Calibri" w:hAnsi="Calibri" w:cs="Calibri"/>
                <w:b/>
                <w:sz w:val="22"/>
              </w:rPr>
            </w:pPr>
            <w:r>
              <w:rPr>
                <w:rFonts w:ascii="Calibri" w:eastAsia="Calibri" w:hAnsi="Calibri" w:cs="Calibri"/>
                <w:b/>
                <w:sz w:val="22"/>
              </w:rPr>
              <w:t>Total revenue</w:t>
            </w:r>
          </w:p>
        </w:tc>
        <w:tc>
          <w:tcPr>
            <w:tcW w:w="1200" w:type="dxa"/>
            <w:tcBorders>
              <w:top w:val="single" w:sz="8" w:space="0" w:color="000000"/>
              <w:left w:val="nil"/>
              <w:bottom w:val="nil"/>
              <w:right w:val="nil"/>
            </w:tcBorders>
            <w:shd w:val="clear" w:color="auto" w:fill="FFFFFF"/>
            <w:tcMar>
              <w:top w:w="0" w:type="dxa"/>
              <w:left w:w="53" w:type="dxa"/>
              <w:bottom w:w="0" w:type="dxa"/>
              <w:right w:w="15" w:type="dxa"/>
            </w:tcMar>
            <w:vAlign w:val="bottom"/>
          </w:tcPr>
          <w:p w:rsidR="00F8358B" w:rsidRDefault="00594733">
            <w:pPr>
              <w:keepNext/>
              <w:spacing w:before="33" w:after="30"/>
              <w:jc w:val="center"/>
            </w:pPr>
            <w:r>
              <w:rPr>
                <w:rFonts w:ascii="Calibri" w:eastAsia="Calibri" w:hAnsi="Calibri" w:cs="Calibri"/>
                <w:b/>
                <w:color w:val="000000"/>
                <w:sz w:val="22"/>
              </w:rPr>
              <w:t>1,439</w:t>
            </w:r>
          </w:p>
        </w:tc>
        <w:tc>
          <w:tcPr>
            <w:tcW w:w="1200" w:type="dxa"/>
            <w:tcBorders>
              <w:top w:val="single" w:sz="8" w:space="0" w:color="000000"/>
              <w:left w:val="nil"/>
              <w:bottom w:val="nil"/>
              <w:right w:val="nil"/>
            </w:tcBorders>
            <w:shd w:val="clear" w:color="auto" w:fill="FFFFFF"/>
            <w:tcMar>
              <w:top w:w="0" w:type="dxa"/>
              <w:left w:w="53" w:type="dxa"/>
              <w:bottom w:w="0" w:type="dxa"/>
              <w:right w:w="15" w:type="dxa"/>
            </w:tcMar>
            <w:vAlign w:val="bottom"/>
          </w:tcPr>
          <w:p w:rsidR="00F8358B" w:rsidRDefault="00594733">
            <w:pPr>
              <w:keepNext/>
              <w:spacing w:before="33" w:after="30"/>
              <w:jc w:val="center"/>
            </w:pPr>
            <w:r>
              <w:rPr>
                <w:rFonts w:ascii="Calibri" w:eastAsia="Calibri" w:hAnsi="Calibri" w:cs="Calibri"/>
                <w:b/>
                <w:color w:val="000000"/>
                <w:sz w:val="22"/>
              </w:rPr>
              <w:t>1,325</w:t>
            </w:r>
          </w:p>
        </w:tc>
        <w:tc>
          <w:tcPr>
            <w:tcW w:w="1200"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jc w:val="center"/>
            </w:pPr>
            <w:r>
              <w:rPr>
                <w:rFonts w:ascii="Calibri" w:eastAsia="Calibri" w:hAnsi="Calibri" w:cs="Calibri"/>
                <w:b/>
                <w:i/>
                <w:color w:val="000000"/>
                <w:sz w:val="22"/>
              </w:rPr>
              <w:t>+9%</w:t>
            </w:r>
          </w:p>
        </w:tc>
        <w:tc>
          <w:tcPr>
            <w:tcW w:w="1200" w:type="dxa"/>
            <w:tcBorders>
              <w:top w:val="single" w:sz="8" w:space="0" w:color="000000"/>
              <w:left w:val="single" w:sz="8" w:space="0" w:color="FFFFFF"/>
              <w:bottom w:val="nil"/>
              <w:right w:val="single" w:sz="8" w:space="0" w:color="000000"/>
            </w:tcBorders>
            <w:shd w:val="clear" w:color="auto" w:fill="FFFFFF"/>
            <w:tcMar>
              <w:top w:w="0" w:type="dxa"/>
              <w:left w:w="53" w:type="dxa"/>
              <w:bottom w:w="0" w:type="dxa"/>
              <w:right w:w="53" w:type="dxa"/>
            </w:tcMar>
            <w:vAlign w:val="bottom"/>
          </w:tcPr>
          <w:p w:rsidR="00F8358B" w:rsidRDefault="00594733">
            <w:pPr>
              <w:keepNext/>
              <w:spacing w:before="33" w:after="30"/>
              <w:jc w:val="center"/>
            </w:pPr>
            <w:r>
              <w:rPr>
                <w:rFonts w:ascii="Calibri" w:eastAsia="Calibri" w:hAnsi="Calibri" w:cs="Calibri"/>
                <w:b/>
                <w:i/>
                <w:color w:val="000000"/>
                <w:sz w:val="22"/>
              </w:rPr>
              <w:t>+12%</w:t>
            </w:r>
          </w:p>
        </w:tc>
      </w:tr>
      <w:tr w:rsidR="00F8358B">
        <w:trPr>
          <w:cantSplit/>
          <w:trHeight w:hRule="exact" w:val="60"/>
          <w:jc w:val="center"/>
        </w:trPr>
        <w:tc>
          <w:tcPr>
            <w:tcW w:w="409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center"/>
          </w:tcPr>
          <w:p w:rsidR="00F8358B" w:rsidRDefault="00F8358B"/>
        </w:tc>
        <w:tc>
          <w:tcPr>
            <w:tcW w:w="1200" w:type="dxa"/>
            <w:tcBorders>
              <w:top w:val="nil"/>
              <w:left w:val="nil"/>
              <w:bottom w:val="single" w:sz="8" w:space="0" w:color="000000"/>
              <w:right w:val="nil"/>
            </w:tcBorders>
            <w:shd w:val="clear" w:color="auto" w:fill="FFFFFF"/>
            <w:tcMar>
              <w:top w:w="0" w:type="dxa"/>
              <w:left w:w="53" w:type="dxa"/>
              <w:bottom w:w="0" w:type="dxa"/>
              <w:right w:w="15" w:type="dxa"/>
            </w:tcMar>
            <w:vAlign w:val="center"/>
          </w:tcPr>
          <w:p w:rsidR="00F8358B" w:rsidRDefault="00F8358B">
            <w:pPr>
              <w:jc w:val="right"/>
            </w:pPr>
          </w:p>
        </w:tc>
        <w:tc>
          <w:tcPr>
            <w:tcW w:w="1200" w:type="dxa"/>
            <w:tcBorders>
              <w:top w:val="nil"/>
              <w:left w:val="nil"/>
              <w:bottom w:val="single" w:sz="8" w:space="0" w:color="000000"/>
              <w:right w:val="nil"/>
            </w:tcBorders>
            <w:shd w:val="clear" w:color="auto" w:fill="FFFFFF"/>
            <w:tcMar>
              <w:top w:w="0" w:type="dxa"/>
              <w:left w:w="53" w:type="dxa"/>
              <w:bottom w:w="0" w:type="dxa"/>
              <w:right w:w="15" w:type="dxa"/>
            </w:tcMar>
            <w:vAlign w:val="center"/>
          </w:tcPr>
          <w:p w:rsidR="00F8358B" w:rsidRDefault="00F8358B">
            <w:pPr>
              <w:jc w:val="right"/>
            </w:pPr>
          </w:p>
        </w:tc>
        <w:tc>
          <w:tcPr>
            <w:tcW w:w="1200"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rsidR="00F8358B" w:rsidRDefault="00F8358B">
            <w:pPr>
              <w:spacing w:before="53" w:after="30"/>
            </w:pPr>
          </w:p>
        </w:tc>
        <w:tc>
          <w:tcPr>
            <w:tcW w:w="1200" w:type="dxa"/>
            <w:tcBorders>
              <w:top w:val="nil"/>
              <w:left w:val="nil"/>
              <w:bottom w:val="single" w:sz="8" w:space="0" w:color="000000"/>
              <w:right w:val="single" w:sz="8" w:space="0" w:color="000000"/>
            </w:tcBorders>
            <w:shd w:val="clear" w:color="auto" w:fill="FFFFFF"/>
            <w:tcMar>
              <w:top w:w="0" w:type="dxa"/>
              <w:left w:w="53" w:type="dxa"/>
              <w:bottom w:w="0" w:type="dxa"/>
              <w:right w:w="15" w:type="dxa"/>
            </w:tcMar>
            <w:vAlign w:val="bottom"/>
          </w:tcPr>
          <w:p w:rsidR="00F8358B" w:rsidRDefault="00F8358B">
            <w:pPr>
              <w:spacing w:before="53" w:after="30"/>
            </w:pPr>
          </w:p>
        </w:tc>
      </w:tr>
    </w:tbl>
    <w:p w:rsidR="00F8358B" w:rsidRDefault="00594733">
      <w:pPr>
        <w:spacing w:line="269" w:lineRule="auto"/>
        <w:ind w:firstLine="142"/>
        <w:jc w:val="both"/>
        <w:rPr>
          <w:rFonts w:ascii="Calibri" w:eastAsia="Calibri" w:hAnsi="Calibri" w:cs="Calibri"/>
          <w:sz w:val="22"/>
        </w:rPr>
      </w:pPr>
      <w:r>
        <w:rPr>
          <w:rFonts w:ascii="Calibri" w:eastAsia="Calibri" w:hAnsi="Calibri" w:cs="Calibri"/>
          <w:i/>
        </w:rPr>
        <w:t xml:space="preserve">       </w:t>
      </w:r>
      <w:r>
        <w:rPr>
          <w:rFonts w:ascii="Calibri" w:eastAsia="Calibri" w:hAnsi="Calibri" w:cs="Calibri"/>
          <w:i/>
          <w:sz w:val="18"/>
        </w:rPr>
        <w:t>All commentary within this trading update refers to constant currency</w:t>
      </w:r>
      <w:r>
        <w:rPr>
          <w:rFonts w:ascii="Calibri" w:eastAsia="Calibri" w:hAnsi="Calibri" w:cs="Calibri"/>
          <w:i/>
          <w:sz w:val="20"/>
          <w:vertAlign w:val="superscript"/>
        </w:rPr>
        <w:t>1</w:t>
      </w:r>
      <w:r>
        <w:rPr>
          <w:rFonts w:ascii="Calibri" w:eastAsia="Calibri" w:hAnsi="Calibri" w:cs="Calibri"/>
          <w:i/>
          <w:sz w:val="18"/>
        </w:rPr>
        <w:t xml:space="preserve"> growth rates. Any differences due to rounding.</w:t>
      </w:r>
    </w:p>
    <w:p w:rsidR="00F8358B" w:rsidRDefault="00F8358B">
      <w:pPr>
        <w:spacing w:line="269" w:lineRule="auto"/>
        <w:ind w:firstLine="142"/>
        <w:jc w:val="both"/>
        <w:rPr>
          <w:rFonts w:ascii="Calibri" w:eastAsia="Calibri" w:hAnsi="Calibri" w:cs="Calibri"/>
          <w:i/>
          <w:sz w:val="18"/>
        </w:rPr>
      </w:pPr>
    </w:p>
    <w:p w:rsidR="00F8358B" w:rsidRDefault="00F8358B">
      <w:pPr>
        <w:spacing w:line="269" w:lineRule="auto"/>
        <w:ind w:firstLine="142"/>
        <w:jc w:val="both"/>
        <w:rPr>
          <w:rFonts w:ascii="Calibri" w:eastAsia="Calibri" w:hAnsi="Calibri" w:cs="Calibri"/>
          <w:sz w:val="22"/>
        </w:rPr>
        <w:sectPr w:rsidR="00F8358B">
          <w:type w:val="continuous"/>
          <w:pgSz w:w="11900" w:h="16838"/>
          <w:pgMar w:top="1304" w:right="1020" w:bottom="1247" w:left="907" w:header="270" w:footer="270" w:gutter="0"/>
          <w:cols w:space="708"/>
        </w:sectPr>
      </w:pPr>
    </w:p>
    <w:p w:rsidR="00F8358B" w:rsidRDefault="00594733" w:rsidP="00594733">
      <w:pPr>
        <w:numPr>
          <w:ilvl w:val="0"/>
          <w:numId w:val="2"/>
        </w:numPr>
        <w:spacing w:after="80" w:line="288" w:lineRule="auto"/>
        <w:ind w:left="425"/>
        <w:jc w:val="both"/>
        <w:outlineLvl w:val="1"/>
        <w:rPr>
          <w:rFonts w:ascii="Calibri" w:eastAsia="Calibri" w:hAnsi="Calibri" w:cs="Calibri"/>
          <w:sz w:val="22"/>
        </w:rPr>
      </w:pPr>
      <w:bookmarkStart w:id="2" w:name="Section3"/>
      <w:bookmarkEnd w:id="2"/>
      <w:r>
        <w:rPr>
          <w:rFonts w:ascii="Calibri" w:eastAsia="Calibri" w:hAnsi="Calibri" w:cs="Calibri"/>
          <w:sz w:val="22"/>
        </w:rPr>
        <w:t>Group Online revenue +13% driven by AMP</w:t>
      </w:r>
      <w:r>
        <w:rPr>
          <w:rFonts w:ascii="Calibri" w:eastAsia="Calibri" w:hAnsi="Calibri" w:cs="Calibri"/>
          <w:sz w:val="22"/>
          <w:vertAlign w:val="superscript"/>
        </w:rPr>
        <w:t>2</w:t>
      </w:r>
      <w:r>
        <w:rPr>
          <w:rFonts w:ascii="Calibri" w:eastAsia="Calibri" w:hAnsi="Calibri" w:cs="Calibri"/>
          <w:sz w:val="22"/>
        </w:rPr>
        <w:t xml:space="preserve"> growth of 13%</w:t>
      </w:r>
    </w:p>
    <w:p w:rsidR="00F8358B" w:rsidRDefault="00594733" w:rsidP="00594733">
      <w:pPr>
        <w:numPr>
          <w:ilvl w:val="0"/>
          <w:numId w:val="4"/>
        </w:numPr>
        <w:spacing w:after="80" w:line="288" w:lineRule="auto"/>
        <w:ind w:left="850"/>
        <w:jc w:val="both"/>
        <w:rPr>
          <w:rFonts w:ascii="Calibri" w:eastAsia="Calibri" w:hAnsi="Calibri" w:cs="Calibri"/>
          <w:sz w:val="22"/>
        </w:rPr>
      </w:pPr>
      <w:r>
        <w:rPr>
          <w:rFonts w:ascii="Calibri" w:eastAsia="Calibri" w:hAnsi="Calibri" w:cs="Calibri"/>
          <w:b/>
          <w:sz w:val="22"/>
        </w:rPr>
        <w:t>UK &amp; Ireland</w:t>
      </w:r>
      <w:r>
        <w:rPr>
          <w:rFonts w:ascii="Calibri" w:eastAsia="Calibri" w:hAnsi="Calibri" w:cs="Calibri"/>
          <w:sz w:val="22"/>
        </w:rPr>
        <w:t>;</w:t>
      </w:r>
      <w:r>
        <w:rPr>
          <w:rFonts w:ascii="Calibri" w:eastAsia="Calibri" w:hAnsi="Calibri" w:cs="Calibri"/>
          <w:b/>
          <w:sz w:val="22"/>
        </w:rPr>
        <w:t xml:space="preserve"> -5% </w:t>
      </w:r>
      <w:r>
        <w:rPr>
          <w:rFonts w:ascii="Calibri" w:eastAsia="Calibri" w:hAnsi="Calibri" w:cs="Calibri"/>
          <w:sz w:val="22"/>
        </w:rPr>
        <w:t xml:space="preserve">reflecting busier, high profile sporting calendar in prior year; recreational growth continues with an increase in AMPs of +19% </w:t>
      </w:r>
    </w:p>
    <w:p w:rsidR="00F8358B" w:rsidRDefault="00594733" w:rsidP="00594733">
      <w:pPr>
        <w:numPr>
          <w:ilvl w:val="0"/>
          <w:numId w:val="4"/>
        </w:numPr>
        <w:spacing w:after="80" w:line="288" w:lineRule="auto"/>
        <w:ind w:left="850"/>
        <w:jc w:val="both"/>
        <w:rPr>
          <w:rFonts w:ascii="Arial" w:eastAsia="Arial" w:hAnsi="Arial" w:cs="Arial"/>
          <w:sz w:val="22"/>
        </w:rPr>
      </w:pPr>
      <w:r>
        <w:rPr>
          <w:rFonts w:ascii="Calibri" w:eastAsia="Calibri" w:hAnsi="Calibri" w:cs="Calibri"/>
          <w:b/>
          <w:sz w:val="22"/>
        </w:rPr>
        <w:t>Australia +20%</w:t>
      </w:r>
      <w:r>
        <w:rPr>
          <w:rFonts w:ascii="Calibri" w:eastAsia="Calibri" w:hAnsi="Calibri" w:cs="Calibri"/>
          <w:sz w:val="22"/>
        </w:rPr>
        <w:t>;</w:t>
      </w:r>
      <w:r>
        <w:rPr>
          <w:rFonts w:ascii="Calibri" w:eastAsia="Calibri" w:hAnsi="Calibri" w:cs="Calibri"/>
          <w:b/>
          <w:sz w:val="22"/>
        </w:rPr>
        <w:t xml:space="preserve"> </w:t>
      </w:r>
      <w:r>
        <w:rPr>
          <w:rFonts w:ascii="Calibri" w:eastAsia="Calibri" w:hAnsi="Calibri" w:cs="Calibri"/>
          <w:sz w:val="22"/>
        </w:rPr>
        <w:t xml:space="preserve">excellent customer retention bolstered by benefit from stay-at-home restrictions </w:t>
      </w:r>
    </w:p>
    <w:p w:rsidR="00F8358B" w:rsidRDefault="00594733" w:rsidP="00594733">
      <w:pPr>
        <w:numPr>
          <w:ilvl w:val="0"/>
          <w:numId w:val="4"/>
        </w:numPr>
        <w:spacing w:after="80" w:line="288" w:lineRule="auto"/>
        <w:ind w:left="850"/>
        <w:jc w:val="both"/>
        <w:rPr>
          <w:rFonts w:ascii="Arial" w:eastAsia="Arial" w:hAnsi="Arial" w:cs="Arial"/>
          <w:sz w:val="22"/>
        </w:rPr>
      </w:pPr>
      <w:r>
        <w:rPr>
          <w:rFonts w:ascii="Calibri" w:eastAsia="Calibri" w:hAnsi="Calibri" w:cs="Calibri"/>
          <w:b/>
          <w:sz w:val="22"/>
        </w:rPr>
        <w:t>International -3%</w:t>
      </w:r>
      <w:r>
        <w:rPr>
          <w:rFonts w:ascii="Calibri" w:eastAsia="Calibri" w:hAnsi="Calibri" w:cs="Calibri"/>
          <w:sz w:val="22"/>
        </w:rPr>
        <w:t>; growth of 6% excluding German regulatory impact</w:t>
      </w:r>
    </w:p>
    <w:p w:rsidR="00F8358B" w:rsidRDefault="00594733" w:rsidP="00594733">
      <w:pPr>
        <w:numPr>
          <w:ilvl w:val="0"/>
          <w:numId w:val="4"/>
        </w:numPr>
        <w:spacing w:after="80" w:line="288" w:lineRule="auto"/>
        <w:ind w:left="850"/>
        <w:jc w:val="both"/>
        <w:rPr>
          <w:rFonts w:ascii="Arial" w:eastAsia="Arial" w:hAnsi="Arial" w:cs="Arial"/>
          <w:sz w:val="22"/>
        </w:rPr>
      </w:pPr>
      <w:r>
        <w:rPr>
          <w:rFonts w:ascii="Calibri" w:eastAsia="Calibri" w:hAnsi="Calibri" w:cs="Calibri"/>
          <w:b/>
          <w:sz w:val="22"/>
        </w:rPr>
        <w:t>US +85%</w:t>
      </w:r>
      <w:r>
        <w:rPr>
          <w:rFonts w:ascii="Calibri" w:eastAsia="Calibri" w:hAnsi="Calibri" w:cs="Calibri"/>
          <w:sz w:val="22"/>
        </w:rPr>
        <w:t>; online sports-betting share of 42%</w:t>
      </w:r>
      <w:r>
        <w:rPr>
          <w:rFonts w:ascii="Calibri" w:eastAsia="Calibri" w:hAnsi="Calibri" w:cs="Calibri"/>
          <w:sz w:val="22"/>
          <w:vertAlign w:val="superscript"/>
        </w:rPr>
        <w:t xml:space="preserve">3 </w:t>
      </w:r>
      <w:r>
        <w:rPr>
          <w:rFonts w:ascii="Calibri" w:eastAsia="Calibri" w:hAnsi="Calibri" w:cs="Calibri"/>
          <w:sz w:val="22"/>
        </w:rPr>
        <w:t>in Q3, with 1.9m AMPs in September</w:t>
      </w:r>
    </w:p>
    <w:p w:rsidR="00F8358B" w:rsidRDefault="00594733">
      <w:pPr>
        <w:spacing w:after="80" w:line="288" w:lineRule="auto"/>
        <w:ind w:left="-295" w:firstLine="425"/>
        <w:rPr>
          <w:rFonts w:ascii="Calibri" w:eastAsia="Calibri" w:hAnsi="Calibri" w:cs="Calibri"/>
          <w:sz w:val="22"/>
        </w:rPr>
      </w:pPr>
      <w:r>
        <w:rPr>
          <w:rFonts w:ascii="Calibri" w:eastAsia="Calibri" w:hAnsi="Calibri" w:cs="Calibri"/>
          <w:b/>
          <w:sz w:val="22"/>
        </w:rPr>
        <w:t xml:space="preserve">Current trading and full year guidance </w:t>
      </w:r>
    </w:p>
    <w:p w:rsidR="00F8358B" w:rsidRDefault="00594733" w:rsidP="00594733">
      <w:pPr>
        <w:numPr>
          <w:ilvl w:val="0"/>
          <w:numId w:val="5"/>
        </w:numPr>
        <w:spacing w:after="120" w:line="317" w:lineRule="auto"/>
        <w:ind w:left="425"/>
        <w:jc w:val="both"/>
        <w:rPr>
          <w:rFonts w:ascii="Calibri" w:eastAsia="Calibri" w:hAnsi="Calibri" w:cs="Calibri"/>
          <w:sz w:val="22"/>
        </w:rPr>
      </w:pPr>
      <w:r>
        <w:rPr>
          <w:rFonts w:ascii="Calibri" w:eastAsia="Calibri" w:hAnsi="Calibri" w:cs="Calibri"/>
          <w:b/>
          <w:sz w:val="22"/>
        </w:rPr>
        <w:t>Group ex-US:</w:t>
      </w:r>
      <w:r>
        <w:rPr>
          <w:rFonts w:ascii="Calibri" w:eastAsia="Calibri" w:hAnsi="Calibri" w:cs="Calibri"/>
          <w:sz w:val="22"/>
        </w:rPr>
        <w:t xml:space="preserve"> Unfavourable sports results in first 24 days of October have impacted EBITDA by circa £60m. Combined with expected £10m EBITDA impact in Q4 from temporary Netherlands exit, Adjusted EBITDA expectations for 2021 now expected to be </w:t>
      </w:r>
      <w:r>
        <w:rPr>
          <w:rFonts w:ascii="Calibri" w:eastAsia="Calibri" w:hAnsi="Calibri" w:cs="Calibri"/>
          <w:b/>
          <w:sz w:val="22"/>
        </w:rPr>
        <w:t>£1.24bn - £1.28bn</w:t>
      </w:r>
      <w:r>
        <w:rPr>
          <w:rFonts w:ascii="Calibri" w:eastAsia="Calibri" w:hAnsi="Calibri" w:cs="Calibri"/>
          <w:sz w:val="22"/>
        </w:rPr>
        <w:t xml:space="preserve"> (previous guidance: £1.27bn - £1.37bn). </w:t>
      </w:r>
    </w:p>
    <w:p w:rsidR="00F8358B" w:rsidRDefault="00594733" w:rsidP="00594733">
      <w:pPr>
        <w:numPr>
          <w:ilvl w:val="0"/>
          <w:numId w:val="5"/>
        </w:numPr>
        <w:spacing w:after="120" w:line="317" w:lineRule="auto"/>
        <w:ind w:left="425"/>
        <w:jc w:val="both"/>
        <w:rPr>
          <w:rFonts w:ascii="Calibri" w:eastAsia="Calibri" w:hAnsi="Calibri" w:cs="Calibri"/>
          <w:sz w:val="22"/>
        </w:rPr>
      </w:pPr>
      <w:r>
        <w:rPr>
          <w:rFonts w:ascii="Calibri" w:eastAsia="Calibri" w:hAnsi="Calibri" w:cs="Calibri"/>
          <w:b/>
          <w:sz w:val="22"/>
        </w:rPr>
        <w:t xml:space="preserve">US: </w:t>
      </w:r>
      <w:r>
        <w:rPr>
          <w:rFonts w:ascii="Calibri" w:eastAsia="Calibri" w:hAnsi="Calibri" w:cs="Calibri"/>
          <w:sz w:val="22"/>
        </w:rPr>
        <w:t>Net revenue</w:t>
      </w:r>
      <w:r>
        <w:rPr>
          <w:rFonts w:ascii="Calibri" w:eastAsia="Calibri" w:hAnsi="Calibri" w:cs="Calibri"/>
          <w:b/>
          <w:sz w:val="22"/>
        </w:rPr>
        <w:t xml:space="preserve"> </w:t>
      </w:r>
      <w:r>
        <w:rPr>
          <w:rFonts w:ascii="Calibri" w:eastAsia="Calibri" w:hAnsi="Calibri" w:cs="Calibri"/>
          <w:sz w:val="22"/>
        </w:rPr>
        <w:t xml:space="preserve">guidance unchanged at £1.285bn - £1.425bn ($1.8bn - $2.0bn) with Adjusted EBITDA loss expected to be between </w:t>
      </w:r>
      <w:r>
        <w:rPr>
          <w:rFonts w:ascii="Calibri" w:eastAsia="Calibri" w:hAnsi="Calibri" w:cs="Calibri"/>
          <w:b/>
          <w:sz w:val="22"/>
        </w:rPr>
        <w:t>£250m and £275m</w:t>
      </w:r>
      <w:r>
        <w:rPr>
          <w:rFonts w:ascii="Calibri" w:eastAsia="Calibri" w:hAnsi="Calibri" w:cs="Calibri"/>
          <w:sz w:val="22"/>
        </w:rPr>
        <w:t xml:space="preserve"> (previous loss guidance: £225m to £275m). This includes a £15m impact from adverse sports results in October.</w:t>
      </w:r>
    </w:p>
    <w:p w:rsidR="00F8358B" w:rsidRDefault="00594733">
      <w:pPr>
        <w:spacing w:after="80" w:line="288" w:lineRule="auto"/>
        <w:jc w:val="both"/>
        <w:rPr>
          <w:rFonts w:ascii="Calibri" w:eastAsia="Calibri" w:hAnsi="Calibri" w:cs="Calibri"/>
          <w:sz w:val="22"/>
        </w:rPr>
      </w:pPr>
      <w:r>
        <w:rPr>
          <w:rFonts w:ascii="Calibri" w:eastAsia="Calibri" w:hAnsi="Calibri" w:cs="Calibri"/>
          <w:sz w:val="22"/>
        </w:rPr>
        <w:t>Peter Jackson, Chief Executive, commented:</w:t>
      </w:r>
    </w:p>
    <w:p w:rsidR="00F8358B" w:rsidRDefault="00594733">
      <w:pPr>
        <w:spacing w:after="80" w:line="288" w:lineRule="auto"/>
        <w:jc w:val="both"/>
      </w:pPr>
      <w:r>
        <w:rPr>
          <w:rFonts w:ascii="Calibri" w:eastAsia="Calibri" w:hAnsi="Calibri" w:cs="Calibri"/>
          <w:i/>
          <w:sz w:val="22"/>
        </w:rPr>
        <w:t xml:space="preserve">“Flutter delivered a strong third quarter performance, with double-digit growth in our global player base. This resulted in the Group delivering revenue growth of 12% despite challenging comparatives including a concentration of key sporting events in the prior year. </w:t>
      </w:r>
    </w:p>
    <w:p w:rsidR="00F8358B" w:rsidRDefault="00594733">
      <w:pPr>
        <w:spacing w:after="80" w:line="288" w:lineRule="auto"/>
        <w:jc w:val="both"/>
        <w:rPr>
          <w:rFonts w:ascii="Calibri" w:eastAsia="Calibri" w:hAnsi="Calibri" w:cs="Calibri"/>
          <w:i/>
          <w:sz w:val="22"/>
        </w:rPr>
      </w:pPr>
      <w:r>
        <w:rPr>
          <w:rFonts w:ascii="Calibri" w:eastAsia="Calibri" w:hAnsi="Calibri" w:cs="Calibri"/>
          <w:i/>
          <w:sz w:val="22"/>
        </w:rPr>
        <w:t xml:space="preserve">In the US we maintained our leadership position, with the quality of our product offering leading to high levels of customer engagement. As expected, the start of the NFL season saw a step-up in competitive intensity. We remained disciplined however, leveraging the broad set of high quality marketing assets at our disposal. The customer response has been very encouraging with FanDuel now regularly experiencing staking levels on Sundays that match its 2021 SuperBowl performance. Early engagement on NBA since the recent start of season has also been strong. </w:t>
      </w:r>
    </w:p>
    <w:p w:rsidR="00F8358B" w:rsidRDefault="00594733">
      <w:pPr>
        <w:spacing w:after="80" w:line="288" w:lineRule="auto"/>
        <w:jc w:val="both"/>
        <w:rPr>
          <w:rFonts w:ascii="Calibri" w:eastAsia="Calibri" w:hAnsi="Calibri" w:cs="Calibri"/>
          <w:i/>
          <w:sz w:val="22"/>
        </w:rPr>
      </w:pPr>
      <w:r>
        <w:rPr>
          <w:rFonts w:ascii="Calibri" w:eastAsia="Calibri" w:hAnsi="Calibri" w:cs="Calibri"/>
          <w:i/>
          <w:sz w:val="22"/>
        </w:rPr>
        <w:t>Across our business we continue to lead on customer protection and we recently announced measures to enhance the protection of younger customers in the UK &amp; Ireland as part of our risk based “Triple Step” approach to affordability.</w:t>
      </w:r>
    </w:p>
    <w:p w:rsidR="00F8358B" w:rsidRDefault="00594733">
      <w:pPr>
        <w:spacing w:after="80" w:line="288" w:lineRule="auto"/>
        <w:jc w:val="both"/>
        <w:rPr>
          <w:rFonts w:ascii="Calibri" w:eastAsia="Calibri" w:hAnsi="Calibri" w:cs="Calibri"/>
          <w:i/>
          <w:sz w:val="22"/>
        </w:rPr>
      </w:pPr>
      <w:r>
        <w:rPr>
          <w:rFonts w:ascii="Calibri" w:eastAsia="Calibri" w:hAnsi="Calibri" w:cs="Calibri"/>
          <w:i/>
          <w:sz w:val="22"/>
        </w:rPr>
        <w:t>While a run of customer-friendly results in October have resulted in win margins being below expected levels in the quarter to date, the underlying strength of our business is clear; we have grown our online recreational player base by 46% in just two years</w:t>
      </w:r>
      <w:r>
        <w:rPr>
          <w:rFonts w:ascii="Calibri" w:eastAsia="Calibri" w:hAnsi="Calibri" w:cs="Calibri"/>
          <w:i/>
          <w:sz w:val="22"/>
          <w:vertAlign w:val="superscript"/>
        </w:rPr>
        <w:t>2</w:t>
      </w:r>
      <w:r>
        <w:rPr>
          <w:rFonts w:ascii="Calibri" w:eastAsia="Calibri" w:hAnsi="Calibri" w:cs="Calibri"/>
          <w:i/>
          <w:sz w:val="22"/>
        </w:rPr>
        <w:t xml:space="preserve">. With more international jurisdictions and US states on the path to regulation, we look forward to sustainably growing our global player base further in 2022.” </w:t>
      </w:r>
    </w:p>
    <w:p w:rsidR="00F8358B" w:rsidRDefault="00F8358B">
      <w:pPr>
        <w:spacing w:after="80" w:line="276" w:lineRule="auto"/>
        <w:jc w:val="both"/>
        <w:rPr>
          <w:rFonts w:ascii="Calibri" w:eastAsia="Calibri" w:hAnsi="Calibri" w:cs="Calibri"/>
          <w:i/>
          <w:sz w:val="22"/>
        </w:rPr>
      </w:pPr>
    </w:p>
    <w:p w:rsidR="00F8358B" w:rsidRDefault="00F8358B">
      <w:pPr>
        <w:spacing w:after="80" w:line="276" w:lineRule="auto"/>
        <w:jc w:val="both"/>
        <w:sectPr w:rsidR="00F8358B">
          <w:type w:val="continuous"/>
          <w:pgSz w:w="11900" w:h="16838"/>
          <w:pgMar w:top="1304" w:right="1020" w:bottom="1247" w:left="907" w:header="270" w:footer="270" w:gutter="0"/>
          <w:cols w:space="708"/>
        </w:sectPr>
      </w:pPr>
    </w:p>
    <w:p w:rsidR="00F8358B" w:rsidRDefault="00F8358B">
      <w:pPr>
        <w:spacing w:after="120" w:line="288" w:lineRule="auto"/>
        <w:rPr>
          <w:rFonts w:ascii="Calibri" w:eastAsia="Calibri" w:hAnsi="Calibri" w:cs="Calibri"/>
          <w:b/>
          <w:sz w:val="22"/>
        </w:rPr>
      </w:pPr>
      <w:bookmarkStart w:id="3" w:name="Section4"/>
      <w:bookmarkEnd w:id="3"/>
    </w:p>
    <w:p w:rsidR="00F8358B" w:rsidRDefault="00594733">
      <w:pPr>
        <w:spacing w:after="120" w:line="288" w:lineRule="auto"/>
        <w:outlineLvl w:val="0"/>
        <w:rPr>
          <w:rFonts w:ascii="Calibri" w:eastAsia="Calibri" w:hAnsi="Calibri" w:cs="Calibri"/>
          <w:b/>
          <w:sz w:val="22"/>
        </w:rPr>
      </w:pPr>
      <w:r>
        <w:rPr>
          <w:rFonts w:ascii="Calibri" w:eastAsia="Calibri" w:hAnsi="Calibri" w:cs="Calibri"/>
          <w:b/>
          <w:sz w:val="22"/>
        </w:rPr>
        <w:lastRenderedPageBreak/>
        <w:t>Divisional analysis</w:t>
      </w:r>
    </w:p>
    <w:p w:rsidR="00F8358B" w:rsidRDefault="00F8358B">
      <w:pPr>
        <w:spacing w:after="120" w:line="288" w:lineRule="auto"/>
        <w:outlineLvl w:val="0"/>
        <w:sectPr w:rsidR="00F8358B">
          <w:type w:val="continuous"/>
          <w:pgSz w:w="11900" w:h="16838"/>
          <w:pgMar w:top="1304" w:right="1020" w:bottom="1247" w:left="907" w:header="270" w:footer="270" w:gutter="0"/>
          <w:cols w:space="708"/>
        </w:sectPr>
      </w:pPr>
    </w:p>
    <w:tbl>
      <w:tblPr>
        <w:tblW w:w="9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1025"/>
        <w:gridCol w:w="1025"/>
        <w:gridCol w:w="1025"/>
        <w:gridCol w:w="1025"/>
        <w:gridCol w:w="1025"/>
        <w:gridCol w:w="122"/>
        <w:gridCol w:w="1270"/>
        <w:gridCol w:w="1270"/>
      </w:tblGrid>
      <w:tr w:rsidR="00F8358B">
        <w:trPr>
          <w:cantSplit/>
          <w:trHeight w:hRule="exact" w:val="465"/>
          <w:jc w:val="center"/>
        </w:trPr>
        <w:tc>
          <w:tcPr>
            <w:tcW w:w="2115" w:type="dxa"/>
            <w:vMerge w:val="restart"/>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spacing w:line="269" w:lineRule="auto"/>
              <w:rPr>
                <w:rFonts w:ascii="Calibri" w:eastAsia="Calibri" w:hAnsi="Calibri" w:cs="Calibri"/>
                <w:i/>
                <w:sz w:val="18"/>
              </w:rPr>
            </w:pPr>
            <w:r>
              <w:rPr>
                <w:rFonts w:ascii="Calibri" w:eastAsia="Calibri" w:hAnsi="Calibri" w:cs="Calibri"/>
                <w:i/>
                <w:sz w:val="18"/>
              </w:rPr>
              <w:t>Unaudited revenue</w:t>
            </w:r>
          </w:p>
          <w:p w:rsidR="00F8358B" w:rsidRDefault="00594733">
            <w:pPr>
              <w:spacing w:line="276" w:lineRule="auto"/>
              <w:rPr>
                <w:rFonts w:ascii="Calibri" w:eastAsia="Calibri" w:hAnsi="Calibri" w:cs="Calibri"/>
                <w:i/>
                <w:sz w:val="18"/>
              </w:rPr>
            </w:pPr>
            <w:r>
              <w:rPr>
                <w:rFonts w:ascii="Calibri" w:eastAsia="Calibri" w:hAnsi="Calibri" w:cs="Calibri"/>
                <w:i/>
                <w:sz w:val="18"/>
              </w:rPr>
              <w:t>£m</w:t>
            </w:r>
          </w:p>
        </w:tc>
        <w:tc>
          <w:tcPr>
            <w:tcW w:w="3015" w:type="dxa"/>
            <w:gridSpan w:val="3"/>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jc w:val="center"/>
            </w:pPr>
            <w:r>
              <w:rPr>
                <w:rFonts w:ascii="Calibri" w:eastAsia="Calibri" w:hAnsi="Calibri" w:cs="Calibri"/>
                <w:b/>
                <w:color w:val="000000"/>
                <w:sz w:val="22"/>
              </w:rPr>
              <w:t xml:space="preserve">Total </w:t>
            </w:r>
          </w:p>
        </w:tc>
        <w:tc>
          <w:tcPr>
            <w:tcW w:w="100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center"/>
            </w:pPr>
            <w:r>
              <w:rPr>
                <w:rFonts w:ascii="Calibri" w:eastAsia="Calibri" w:hAnsi="Calibri" w:cs="Calibri"/>
                <w:b/>
                <w:color w:val="000000"/>
                <w:sz w:val="22"/>
              </w:rPr>
              <w:t xml:space="preserve">Sports </w:t>
            </w:r>
          </w:p>
        </w:tc>
        <w:tc>
          <w:tcPr>
            <w:tcW w:w="100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center"/>
            </w:pPr>
            <w:r>
              <w:rPr>
                <w:rFonts w:ascii="Calibri" w:eastAsia="Calibri" w:hAnsi="Calibri" w:cs="Calibri"/>
                <w:b/>
                <w:color w:val="000000"/>
                <w:sz w:val="22"/>
              </w:rPr>
              <w:t xml:space="preserve">Gaming </w:t>
            </w:r>
          </w:p>
        </w:tc>
        <w:tc>
          <w:tcPr>
            <w:tcW w:w="120" w:type="dxa"/>
            <w:tcBorders>
              <w:top w:val="nil"/>
              <w:left w:val="single" w:sz="8" w:space="0" w:color="000000"/>
              <w:bottom w:val="nil"/>
              <w:right w:val="nil"/>
            </w:tcBorders>
            <w:shd w:val="clear" w:color="auto" w:fill="FFFFFF"/>
            <w:tcMar>
              <w:top w:w="0" w:type="dxa"/>
              <w:left w:w="0" w:type="dxa"/>
              <w:bottom w:w="0" w:type="dxa"/>
              <w:right w:w="0" w:type="dxa"/>
            </w:tcMar>
            <w:vAlign w:val="bottom"/>
          </w:tcPr>
          <w:p w:rsidR="00F8358B" w:rsidRDefault="00F8358B">
            <w:pPr>
              <w:keepNext/>
            </w:pPr>
          </w:p>
        </w:tc>
        <w:tc>
          <w:tcPr>
            <w:tcW w:w="24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53" w:type="dxa"/>
              <w:bottom w:w="0" w:type="dxa"/>
              <w:right w:w="53" w:type="dxa"/>
            </w:tcMar>
            <w:vAlign w:val="center"/>
          </w:tcPr>
          <w:p w:rsidR="00F8358B" w:rsidRDefault="00594733">
            <w:pPr>
              <w:keepNext/>
              <w:jc w:val="center"/>
              <w:outlineLvl w:val="1"/>
              <w:rPr>
                <w:rFonts w:ascii="Calibri" w:eastAsia="Calibri" w:hAnsi="Calibri" w:cs="Calibri"/>
                <w:b/>
                <w:sz w:val="22"/>
              </w:rPr>
            </w:pPr>
            <w:r>
              <w:rPr>
                <w:rFonts w:ascii="Calibri" w:eastAsia="Calibri" w:hAnsi="Calibri" w:cs="Calibri"/>
                <w:b/>
                <w:sz w:val="22"/>
              </w:rPr>
              <w:t>Average monthly players</w:t>
            </w:r>
            <w:r>
              <w:rPr>
                <w:rFonts w:ascii="Calibri" w:eastAsia="Calibri" w:hAnsi="Calibri" w:cs="Calibri"/>
                <w:b/>
                <w:sz w:val="22"/>
                <w:vertAlign w:val="superscript"/>
              </w:rPr>
              <w:t>2</w:t>
            </w:r>
          </w:p>
        </w:tc>
      </w:tr>
      <w:tr w:rsidR="00F8358B">
        <w:trPr>
          <w:cantSplit/>
          <w:trHeight w:hRule="exact" w:val="555"/>
          <w:jc w:val="center"/>
        </w:trPr>
        <w:tc>
          <w:tcPr>
            <w:tcW w:w="2115" w:type="dxa"/>
            <w:vMerge/>
            <w:tcBorders>
              <w:top w:val="nil"/>
              <w:left w:val="single" w:sz="8" w:space="0" w:color="000000"/>
              <w:bottom w:val="single" w:sz="8" w:space="0" w:color="000000"/>
              <w:right w:val="nil"/>
            </w:tcBorders>
          </w:tcPr>
          <w:p w:rsidR="00F8358B" w:rsidRDefault="00F8358B">
            <w:pPr>
              <w:keepNext/>
            </w:pPr>
          </w:p>
        </w:tc>
        <w:tc>
          <w:tcPr>
            <w:tcW w:w="100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center"/>
            </w:pPr>
            <w:r>
              <w:rPr>
                <w:rFonts w:ascii="Calibri" w:eastAsia="Calibri" w:hAnsi="Calibri" w:cs="Calibri"/>
                <w:b/>
                <w:color w:val="000000"/>
                <w:sz w:val="22"/>
              </w:rPr>
              <w:t>Q3 2021</w:t>
            </w:r>
          </w:p>
        </w:tc>
        <w:tc>
          <w:tcPr>
            <w:tcW w:w="100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center"/>
            </w:pPr>
            <w:r>
              <w:rPr>
                <w:rFonts w:ascii="Calibri" w:eastAsia="Calibri" w:hAnsi="Calibri" w:cs="Calibri"/>
                <w:b/>
                <w:color w:val="000000"/>
                <w:sz w:val="22"/>
              </w:rPr>
              <w:t>Q3 2020</w:t>
            </w:r>
          </w:p>
        </w:tc>
        <w:tc>
          <w:tcPr>
            <w:tcW w:w="100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bottom"/>
          </w:tcPr>
          <w:p w:rsidR="00F8358B" w:rsidRDefault="00594733">
            <w:pPr>
              <w:keepNext/>
              <w:spacing w:before="33"/>
              <w:jc w:val="center"/>
            </w:pPr>
            <w:r>
              <w:rPr>
                <w:rFonts w:ascii="Calibri" w:eastAsia="Calibri" w:hAnsi="Calibri" w:cs="Calibri"/>
                <w:b/>
                <w:color w:val="000000"/>
                <w:sz w:val="22"/>
              </w:rPr>
              <w:t>YoY %</w:t>
            </w:r>
          </w:p>
          <w:p w:rsidR="00F8358B" w:rsidRDefault="00594733">
            <w:pPr>
              <w:spacing w:after="30"/>
              <w:jc w:val="center"/>
            </w:pPr>
            <w:r>
              <w:rPr>
                <w:rFonts w:ascii="Calibri" w:eastAsia="Calibri" w:hAnsi="Calibri" w:cs="Calibri"/>
                <w:b/>
                <w:color w:val="000000"/>
                <w:sz w:val="22"/>
              </w:rPr>
              <w:t>CC</w:t>
            </w:r>
          </w:p>
        </w:tc>
        <w:tc>
          <w:tcPr>
            <w:tcW w:w="100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center"/>
            </w:pPr>
            <w:r>
              <w:rPr>
                <w:rFonts w:ascii="Calibri" w:eastAsia="Calibri" w:hAnsi="Calibri" w:cs="Calibri"/>
                <w:b/>
                <w:color w:val="000000"/>
                <w:sz w:val="22"/>
              </w:rPr>
              <w:t xml:space="preserve">YoY % </w:t>
            </w:r>
          </w:p>
          <w:p w:rsidR="00F8358B" w:rsidRDefault="00594733">
            <w:pPr>
              <w:jc w:val="center"/>
            </w:pPr>
            <w:r>
              <w:rPr>
                <w:rFonts w:ascii="Calibri" w:eastAsia="Calibri" w:hAnsi="Calibri" w:cs="Calibri"/>
                <w:b/>
                <w:color w:val="000000"/>
                <w:sz w:val="22"/>
              </w:rPr>
              <w:t>CC</w:t>
            </w:r>
          </w:p>
        </w:tc>
        <w:tc>
          <w:tcPr>
            <w:tcW w:w="100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center"/>
            </w:pPr>
            <w:r>
              <w:rPr>
                <w:rFonts w:ascii="Calibri" w:eastAsia="Calibri" w:hAnsi="Calibri" w:cs="Calibri"/>
                <w:b/>
                <w:color w:val="000000"/>
                <w:sz w:val="22"/>
              </w:rPr>
              <w:t xml:space="preserve">YoY % </w:t>
            </w:r>
          </w:p>
          <w:p w:rsidR="00F8358B" w:rsidRDefault="00594733">
            <w:pPr>
              <w:jc w:val="center"/>
            </w:pPr>
            <w:r>
              <w:rPr>
                <w:rFonts w:ascii="Calibri" w:eastAsia="Calibri" w:hAnsi="Calibri" w:cs="Calibri"/>
                <w:b/>
                <w:color w:val="000000"/>
                <w:sz w:val="22"/>
              </w:rPr>
              <w:t>CC</w:t>
            </w:r>
          </w:p>
        </w:tc>
        <w:tc>
          <w:tcPr>
            <w:tcW w:w="120" w:type="dxa"/>
            <w:tcBorders>
              <w:top w:val="nil"/>
              <w:left w:val="single" w:sz="8" w:space="0" w:color="000000"/>
              <w:bottom w:val="nil"/>
              <w:right w:val="nil"/>
            </w:tcBorders>
            <w:shd w:val="clear" w:color="auto" w:fill="FFFFFF"/>
            <w:tcMar>
              <w:top w:w="0" w:type="dxa"/>
              <w:left w:w="53" w:type="dxa"/>
              <w:bottom w:w="0" w:type="dxa"/>
              <w:right w:w="15" w:type="dxa"/>
            </w:tcMar>
            <w:vAlign w:val="bottom"/>
          </w:tcPr>
          <w:p w:rsidR="00F8358B" w:rsidRDefault="00F8358B">
            <w:pPr>
              <w:keepNext/>
              <w:spacing w:before="53" w:after="30"/>
            </w:pPr>
          </w:p>
        </w:tc>
        <w:tc>
          <w:tcPr>
            <w:tcW w:w="1245" w:type="dxa"/>
            <w:tcBorders>
              <w:top w:val="nil"/>
              <w:left w:val="single" w:sz="8" w:space="0" w:color="000000"/>
              <w:bottom w:val="single" w:sz="8" w:space="0" w:color="000000"/>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b/>
                <w:color w:val="000000"/>
                <w:sz w:val="22"/>
              </w:rPr>
              <w:t>Q3 2021 (000s)</w:t>
            </w:r>
          </w:p>
        </w:tc>
        <w:tc>
          <w:tcPr>
            <w:tcW w:w="1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b/>
                <w:color w:val="000000"/>
                <w:sz w:val="22"/>
              </w:rPr>
              <w:t>YoY%</w:t>
            </w:r>
          </w:p>
        </w:tc>
      </w:tr>
      <w:tr w:rsidR="00F8358B">
        <w:trPr>
          <w:cantSplit/>
          <w:trHeight w:hRule="exact" w:val="315"/>
          <w:jc w:val="center"/>
        </w:trPr>
        <w:tc>
          <w:tcPr>
            <w:tcW w:w="211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spacing w:line="269" w:lineRule="auto"/>
            </w:pPr>
            <w:r>
              <w:rPr>
                <w:rFonts w:ascii="Calibri" w:eastAsia="Calibri" w:hAnsi="Calibri" w:cs="Calibri"/>
                <w:color w:val="000000"/>
                <w:sz w:val="22"/>
              </w:rPr>
              <w:t>UK &amp; Ireland</w:t>
            </w:r>
          </w:p>
        </w:tc>
        <w:tc>
          <w:tcPr>
            <w:tcW w:w="1005" w:type="dxa"/>
            <w:tcBorders>
              <w:top w:val="single" w:sz="8" w:space="0" w:color="000000"/>
              <w:left w:val="single" w:sz="8" w:space="0" w:color="000000"/>
              <w:bottom w:val="nil"/>
              <w:right w:val="nil"/>
            </w:tcBorders>
            <w:shd w:val="clear" w:color="auto" w:fill="FFFFFF"/>
            <w:tcMar>
              <w:top w:w="0" w:type="dxa"/>
              <w:left w:w="53" w:type="dxa"/>
              <w:bottom w:w="0" w:type="dxa"/>
              <w:right w:w="15" w:type="dxa"/>
            </w:tcMar>
            <w:vAlign w:val="bottom"/>
          </w:tcPr>
          <w:p w:rsidR="00F8358B" w:rsidRDefault="00594733">
            <w:pPr>
              <w:keepNext/>
              <w:spacing w:before="33" w:after="30"/>
              <w:jc w:val="center"/>
            </w:pPr>
            <w:r>
              <w:rPr>
                <w:rFonts w:ascii="Calibri" w:eastAsia="Calibri" w:hAnsi="Calibri" w:cs="Calibri"/>
                <w:color w:val="000000"/>
                <w:sz w:val="22"/>
              </w:rPr>
              <w:t>491</w:t>
            </w:r>
          </w:p>
        </w:tc>
        <w:tc>
          <w:tcPr>
            <w:tcW w:w="1005" w:type="dxa"/>
            <w:tcBorders>
              <w:top w:val="single" w:sz="8" w:space="0" w:color="000000"/>
              <w:left w:val="single" w:sz="8" w:space="0" w:color="000000"/>
              <w:bottom w:val="nil"/>
              <w:right w:val="nil"/>
            </w:tcBorders>
            <w:shd w:val="clear" w:color="auto" w:fill="FFFFFF"/>
            <w:tcMar>
              <w:top w:w="0" w:type="dxa"/>
              <w:left w:w="53" w:type="dxa"/>
              <w:bottom w:w="0" w:type="dxa"/>
              <w:right w:w="15" w:type="dxa"/>
            </w:tcMar>
            <w:vAlign w:val="bottom"/>
          </w:tcPr>
          <w:p w:rsidR="00F8358B" w:rsidRDefault="00594733">
            <w:pPr>
              <w:keepNext/>
              <w:spacing w:before="33" w:after="30"/>
              <w:jc w:val="center"/>
            </w:pPr>
            <w:r>
              <w:rPr>
                <w:rFonts w:ascii="Calibri" w:eastAsia="Calibri" w:hAnsi="Calibri" w:cs="Calibri"/>
                <w:color w:val="000000"/>
                <w:sz w:val="22"/>
              </w:rPr>
              <w:t>519</w:t>
            </w:r>
          </w:p>
        </w:tc>
        <w:tc>
          <w:tcPr>
            <w:tcW w:w="100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jc w:val="center"/>
            </w:pPr>
            <w:r>
              <w:rPr>
                <w:rFonts w:ascii="Calibri" w:eastAsia="Calibri" w:hAnsi="Calibri" w:cs="Calibri"/>
                <w:b/>
                <w:i/>
                <w:color w:val="000000"/>
                <w:sz w:val="22"/>
              </w:rPr>
              <w:t>-5%</w:t>
            </w:r>
          </w:p>
        </w:tc>
        <w:tc>
          <w:tcPr>
            <w:tcW w:w="100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jc w:val="center"/>
            </w:pPr>
            <w:r>
              <w:rPr>
                <w:rFonts w:ascii="Calibri" w:eastAsia="Calibri" w:hAnsi="Calibri" w:cs="Calibri"/>
                <w:i/>
                <w:color w:val="000000"/>
                <w:sz w:val="22"/>
              </w:rPr>
              <w:t>-9%</w:t>
            </w:r>
          </w:p>
        </w:tc>
        <w:tc>
          <w:tcPr>
            <w:tcW w:w="100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jc w:val="center"/>
            </w:pPr>
            <w:r>
              <w:rPr>
                <w:rFonts w:ascii="Calibri" w:eastAsia="Calibri" w:hAnsi="Calibri" w:cs="Calibri"/>
                <w:i/>
                <w:color w:val="000000"/>
                <w:sz w:val="22"/>
              </w:rPr>
              <w:t>+2%</w:t>
            </w:r>
          </w:p>
        </w:tc>
        <w:tc>
          <w:tcPr>
            <w:tcW w:w="120" w:type="dxa"/>
            <w:tcBorders>
              <w:top w:val="nil"/>
              <w:left w:val="single" w:sz="8" w:space="0" w:color="000000"/>
              <w:bottom w:val="nil"/>
              <w:right w:val="nil"/>
            </w:tcBorders>
            <w:shd w:val="clear" w:color="auto" w:fill="FFFFFF"/>
            <w:tcMar>
              <w:top w:w="0" w:type="dxa"/>
              <w:left w:w="53" w:type="dxa"/>
              <w:bottom w:w="0" w:type="dxa"/>
              <w:right w:w="53" w:type="dxa"/>
            </w:tcMar>
            <w:vAlign w:val="bottom"/>
          </w:tcPr>
          <w:p w:rsidR="00F8358B" w:rsidRDefault="00F8358B">
            <w:pPr>
              <w:keepNext/>
              <w:spacing w:before="53" w:after="30"/>
              <w:jc w:val="center"/>
            </w:pPr>
          </w:p>
        </w:tc>
        <w:tc>
          <w:tcPr>
            <w:tcW w:w="1245" w:type="dxa"/>
            <w:tcBorders>
              <w:top w:val="single" w:sz="8" w:space="0" w:color="000000"/>
              <w:left w:val="single" w:sz="8" w:space="0" w:color="000000"/>
              <w:bottom w:val="nil"/>
              <w:right w:val="nil"/>
            </w:tcBorders>
            <w:shd w:val="clear" w:color="auto" w:fill="FFFFFF"/>
            <w:tcMar>
              <w:top w:w="0" w:type="dxa"/>
              <w:left w:w="53" w:type="dxa"/>
              <w:bottom w:w="0" w:type="dxa"/>
              <w:right w:w="15" w:type="dxa"/>
            </w:tcMar>
            <w:vAlign w:val="bottom"/>
          </w:tcPr>
          <w:p w:rsidR="00F8358B" w:rsidRDefault="00594733">
            <w:pPr>
              <w:keepNext/>
              <w:spacing w:before="33" w:after="30"/>
              <w:jc w:val="center"/>
            </w:pPr>
            <w:r>
              <w:rPr>
                <w:rFonts w:ascii="Calibri" w:eastAsia="Calibri" w:hAnsi="Calibri" w:cs="Calibri"/>
                <w:color w:val="000000"/>
                <w:sz w:val="22"/>
              </w:rPr>
              <w:t>3,060</w:t>
            </w:r>
          </w:p>
        </w:tc>
        <w:tc>
          <w:tcPr>
            <w:tcW w:w="1245" w:type="dxa"/>
            <w:tcBorders>
              <w:top w:val="single" w:sz="8" w:space="0" w:color="000000"/>
              <w:left w:val="single" w:sz="8" w:space="0" w:color="000000"/>
              <w:bottom w:val="nil"/>
              <w:right w:val="single" w:sz="8" w:space="0" w:color="000000"/>
            </w:tcBorders>
            <w:shd w:val="clear" w:color="auto" w:fill="FFFFFF"/>
            <w:tcMar>
              <w:top w:w="0" w:type="dxa"/>
              <w:left w:w="53" w:type="dxa"/>
              <w:bottom w:w="0" w:type="dxa"/>
              <w:right w:w="53" w:type="dxa"/>
            </w:tcMar>
            <w:vAlign w:val="bottom"/>
          </w:tcPr>
          <w:p w:rsidR="00F8358B" w:rsidRDefault="00594733">
            <w:pPr>
              <w:keepNext/>
              <w:spacing w:before="33" w:after="30"/>
              <w:jc w:val="center"/>
            </w:pPr>
            <w:r>
              <w:rPr>
                <w:rFonts w:ascii="Calibri" w:eastAsia="Calibri" w:hAnsi="Calibri" w:cs="Calibri"/>
                <w:i/>
                <w:color w:val="000000"/>
                <w:sz w:val="22"/>
              </w:rPr>
              <w:t>+19%</w:t>
            </w:r>
          </w:p>
        </w:tc>
      </w:tr>
      <w:tr w:rsidR="00F8358B">
        <w:trPr>
          <w:cantSplit/>
          <w:trHeight w:hRule="exact" w:val="315"/>
          <w:jc w:val="center"/>
        </w:trPr>
        <w:tc>
          <w:tcPr>
            <w:tcW w:w="211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spacing w:line="269" w:lineRule="auto"/>
            </w:pPr>
            <w:r>
              <w:rPr>
                <w:rFonts w:ascii="Calibri" w:eastAsia="Calibri" w:hAnsi="Calibri" w:cs="Calibri"/>
                <w:i/>
                <w:color w:val="000000"/>
                <w:sz w:val="22"/>
              </w:rPr>
              <w:t>- UK &amp; Ireland Online</w:t>
            </w:r>
          </w:p>
        </w:tc>
        <w:tc>
          <w:tcPr>
            <w:tcW w:w="1005" w:type="dxa"/>
            <w:tcBorders>
              <w:top w:val="nil"/>
              <w:left w:val="single" w:sz="8" w:space="0" w:color="000000"/>
              <w:bottom w:val="nil"/>
              <w:right w:val="nil"/>
            </w:tcBorders>
            <w:shd w:val="clear" w:color="auto" w:fill="FFFFFF"/>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i/>
                <w:color w:val="000000"/>
                <w:sz w:val="22"/>
              </w:rPr>
              <w:t>423</w:t>
            </w:r>
          </w:p>
        </w:tc>
        <w:tc>
          <w:tcPr>
            <w:tcW w:w="1005" w:type="dxa"/>
            <w:tcBorders>
              <w:top w:val="nil"/>
              <w:left w:val="single" w:sz="8" w:space="0" w:color="000000"/>
              <w:bottom w:val="nil"/>
              <w:right w:val="nil"/>
            </w:tcBorders>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i/>
                <w:color w:val="000000"/>
                <w:sz w:val="22"/>
              </w:rPr>
              <w:t>446</w:t>
            </w:r>
          </w:p>
        </w:tc>
        <w:tc>
          <w:tcPr>
            <w:tcW w:w="1005" w:type="dxa"/>
            <w:tcBorders>
              <w:top w:val="nil"/>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b/>
                <w:i/>
                <w:color w:val="000000"/>
                <w:sz w:val="22"/>
              </w:rPr>
              <w:t>-5%</w:t>
            </w:r>
          </w:p>
        </w:tc>
        <w:tc>
          <w:tcPr>
            <w:tcW w:w="1005" w:type="dxa"/>
            <w:tcBorders>
              <w:top w:val="nil"/>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i/>
                <w:color w:val="000000"/>
                <w:sz w:val="22"/>
              </w:rPr>
              <w:t>-8%</w:t>
            </w:r>
          </w:p>
        </w:tc>
        <w:tc>
          <w:tcPr>
            <w:tcW w:w="1005" w:type="dxa"/>
            <w:tcBorders>
              <w:top w:val="nil"/>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i/>
                <w:color w:val="000000"/>
                <w:sz w:val="22"/>
              </w:rPr>
              <w:t>+2%</w:t>
            </w:r>
          </w:p>
        </w:tc>
        <w:tc>
          <w:tcPr>
            <w:tcW w:w="120" w:type="dxa"/>
            <w:tcBorders>
              <w:top w:val="nil"/>
              <w:left w:val="single" w:sz="8" w:space="0" w:color="000000"/>
              <w:bottom w:val="nil"/>
              <w:right w:val="nil"/>
            </w:tcBorders>
            <w:shd w:val="clear" w:color="auto" w:fill="FFFFFF"/>
            <w:tcMar>
              <w:top w:w="0" w:type="dxa"/>
              <w:left w:w="53" w:type="dxa"/>
              <w:bottom w:w="0" w:type="dxa"/>
              <w:right w:w="53" w:type="dxa"/>
            </w:tcMar>
            <w:vAlign w:val="bottom"/>
          </w:tcPr>
          <w:p w:rsidR="00F8358B" w:rsidRDefault="00F8358B">
            <w:pPr>
              <w:keepNext/>
              <w:spacing w:before="53" w:after="30"/>
              <w:jc w:val="center"/>
            </w:pPr>
          </w:p>
        </w:tc>
        <w:tc>
          <w:tcPr>
            <w:tcW w:w="1245" w:type="dxa"/>
            <w:tcBorders>
              <w:top w:val="nil"/>
              <w:left w:val="single" w:sz="8" w:space="0" w:color="000000"/>
              <w:bottom w:val="nil"/>
              <w:right w:val="nil"/>
            </w:tcBorders>
            <w:shd w:val="clear" w:color="auto" w:fill="FFFFFF"/>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i/>
                <w:color w:val="000000"/>
                <w:sz w:val="22"/>
              </w:rPr>
              <w:t>3,060</w:t>
            </w:r>
          </w:p>
        </w:tc>
        <w:tc>
          <w:tcPr>
            <w:tcW w:w="1245" w:type="dxa"/>
            <w:tcBorders>
              <w:top w:val="nil"/>
              <w:left w:val="single" w:sz="8" w:space="0" w:color="000000"/>
              <w:bottom w:val="nil"/>
              <w:right w:val="single" w:sz="8" w:space="0" w:color="000000"/>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i/>
                <w:color w:val="000000"/>
                <w:sz w:val="22"/>
              </w:rPr>
              <w:t>+19%</w:t>
            </w:r>
          </w:p>
        </w:tc>
      </w:tr>
      <w:tr w:rsidR="00F8358B">
        <w:trPr>
          <w:cantSplit/>
          <w:trHeight w:hRule="exact" w:val="315"/>
          <w:jc w:val="center"/>
        </w:trPr>
        <w:tc>
          <w:tcPr>
            <w:tcW w:w="211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spacing w:line="276" w:lineRule="auto"/>
            </w:pPr>
            <w:r>
              <w:rPr>
                <w:rFonts w:ascii="Calibri" w:eastAsia="Calibri" w:hAnsi="Calibri" w:cs="Calibri"/>
                <w:i/>
                <w:color w:val="000000"/>
                <w:sz w:val="22"/>
              </w:rPr>
              <w:t>- UK &amp; Ireland Retail</w:t>
            </w:r>
          </w:p>
        </w:tc>
        <w:tc>
          <w:tcPr>
            <w:tcW w:w="1005" w:type="dxa"/>
            <w:tcBorders>
              <w:top w:val="nil"/>
              <w:left w:val="single" w:sz="8" w:space="0" w:color="000000"/>
              <w:bottom w:val="nil"/>
              <w:right w:val="nil"/>
            </w:tcBorders>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i/>
                <w:color w:val="000000"/>
                <w:sz w:val="22"/>
              </w:rPr>
              <w:t>68</w:t>
            </w:r>
          </w:p>
        </w:tc>
        <w:tc>
          <w:tcPr>
            <w:tcW w:w="1005" w:type="dxa"/>
            <w:tcBorders>
              <w:top w:val="nil"/>
              <w:left w:val="single" w:sz="8" w:space="0" w:color="000000"/>
              <w:bottom w:val="nil"/>
              <w:right w:val="nil"/>
            </w:tcBorders>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i/>
                <w:color w:val="000000"/>
                <w:sz w:val="22"/>
              </w:rPr>
              <w:t>74</w:t>
            </w:r>
          </w:p>
        </w:tc>
        <w:tc>
          <w:tcPr>
            <w:tcW w:w="1005" w:type="dxa"/>
            <w:tcBorders>
              <w:top w:val="nil"/>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b/>
                <w:i/>
                <w:color w:val="000000"/>
                <w:sz w:val="22"/>
              </w:rPr>
              <w:t>-6%</w:t>
            </w:r>
          </w:p>
        </w:tc>
        <w:tc>
          <w:tcPr>
            <w:tcW w:w="1005" w:type="dxa"/>
            <w:tcBorders>
              <w:top w:val="nil"/>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i/>
                <w:color w:val="000000"/>
                <w:sz w:val="22"/>
              </w:rPr>
              <w:t>-11%</w:t>
            </w:r>
          </w:p>
        </w:tc>
        <w:tc>
          <w:tcPr>
            <w:tcW w:w="1005" w:type="dxa"/>
            <w:tcBorders>
              <w:top w:val="nil"/>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i/>
                <w:color w:val="000000"/>
                <w:sz w:val="22"/>
              </w:rPr>
              <w:t>+6%</w:t>
            </w:r>
          </w:p>
        </w:tc>
        <w:tc>
          <w:tcPr>
            <w:tcW w:w="120" w:type="dxa"/>
            <w:tcBorders>
              <w:top w:val="nil"/>
              <w:left w:val="single" w:sz="8" w:space="0" w:color="000000"/>
              <w:bottom w:val="nil"/>
              <w:right w:val="nil"/>
            </w:tcBorders>
            <w:shd w:val="clear" w:color="auto" w:fill="FFFFFF"/>
            <w:tcMar>
              <w:top w:w="0" w:type="dxa"/>
              <w:left w:w="53" w:type="dxa"/>
              <w:bottom w:w="0" w:type="dxa"/>
              <w:right w:w="15" w:type="dxa"/>
            </w:tcMar>
            <w:vAlign w:val="bottom"/>
          </w:tcPr>
          <w:p w:rsidR="00F8358B" w:rsidRDefault="00F8358B">
            <w:pPr>
              <w:keepNext/>
              <w:spacing w:before="53" w:after="30"/>
              <w:jc w:val="center"/>
            </w:pPr>
          </w:p>
        </w:tc>
        <w:tc>
          <w:tcPr>
            <w:tcW w:w="1245" w:type="dxa"/>
            <w:tcBorders>
              <w:top w:val="nil"/>
              <w:left w:val="single" w:sz="8" w:space="0" w:color="000000"/>
              <w:bottom w:val="nil"/>
              <w:right w:val="nil"/>
            </w:tcBorders>
            <w:shd w:val="clear" w:color="auto" w:fill="FFFFFF"/>
            <w:tcMar>
              <w:top w:w="0" w:type="dxa"/>
              <w:left w:w="53" w:type="dxa"/>
              <w:bottom w:w="0" w:type="dxa"/>
              <w:right w:w="15" w:type="dxa"/>
            </w:tcMar>
            <w:vAlign w:val="bottom"/>
          </w:tcPr>
          <w:p w:rsidR="00F8358B" w:rsidRDefault="00F8358B">
            <w:pPr>
              <w:keepNext/>
              <w:spacing w:before="53" w:after="30"/>
              <w:jc w:val="center"/>
            </w:pPr>
          </w:p>
        </w:tc>
        <w:tc>
          <w:tcPr>
            <w:tcW w:w="1245" w:type="dxa"/>
            <w:tcBorders>
              <w:top w:val="nil"/>
              <w:left w:val="single" w:sz="8" w:space="0" w:color="000000"/>
              <w:bottom w:val="nil"/>
              <w:right w:val="single" w:sz="8" w:space="0" w:color="000000"/>
            </w:tcBorders>
            <w:shd w:val="clear" w:color="auto" w:fill="FFFFFF"/>
            <w:tcMar>
              <w:top w:w="0" w:type="dxa"/>
              <w:left w:w="53" w:type="dxa"/>
              <w:bottom w:w="0" w:type="dxa"/>
              <w:right w:w="53" w:type="dxa"/>
            </w:tcMar>
            <w:vAlign w:val="bottom"/>
          </w:tcPr>
          <w:p w:rsidR="00F8358B" w:rsidRDefault="00F8358B">
            <w:pPr>
              <w:keepNext/>
              <w:spacing w:before="53" w:after="30"/>
              <w:jc w:val="center"/>
            </w:pPr>
          </w:p>
        </w:tc>
      </w:tr>
      <w:tr w:rsidR="00F8358B">
        <w:trPr>
          <w:cantSplit/>
          <w:trHeight w:hRule="exact" w:val="315"/>
          <w:jc w:val="center"/>
        </w:trPr>
        <w:tc>
          <w:tcPr>
            <w:tcW w:w="211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pPr>
            <w:r>
              <w:rPr>
                <w:rFonts w:ascii="Calibri" w:eastAsia="Calibri" w:hAnsi="Calibri" w:cs="Calibri"/>
                <w:color w:val="000000"/>
                <w:sz w:val="22"/>
              </w:rPr>
              <w:t>Australia</w:t>
            </w:r>
          </w:p>
        </w:tc>
        <w:tc>
          <w:tcPr>
            <w:tcW w:w="1005" w:type="dxa"/>
            <w:tcBorders>
              <w:top w:val="nil"/>
              <w:left w:val="single" w:sz="8" w:space="0" w:color="000000"/>
              <w:bottom w:val="nil"/>
              <w:right w:val="nil"/>
            </w:tcBorders>
            <w:shd w:val="clear" w:color="auto" w:fill="FFFFFF"/>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color w:val="000000"/>
                <w:sz w:val="22"/>
              </w:rPr>
              <w:t>370</w:t>
            </w:r>
          </w:p>
        </w:tc>
        <w:tc>
          <w:tcPr>
            <w:tcW w:w="1005" w:type="dxa"/>
            <w:tcBorders>
              <w:top w:val="nil"/>
              <w:left w:val="single" w:sz="8" w:space="0" w:color="000000"/>
              <w:bottom w:val="nil"/>
              <w:right w:val="nil"/>
            </w:tcBorders>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color w:val="000000"/>
                <w:sz w:val="22"/>
              </w:rPr>
              <w:t>320</w:t>
            </w:r>
          </w:p>
        </w:tc>
        <w:tc>
          <w:tcPr>
            <w:tcW w:w="1005" w:type="dxa"/>
            <w:tcBorders>
              <w:top w:val="nil"/>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b/>
                <w:i/>
                <w:color w:val="000000"/>
                <w:sz w:val="22"/>
              </w:rPr>
              <w:t>+20%</w:t>
            </w:r>
          </w:p>
        </w:tc>
        <w:tc>
          <w:tcPr>
            <w:tcW w:w="1005" w:type="dxa"/>
            <w:tcBorders>
              <w:top w:val="nil"/>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i/>
                <w:color w:val="000000"/>
                <w:sz w:val="22"/>
              </w:rPr>
              <w:t>+20%</w:t>
            </w:r>
          </w:p>
        </w:tc>
        <w:tc>
          <w:tcPr>
            <w:tcW w:w="1005" w:type="dxa"/>
            <w:tcBorders>
              <w:top w:val="nil"/>
              <w:left w:val="single" w:sz="8" w:space="0" w:color="000000"/>
              <w:bottom w:val="nil"/>
              <w:right w:val="nil"/>
            </w:tcBorders>
            <w:shd w:val="clear" w:color="auto" w:fill="FFFFFF"/>
            <w:tcMar>
              <w:top w:w="0" w:type="dxa"/>
              <w:left w:w="53" w:type="dxa"/>
              <w:bottom w:w="0" w:type="dxa"/>
              <w:right w:w="53" w:type="dxa"/>
            </w:tcMar>
            <w:vAlign w:val="bottom"/>
          </w:tcPr>
          <w:p w:rsidR="00F8358B" w:rsidRDefault="00F8358B">
            <w:pPr>
              <w:keepNext/>
              <w:spacing w:before="53" w:after="30"/>
              <w:jc w:val="center"/>
            </w:pPr>
          </w:p>
        </w:tc>
        <w:tc>
          <w:tcPr>
            <w:tcW w:w="120" w:type="dxa"/>
            <w:tcBorders>
              <w:top w:val="nil"/>
              <w:left w:val="single" w:sz="8" w:space="0" w:color="000000"/>
              <w:bottom w:val="nil"/>
              <w:right w:val="nil"/>
            </w:tcBorders>
            <w:shd w:val="clear" w:color="auto" w:fill="FFFFFF"/>
            <w:tcMar>
              <w:top w:w="0" w:type="dxa"/>
              <w:left w:w="53" w:type="dxa"/>
              <w:bottom w:w="0" w:type="dxa"/>
              <w:right w:w="53" w:type="dxa"/>
            </w:tcMar>
            <w:vAlign w:val="bottom"/>
          </w:tcPr>
          <w:p w:rsidR="00F8358B" w:rsidRDefault="00F8358B">
            <w:pPr>
              <w:keepNext/>
              <w:spacing w:before="53" w:after="30"/>
              <w:jc w:val="center"/>
            </w:pPr>
          </w:p>
        </w:tc>
        <w:tc>
          <w:tcPr>
            <w:tcW w:w="1245" w:type="dxa"/>
            <w:tcBorders>
              <w:top w:val="nil"/>
              <w:left w:val="single" w:sz="8" w:space="0" w:color="000000"/>
              <w:bottom w:val="nil"/>
              <w:right w:val="nil"/>
            </w:tcBorders>
            <w:shd w:val="clear" w:color="auto" w:fill="FFFFFF"/>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color w:val="000000"/>
                <w:sz w:val="22"/>
              </w:rPr>
              <w:t>1,086</w:t>
            </w:r>
          </w:p>
        </w:tc>
        <w:tc>
          <w:tcPr>
            <w:tcW w:w="1245" w:type="dxa"/>
            <w:tcBorders>
              <w:top w:val="nil"/>
              <w:left w:val="single" w:sz="8" w:space="0" w:color="000000"/>
              <w:bottom w:val="nil"/>
              <w:right w:val="single" w:sz="8" w:space="0" w:color="000000"/>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i/>
                <w:color w:val="000000"/>
                <w:sz w:val="22"/>
              </w:rPr>
              <w:t>+24%</w:t>
            </w:r>
          </w:p>
        </w:tc>
      </w:tr>
      <w:tr w:rsidR="00F8358B">
        <w:trPr>
          <w:cantSplit/>
          <w:trHeight w:hRule="exact" w:val="315"/>
          <w:jc w:val="center"/>
        </w:trPr>
        <w:tc>
          <w:tcPr>
            <w:tcW w:w="211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spacing w:line="276" w:lineRule="auto"/>
            </w:pPr>
            <w:r>
              <w:rPr>
                <w:rFonts w:ascii="Calibri" w:eastAsia="Calibri" w:hAnsi="Calibri" w:cs="Calibri"/>
                <w:color w:val="000000"/>
                <w:sz w:val="22"/>
              </w:rPr>
              <w:t>International</w:t>
            </w:r>
          </w:p>
        </w:tc>
        <w:tc>
          <w:tcPr>
            <w:tcW w:w="1005" w:type="dxa"/>
            <w:tcBorders>
              <w:top w:val="nil"/>
              <w:left w:val="single" w:sz="8" w:space="0" w:color="000000"/>
              <w:bottom w:val="nil"/>
              <w:right w:val="nil"/>
            </w:tcBorders>
            <w:shd w:val="clear" w:color="auto" w:fill="FFFFFF"/>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color w:val="000000"/>
                <w:sz w:val="22"/>
              </w:rPr>
              <w:t>299</w:t>
            </w:r>
          </w:p>
        </w:tc>
        <w:tc>
          <w:tcPr>
            <w:tcW w:w="1005" w:type="dxa"/>
            <w:tcBorders>
              <w:top w:val="nil"/>
              <w:left w:val="single" w:sz="8" w:space="0" w:color="000000"/>
              <w:bottom w:val="nil"/>
              <w:right w:val="nil"/>
            </w:tcBorders>
            <w:shd w:val="clear" w:color="auto" w:fill="FFFFFF"/>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color w:val="000000"/>
                <w:sz w:val="22"/>
              </w:rPr>
              <w:t>325</w:t>
            </w:r>
          </w:p>
        </w:tc>
        <w:tc>
          <w:tcPr>
            <w:tcW w:w="1005" w:type="dxa"/>
            <w:tcBorders>
              <w:top w:val="nil"/>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b/>
                <w:i/>
                <w:color w:val="000000"/>
                <w:sz w:val="22"/>
              </w:rPr>
              <w:t>-3%</w:t>
            </w:r>
          </w:p>
        </w:tc>
        <w:tc>
          <w:tcPr>
            <w:tcW w:w="1005" w:type="dxa"/>
            <w:tcBorders>
              <w:top w:val="nil"/>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i/>
                <w:color w:val="000000"/>
                <w:sz w:val="22"/>
              </w:rPr>
              <w:t>+14%</w:t>
            </w:r>
          </w:p>
        </w:tc>
        <w:tc>
          <w:tcPr>
            <w:tcW w:w="1005" w:type="dxa"/>
            <w:tcBorders>
              <w:top w:val="nil"/>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i/>
                <w:color w:val="000000"/>
                <w:sz w:val="22"/>
              </w:rPr>
              <w:t>-6%</w:t>
            </w:r>
          </w:p>
        </w:tc>
        <w:tc>
          <w:tcPr>
            <w:tcW w:w="120" w:type="dxa"/>
            <w:tcBorders>
              <w:top w:val="nil"/>
              <w:left w:val="single" w:sz="8" w:space="0" w:color="000000"/>
              <w:bottom w:val="nil"/>
              <w:right w:val="nil"/>
            </w:tcBorders>
            <w:shd w:val="clear" w:color="auto" w:fill="FFFFFF"/>
            <w:tcMar>
              <w:top w:w="0" w:type="dxa"/>
              <w:left w:w="53" w:type="dxa"/>
              <w:bottom w:w="0" w:type="dxa"/>
              <w:right w:w="53" w:type="dxa"/>
            </w:tcMar>
            <w:vAlign w:val="bottom"/>
          </w:tcPr>
          <w:p w:rsidR="00F8358B" w:rsidRDefault="00F8358B">
            <w:pPr>
              <w:keepNext/>
              <w:spacing w:before="53" w:after="30"/>
              <w:jc w:val="center"/>
            </w:pPr>
          </w:p>
        </w:tc>
        <w:tc>
          <w:tcPr>
            <w:tcW w:w="1245" w:type="dxa"/>
            <w:tcBorders>
              <w:top w:val="nil"/>
              <w:left w:val="single" w:sz="8" w:space="0" w:color="000000"/>
              <w:bottom w:val="nil"/>
              <w:right w:val="nil"/>
            </w:tcBorders>
            <w:shd w:val="clear" w:color="auto" w:fill="FFFFFF"/>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color w:val="000000"/>
                <w:sz w:val="22"/>
              </w:rPr>
              <w:t>1,799</w:t>
            </w:r>
          </w:p>
        </w:tc>
        <w:tc>
          <w:tcPr>
            <w:tcW w:w="1245" w:type="dxa"/>
            <w:tcBorders>
              <w:top w:val="nil"/>
              <w:left w:val="single" w:sz="8" w:space="0" w:color="000000"/>
              <w:bottom w:val="nil"/>
              <w:right w:val="single" w:sz="8" w:space="0" w:color="000000"/>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i/>
                <w:color w:val="000000"/>
                <w:sz w:val="22"/>
              </w:rPr>
              <w:t>-2%</w:t>
            </w:r>
          </w:p>
        </w:tc>
      </w:tr>
      <w:tr w:rsidR="00F8358B">
        <w:trPr>
          <w:cantSplit/>
          <w:trHeight w:hRule="exact" w:val="315"/>
          <w:jc w:val="center"/>
        </w:trPr>
        <w:tc>
          <w:tcPr>
            <w:tcW w:w="211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pPr>
            <w:r>
              <w:rPr>
                <w:rFonts w:ascii="Calibri" w:eastAsia="Calibri" w:hAnsi="Calibri" w:cs="Calibri"/>
                <w:color w:val="000000"/>
                <w:sz w:val="22"/>
              </w:rPr>
              <w:t>US</w:t>
            </w:r>
          </w:p>
        </w:tc>
        <w:tc>
          <w:tcPr>
            <w:tcW w:w="1005" w:type="dxa"/>
            <w:tcBorders>
              <w:top w:val="nil"/>
              <w:left w:val="single" w:sz="8" w:space="0" w:color="000000"/>
              <w:bottom w:val="single" w:sz="8" w:space="0" w:color="000000"/>
              <w:right w:val="nil"/>
            </w:tcBorders>
            <w:shd w:val="clear" w:color="auto" w:fill="FFFFFF"/>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color w:val="000000"/>
                <w:sz w:val="22"/>
              </w:rPr>
              <w:t>280</w:t>
            </w:r>
          </w:p>
        </w:tc>
        <w:tc>
          <w:tcPr>
            <w:tcW w:w="1005" w:type="dxa"/>
            <w:tcBorders>
              <w:top w:val="nil"/>
              <w:left w:val="single" w:sz="8" w:space="0" w:color="000000"/>
              <w:bottom w:val="single" w:sz="8" w:space="0" w:color="000000"/>
              <w:right w:val="nil"/>
            </w:tcBorders>
            <w:shd w:val="clear" w:color="auto" w:fill="FFFFFF"/>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color w:val="000000"/>
                <w:sz w:val="22"/>
              </w:rPr>
              <w:t>161</w:t>
            </w:r>
          </w:p>
        </w:tc>
        <w:tc>
          <w:tcPr>
            <w:tcW w:w="100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b/>
                <w:i/>
                <w:color w:val="000000"/>
                <w:sz w:val="22"/>
              </w:rPr>
              <w:t>+85%</w:t>
            </w:r>
          </w:p>
        </w:tc>
        <w:tc>
          <w:tcPr>
            <w:tcW w:w="100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i/>
                <w:color w:val="000000"/>
                <w:sz w:val="22"/>
              </w:rPr>
              <w:t>+97%</w:t>
            </w:r>
          </w:p>
        </w:tc>
        <w:tc>
          <w:tcPr>
            <w:tcW w:w="100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i/>
                <w:color w:val="000000"/>
                <w:sz w:val="22"/>
              </w:rPr>
              <w:t>+65%</w:t>
            </w:r>
          </w:p>
        </w:tc>
        <w:tc>
          <w:tcPr>
            <w:tcW w:w="120" w:type="dxa"/>
            <w:tcBorders>
              <w:top w:val="nil"/>
              <w:left w:val="single" w:sz="8" w:space="0" w:color="000000"/>
              <w:bottom w:val="nil"/>
              <w:right w:val="nil"/>
            </w:tcBorders>
            <w:shd w:val="clear" w:color="auto" w:fill="FFFFFF"/>
            <w:tcMar>
              <w:top w:w="0" w:type="dxa"/>
              <w:left w:w="53" w:type="dxa"/>
              <w:bottom w:w="0" w:type="dxa"/>
              <w:right w:w="53" w:type="dxa"/>
            </w:tcMar>
            <w:vAlign w:val="bottom"/>
          </w:tcPr>
          <w:p w:rsidR="00F8358B" w:rsidRDefault="00F8358B">
            <w:pPr>
              <w:keepNext/>
              <w:spacing w:before="53" w:after="30"/>
              <w:jc w:val="center"/>
            </w:pPr>
          </w:p>
        </w:tc>
        <w:tc>
          <w:tcPr>
            <w:tcW w:w="1245" w:type="dxa"/>
            <w:tcBorders>
              <w:top w:val="nil"/>
              <w:left w:val="single" w:sz="8" w:space="0" w:color="000000"/>
              <w:bottom w:val="single" w:sz="8" w:space="0" w:color="000000"/>
              <w:right w:val="nil"/>
            </w:tcBorders>
            <w:shd w:val="clear" w:color="auto" w:fill="FFFFFF"/>
            <w:tcMar>
              <w:top w:w="0" w:type="dxa"/>
              <w:left w:w="53" w:type="dxa"/>
              <w:bottom w:w="0" w:type="dxa"/>
              <w:right w:w="15" w:type="dxa"/>
            </w:tcMar>
            <w:vAlign w:val="bottom"/>
          </w:tcPr>
          <w:p w:rsidR="00F8358B" w:rsidRDefault="00594733">
            <w:pPr>
              <w:keepNext/>
              <w:spacing w:before="53" w:after="30"/>
              <w:jc w:val="center"/>
            </w:pPr>
            <w:r>
              <w:rPr>
                <w:rFonts w:ascii="Calibri" w:eastAsia="Calibri" w:hAnsi="Calibri" w:cs="Calibri"/>
                <w:color w:val="000000"/>
                <w:sz w:val="22"/>
              </w:rPr>
              <w:t>1,312</w:t>
            </w:r>
          </w:p>
        </w:tc>
        <w:tc>
          <w:tcPr>
            <w:tcW w:w="1245" w:type="dxa"/>
            <w:tcBorders>
              <w:top w:val="nil"/>
              <w:left w:val="single" w:sz="8" w:space="0" w:color="000000"/>
              <w:bottom w:val="single" w:sz="8" w:space="0" w:color="000000"/>
              <w:right w:val="single" w:sz="8" w:space="0" w:color="000000"/>
            </w:tcBorders>
            <w:shd w:val="clear" w:color="auto" w:fill="FFFFFF"/>
            <w:tcMar>
              <w:top w:w="0" w:type="dxa"/>
              <w:left w:w="53" w:type="dxa"/>
              <w:bottom w:w="0" w:type="dxa"/>
              <w:right w:w="53" w:type="dxa"/>
            </w:tcMar>
            <w:vAlign w:val="bottom"/>
          </w:tcPr>
          <w:p w:rsidR="00F8358B" w:rsidRDefault="00594733">
            <w:pPr>
              <w:keepNext/>
              <w:spacing w:before="53" w:after="30"/>
              <w:jc w:val="center"/>
            </w:pPr>
            <w:r>
              <w:rPr>
                <w:rFonts w:ascii="Calibri" w:eastAsia="Calibri" w:hAnsi="Calibri" w:cs="Calibri"/>
                <w:i/>
                <w:color w:val="000000"/>
                <w:sz w:val="22"/>
              </w:rPr>
              <w:t>+17%</w:t>
            </w:r>
          </w:p>
        </w:tc>
      </w:tr>
      <w:tr w:rsidR="00F8358B">
        <w:trPr>
          <w:cantSplit/>
          <w:trHeight w:hRule="exact" w:val="315"/>
          <w:jc w:val="center"/>
        </w:trPr>
        <w:tc>
          <w:tcPr>
            <w:tcW w:w="211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center"/>
          </w:tcPr>
          <w:p w:rsidR="00F8358B" w:rsidRDefault="00594733">
            <w:pPr>
              <w:spacing w:line="276" w:lineRule="auto"/>
            </w:pPr>
            <w:r>
              <w:rPr>
                <w:rFonts w:ascii="Calibri" w:eastAsia="Calibri" w:hAnsi="Calibri" w:cs="Calibri"/>
                <w:b/>
                <w:color w:val="000000"/>
                <w:sz w:val="22"/>
              </w:rPr>
              <w:t>Group</w:t>
            </w:r>
          </w:p>
        </w:tc>
        <w:tc>
          <w:tcPr>
            <w:tcW w:w="100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15" w:type="dxa"/>
            </w:tcMar>
            <w:vAlign w:val="bottom"/>
          </w:tcPr>
          <w:p w:rsidR="00F8358B" w:rsidRDefault="00594733">
            <w:pPr>
              <w:spacing w:before="33" w:after="30"/>
              <w:jc w:val="center"/>
            </w:pPr>
            <w:r>
              <w:rPr>
                <w:rFonts w:ascii="Calibri" w:eastAsia="Calibri" w:hAnsi="Calibri" w:cs="Calibri"/>
                <w:b/>
                <w:color w:val="000000"/>
                <w:sz w:val="22"/>
              </w:rPr>
              <w:t>1,439</w:t>
            </w:r>
          </w:p>
        </w:tc>
        <w:tc>
          <w:tcPr>
            <w:tcW w:w="100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15" w:type="dxa"/>
            </w:tcMar>
            <w:vAlign w:val="bottom"/>
          </w:tcPr>
          <w:p w:rsidR="00F8358B" w:rsidRDefault="00594733">
            <w:pPr>
              <w:spacing w:before="33" w:after="30"/>
              <w:jc w:val="center"/>
            </w:pPr>
            <w:r>
              <w:rPr>
                <w:rFonts w:ascii="Calibri" w:eastAsia="Calibri" w:hAnsi="Calibri" w:cs="Calibri"/>
                <w:b/>
                <w:color w:val="000000"/>
                <w:sz w:val="22"/>
              </w:rPr>
              <w:t>1,325</w:t>
            </w:r>
          </w:p>
        </w:tc>
        <w:tc>
          <w:tcPr>
            <w:tcW w:w="100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bottom"/>
          </w:tcPr>
          <w:p w:rsidR="00F8358B" w:rsidRDefault="00594733">
            <w:pPr>
              <w:spacing w:before="33" w:after="30"/>
              <w:jc w:val="center"/>
            </w:pPr>
            <w:r>
              <w:rPr>
                <w:rFonts w:ascii="Calibri" w:eastAsia="Calibri" w:hAnsi="Calibri" w:cs="Calibri"/>
                <w:b/>
                <w:i/>
                <w:color w:val="000000"/>
                <w:sz w:val="22"/>
              </w:rPr>
              <w:t>+12%</w:t>
            </w:r>
          </w:p>
        </w:tc>
        <w:tc>
          <w:tcPr>
            <w:tcW w:w="100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bottom"/>
          </w:tcPr>
          <w:p w:rsidR="00F8358B" w:rsidRDefault="00594733">
            <w:pPr>
              <w:spacing w:before="33" w:after="30"/>
              <w:jc w:val="center"/>
            </w:pPr>
            <w:r>
              <w:rPr>
                <w:rFonts w:ascii="Calibri" w:eastAsia="Calibri" w:hAnsi="Calibri" w:cs="Calibri"/>
                <w:b/>
                <w:i/>
                <w:color w:val="000000"/>
                <w:sz w:val="22"/>
              </w:rPr>
              <w:t>+17%</w:t>
            </w:r>
          </w:p>
        </w:tc>
        <w:tc>
          <w:tcPr>
            <w:tcW w:w="100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bottom"/>
          </w:tcPr>
          <w:p w:rsidR="00F8358B" w:rsidRDefault="00594733">
            <w:pPr>
              <w:spacing w:before="33" w:after="30"/>
              <w:jc w:val="center"/>
            </w:pPr>
            <w:r>
              <w:rPr>
                <w:rFonts w:ascii="Calibri" w:eastAsia="Calibri" w:hAnsi="Calibri" w:cs="Calibri"/>
                <w:b/>
                <w:i/>
                <w:color w:val="000000"/>
                <w:sz w:val="22"/>
              </w:rPr>
              <w:t>+5%</w:t>
            </w:r>
          </w:p>
        </w:tc>
        <w:tc>
          <w:tcPr>
            <w:tcW w:w="120" w:type="dxa"/>
            <w:tcBorders>
              <w:top w:val="nil"/>
              <w:left w:val="single" w:sz="8" w:space="0" w:color="000000"/>
              <w:bottom w:val="nil"/>
              <w:right w:val="nil"/>
            </w:tcBorders>
            <w:shd w:val="clear" w:color="auto" w:fill="FFFFFF"/>
            <w:tcMar>
              <w:top w:w="0" w:type="dxa"/>
              <w:left w:w="53" w:type="dxa"/>
              <w:bottom w:w="0" w:type="dxa"/>
              <w:right w:w="53" w:type="dxa"/>
            </w:tcMar>
            <w:vAlign w:val="bottom"/>
          </w:tcPr>
          <w:p w:rsidR="00F8358B" w:rsidRDefault="00F8358B">
            <w:pPr>
              <w:spacing w:before="53" w:after="30"/>
              <w:jc w:val="center"/>
            </w:pPr>
          </w:p>
        </w:tc>
        <w:tc>
          <w:tcPr>
            <w:tcW w:w="124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15" w:type="dxa"/>
            </w:tcMar>
            <w:vAlign w:val="bottom"/>
          </w:tcPr>
          <w:p w:rsidR="00F8358B" w:rsidRDefault="00594733">
            <w:pPr>
              <w:spacing w:before="33" w:after="30"/>
              <w:jc w:val="center"/>
            </w:pPr>
            <w:r>
              <w:rPr>
                <w:rFonts w:ascii="Calibri" w:eastAsia="Calibri" w:hAnsi="Calibri" w:cs="Calibri"/>
                <w:b/>
                <w:color w:val="000000"/>
                <w:sz w:val="22"/>
              </w:rPr>
              <w:t>7,257</w:t>
            </w:r>
          </w:p>
        </w:tc>
        <w:tc>
          <w:tcPr>
            <w:tcW w:w="1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53" w:type="dxa"/>
              <w:bottom w:w="0" w:type="dxa"/>
              <w:right w:w="53" w:type="dxa"/>
            </w:tcMar>
            <w:vAlign w:val="bottom"/>
          </w:tcPr>
          <w:p w:rsidR="00F8358B" w:rsidRDefault="00594733">
            <w:pPr>
              <w:spacing w:before="33" w:after="30"/>
              <w:jc w:val="center"/>
            </w:pPr>
            <w:r>
              <w:rPr>
                <w:rFonts w:ascii="Calibri" w:eastAsia="Calibri" w:hAnsi="Calibri" w:cs="Calibri"/>
                <w:b/>
                <w:i/>
                <w:color w:val="000000"/>
                <w:sz w:val="22"/>
              </w:rPr>
              <w:t>+13%</w:t>
            </w:r>
          </w:p>
        </w:tc>
      </w:tr>
    </w:tbl>
    <w:p w:rsidR="00F8358B" w:rsidRDefault="00F8358B">
      <w:pPr>
        <w:spacing w:line="288" w:lineRule="auto"/>
        <w:jc w:val="center"/>
        <w:rPr>
          <w:rFonts w:ascii="Arial" w:eastAsia="Arial" w:hAnsi="Arial" w:cs="Arial"/>
        </w:rPr>
      </w:pPr>
    </w:p>
    <w:p w:rsidR="00F8358B" w:rsidRDefault="00F8358B">
      <w:pPr>
        <w:spacing w:line="288" w:lineRule="auto"/>
        <w:jc w:val="center"/>
        <w:rPr>
          <w:rFonts w:ascii="Arial" w:eastAsia="Arial" w:hAnsi="Arial" w:cs="Arial"/>
        </w:rPr>
        <w:sectPr w:rsidR="00F8358B">
          <w:type w:val="continuous"/>
          <w:pgSz w:w="11900" w:h="16838"/>
          <w:pgMar w:top="1304" w:right="1020" w:bottom="1247" w:left="907" w:header="270" w:footer="270" w:gutter="0"/>
          <w:cols w:space="708"/>
        </w:sectPr>
      </w:pPr>
    </w:p>
    <w:p w:rsidR="00F8358B" w:rsidRDefault="00594733">
      <w:pPr>
        <w:spacing w:after="80" w:line="288" w:lineRule="auto"/>
        <w:jc w:val="both"/>
        <w:outlineLvl w:val="1"/>
        <w:rPr>
          <w:rFonts w:ascii="Calibri" w:eastAsia="Calibri" w:hAnsi="Calibri" w:cs="Calibri"/>
          <w:b/>
          <w:i/>
          <w:sz w:val="22"/>
        </w:rPr>
      </w:pPr>
      <w:bookmarkStart w:id="4" w:name="Section6"/>
      <w:bookmarkEnd w:id="4"/>
      <w:r>
        <w:rPr>
          <w:rFonts w:ascii="Calibri" w:eastAsia="Calibri" w:hAnsi="Calibri" w:cs="Calibri"/>
          <w:b/>
          <w:i/>
          <w:sz w:val="22"/>
        </w:rPr>
        <w:t>UK &amp; Ireland</w:t>
      </w:r>
    </w:p>
    <w:p w:rsidR="00F8358B" w:rsidRDefault="00594733">
      <w:pPr>
        <w:spacing w:after="80" w:line="288" w:lineRule="auto"/>
        <w:jc w:val="both"/>
        <w:rPr>
          <w:rFonts w:ascii="Calibri" w:eastAsia="Calibri" w:hAnsi="Calibri" w:cs="Calibri"/>
          <w:sz w:val="22"/>
        </w:rPr>
      </w:pPr>
      <w:r>
        <w:rPr>
          <w:rFonts w:ascii="Calibri" w:eastAsia="Calibri" w:hAnsi="Calibri" w:cs="Calibri"/>
          <w:i/>
          <w:sz w:val="22"/>
        </w:rPr>
        <w:t>Online</w:t>
      </w:r>
    </w:p>
    <w:p w:rsidR="00F8358B" w:rsidRDefault="00594733">
      <w:pPr>
        <w:spacing w:after="80" w:line="288" w:lineRule="auto"/>
        <w:jc w:val="both"/>
        <w:rPr>
          <w:rFonts w:ascii="Calibri" w:eastAsia="Calibri" w:hAnsi="Calibri" w:cs="Calibri"/>
          <w:sz w:val="22"/>
        </w:rPr>
      </w:pPr>
      <w:r>
        <w:rPr>
          <w:rFonts w:ascii="Calibri" w:eastAsia="Calibri" w:hAnsi="Calibri" w:cs="Calibri"/>
          <w:sz w:val="22"/>
        </w:rPr>
        <w:t xml:space="preserve">We have delivered strong recreational customer growth across our UK &amp; Ireland brands with a 19% increase in AMPs. Revenue declined by 5% in Q3 with sports down 8% and gaming 2% higher. </w:t>
      </w:r>
    </w:p>
    <w:p w:rsidR="00F8358B" w:rsidRDefault="00594733">
      <w:pPr>
        <w:spacing w:after="80" w:line="288" w:lineRule="auto"/>
        <w:jc w:val="both"/>
        <w:rPr>
          <w:rFonts w:ascii="Calibri" w:eastAsia="Calibri" w:hAnsi="Calibri" w:cs="Calibri"/>
          <w:sz w:val="22"/>
        </w:rPr>
      </w:pPr>
      <w:r>
        <w:rPr>
          <w:rFonts w:ascii="Calibri" w:eastAsia="Calibri" w:hAnsi="Calibri" w:cs="Calibri"/>
          <w:sz w:val="22"/>
        </w:rPr>
        <w:t xml:space="preserve">Sports revenue was primarily driven by a staking decline of 5% year-on-year as well as a 10 basis point reduction in net revenue margin to 9.8%. The staking decline reflected (i) the condensed nature of the Q3 2020 sporting calendar which included a large number of premium sporting fixtures (such as the conclusion of European domestic football leagues and European competitions), (ii) the easing of lockdown restrictions this year, with consumers having a wider variety of leisure activity options available to them and (iii) further enhancements to our Safer Gambling approach. The 10 basis point margin reduction year-on-year reflected less favourable sports results than in the prior year (-90 basis points), mostly offset by structural improvements in expected margin as customers increasingly engaged with higher margin “Bet Builder” products. </w:t>
      </w:r>
    </w:p>
    <w:p w:rsidR="00F8358B" w:rsidRDefault="00594733">
      <w:pPr>
        <w:spacing w:after="80" w:line="288" w:lineRule="auto"/>
        <w:jc w:val="both"/>
        <w:rPr>
          <w:rFonts w:ascii="Calibri" w:eastAsia="Calibri" w:hAnsi="Calibri" w:cs="Calibri"/>
          <w:sz w:val="22"/>
        </w:rPr>
      </w:pPr>
      <w:r>
        <w:rPr>
          <w:rFonts w:ascii="Calibri" w:eastAsia="Calibri" w:hAnsi="Calibri" w:cs="Calibri"/>
          <w:sz w:val="22"/>
        </w:rPr>
        <w:t xml:space="preserve">Gaming revenue grew 2%, an improvement on the run-rate during Q2. AMPs were up 22% despite challenging prior year comparatives as well as increased competition for discretionary customer spend and the continuous improvements we are making to our Safer Gambling protections. </w:t>
      </w:r>
    </w:p>
    <w:p w:rsidR="00F8358B" w:rsidRDefault="00594733">
      <w:pPr>
        <w:spacing w:after="80" w:line="288" w:lineRule="auto"/>
        <w:jc w:val="both"/>
        <w:rPr>
          <w:rFonts w:ascii="Calibri" w:eastAsia="Calibri" w:hAnsi="Calibri" w:cs="Calibri"/>
          <w:i/>
          <w:sz w:val="22"/>
        </w:rPr>
      </w:pPr>
      <w:r>
        <w:rPr>
          <w:rFonts w:ascii="Calibri" w:eastAsia="Calibri" w:hAnsi="Calibri" w:cs="Calibri"/>
          <w:i/>
          <w:sz w:val="22"/>
        </w:rPr>
        <w:t>Retail</w:t>
      </w:r>
    </w:p>
    <w:p w:rsidR="00F8358B" w:rsidRDefault="00594733">
      <w:pPr>
        <w:spacing w:after="80" w:line="288" w:lineRule="auto"/>
        <w:jc w:val="both"/>
        <w:rPr>
          <w:rFonts w:ascii="Calibri" w:eastAsia="Calibri" w:hAnsi="Calibri" w:cs="Calibri"/>
          <w:sz w:val="22"/>
        </w:rPr>
      </w:pPr>
      <w:r>
        <w:rPr>
          <w:rFonts w:ascii="Calibri" w:eastAsia="Calibri" w:hAnsi="Calibri" w:cs="Calibri"/>
          <w:sz w:val="22"/>
        </w:rPr>
        <w:t xml:space="preserve">Our retail estates across the UK and Ireland were fully open for the period with a total revenue decline of 6% year-on-year. Sports revenue declined 11% with half of this due to reduced margin while gaming was up 6%. As we continue to monitor the impact that Covid has had on our shops, it is worth noting that our Q3 UK retail revenues were 9% above Q3 2019 levels whereas revenue in Ireland was down 27%. We believe this primarily reflects the slower relaxation of Covid restrictions in Ireland. As a result, overall retail revenues were around 90% of 2019 levels.   </w:t>
      </w:r>
    </w:p>
    <w:p w:rsidR="00F8358B" w:rsidRDefault="00594733">
      <w:pPr>
        <w:spacing w:after="80" w:line="288" w:lineRule="auto"/>
        <w:jc w:val="both"/>
        <w:rPr>
          <w:rFonts w:ascii="Calibri" w:eastAsia="Calibri" w:hAnsi="Calibri" w:cs="Calibri"/>
          <w:sz w:val="22"/>
        </w:rPr>
      </w:pPr>
      <w:r>
        <w:rPr>
          <w:rFonts w:ascii="Calibri" w:eastAsia="Calibri" w:hAnsi="Calibri" w:cs="Calibri"/>
          <w:b/>
          <w:i/>
          <w:sz w:val="22"/>
        </w:rPr>
        <w:t>Australia</w:t>
      </w:r>
    </w:p>
    <w:p w:rsidR="00F8358B" w:rsidRDefault="00594733">
      <w:pPr>
        <w:spacing w:after="80" w:line="288" w:lineRule="auto"/>
        <w:jc w:val="both"/>
        <w:rPr>
          <w:rFonts w:ascii="Calibri" w:eastAsia="Calibri" w:hAnsi="Calibri" w:cs="Calibri"/>
          <w:sz w:val="22"/>
        </w:rPr>
      </w:pPr>
      <w:r>
        <w:rPr>
          <w:rFonts w:ascii="Calibri" w:eastAsia="Calibri" w:hAnsi="Calibri" w:cs="Calibri"/>
          <w:sz w:val="22"/>
        </w:rPr>
        <w:t>Sportsbet’s excellent momentum continued in Q3 with revenue up 20% as strong customer retention resulted in AMP growth of 24% to 1.1m. Travel restrictions applied to over 60% of the Australian population during the period, resulting in Sportsbet capturing additional discretionary leisure spend. Sportsbook stakes were 15% higher year-on-year. Sportsbook net revenue margin increased by 40 basis points to 11.1%, which reflected favourable sports results against both our expectations and year-on-year. The improvement in expected margin during the quarter was offset by increased generosity investment.</w:t>
      </w:r>
    </w:p>
    <w:p w:rsidR="00F8358B" w:rsidRDefault="00594733">
      <w:pPr>
        <w:spacing w:after="80" w:line="257" w:lineRule="auto"/>
        <w:jc w:val="both"/>
        <w:rPr>
          <w:rFonts w:ascii="Calibri" w:eastAsia="Calibri" w:hAnsi="Calibri" w:cs="Calibri"/>
          <w:b/>
          <w:i/>
          <w:sz w:val="22"/>
        </w:rPr>
      </w:pPr>
      <w:r>
        <w:rPr>
          <w:rFonts w:ascii="Calibri" w:eastAsia="Calibri" w:hAnsi="Calibri" w:cs="Calibri"/>
          <w:b/>
          <w:i/>
          <w:sz w:val="22"/>
        </w:rPr>
        <w:t>International</w:t>
      </w:r>
    </w:p>
    <w:p w:rsidR="00F8358B" w:rsidRDefault="00594733">
      <w:pPr>
        <w:spacing w:after="80" w:line="288" w:lineRule="auto"/>
        <w:jc w:val="both"/>
        <w:rPr>
          <w:rFonts w:ascii="Calibri" w:eastAsia="Calibri" w:hAnsi="Calibri" w:cs="Calibri"/>
          <w:sz w:val="22"/>
        </w:rPr>
      </w:pPr>
      <w:r>
        <w:rPr>
          <w:rFonts w:ascii="Calibri" w:eastAsia="Calibri" w:hAnsi="Calibri" w:cs="Calibri"/>
          <w:sz w:val="22"/>
        </w:rPr>
        <w:t>Revenue in our International division was 3% lower year-on-year, with gaming down 6% and sports up 14%. Performance reflected three key factors:</w:t>
      </w:r>
    </w:p>
    <w:p w:rsidR="00F8358B" w:rsidRDefault="00594733" w:rsidP="00594733">
      <w:pPr>
        <w:numPr>
          <w:ilvl w:val="0"/>
          <w:numId w:val="6"/>
        </w:numPr>
        <w:spacing w:after="80" w:line="288" w:lineRule="auto"/>
        <w:ind w:left="425"/>
        <w:jc w:val="both"/>
        <w:rPr>
          <w:rFonts w:ascii="Calibri" w:eastAsia="Calibri" w:hAnsi="Calibri" w:cs="Calibri"/>
          <w:sz w:val="22"/>
        </w:rPr>
      </w:pPr>
      <w:r>
        <w:rPr>
          <w:rFonts w:ascii="Calibri" w:eastAsia="Calibri" w:hAnsi="Calibri" w:cs="Calibri"/>
          <w:sz w:val="22"/>
        </w:rPr>
        <w:t xml:space="preserve">The regulatory impact of German product and tax changes. Excluding Germany, revenue grew 6%, with casino +21%, poker -16% and sports +25%. </w:t>
      </w:r>
    </w:p>
    <w:p w:rsidR="00F8358B" w:rsidRDefault="00594733" w:rsidP="00594733">
      <w:pPr>
        <w:numPr>
          <w:ilvl w:val="0"/>
          <w:numId w:val="6"/>
        </w:numPr>
        <w:spacing w:after="80" w:line="288" w:lineRule="auto"/>
        <w:ind w:left="425"/>
        <w:jc w:val="both"/>
        <w:rPr>
          <w:rFonts w:ascii="Calibri" w:eastAsia="Calibri" w:hAnsi="Calibri" w:cs="Calibri"/>
          <w:sz w:val="22"/>
        </w:rPr>
      </w:pPr>
      <w:r>
        <w:rPr>
          <w:rFonts w:ascii="Calibri" w:eastAsia="Calibri" w:hAnsi="Calibri" w:cs="Calibri"/>
          <w:sz w:val="22"/>
        </w:rPr>
        <w:t xml:space="preserve">The addition of Junglee which added 5 percentage points of growth year-on-year. </w:t>
      </w:r>
    </w:p>
    <w:p w:rsidR="00F8358B" w:rsidRDefault="00594733" w:rsidP="00594733">
      <w:pPr>
        <w:numPr>
          <w:ilvl w:val="0"/>
          <w:numId w:val="6"/>
        </w:numPr>
        <w:spacing w:after="80" w:line="288" w:lineRule="auto"/>
        <w:ind w:left="425"/>
        <w:jc w:val="both"/>
        <w:rPr>
          <w:rFonts w:ascii="Calibri" w:eastAsia="Calibri" w:hAnsi="Calibri" w:cs="Calibri"/>
          <w:sz w:val="22"/>
        </w:rPr>
      </w:pPr>
      <w:r>
        <w:rPr>
          <w:rFonts w:ascii="Calibri" w:eastAsia="Calibri" w:hAnsi="Calibri" w:cs="Calibri"/>
          <w:sz w:val="22"/>
        </w:rPr>
        <w:lastRenderedPageBreak/>
        <w:t xml:space="preserve">The easing of Covid related social restrictions across our main markets, leading to a reduction in player engagement versus prior year, particularly for poker. </w:t>
      </w:r>
    </w:p>
    <w:p w:rsidR="00F8358B" w:rsidRDefault="00594733">
      <w:pPr>
        <w:spacing w:after="80" w:line="288" w:lineRule="auto"/>
        <w:jc w:val="both"/>
        <w:rPr>
          <w:rFonts w:ascii="Calibri" w:eastAsia="Calibri" w:hAnsi="Calibri" w:cs="Calibri"/>
          <w:sz w:val="22"/>
        </w:rPr>
      </w:pPr>
      <w:r>
        <w:rPr>
          <w:rFonts w:ascii="Calibri" w:eastAsia="Calibri" w:hAnsi="Calibri" w:cs="Calibri"/>
          <w:sz w:val="22"/>
        </w:rPr>
        <w:t xml:space="preserve">We continue to invest to improve the PokerStars customer proposition with enhanced generosity and we recently rolled out our new reward scheme to all customers. We are also continuing to make good progress in driving direct casino acquisition. Sports growth was driven by good performance across our sportsbooks. </w:t>
      </w:r>
    </w:p>
    <w:p w:rsidR="00F8358B" w:rsidRDefault="00594733">
      <w:pPr>
        <w:spacing w:after="80" w:line="288" w:lineRule="auto"/>
        <w:jc w:val="both"/>
        <w:rPr>
          <w:rFonts w:ascii="Calibri" w:eastAsia="Calibri" w:hAnsi="Calibri" w:cs="Calibri"/>
          <w:sz w:val="22"/>
        </w:rPr>
      </w:pPr>
      <w:r>
        <w:rPr>
          <w:rFonts w:ascii="Calibri" w:eastAsia="Calibri" w:hAnsi="Calibri" w:cs="Calibri"/>
          <w:b/>
          <w:i/>
          <w:sz w:val="22"/>
        </w:rPr>
        <w:t>US</w:t>
      </w:r>
    </w:p>
    <w:p w:rsidR="00F8358B" w:rsidRDefault="00594733">
      <w:pPr>
        <w:spacing w:after="80" w:line="288" w:lineRule="auto"/>
        <w:jc w:val="both"/>
        <w:rPr>
          <w:rFonts w:ascii="Calibri" w:eastAsia="Calibri" w:hAnsi="Calibri" w:cs="Calibri"/>
          <w:sz w:val="22"/>
        </w:rPr>
      </w:pPr>
      <w:r>
        <w:rPr>
          <w:rFonts w:ascii="Calibri" w:eastAsia="Calibri" w:hAnsi="Calibri" w:cs="Calibri"/>
          <w:sz w:val="22"/>
        </w:rPr>
        <w:t>Our US business continued to lead the market in Q3 with a 42% share of online sports betting and an 18% share of online gaming</w:t>
      </w:r>
      <w:r>
        <w:rPr>
          <w:rFonts w:ascii="Calibri" w:eastAsia="Calibri" w:hAnsi="Calibri" w:cs="Calibri"/>
          <w:sz w:val="22"/>
          <w:vertAlign w:val="superscript"/>
        </w:rPr>
        <w:t>3</w:t>
      </w:r>
      <w:r>
        <w:rPr>
          <w:rFonts w:ascii="Calibri" w:eastAsia="Calibri" w:hAnsi="Calibri" w:cs="Calibri"/>
          <w:sz w:val="22"/>
        </w:rPr>
        <w:t>. Revenue grew by 85% to £280m ($386m) with FanDuel accounting for 94% of the total.</w:t>
      </w:r>
    </w:p>
    <w:p w:rsidR="00F8358B" w:rsidRDefault="00594733">
      <w:pPr>
        <w:spacing w:after="80" w:line="288" w:lineRule="auto"/>
        <w:jc w:val="both"/>
        <w:rPr>
          <w:rFonts w:ascii="Calibri" w:eastAsia="Calibri" w:hAnsi="Calibri" w:cs="Calibri"/>
          <w:sz w:val="22"/>
        </w:rPr>
      </w:pPr>
      <w:r>
        <w:rPr>
          <w:rFonts w:ascii="Calibri" w:eastAsia="Calibri" w:hAnsi="Calibri" w:cs="Calibri"/>
          <w:sz w:val="22"/>
        </w:rPr>
        <w:t xml:space="preserve">In Q3, our sportsbook and casino player numbers doubled year-on-year. Tougher Q3 comparatives for daily fantasy sports (166 NBA games in 2020 versus just 9 in 2021) and TVG (Kentucky Derby in September 2020 versus May 2021) impacted player volumes for both. As a result, overall AMPs increased by 17% to 1.3m in Q3, with 1.9m players active in September at the start of the NFL season. </w:t>
      </w:r>
    </w:p>
    <w:p w:rsidR="00F8358B" w:rsidRDefault="00594733">
      <w:pPr>
        <w:spacing w:after="80" w:line="288" w:lineRule="auto"/>
        <w:jc w:val="both"/>
        <w:rPr>
          <w:rFonts w:ascii="Calibri" w:eastAsia="Calibri" w:hAnsi="Calibri" w:cs="Calibri"/>
          <w:sz w:val="22"/>
        </w:rPr>
      </w:pPr>
      <w:r>
        <w:rPr>
          <w:rFonts w:ascii="Calibri" w:eastAsia="Calibri" w:hAnsi="Calibri" w:cs="Calibri"/>
          <w:sz w:val="22"/>
        </w:rPr>
        <w:t xml:space="preserve">Sports revenue increased by 97% to £184m ($254m), including sportsbook growth of 422%. </w:t>
      </w:r>
    </w:p>
    <w:p w:rsidR="00F8358B" w:rsidRDefault="00594733">
      <w:pPr>
        <w:spacing w:after="80" w:line="288" w:lineRule="auto"/>
        <w:jc w:val="both"/>
        <w:rPr>
          <w:rFonts w:ascii="Calibri" w:eastAsia="Calibri" w:hAnsi="Calibri" w:cs="Calibri"/>
          <w:sz w:val="22"/>
        </w:rPr>
      </w:pPr>
      <w:r>
        <w:rPr>
          <w:rFonts w:ascii="Calibri" w:eastAsia="Calibri" w:hAnsi="Calibri" w:cs="Calibri"/>
          <w:sz w:val="22"/>
        </w:rPr>
        <w:t xml:space="preserve">Sportsbook stakes grew 80% in the quarter with volumes on NFL Sundays now consistently reaching levels generated during the 2021 Super Bowl. These high volumes have been handled comfortably on the Group’s Global Betting Platform following FanDuel’s full migration on to that platform. Sportsbook net revenue margin increased by 410 basis points year-on-year to 6.2% reflecting (i) the significant investment we made during Q3 2020 following the return of sports, (ii) favourable sports results in 2021 and (iii) our beneficial product mix. We continued our significant investment in customer acquisition and retention during the quarter, including leveraging our official sports betting partnership with the NFL. FanDuel sportsbook is now live online in 12 states with 2 recent launches in Arizona (Sep) and Connecticut (Oct). Revenue from our other sports businesses (TVG and DFS) declined by 22% reflecting the tough calendar comparatives referenced above. </w:t>
      </w:r>
    </w:p>
    <w:p w:rsidR="00F8358B" w:rsidRDefault="00594733">
      <w:pPr>
        <w:spacing w:after="80" w:line="288" w:lineRule="auto"/>
        <w:jc w:val="both"/>
        <w:rPr>
          <w:rFonts w:ascii="Calibri" w:eastAsia="Calibri" w:hAnsi="Calibri" w:cs="Calibri"/>
          <w:sz w:val="22"/>
        </w:rPr>
      </w:pPr>
      <w:r>
        <w:rPr>
          <w:rFonts w:ascii="Calibri" w:eastAsia="Calibri" w:hAnsi="Calibri" w:cs="Calibri"/>
          <w:sz w:val="22"/>
        </w:rPr>
        <w:t>Gaming revenue increased by 65% to £95m ($132m) with our gaming products now available in 5 states following our Connecticut launch in October. Our new gaming promotions platform is now live, providing greater flexibility to reward multi-product players and improving the user experience on casino.</w:t>
      </w:r>
    </w:p>
    <w:p w:rsidR="00F8358B" w:rsidRDefault="00594733">
      <w:pPr>
        <w:spacing w:after="80" w:line="288" w:lineRule="auto"/>
        <w:jc w:val="both"/>
        <w:rPr>
          <w:rFonts w:ascii="Calibri" w:eastAsia="Calibri" w:hAnsi="Calibri" w:cs="Calibri"/>
          <w:b/>
          <w:i/>
          <w:sz w:val="22"/>
        </w:rPr>
      </w:pPr>
      <w:r>
        <w:rPr>
          <w:rFonts w:ascii="Calibri" w:eastAsia="Calibri" w:hAnsi="Calibri" w:cs="Calibri"/>
          <w:b/>
          <w:i/>
          <w:sz w:val="22"/>
        </w:rPr>
        <w:t xml:space="preserve">Outlook and guidance </w:t>
      </w:r>
    </w:p>
    <w:p w:rsidR="00F8358B" w:rsidRDefault="00594733" w:rsidP="00594733">
      <w:pPr>
        <w:numPr>
          <w:ilvl w:val="0"/>
          <w:numId w:val="7"/>
        </w:numPr>
        <w:spacing w:after="120" w:line="317" w:lineRule="auto"/>
        <w:ind w:left="425"/>
        <w:jc w:val="both"/>
        <w:rPr>
          <w:rFonts w:ascii="Calibri" w:eastAsia="Calibri" w:hAnsi="Calibri" w:cs="Calibri"/>
          <w:sz w:val="22"/>
        </w:rPr>
      </w:pPr>
      <w:r>
        <w:rPr>
          <w:rFonts w:ascii="Calibri" w:eastAsia="Calibri" w:hAnsi="Calibri" w:cs="Calibri"/>
          <w:b/>
          <w:sz w:val="22"/>
        </w:rPr>
        <w:t xml:space="preserve">Netherlands update: </w:t>
      </w:r>
      <w:r>
        <w:rPr>
          <w:rFonts w:ascii="Calibri" w:eastAsia="Calibri" w:hAnsi="Calibri" w:cs="Calibri"/>
          <w:sz w:val="22"/>
        </w:rPr>
        <w:t xml:space="preserve">Following the recent announcement from the Netherlands Gambling Authority, we suspended our Dutch operations on 1 October. We estimate that this temporary closure will cost the Group £10m in EBITDA in 2021 and approximately £40m in 2022. This assumes we recommence trading in Q3 2022 and that our Dutch operations break even in H2 next year as we invest to re-engage customers. </w:t>
      </w:r>
    </w:p>
    <w:p w:rsidR="00F8358B" w:rsidRDefault="00594733" w:rsidP="00594733">
      <w:pPr>
        <w:numPr>
          <w:ilvl w:val="0"/>
          <w:numId w:val="7"/>
        </w:numPr>
        <w:spacing w:after="120" w:line="317" w:lineRule="auto"/>
        <w:ind w:left="425"/>
        <w:jc w:val="both"/>
        <w:rPr>
          <w:rFonts w:ascii="Calibri" w:eastAsia="Calibri" w:hAnsi="Calibri" w:cs="Calibri"/>
          <w:sz w:val="22"/>
        </w:rPr>
      </w:pPr>
      <w:r>
        <w:rPr>
          <w:rFonts w:ascii="Calibri" w:eastAsia="Calibri" w:hAnsi="Calibri" w:cs="Calibri"/>
          <w:b/>
          <w:sz w:val="22"/>
        </w:rPr>
        <w:t>Group ex-US:</w:t>
      </w:r>
      <w:r>
        <w:rPr>
          <w:rFonts w:ascii="Calibri" w:eastAsia="Calibri" w:hAnsi="Calibri" w:cs="Calibri"/>
          <w:sz w:val="22"/>
        </w:rPr>
        <w:t xml:space="preserve"> Unfavourable sports results in the first 24 days of October have impacted EBITDA by around £60m. Combined with the expected £10m EBITDA impact from the Netherlands, we are revising our Adjusted EBITDA expectations for 2021 to £1.24bn - £1.28bn (previous guidance: £1.27bn - £1.37bn). </w:t>
      </w:r>
    </w:p>
    <w:p w:rsidR="00F8358B" w:rsidRDefault="00594733" w:rsidP="00594733">
      <w:pPr>
        <w:numPr>
          <w:ilvl w:val="0"/>
          <w:numId w:val="7"/>
        </w:numPr>
        <w:spacing w:after="120" w:line="317" w:lineRule="auto"/>
        <w:ind w:left="425"/>
        <w:jc w:val="both"/>
        <w:rPr>
          <w:rFonts w:ascii="Calibri" w:eastAsia="Calibri" w:hAnsi="Calibri" w:cs="Calibri"/>
          <w:sz w:val="22"/>
        </w:rPr>
      </w:pPr>
      <w:r>
        <w:rPr>
          <w:rFonts w:ascii="Calibri" w:eastAsia="Calibri" w:hAnsi="Calibri" w:cs="Calibri"/>
          <w:b/>
          <w:sz w:val="22"/>
        </w:rPr>
        <w:t xml:space="preserve">US: </w:t>
      </w:r>
      <w:r>
        <w:rPr>
          <w:rFonts w:ascii="Calibri" w:eastAsia="Calibri" w:hAnsi="Calibri" w:cs="Calibri"/>
          <w:sz w:val="22"/>
        </w:rPr>
        <w:t>Net revenue</w:t>
      </w:r>
      <w:r>
        <w:rPr>
          <w:rFonts w:ascii="Calibri" w:eastAsia="Calibri" w:hAnsi="Calibri" w:cs="Calibri"/>
          <w:b/>
          <w:sz w:val="22"/>
        </w:rPr>
        <w:t xml:space="preserve"> </w:t>
      </w:r>
      <w:r>
        <w:rPr>
          <w:rFonts w:ascii="Calibri" w:eastAsia="Calibri" w:hAnsi="Calibri" w:cs="Calibri"/>
          <w:sz w:val="22"/>
        </w:rPr>
        <w:t xml:space="preserve">guidance remains unchanged at £1.285bn - £1.425bn ($1.8bn - $2.0bn) with an Adjusted EBITDA loss now expected to be £250m - £275m (previous guidance: £225m - £275m). This revised EBITDA range includes a £15m impact from adverse sports results in October.   </w:t>
      </w:r>
    </w:p>
    <w:p w:rsidR="00F8358B" w:rsidRDefault="00F8358B">
      <w:pPr>
        <w:spacing w:after="80" w:line="288" w:lineRule="auto"/>
        <w:ind w:left="-295"/>
        <w:rPr>
          <w:rFonts w:ascii="Calibri" w:eastAsia="Calibri" w:hAnsi="Calibri" w:cs="Calibri"/>
          <w:sz w:val="22"/>
        </w:rPr>
      </w:pPr>
    </w:p>
    <w:p w:rsidR="00F8358B" w:rsidRDefault="00594733">
      <w:pPr>
        <w:pageBreakBefore/>
        <w:spacing w:after="120" w:line="288" w:lineRule="auto"/>
        <w:rPr>
          <w:rFonts w:ascii="Calibri" w:eastAsia="Calibri" w:hAnsi="Calibri" w:cs="Calibri"/>
          <w:sz w:val="22"/>
        </w:rPr>
      </w:pPr>
      <w:r>
        <w:rPr>
          <w:rFonts w:ascii="Calibri" w:eastAsia="Calibri" w:hAnsi="Calibri" w:cs="Calibri"/>
          <w:i/>
          <w:sz w:val="18"/>
          <w:vertAlign w:val="superscript"/>
        </w:rPr>
        <w:t xml:space="preserve">1 </w:t>
      </w:r>
      <w:r>
        <w:rPr>
          <w:rFonts w:ascii="Calibri" w:eastAsia="Calibri" w:hAnsi="Calibri" w:cs="Calibri"/>
          <w:i/>
          <w:sz w:val="18"/>
        </w:rPr>
        <w:t>Constant currency (“cc”) growth is calculated by retranslating the non-sterling denominated component of Q3 2020 at Q3 2021 exchange rates. Growth rates in the commentary are in local or constant currency.</w:t>
      </w:r>
    </w:p>
    <w:p w:rsidR="00F8358B" w:rsidRDefault="00594733">
      <w:pPr>
        <w:spacing w:after="80" w:line="288" w:lineRule="auto"/>
        <w:jc w:val="both"/>
        <w:rPr>
          <w:rFonts w:ascii="Arial" w:eastAsia="Arial" w:hAnsi="Arial" w:cs="Arial"/>
        </w:rPr>
      </w:pPr>
      <w:r>
        <w:rPr>
          <w:rFonts w:ascii="Calibri" w:eastAsia="Calibri" w:hAnsi="Calibri" w:cs="Calibri"/>
          <w:i/>
          <w:sz w:val="18"/>
          <w:vertAlign w:val="superscript"/>
        </w:rPr>
        <w:t xml:space="preserve">2 </w:t>
      </w:r>
      <w:r>
        <w:rPr>
          <w:rFonts w:ascii="Calibri" w:eastAsia="Calibri" w:hAnsi="Calibri" w:cs="Calibri"/>
          <w:i/>
          <w:sz w:val="18"/>
        </w:rPr>
        <w:t>Average Monthly Players represent the average number of players who have placed and/or wagered a stake and/or contributed to rake or tournament fees during the month in the reporting period. The AMP numbers do not include Junglee players in 2020 or 2021 to allow for better comparability of underlying player growth for International and Group. Two year AMP growth refers to Q3 2021 compared with Q3 2019.</w:t>
      </w:r>
    </w:p>
    <w:p w:rsidR="00F8358B" w:rsidRDefault="00594733">
      <w:pPr>
        <w:spacing w:after="80" w:line="288" w:lineRule="auto"/>
        <w:jc w:val="both"/>
        <w:rPr>
          <w:rFonts w:ascii="Calibri" w:eastAsia="Calibri" w:hAnsi="Calibri" w:cs="Calibri"/>
          <w:i/>
          <w:sz w:val="18"/>
          <w:vertAlign w:val="superscript"/>
        </w:rPr>
      </w:pPr>
      <w:r>
        <w:rPr>
          <w:rFonts w:ascii="Calibri" w:eastAsia="Calibri" w:hAnsi="Calibri" w:cs="Calibri"/>
          <w:i/>
          <w:sz w:val="18"/>
          <w:vertAlign w:val="superscript"/>
        </w:rPr>
        <w:t xml:space="preserve">3 </w:t>
      </w:r>
      <w:r>
        <w:rPr>
          <w:rFonts w:ascii="Calibri" w:eastAsia="Calibri" w:hAnsi="Calibri" w:cs="Calibri"/>
          <w:i/>
          <w:sz w:val="18"/>
        </w:rPr>
        <w:t>Online sportsbook market share is the GGR market share of FanDuel and FOX Bet for Q3 in the states in which FanDuel was live based on published gaming regulator reports in those states. Market share calculations do not include September data for Arizona, Colorado, Illinois, Tennessee and Virginia as the data has yet to be released. During Q3 FanDuel was live in 11 states; Arizona (AZ), Colorado (CO), Illinois (IL), Indiana (IN), Iowa (IA), Michigan (MI), New Jersey (NJ), Pennsylvania (PA), Tennessee (TN), Virginia (VA) and West Virginia (WV). During Q3 FOX Bet was live in 4 states; CO, NJ, MI and PA. Online gaming market share reflects combined MI, NJ, PA and WV market share of our gaming brands.</w:t>
      </w:r>
    </w:p>
    <w:tbl>
      <w:tblPr>
        <w:tblW w:w="10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6"/>
        <w:gridCol w:w="4483"/>
      </w:tblGrid>
      <w:tr w:rsidR="00F8358B">
        <w:trPr>
          <w:cantSplit/>
          <w:trHeight w:hRule="exact" w:val="1305"/>
        </w:trPr>
        <w:tc>
          <w:tcPr>
            <w:tcW w:w="9960" w:type="dxa"/>
            <w:gridSpan w:val="2"/>
            <w:tcBorders>
              <w:top w:val="single" w:sz="8" w:space="0" w:color="000000"/>
              <w:left w:val="single" w:sz="8" w:space="0" w:color="000000"/>
              <w:bottom w:val="nil"/>
              <w:right w:val="single" w:sz="8" w:space="0" w:color="000000"/>
            </w:tcBorders>
            <w:tcMar>
              <w:top w:w="0" w:type="dxa"/>
              <w:left w:w="53" w:type="dxa"/>
              <w:bottom w:w="0" w:type="dxa"/>
              <w:right w:w="53" w:type="dxa"/>
            </w:tcMar>
            <w:vAlign w:val="bottom"/>
          </w:tcPr>
          <w:p w:rsidR="00F8358B" w:rsidRDefault="00594733">
            <w:pPr>
              <w:keepNext/>
              <w:spacing w:before="33" w:line="288" w:lineRule="auto"/>
              <w:jc w:val="both"/>
              <w:rPr>
                <w:rFonts w:ascii="Calibri" w:eastAsia="Calibri" w:hAnsi="Calibri" w:cs="Calibri"/>
                <w:sz w:val="20"/>
              </w:rPr>
            </w:pPr>
            <w:r>
              <w:rPr>
                <w:rFonts w:ascii="Calibri" w:eastAsia="Calibri" w:hAnsi="Calibri" w:cs="Calibri"/>
                <w:b/>
                <w:sz w:val="20"/>
              </w:rPr>
              <w:t>Analyst briefing:</w:t>
            </w:r>
            <w:r>
              <w:rPr>
                <w:rFonts w:ascii="Calibri" w:eastAsia="Calibri" w:hAnsi="Calibri" w:cs="Calibri"/>
                <w:sz w:val="20"/>
              </w:rPr>
              <w:t> </w:t>
            </w:r>
          </w:p>
          <w:p w:rsidR="00F8358B" w:rsidRDefault="00594733">
            <w:pPr>
              <w:spacing w:after="30" w:line="288" w:lineRule="auto"/>
              <w:jc w:val="both"/>
              <w:rPr>
                <w:rFonts w:ascii="Calibri" w:eastAsia="Calibri" w:hAnsi="Calibri" w:cs="Calibri"/>
                <w:sz w:val="20"/>
              </w:rPr>
            </w:pPr>
            <w:r>
              <w:rPr>
                <w:rFonts w:ascii="Calibri" w:eastAsia="Calibri" w:hAnsi="Calibri" w:cs="Calibri"/>
                <w:sz w:val="20"/>
              </w:rPr>
              <w:t>Th</w:t>
            </w:r>
            <w:r>
              <w:rPr>
                <w:rFonts w:ascii="Calibri" w:eastAsia="Calibri" w:hAnsi="Calibri" w:cs="Calibri"/>
                <w:sz w:val="20"/>
                <w:shd w:val="clear" w:color="auto" w:fill="FFFFFF"/>
              </w:rPr>
              <w:t xml:space="preserve">e Group will host a questions and answers call for institutional investors and analysts this morning at 9:00am (GMT). To dial into the conference call, participants need to register </w:t>
            </w:r>
            <w:hyperlink r:id="rId10" w:history="1">
              <w:r>
                <w:rPr>
                  <w:rFonts w:ascii="Calibri" w:eastAsia="Calibri" w:hAnsi="Calibri" w:cs="Calibri"/>
                  <w:color w:val="0000FF"/>
                  <w:sz w:val="20"/>
                  <w:u w:val="single"/>
                  <w:shd w:val="clear" w:color="auto" w:fill="FFFFFF"/>
                </w:rPr>
                <w:t>here</w:t>
              </w:r>
            </w:hyperlink>
            <w:r>
              <w:rPr>
                <w:rFonts w:ascii="Calibri" w:eastAsia="Calibri" w:hAnsi="Calibri" w:cs="Calibri"/>
                <w:sz w:val="20"/>
                <w:shd w:val="clear" w:color="auto" w:fill="FFFFFF"/>
              </w:rPr>
              <w:t xml:space="preserve"> where they will be provided with the dial in details to access the call. </w:t>
            </w:r>
          </w:p>
        </w:tc>
      </w:tr>
      <w:tr w:rsidR="00F8358B">
        <w:trPr>
          <w:cantSplit/>
          <w:trHeight w:hRule="exact" w:val="120"/>
        </w:trPr>
        <w:tc>
          <w:tcPr>
            <w:tcW w:w="5565" w:type="dxa"/>
            <w:tcBorders>
              <w:top w:val="nil"/>
              <w:left w:val="single" w:sz="8" w:space="0" w:color="000000"/>
              <w:bottom w:val="nil"/>
              <w:right w:val="nil"/>
            </w:tcBorders>
            <w:tcMar>
              <w:top w:w="0" w:type="dxa"/>
              <w:left w:w="0" w:type="dxa"/>
              <w:bottom w:w="0" w:type="dxa"/>
              <w:right w:w="0" w:type="dxa"/>
            </w:tcMar>
            <w:vAlign w:val="bottom"/>
          </w:tcPr>
          <w:p w:rsidR="00F8358B" w:rsidRDefault="00F8358B">
            <w:pPr>
              <w:keepNext/>
            </w:pPr>
          </w:p>
        </w:tc>
        <w:tc>
          <w:tcPr>
            <w:tcW w:w="4395" w:type="dxa"/>
            <w:tcBorders>
              <w:top w:val="nil"/>
              <w:left w:val="nil"/>
              <w:bottom w:val="nil"/>
              <w:right w:val="single" w:sz="8" w:space="0" w:color="000000"/>
            </w:tcBorders>
            <w:tcMar>
              <w:top w:w="0" w:type="dxa"/>
              <w:left w:w="0" w:type="dxa"/>
              <w:bottom w:w="0" w:type="dxa"/>
              <w:right w:w="0" w:type="dxa"/>
            </w:tcMar>
            <w:vAlign w:val="bottom"/>
          </w:tcPr>
          <w:p w:rsidR="00F8358B" w:rsidRDefault="00F8358B">
            <w:pPr>
              <w:keepNext/>
            </w:pPr>
          </w:p>
        </w:tc>
      </w:tr>
      <w:tr w:rsidR="00F8358B">
        <w:trPr>
          <w:cantSplit/>
          <w:trHeight w:hRule="exact" w:val="315"/>
        </w:trPr>
        <w:tc>
          <w:tcPr>
            <w:tcW w:w="5565" w:type="dxa"/>
            <w:tcBorders>
              <w:top w:val="nil"/>
              <w:left w:val="single" w:sz="8" w:space="0" w:color="000000"/>
              <w:bottom w:val="nil"/>
              <w:right w:val="nil"/>
            </w:tcBorders>
            <w:tcMar>
              <w:top w:w="0" w:type="dxa"/>
              <w:left w:w="53" w:type="dxa"/>
              <w:bottom w:w="0" w:type="dxa"/>
              <w:right w:w="53" w:type="dxa"/>
            </w:tcMar>
            <w:vAlign w:val="bottom"/>
          </w:tcPr>
          <w:p w:rsidR="00F8358B" w:rsidRDefault="00594733">
            <w:pPr>
              <w:keepNext/>
              <w:spacing w:before="53" w:after="30"/>
            </w:pPr>
            <w:r>
              <w:rPr>
                <w:rFonts w:ascii="Calibri" w:eastAsia="Calibri" w:hAnsi="Calibri" w:cs="Calibri"/>
                <w:b/>
                <w:color w:val="000000"/>
                <w:sz w:val="20"/>
              </w:rPr>
              <w:t>Contacts:</w:t>
            </w:r>
          </w:p>
        </w:tc>
        <w:tc>
          <w:tcPr>
            <w:tcW w:w="4395" w:type="dxa"/>
            <w:tcBorders>
              <w:top w:val="nil"/>
              <w:left w:val="nil"/>
              <w:bottom w:val="nil"/>
              <w:right w:val="single" w:sz="8" w:space="0" w:color="000000"/>
            </w:tcBorders>
            <w:tcMar>
              <w:top w:w="0" w:type="dxa"/>
              <w:left w:w="0" w:type="dxa"/>
              <w:bottom w:w="0" w:type="dxa"/>
              <w:right w:w="0" w:type="dxa"/>
            </w:tcMar>
            <w:vAlign w:val="bottom"/>
          </w:tcPr>
          <w:p w:rsidR="00F8358B" w:rsidRDefault="00F8358B">
            <w:pPr>
              <w:keepNext/>
            </w:pPr>
          </w:p>
        </w:tc>
      </w:tr>
      <w:tr w:rsidR="00F8358B">
        <w:trPr>
          <w:cantSplit/>
          <w:trHeight w:hRule="exact" w:val="105"/>
        </w:trPr>
        <w:tc>
          <w:tcPr>
            <w:tcW w:w="5565" w:type="dxa"/>
            <w:tcBorders>
              <w:top w:val="nil"/>
              <w:left w:val="single" w:sz="8" w:space="0" w:color="000000"/>
              <w:bottom w:val="nil"/>
              <w:right w:val="nil"/>
            </w:tcBorders>
            <w:tcMar>
              <w:top w:w="0" w:type="dxa"/>
              <w:left w:w="0" w:type="dxa"/>
              <w:bottom w:w="0" w:type="dxa"/>
              <w:right w:w="0" w:type="dxa"/>
            </w:tcMar>
            <w:vAlign w:val="bottom"/>
          </w:tcPr>
          <w:p w:rsidR="00F8358B" w:rsidRDefault="00F8358B">
            <w:pPr>
              <w:keepNext/>
            </w:pPr>
          </w:p>
        </w:tc>
        <w:tc>
          <w:tcPr>
            <w:tcW w:w="4395" w:type="dxa"/>
            <w:tcBorders>
              <w:top w:val="nil"/>
              <w:left w:val="nil"/>
              <w:bottom w:val="nil"/>
              <w:right w:val="single" w:sz="8" w:space="0" w:color="000000"/>
            </w:tcBorders>
            <w:tcMar>
              <w:top w:w="0" w:type="dxa"/>
              <w:left w:w="0" w:type="dxa"/>
              <w:bottom w:w="0" w:type="dxa"/>
              <w:right w:w="0" w:type="dxa"/>
            </w:tcMar>
            <w:vAlign w:val="bottom"/>
          </w:tcPr>
          <w:p w:rsidR="00F8358B" w:rsidRDefault="00F8358B">
            <w:pPr>
              <w:keepNext/>
            </w:pPr>
          </w:p>
        </w:tc>
      </w:tr>
      <w:tr w:rsidR="00F8358B">
        <w:trPr>
          <w:cantSplit/>
          <w:trHeight w:hRule="exact" w:val="300"/>
        </w:trPr>
        <w:tc>
          <w:tcPr>
            <w:tcW w:w="5565" w:type="dxa"/>
            <w:tcBorders>
              <w:top w:val="nil"/>
              <w:left w:val="single" w:sz="8" w:space="0" w:color="000000"/>
              <w:bottom w:val="nil"/>
              <w:right w:val="nil"/>
            </w:tcBorders>
            <w:tcMar>
              <w:top w:w="0" w:type="dxa"/>
              <w:left w:w="53" w:type="dxa"/>
              <w:bottom w:w="0" w:type="dxa"/>
              <w:right w:w="53" w:type="dxa"/>
            </w:tcMar>
          </w:tcPr>
          <w:p w:rsidR="00F8358B" w:rsidRDefault="00594733">
            <w:pPr>
              <w:keepNext/>
              <w:spacing w:before="53" w:after="30"/>
              <w:ind w:left="55"/>
            </w:pPr>
            <w:r>
              <w:rPr>
                <w:rFonts w:ascii="Calibri" w:eastAsia="Calibri" w:hAnsi="Calibri" w:cs="Calibri"/>
                <w:i/>
                <w:color w:val="000000"/>
                <w:sz w:val="20"/>
              </w:rPr>
              <w:t>Investor Relations:</w:t>
            </w:r>
          </w:p>
        </w:tc>
        <w:tc>
          <w:tcPr>
            <w:tcW w:w="4395" w:type="dxa"/>
            <w:tcBorders>
              <w:top w:val="nil"/>
              <w:left w:val="nil"/>
              <w:bottom w:val="nil"/>
              <w:right w:val="single" w:sz="8" w:space="0" w:color="000000"/>
            </w:tcBorders>
            <w:tcMar>
              <w:top w:w="0" w:type="dxa"/>
              <w:left w:w="0" w:type="dxa"/>
              <w:bottom w:w="0" w:type="dxa"/>
              <w:right w:w="0" w:type="dxa"/>
            </w:tcMar>
            <w:vAlign w:val="bottom"/>
          </w:tcPr>
          <w:p w:rsidR="00F8358B" w:rsidRDefault="00F8358B">
            <w:pPr>
              <w:keepNext/>
            </w:pPr>
          </w:p>
        </w:tc>
      </w:tr>
      <w:tr w:rsidR="00F8358B">
        <w:trPr>
          <w:cantSplit/>
          <w:trHeight w:hRule="exact" w:val="285"/>
        </w:trPr>
        <w:tc>
          <w:tcPr>
            <w:tcW w:w="5565" w:type="dxa"/>
            <w:tcBorders>
              <w:top w:val="nil"/>
              <w:left w:val="single" w:sz="8" w:space="0" w:color="000000"/>
              <w:bottom w:val="nil"/>
              <w:right w:val="nil"/>
            </w:tcBorders>
            <w:tcMar>
              <w:top w:w="0" w:type="dxa"/>
              <w:left w:w="53" w:type="dxa"/>
              <w:bottom w:w="0" w:type="dxa"/>
              <w:right w:w="53" w:type="dxa"/>
            </w:tcMar>
          </w:tcPr>
          <w:p w:rsidR="00F8358B" w:rsidRDefault="00594733">
            <w:pPr>
              <w:keepNext/>
              <w:spacing w:before="53" w:after="30"/>
              <w:ind w:left="55"/>
            </w:pPr>
            <w:r>
              <w:rPr>
                <w:rFonts w:ascii="Calibri" w:eastAsia="Calibri" w:hAnsi="Calibri" w:cs="Calibri"/>
                <w:color w:val="000000"/>
                <w:sz w:val="20"/>
              </w:rPr>
              <w:t>David Jennings, Group Director of Investor Relations &amp; FP&amp;A</w:t>
            </w:r>
          </w:p>
        </w:tc>
        <w:tc>
          <w:tcPr>
            <w:tcW w:w="4395" w:type="dxa"/>
            <w:tcBorders>
              <w:top w:val="nil"/>
              <w:left w:val="nil"/>
              <w:bottom w:val="nil"/>
              <w:right w:val="single" w:sz="8" w:space="0" w:color="000000"/>
            </w:tcBorders>
            <w:tcMar>
              <w:top w:w="0" w:type="dxa"/>
              <w:left w:w="53" w:type="dxa"/>
              <w:bottom w:w="0" w:type="dxa"/>
              <w:right w:w="53" w:type="dxa"/>
            </w:tcMar>
          </w:tcPr>
          <w:p w:rsidR="00F8358B" w:rsidRDefault="00594733">
            <w:pPr>
              <w:keepNext/>
              <w:spacing w:before="53" w:after="30"/>
              <w:ind w:left="55"/>
            </w:pPr>
            <w:r>
              <w:rPr>
                <w:rFonts w:ascii="Calibri" w:eastAsia="Calibri" w:hAnsi="Calibri" w:cs="Calibri"/>
                <w:color w:val="000000"/>
                <w:sz w:val="20"/>
              </w:rPr>
              <w:t>+ 353 87 951 3560</w:t>
            </w:r>
          </w:p>
        </w:tc>
      </w:tr>
      <w:tr w:rsidR="00F8358B">
        <w:trPr>
          <w:cantSplit/>
          <w:trHeight w:hRule="exact" w:val="300"/>
        </w:trPr>
        <w:tc>
          <w:tcPr>
            <w:tcW w:w="5565" w:type="dxa"/>
            <w:tcBorders>
              <w:top w:val="nil"/>
              <w:left w:val="single" w:sz="8" w:space="0" w:color="000000"/>
              <w:bottom w:val="nil"/>
              <w:right w:val="nil"/>
            </w:tcBorders>
            <w:tcMar>
              <w:top w:w="0" w:type="dxa"/>
              <w:left w:w="53" w:type="dxa"/>
              <w:bottom w:w="0" w:type="dxa"/>
              <w:right w:w="53" w:type="dxa"/>
            </w:tcMar>
          </w:tcPr>
          <w:p w:rsidR="00F8358B" w:rsidRDefault="00594733">
            <w:pPr>
              <w:keepNext/>
              <w:spacing w:before="53" w:after="30"/>
              <w:ind w:left="55"/>
            </w:pPr>
            <w:r>
              <w:rPr>
                <w:rFonts w:ascii="Calibri" w:eastAsia="Calibri" w:hAnsi="Calibri" w:cs="Calibri"/>
                <w:color w:val="000000"/>
                <w:sz w:val="20"/>
              </w:rPr>
              <w:t>Ciara O’Mullane, Investor Relations</w:t>
            </w:r>
          </w:p>
        </w:tc>
        <w:tc>
          <w:tcPr>
            <w:tcW w:w="4395" w:type="dxa"/>
            <w:tcBorders>
              <w:top w:val="nil"/>
              <w:left w:val="nil"/>
              <w:bottom w:val="nil"/>
              <w:right w:val="single" w:sz="8" w:space="0" w:color="000000"/>
            </w:tcBorders>
            <w:tcMar>
              <w:top w:w="0" w:type="dxa"/>
              <w:left w:w="53" w:type="dxa"/>
              <w:bottom w:w="0" w:type="dxa"/>
              <w:right w:w="53" w:type="dxa"/>
            </w:tcMar>
          </w:tcPr>
          <w:p w:rsidR="00F8358B" w:rsidRDefault="00594733">
            <w:pPr>
              <w:keepNext/>
              <w:spacing w:before="53" w:after="30"/>
              <w:ind w:left="55"/>
            </w:pPr>
            <w:r>
              <w:rPr>
                <w:rFonts w:ascii="Calibri" w:eastAsia="Calibri" w:hAnsi="Calibri" w:cs="Calibri"/>
                <w:color w:val="000000"/>
                <w:sz w:val="20"/>
              </w:rPr>
              <w:t>+ 353 87 947 7862</w:t>
            </w:r>
          </w:p>
        </w:tc>
      </w:tr>
      <w:tr w:rsidR="00F8358B">
        <w:trPr>
          <w:cantSplit/>
          <w:trHeight w:hRule="exact" w:val="300"/>
        </w:trPr>
        <w:tc>
          <w:tcPr>
            <w:tcW w:w="5565" w:type="dxa"/>
            <w:tcBorders>
              <w:top w:val="nil"/>
              <w:left w:val="single" w:sz="8" w:space="0" w:color="000000"/>
              <w:bottom w:val="nil"/>
              <w:right w:val="nil"/>
            </w:tcBorders>
            <w:tcMar>
              <w:top w:w="0" w:type="dxa"/>
              <w:left w:w="53" w:type="dxa"/>
              <w:bottom w:w="0" w:type="dxa"/>
              <w:right w:w="53" w:type="dxa"/>
            </w:tcMar>
          </w:tcPr>
          <w:p w:rsidR="00F8358B" w:rsidRDefault="00594733">
            <w:pPr>
              <w:keepNext/>
              <w:spacing w:before="53" w:after="30"/>
              <w:ind w:left="55"/>
            </w:pPr>
            <w:r>
              <w:rPr>
                <w:rFonts w:ascii="Calibri" w:eastAsia="Calibri" w:hAnsi="Calibri" w:cs="Calibri"/>
                <w:color w:val="000000"/>
                <w:sz w:val="20"/>
              </w:rPr>
              <w:t>Liam Kealy, Investor Relations</w:t>
            </w:r>
          </w:p>
        </w:tc>
        <w:tc>
          <w:tcPr>
            <w:tcW w:w="4395" w:type="dxa"/>
            <w:tcBorders>
              <w:top w:val="nil"/>
              <w:left w:val="nil"/>
              <w:bottom w:val="nil"/>
              <w:right w:val="single" w:sz="8" w:space="0" w:color="000000"/>
            </w:tcBorders>
            <w:tcMar>
              <w:top w:w="0" w:type="dxa"/>
              <w:left w:w="53" w:type="dxa"/>
              <w:bottom w:w="0" w:type="dxa"/>
              <w:right w:w="53" w:type="dxa"/>
            </w:tcMar>
          </w:tcPr>
          <w:p w:rsidR="00F8358B" w:rsidRDefault="00594733">
            <w:pPr>
              <w:keepNext/>
              <w:spacing w:before="53" w:after="30"/>
              <w:ind w:left="55"/>
            </w:pPr>
            <w:r>
              <w:rPr>
                <w:rFonts w:ascii="Calibri" w:eastAsia="Calibri" w:hAnsi="Calibri" w:cs="Calibri"/>
                <w:color w:val="000000"/>
                <w:sz w:val="20"/>
              </w:rPr>
              <w:t>+ 353 87 665 2014</w:t>
            </w:r>
          </w:p>
        </w:tc>
      </w:tr>
      <w:tr w:rsidR="00F8358B">
        <w:trPr>
          <w:cantSplit/>
          <w:trHeight w:hRule="exact" w:val="300"/>
        </w:trPr>
        <w:tc>
          <w:tcPr>
            <w:tcW w:w="5565" w:type="dxa"/>
            <w:tcBorders>
              <w:top w:val="nil"/>
              <w:left w:val="single" w:sz="8" w:space="0" w:color="000000"/>
              <w:bottom w:val="nil"/>
              <w:right w:val="nil"/>
            </w:tcBorders>
            <w:tcMar>
              <w:top w:w="0" w:type="dxa"/>
              <w:left w:w="53" w:type="dxa"/>
              <w:bottom w:w="0" w:type="dxa"/>
              <w:right w:w="53" w:type="dxa"/>
            </w:tcMar>
          </w:tcPr>
          <w:p w:rsidR="00F8358B" w:rsidRDefault="00594733">
            <w:pPr>
              <w:keepNext/>
              <w:spacing w:before="53" w:after="30"/>
              <w:ind w:left="55"/>
            </w:pPr>
            <w:r>
              <w:rPr>
                <w:rFonts w:ascii="Calibri" w:eastAsia="Calibri" w:hAnsi="Calibri" w:cs="Calibri"/>
                <w:i/>
                <w:color w:val="000000"/>
                <w:sz w:val="20"/>
              </w:rPr>
              <w:t>Press:</w:t>
            </w:r>
          </w:p>
        </w:tc>
        <w:tc>
          <w:tcPr>
            <w:tcW w:w="4395" w:type="dxa"/>
            <w:tcBorders>
              <w:top w:val="nil"/>
              <w:left w:val="nil"/>
              <w:bottom w:val="nil"/>
              <w:right w:val="single" w:sz="8" w:space="0" w:color="000000"/>
            </w:tcBorders>
            <w:tcMar>
              <w:top w:w="0" w:type="dxa"/>
              <w:left w:w="0" w:type="dxa"/>
              <w:bottom w:w="0" w:type="dxa"/>
              <w:right w:w="0" w:type="dxa"/>
            </w:tcMar>
            <w:vAlign w:val="bottom"/>
          </w:tcPr>
          <w:p w:rsidR="00F8358B" w:rsidRDefault="00F8358B">
            <w:pPr>
              <w:keepNext/>
            </w:pPr>
          </w:p>
        </w:tc>
      </w:tr>
      <w:tr w:rsidR="00F8358B">
        <w:trPr>
          <w:cantSplit/>
          <w:trHeight w:hRule="exact" w:val="300"/>
        </w:trPr>
        <w:tc>
          <w:tcPr>
            <w:tcW w:w="5565" w:type="dxa"/>
            <w:tcBorders>
              <w:top w:val="nil"/>
              <w:left w:val="single" w:sz="8" w:space="0" w:color="000000"/>
              <w:bottom w:val="nil"/>
              <w:right w:val="nil"/>
            </w:tcBorders>
            <w:tcMar>
              <w:top w:w="0" w:type="dxa"/>
              <w:left w:w="53" w:type="dxa"/>
              <w:bottom w:w="0" w:type="dxa"/>
              <w:right w:w="53" w:type="dxa"/>
            </w:tcMar>
          </w:tcPr>
          <w:p w:rsidR="00F8358B" w:rsidRDefault="00594733">
            <w:pPr>
              <w:keepNext/>
              <w:spacing w:before="53" w:after="30"/>
              <w:ind w:left="55"/>
            </w:pPr>
            <w:r>
              <w:rPr>
                <w:rFonts w:ascii="Calibri" w:eastAsia="Calibri" w:hAnsi="Calibri" w:cs="Calibri"/>
                <w:color w:val="000000"/>
                <w:sz w:val="20"/>
              </w:rPr>
              <w:t>Lindsay Dunford, Corporate Communications</w:t>
            </w:r>
          </w:p>
        </w:tc>
        <w:tc>
          <w:tcPr>
            <w:tcW w:w="4395" w:type="dxa"/>
            <w:tcBorders>
              <w:top w:val="nil"/>
              <w:left w:val="nil"/>
              <w:bottom w:val="nil"/>
              <w:right w:val="single" w:sz="8" w:space="0" w:color="000000"/>
            </w:tcBorders>
            <w:tcMar>
              <w:top w:w="0" w:type="dxa"/>
              <w:left w:w="53" w:type="dxa"/>
              <w:bottom w:w="0" w:type="dxa"/>
              <w:right w:w="53" w:type="dxa"/>
            </w:tcMar>
          </w:tcPr>
          <w:p w:rsidR="00F8358B" w:rsidRDefault="00594733">
            <w:pPr>
              <w:keepNext/>
              <w:spacing w:before="53" w:after="30"/>
              <w:ind w:left="55"/>
            </w:pPr>
            <w:r>
              <w:rPr>
                <w:rFonts w:ascii="Calibri" w:eastAsia="Calibri" w:hAnsi="Calibri" w:cs="Calibri"/>
                <w:color w:val="000000"/>
                <w:sz w:val="20"/>
              </w:rPr>
              <w:t>+ 44 79 3197 2959</w:t>
            </w:r>
          </w:p>
        </w:tc>
      </w:tr>
      <w:tr w:rsidR="00F8358B">
        <w:trPr>
          <w:cantSplit/>
          <w:trHeight w:hRule="exact" w:val="300"/>
        </w:trPr>
        <w:tc>
          <w:tcPr>
            <w:tcW w:w="5565" w:type="dxa"/>
            <w:tcBorders>
              <w:top w:val="nil"/>
              <w:left w:val="single" w:sz="8" w:space="0" w:color="000000"/>
              <w:bottom w:val="nil"/>
              <w:right w:val="nil"/>
            </w:tcBorders>
            <w:tcMar>
              <w:top w:w="0" w:type="dxa"/>
              <w:left w:w="53" w:type="dxa"/>
              <w:bottom w:w="0" w:type="dxa"/>
              <w:right w:w="53" w:type="dxa"/>
            </w:tcMar>
          </w:tcPr>
          <w:p w:rsidR="00F8358B" w:rsidRDefault="00594733">
            <w:pPr>
              <w:keepNext/>
              <w:spacing w:before="53" w:after="30"/>
              <w:ind w:left="55"/>
            </w:pPr>
            <w:r>
              <w:rPr>
                <w:rFonts w:ascii="Calibri" w:eastAsia="Calibri" w:hAnsi="Calibri" w:cs="Calibri"/>
                <w:color w:val="000000"/>
                <w:sz w:val="20"/>
              </w:rPr>
              <w:t>Rob Allen, Corporate Communications</w:t>
            </w:r>
          </w:p>
        </w:tc>
        <w:tc>
          <w:tcPr>
            <w:tcW w:w="4395" w:type="dxa"/>
            <w:tcBorders>
              <w:top w:val="nil"/>
              <w:left w:val="nil"/>
              <w:bottom w:val="nil"/>
              <w:right w:val="single" w:sz="8" w:space="0" w:color="000000"/>
            </w:tcBorders>
            <w:tcMar>
              <w:top w:w="0" w:type="dxa"/>
              <w:left w:w="53" w:type="dxa"/>
              <w:bottom w:w="0" w:type="dxa"/>
              <w:right w:w="53" w:type="dxa"/>
            </w:tcMar>
          </w:tcPr>
          <w:p w:rsidR="00F8358B" w:rsidRDefault="00594733">
            <w:pPr>
              <w:keepNext/>
              <w:spacing w:before="53" w:after="30"/>
              <w:ind w:left="55"/>
            </w:pPr>
            <w:r>
              <w:rPr>
                <w:rFonts w:ascii="Calibri" w:eastAsia="Calibri" w:hAnsi="Calibri" w:cs="Calibri"/>
                <w:color w:val="000000"/>
                <w:sz w:val="20"/>
              </w:rPr>
              <w:t>+ 44 75 5444 1363</w:t>
            </w:r>
          </w:p>
        </w:tc>
      </w:tr>
      <w:tr w:rsidR="00F8358B">
        <w:trPr>
          <w:cantSplit/>
          <w:trHeight w:hRule="exact" w:val="300"/>
        </w:trPr>
        <w:tc>
          <w:tcPr>
            <w:tcW w:w="5565" w:type="dxa"/>
            <w:tcBorders>
              <w:top w:val="nil"/>
              <w:left w:val="single" w:sz="8" w:space="0" w:color="000000"/>
              <w:bottom w:val="nil"/>
              <w:right w:val="nil"/>
            </w:tcBorders>
            <w:tcMar>
              <w:top w:w="0" w:type="dxa"/>
              <w:left w:w="53" w:type="dxa"/>
              <w:bottom w:w="0" w:type="dxa"/>
              <w:right w:w="53" w:type="dxa"/>
            </w:tcMar>
          </w:tcPr>
          <w:p w:rsidR="00F8358B" w:rsidRDefault="00594733">
            <w:pPr>
              <w:keepNext/>
              <w:spacing w:before="53" w:after="30"/>
              <w:ind w:left="55"/>
            </w:pPr>
            <w:r>
              <w:rPr>
                <w:rFonts w:ascii="Calibri" w:eastAsia="Calibri" w:hAnsi="Calibri" w:cs="Calibri"/>
                <w:color w:val="000000"/>
                <w:sz w:val="20"/>
              </w:rPr>
              <w:t>Billy Murphy, Drury Communications</w:t>
            </w:r>
          </w:p>
        </w:tc>
        <w:tc>
          <w:tcPr>
            <w:tcW w:w="4395" w:type="dxa"/>
            <w:tcBorders>
              <w:top w:val="nil"/>
              <w:left w:val="nil"/>
              <w:bottom w:val="nil"/>
              <w:right w:val="single" w:sz="8" w:space="0" w:color="000000"/>
            </w:tcBorders>
            <w:tcMar>
              <w:top w:w="0" w:type="dxa"/>
              <w:left w:w="53" w:type="dxa"/>
              <w:bottom w:w="0" w:type="dxa"/>
              <w:right w:w="53" w:type="dxa"/>
            </w:tcMar>
          </w:tcPr>
          <w:p w:rsidR="00F8358B" w:rsidRDefault="00594733">
            <w:pPr>
              <w:keepNext/>
              <w:spacing w:before="53" w:after="30"/>
              <w:ind w:left="55"/>
            </w:pPr>
            <w:r>
              <w:rPr>
                <w:rFonts w:ascii="Calibri" w:eastAsia="Calibri" w:hAnsi="Calibri" w:cs="Calibri"/>
                <w:color w:val="000000"/>
                <w:sz w:val="20"/>
              </w:rPr>
              <w:t>+ 353 1 260 5000</w:t>
            </w:r>
          </w:p>
        </w:tc>
      </w:tr>
      <w:tr w:rsidR="00F8358B">
        <w:trPr>
          <w:cantSplit/>
          <w:trHeight w:hRule="exact" w:val="300"/>
        </w:trPr>
        <w:tc>
          <w:tcPr>
            <w:tcW w:w="5565" w:type="dxa"/>
            <w:tcBorders>
              <w:top w:val="nil"/>
              <w:left w:val="single" w:sz="8" w:space="0" w:color="000000"/>
              <w:bottom w:val="single" w:sz="8" w:space="0" w:color="000000"/>
              <w:right w:val="nil"/>
            </w:tcBorders>
            <w:tcMar>
              <w:top w:w="0" w:type="dxa"/>
              <w:left w:w="53" w:type="dxa"/>
              <w:bottom w:w="0" w:type="dxa"/>
              <w:right w:w="53" w:type="dxa"/>
            </w:tcMar>
          </w:tcPr>
          <w:p w:rsidR="00F8358B" w:rsidRDefault="00594733">
            <w:pPr>
              <w:spacing w:before="53" w:after="30"/>
              <w:ind w:left="55"/>
            </w:pPr>
            <w:r>
              <w:rPr>
                <w:rFonts w:ascii="Calibri" w:eastAsia="Calibri" w:hAnsi="Calibri" w:cs="Calibri"/>
                <w:color w:val="000000"/>
                <w:sz w:val="20"/>
              </w:rPr>
              <w:t>James Murgatroyd, Finsbury</w:t>
            </w:r>
          </w:p>
        </w:tc>
        <w:tc>
          <w:tcPr>
            <w:tcW w:w="4395" w:type="dxa"/>
            <w:tcBorders>
              <w:top w:val="nil"/>
              <w:left w:val="nil"/>
              <w:bottom w:val="single" w:sz="8" w:space="0" w:color="000000"/>
              <w:right w:val="single" w:sz="8" w:space="0" w:color="000000"/>
            </w:tcBorders>
            <w:tcMar>
              <w:top w:w="0" w:type="dxa"/>
              <w:left w:w="53" w:type="dxa"/>
              <w:bottom w:w="0" w:type="dxa"/>
              <w:right w:w="53" w:type="dxa"/>
            </w:tcMar>
          </w:tcPr>
          <w:p w:rsidR="00F8358B" w:rsidRDefault="00594733">
            <w:pPr>
              <w:spacing w:before="53" w:after="30"/>
              <w:ind w:left="55"/>
            </w:pPr>
            <w:r>
              <w:rPr>
                <w:rFonts w:ascii="Calibri" w:eastAsia="Calibri" w:hAnsi="Calibri" w:cs="Calibri"/>
                <w:color w:val="000000"/>
                <w:sz w:val="20"/>
              </w:rPr>
              <w:t>+ 44 20 7251 3801</w:t>
            </w:r>
          </w:p>
        </w:tc>
      </w:tr>
    </w:tbl>
    <w:p w:rsidR="00F8358B" w:rsidRDefault="00F8358B">
      <w:pPr>
        <w:spacing w:before="80" w:after="80" w:line="288" w:lineRule="auto"/>
        <w:jc w:val="both"/>
        <w:rPr>
          <w:rFonts w:ascii="Arial" w:eastAsia="Arial" w:hAnsi="Arial" w:cs="Arial"/>
        </w:rPr>
      </w:pPr>
    </w:p>
    <w:p w:rsidR="00F8358B" w:rsidRDefault="00594733">
      <w:pPr>
        <w:spacing w:after="80" w:line="288" w:lineRule="auto"/>
        <w:jc w:val="both"/>
        <w:rPr>
          <w:rFonts w:ascii="Calibri" w:eastAsia="Calibri" w:hAnsi="Calibri" w:cs="Calibri"/>
          <w:sz w:val="22"/>
        </w:rPr>
      </w:pPr>
      <w:r>
        <w:rPr>
          <w:rFonts w:ascii="Calibri" w:eastAsia="Calibri" w:hAnsi="Calibri" w:cs="Calibri"/>
          <w:b/>
          <w:sz w:val="22"/>
        </w:rPr>
        <w:t xml:space="preserve">About Flutter Entertainment plc: </w:t>
      </w:r>
    </w:p>
    <w:p w:rsidR="00F8358B" w:rsidRDefault="00594733">
      <w:pPr>
        <w:spacing w:after="80" w:line="288" w:lineRule="auto"/>
        <w:jc w:val="both"/>
        <w:rPr>
          <w:rFonts w:ascii="Calibri" w:eastAsia="Calibri" w:hAnsi="Calibri" w:cs="Calibri"/>
          <w:sz w:val="22"/>
        </w:rPr>
      </w:pPr>
      <w:r>
        <w:rPr>
          <w:rFonts w:ascii="Calibri" w:eastAsia="Calibri" w:hAnsi="Calibri" w:cs="Calibri"/>
          <w:sz w:val="22"/>
        </w:rPr>
        <w:t xml:space="preserve">Flutter Entertainment plc (the “Group”) is a global sports-betting and gaming company reporting as four divisions: </w:t>
      </w:r>
    </w:p>
    <w:p w:rsidR="00F8358B" w:rsidRDefault="00594733" w:rsidP="00594733">
      <w:pPr>
        <w:numPr>
          <w:ilvl w:val="0"/>
          <w:numId w:val="8"/>
        </w:numPr>
        <w:spacing w:after="80" w:line="288" w:lineRule="auto"/>
        <w:ind w:left="425" w:hanging="425"/>
        <w:jc w:val="both"/>
        <w:rPr>
          <w:rFonts w:ascii="Calibri" w:eastAsia="Calibri" w:hAnsi="Calibri" w:cs="Calibri"/>
          <w:sz w:val="22"/>
        </w:rPr>
      </w:pPr>
      <w:r>
        <w:rPr>
          <w:rFonts w:ascii="Calibri" w:eastAsia="Calibri" w:hAnsi="Calibri" w:cs="Calibri"/>
          <w:b/>
          <w:sz w:val="22"/>
        </w:rPr>
        <w:t>UK &amp; Ireland:</w:t>
      </w:r>
      <w:r>
        <w:rPr>
          <w:rFonts w:ascii="Calibri" w:eastAsia="Calibri" w:hAnsi="Calibri" w:cs="Calibri"/>
          <w:sz w:val="22"/>
        </w:rPr>
        <w:t xml:space="preserve"> includes Sky Betting and Gaming, Paddy Power and Betfair brands offering a diverse range of sportsbook, exchange and gaming services across the UK and Ireland, along with over 600 Paddy Power betting shops in the UK and Ireland.</w:t>
      </w:r>
    </w:p>
    <w:p w:rsidR="00F8358B" w:rsidRDefault="00594733" w:rsidP="00594733">
      <w:pPr>
        <w:numPr>
          <w:ilvl w:val="0"/>
          <w:numId w:val="8"/>
        </w:numPr>
        <w:spacing w:after="80" w:line="288" w:lineRule="auto"/>
        <w:ind w:left="425" w:hanging="425"/>
        <w:jc w:val="both"/>
        <w:rPr>
          <w:rFonts w:ascii="Calibri" w:eastAsia="Calibri" w:hAnsi="Calibri" w:cs="Calibri"/>
          <w:sz w:val="22"/>
        </w:rPr>
      </w:pPr>
      <w:r>
        <w:rPr>
          <w:rFonts w:ascii="Calibri" w:eastAsia="Calibri" w:hAnsi="Calibri" w:cs="Calibri"/>
          <w:b/>
          <w:sz w:val="22"/>
        </w:rPr>
        <w:t xml:space="preserve">Australia: </w:t>
      </w:r>
      <w:r>
        <w:rPr>
          <w:rFonts w:ascii="Calibri" w:eastAsia="Calibri" w:hAnsi="Calibri" w:cs="Calibri"/>
          <w:sz w:val="22"/>
        </w:rPr>
        <w:t>the Sportsbet brand offers online sport betting and is the Australian market leader.</w:t>
      </w:r>
    </w:p>
    <w:p w:rsidR="00F8358B" w:rsidRDefault="00594733" w:rsidP="00594733">
      <w:pPr>
        <w:numPr>
          <w:ilvl w:val="0"/>
          <w:numId w:val="8"/>
        </w:numPr>
        <w:spacing w:after="80" w:line="288" w:lineRule="auto"/>
        <w:ind w:left="425" w:hanging="425"/>
        <w:jc w:val="both"/>
        <w:rPr>
          <w:rFonts w:ascii="Calibri" w:eastAsia="Calibri" w:hAnsi="Calibri" w:cs="Calibri"/>
          <w:sz w:val="22"/>
        </w:rPr>
      </w:pPr>
      <w:r>
        <w:rPr>
          <w:rFonts w:ascii="Calibri" w:eastAsia="Calibri" w:hAnsi="Calibri" w:cs="Calibri"/>
          <w:b/>
          <w:sz w:val="22"/>
        </w:rPr>
        <w:t xml:space="preserve">International: </w:t>
      </w:r>
      <w:r>
        <w:rPr>
          <w:rFonts w:ascii="Calibri" w:eastAsia="Calibri" w:hAnsi="Calibri" w:cs="Calibri"/>
          <w:sz w:val="22"/>
        </w:rPr>
        <w:t xml:space="preserve">includes PokerStars, Adjarabet, Betfair and Junglee operating in multiple jurisdictions around the world offering a diverse range of sportsbook, exchange and gaming services. </w:t>
      </w:r>
    </w:p>
    <w:p w:rsidR="00F8358B" w:rsidRDefault="00594733" w:rsidP="00594733">
      <w:pPr>
        <w:numPr>
          <w:ilvl w:val="0"/>
          <w:numId w:val="8"/>
        </w:numPr>
        <w:spacing w:after="80" w:line="288" w:lineRule="auto"/>
        <w:ind w:left="425" w:hanging="425"/>
        <w:jc w:val="both"/>
        <w:rPr>
          <w:rFonts w:ascii="Calibri" w:eastAsia="Calibri" w:hAnsi="Calibri" w:cs="Calibri"/>
          <w:sz w:val="22"/>
        </w:rPr>
      </w:pPr>
      <w:r>
        <w:rPr>
          <w:rFonts w:ascii="Calibri" w:eastAsia="Calibri" w:hAnsi="Calibri" w:cs="Calibri"/>
          <w:b/>
          <w:sz w:val="22"/>
        </w:rPr>
        <w:t xml:space="preserve">US: </w:t>
      </w:r>
      <w:r>
        <w:rPr>
          <w:rFonts w:ascii="Calibri" w:eastAsia="Calibri" w:hAnsi="Calibri" w:cs="Calibri"/>
          <w:sz w:val="22"/>
        </w:rPr>
        <w:t>includes FanDuel, TVG, Stardust, FOX Bet and PokerStars brands, offering regulated real money and free-to-play sports betting, online gaming, daily fantasy sports and online racing wagering products to customers across various states in the US.</w:t>
      </w:r>
    </w:p>
    <w:p w:rsidR="00F8358B" w:rsidRDefault="00F8358B">
      <w:pPr>
        <w:spacing w:line="276" w:lineRule="auto"/>
        <w:rPr>
          <w:rFonts w:ascii="Arial" w:eastAsia="Arial" w:hAnsi="Arial" w:cs="Arial"/>
        </w:rPr>
      </w:pPr>
    </w:p>
    <w:p w:rsidR="00F8358B" w:rsidRDefault="00F8358B">
      <w:pPr>
        <w:spacing w:line="276" w:lineRule="auto"/>
        <w:rPr>
          <w:rFonts w:ascii="Arial" w:eastAsia="Arial" w:hAnsi="Arial" w:cs="Arial"/>
        </w:rPr>
        <w:sectPr w:rsidR="00F8358B">
          <w:type w:val="continuous"/>
          <w:pgSz w:w="11900" w:h="16838"/>
          <w:pgMar w:top="1304" w:right="1020" w:bottom="1247" w:left="907" w:header="270" w:footer="270" w:gutter="0"/>
          <w:cols w:space="708"/>
        </w:sectPr>
      </w:pPr>
    </w:p>
    <w:p w:rsidR="00F8358B" w:rsidRDefault="00594733">
      <w:pPr>
        <w:spacing w:line="288" w:lineRule="auto"/>
        <w:outlineLvl w:val="0"/>
        <w:rPr>
          <w:rFonts w:ascii="Arial" w:eastAsia="Arial" w:hAnsi="Arial" w:cs="Arial"/>
          <w:sz w:val="22"/>
          <w:shd w:val="clear" w:color="auto" w:fill="FFFFFF"/>
        </w:rPr>
      </w:pPr>
      <w:bookmarkStart w:id="5" w:name="Section7"/>
      <w:bookmarkEnd w:id="5"/>
      <w:r>
        <w:rPr>
          <w:rFonts w:ascii="Calibri" w:eastAsia="Calibri" w:hAnsi="Calibri" w:cs="Calibri"/>
          <w:b/>
          <w:sz w:val="22"/>
          <w:shd w:val="clear" w:color="auto" w:fill="FFFFFF"/>
        </w:rPr>
        <w:t xml:space="preserve">Divisional Key Performance Indicators  - Q3 2021 </w:t>
      </w:r>
    </w:p>
    <w:p w:rsidR="00F8358B" w:rsidRDefault="00594733">
      <w:pPr>
        <w:spacing w:line="288" w:lineRule="auto"/>
        <w:rPr>
          <w:rFonts w:ascii="Calibri" w:eastAsia="Calibri" w:hAnsi="Calibri" w:cs="Calibri"/>
          <w:i/>
          <w:sz w:val="22"/>
        </w:rPr>
      </w:pPr>
      <w:r>
        <w:rPr>
          <w:rFonts w:ascii="Calibri" w:eastAsia="Calibri" w:hAnsi="Calibri" w:cs="Calibri"/>
          <w:i/>
          <w:sz w:val="22"/>
        </w:rPr>
        <w:t>Unaudited</w:t>
      </w:r>
    </w:p>
    <w:p w:rsidR="00F8358B" w:rsidRDefault="00F8358B">
      <w:pPr>
        <w:spacing w:line="288" w:lineRule="auto"/>
        <w:rPr>
          <w:rFonts w:ascii="Calibri" w:eastAsia="Calibri" w:hAnsi="Calibri" w:cs="Calibri"/>
          <w:i/>
          <w:sz w:val="22"/>
        </w:rPr>
      </w:pPr>
    </w:p>
    <w:tbl>
      <w:tblPr>
        <w:tblW w:w="15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811"/>
        <w:gridCol w:w="811"/>
        <w:gridCol w:w="964"/>
        <w:gridCol w:w="811"/>
        <w:gridCol w:w="811"/>
        <w:gridCol w:w="964"/>
        <w:gridCol w:w="811"/>
        <w:gridCol w:w="811"/>
        <w:gridCol w:w="964"/>
        <w:gridCol w:w="811"/>
        <w:gridCol w:w="811"/>
        <w:gridCol w:w="964"/>
        <w:gridCol w:w="811"/>
        <w:gridCol w:w="811"/>
        <w:gridCol w:w="979"/>
      </w:tblGrid>
      <w:tr w:rsidR="00F8358B">
        <w:trPr>
          <w:cantSplit/>
          <w:trHeight w:hRule="exact" w:val="285"/>
        </w:trPr>
        <w:tc>
          <w:tcPr>
            <w:tcW w:w="2445" w:type="dxa"/>
            <w:tcBorders>
              <w:top w:val="nil"/>
              <w:left w:val="nil"/>
              <w:bottom w:val="single" w:sz="8" w:space="0" w:color="000000"/>
              <w:right w:val="nil"/>
            </w:tcBorders>
            <w:tcMar>
              <w:top w:w="0" w:type="dxa"/>
              <w:left w:w="53" w:type="dxa"/>
              <w:bottom w:w="0" w:type="dxa"/>
              <w:right w:w="53" w:type="dxa"/>
            </w:tcMar>
            <w:vAlign w:val="bottom"/>
          </w:tcPr>
          <w:p w:rsidR="00F8358B" w:rsidRDefault="00F8358B">
            <w:pPr>
              <w:keepNext/>
              <w:spacing w:before="53" w:after="30"/>
            </w:pPr>
          </w:p>
        </w:tc>
        <w:tc>
          <w:tcPr>
            <w:tcW w:w="2535" w:type="dxa"/>
            <w:gridSpan w:val="3"/>
            <w:tcBorders>
              <w:top w:val="single" w:sz="8" w:space="0" w:color="000000"/>
              <w:left w:val="single" w:sz="8" w:space="0" w:color="000000"/>
              <w:bottom w:val="nil"/>
              <w:right w:val="nil"/>
            </w:tcBorders>
            <w:tcMar>
              <w:top w:w="0" w:type="dxa"/>
              <w:left w:w="53" w:type="dxa"/>
              <w:bottom w:w="0" w:type="dxa"/>
              <w:right w:w="53" w:type="dxa"/>
            </w:tcMar>
            <w:vAlign w:val="bottom"/>
          </w:tcPr>
          <w:p w:rsidR="00F8358B" w:rsidRDefault="00594733">
            <w:pPr>
              <w:keepNext/>
              <w:spacing w:before="33" w:after="30"/>
              <w:jc w:val="center"/>
            </w:pPr>
            <w:r>
              <w:rPr>
                <w:rFonts w:ascii="Calibri" w:eastAsia="Calibri" w:hAnsi="Calibri" w:cs="Calibri"/>
                <w:b/>
                <w:color w:val="000000"/>
                <w:sz w:val="20"/>
              </w:rPr>
              <w:t>UK &amp; Ireland</w:t>
            </w:r>
          </w:p>
        </w:tc>
        <w:tc>
          <w:tcPr>
            <w:tcW w:w="2535" w:type="dxa"/>
            <w:gridSpan w:val="3"/>
            <w:tcBorders>
              <w:top w:val="single" w:sz="8" w:space="0" w:color="000000"/>
              <w:left w:val="single" w:sz="8" w:space="0" w:color="000000"/>
              <w:bottom w:val="nil"/>
              <w:right w:val="nil"/>
            </w:tcBorders>
            <w:tcMar>
              <w:top w:w="0" w:type="dxa"/>
              <w:left w:w="53" w:type="dxa"/>
              <w:bottom w:w="0" w:type="dxa"/>
              <w:right w:w="53" w:type="dxa"/>
            </w:tcMar>
            <w:vAlign w:val="bottom"/>
          </w:tcPr>
          <w:p w:rsidR="00F8358B" w:rsidRDefault="00594733">
            <w:pPr>
              <w:keepNext/>
              <w:spacing w:before="33" w:after="30"/>
              <w:jc w:val="center"/>
            </w:pPr>
            <w:r>
              <w:rPr>
                <w:rFonts w:ascii="Calibri" w:eastAsia="Calibri" w:hAnsi="Calibri" w:cs="Calibri"/>
                <w:b/>
                <w:color w:val="000000"/>
                <w:sz w:val="20"/>
              </w:rPr>
              <w:t>Australia</w:t>
            </w:r>
          </w:p>
        </w:tc>
        <w:tc>
          <w:tcPr>
            <w:tcW w:w="2535" w:type="dxa"/>
            <w:gridSpan w:val="3"/>
            <w:tcBorders>
              <w:top w:val="single" w:sz="8" w:space="0" w:color="000000"/>
              <w:left w:val="single" w:sz="8" w:space="0" w:color="000000"/>
              <w:bottom w:val="nil"/>
              <w:right w:val="nil"/>
            </w:tcBorders>
            <w:tcMar>
              <w:top w:w="0" w:type="dxa"/>
              <w:left w:w="53" w:type="dxa"/>
              <w:bottom w:w="0" w:type="dxa"/>
              <w:right w:w="53" w:type="dxa"/>
            </w:tcMar>
            <w:vAlign w:val="bottom"/>
          </w:tcPr>
          <w:p w:rsidR="00F8358B" w:rsidRDefault="00594733">
            <w:pPr>
              <w:keepNext/>
              <w:spacing w:before="33" w:after="30"/>
              <w:jc w:val="center"/>
            </w:pPr>
            <w:r>
              <w:rPr>
                <w:rFonts w:ascii="Calibri" w:eastAsia="Calibri" w:hAnsi="Calibri" w:cs="Calibri"/>
                <w:b/>
                <w:color w:val="000000"/>
                <w:sz w:val="20"/>
              </w:rPr>
              <w:t>International</w:t>
            </w:r>
          </w:p>
        </w:tc>
        <w:tc>
          <w:tcPr>
            <w:tcW w:w="2535" w:type="dxa"/>
            <w:gridSpan w:val="3"/>
            <w:tcBorders>
              <w:top w:val="single" w:sz="8" w:space="0" w:color="000000"/>
              <w:left w:val="single" w:sz="8" w:space="0" w:color="000000"/>
              <w:bottom w:val="nil"/>
              <w:right w:val="nil"/>
            </w:tcBorders>
            <w:tcMar>
              <w:top w:w="0" w:type="dxa"/>
              <w:left w:w="53" w:type="dxa"/>
              <w:bottom w:w="0" w:type="dxa"/>
              <w:right w:w="53" w:type="dxa"/>
            </w:tcMar>
            <w:vAlign w:val="bottom"/>
          </w:tcPr>
          <w:p w:rsidR="00F8358B" w:rsidRDefault="00594733">
            <w:pPr>
              <w:keepNext/>
              <w:spacing w:before="33" w:after="30"/>
              <w:jc w:val="center"/>
            </w:pPr>
            <w:r>
              <w:rPr>
                <w:rFonts w:ascii="Calibri" w:eastAsia="Calibri" w:hAnsi="Calibri" w:cs="Calibri"/>
                <w:b/>
                <w:color w:val="000000"/>
                <w:sz w:val="20"/>
              </w:rPr>
              <w:t>US</w:t>
            </w:r>
          </w:p>
        </w:tc>
        <w:tc>
          <w:tcPr>
            <w:tcW w:w="2550" w:type="dxa"/>
            <w:gridSpan w:val="3"/>
            <w:tcBorders>
              <w:top w:val="single" w:sz="8" w:space="0" w:color="000000"/>
              <w:left w:val="single" w:sz="8" w:space="0" w:color="000000"/>
              <w:bottom w:val="nil"/>
              <w:right w:val="single" w:sz="8" w:space="0" w:color="000000"/>
            </w:tcBorders>
            <w:shd w:val="clear" w:color="auto" w:fill="DBDBDB"/>
            <w:tcMar>
              <w:top w:w="0" w:type="dxa"/>
              <w:left w:w="53" w:type="dxa"/>
              <w:bottom w:w="0" w:type="dxa"/>
              <w:right w:w="53" w:type="dxa"/>
            </w:tcMar>
            <w:vAlign w:val="bottom"/>
          </w:tcPr>
          <w:p w:rsidR="00F8358B" w:rsidRDefault="00594733">
            <w:pPr>
              <w:keepNext/>
              <w:spacing w:before="33" w:after="30"/>
              <w:jc w:val="center"/>
            </w:pPr>
            <w:r>
              <w:rPr>
                <w:rFonts w:ascii="Calibri" w:eastAsia="Calibri" w:hAnsi="Calibri" w:cs="Calibri"/>
                <w:b/>
                <w:color w:val="000000"/>
                <w:sz w:val="20"/>
              </w:rPr>
              <w:t>Group</w:t>
            </w:r>
          </w:p>
        </w:tc>
      </w:tr>
      <w:tr w:rsidR="00F8358B">
        <w:trPr>
          <w:cantSplit/>
          <w:trHeight w:hRule="exact" w:val="285"/>
        </w:trPr>
        <w:tc>
          <w:tcPr>
            <w:tcW w:w="2445" w:type="dxa"/>
            <w:tcBorders>
              <w:top w:val="single" w:sz="8" w:space="0" w:color="000000"/>
              <w:left w:val="single" w:sz="8" w:space="0" w:color="000000"/>
              <w:bottom w:val="nil"/>
              <w:right w:val="nil"/>
            </w:tcBorders>
            <w:tcMar>
              <w:top w:w="0" w:type="dxa"/>
              <w:left w:w="53" w:type="dxa"/>
              <w:bottom w:w="0" w:type="dxa"/>
              <w:right w:w="53" w:type="dxa"/>
            </w:tcMar>
            <w:vAlign w:val="bottom"/>
          </w:tcPr>
          <w:p w:rsidR="00F8358B" w:rsidRDefault="00F8358B">
            <w:pPr>
              <w:keepNext/>
              <w:spacing w:before="33" w:after="30"/>
              <w:ind w:left="55"/>
            </w:pPr>
          </w:p>
        </w:tc>
        <w:tc>
          <w:tcPr>
            <w:tcW w:w="79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jc w:val="right"/>
            </w:pPr>
            <w:r>
              <w:rPr>
                <w:rFonts w:ascii="Calibri" w:eastAsia="Calibri" w:hAnsi="Calibri" w:cs="Calibri"/>
                <w:b/>
                <w:color w:val="000000"/>
                <w:sz w:val="20"/>
              </w:rPr>
              <w:t>Q3 2021</w:t>
            </w:r>
          </w:p>
        </w:tc>
        <w:tc>
          <w:tcPr>
            <w:tcW w:w="79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jc w:val="right"/>
            </w:pPr>
            <w:r>
              <w:rPr>
                <w:rFonts w:ascii="Calibri" w:eastAsia="Calibri" w:hAnsi="Calibri" w:cs="Calibri"/>
                <w:b/>
                <w:color w:val="000000"/>
                <w:sz w:val="20"/>
              </w:rPr>
              <w:t>Q3 2020</w:t>
            </w:r>
          </w:p>
        </w:tc>
        <w:tc>
          <w:tcPr>
            <w:tcW w:w="94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ind w:left="120"/>
              <w:jc w:val="right"/>
              <w:rPr>
                <w:rFonts w:ascii="Calibri" w:eastAsia="Calibri" w:hAnsi="Calibri" w:cs="Calibri"/>
                <w:b/>
                <w:sz w:val="20"/>
              </w:rPr>
            </w:pPr>
            <w:r>
              <w:rPr>
                <w:rFonts w:ascii="Calibri" w:eastAsia="Calibri" w:hAnsi="Calibri" w:cs="Calibri"/>
                <w:b/>
                <w:sz w:val="20"/>
              </w:rPr>
              <w:t>CC</w:t>
            </w:r>
            <w:r>
              <w:rPr>
                <w:rFonts w:ascii="Calibri" w:eastAsia="Calibri" w:hAnsi="Calibri" w:cs="Calibri"/>
                <w:b/>
                <w:sz w:val="20"/>
                <w:vertAlign w:val="superscript"/>
              </w:rPr>
              <w:t>1</w:t>
            </w:r>
            <w:r>
              <w:rPr>
                <w:rFonts w:ascii="Calibri" w:eastAsia="Calibri" w:hAnsi="Calibri" w:cs="Calibri"/>
                <w:b/>
                <w:sz w:val="20"/>
              </w:rPr>
              <w:t xml:space="preserve"> %</w:t>
            </w:r>
          </w:p>
        </w:tc>
        <w:tc>
          <w:tcPr>
            <w:tcW w:w="79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jc w:val="right"/>
            </w:pPr>
            <w:r>
              <w:rPr>
                <w:rFonts w:ascii="Calibri" w:eastAsia="Calibri" w:hAnsi="Calibri" w:cs="Calibri"/>
                <w:b/>
                <w:color w:val="000000"/>
                <w:sz w:val="20"/>
              </w:rPr>
              <w:t>Q3 2021</w:t>
            </w:r>
          </w:p>
        </w:tc>
        <w:tc>
          <w:tcPr>
            <w:tcW w:w="79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jc w:val="right"/>
            </w:pPr>
            <w:r>
              <w:rPr>
                <w:rFonts w:ascii="Calibri" w:eastAsia="Calibri" w:hAnsi="Calibri" w:cs="Calibri"/>
                <w:b/>
                <w:color w:val="000000"/>
                <w:sz w:val="20"/>
              </w:rPr>
              <w:t>Q3 2020</w:t>
            </w:r>
          </w:p>
        </w:tc>
        <w:tc>
          <w:tcPr>
            <w:tcW w:w="94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ind w:left="120"/>
              <w:jc w:val="right"/>
              <w:rPr>
                <w:rFonts w:ascii="Calibri" w:eastAsia="Calibri" w:hAnsi="Calibri" w:cs="Calibri"/>
                <w:b/>
                <w:sz w:val="20"/>
              </w:rPr>
            </w:pPr>
            <w:r>
              <w:rPr>
                <w:rFonts w:ascii="Calibri" w:eastAsia="Calibri" w:hAnsi="Calibri" w:cs="Calibri"/>
                <w:b/>
                <w:sz w:val="20"/>
              </w:rPr>
              <w:t>CC</w:t>
            </w:r>
            <w:r>
              <w:rPr>
                <w:rFonts w:ascii="Calibri" w:eastAsia="Calibri" w:hAnsi="Calibri" w:cs="Calibri"/>
                <w:b/>
                <w:sz w:val="20"/>
                <w:vertAlign w:val="superscript"/>
              </w:rPr>
              <w:t>1</w:t>
            </w:r>
            <w:r>
              <w:rPr>
                <w:rFonts w:ascii="Calibri" w:eastAsia="Calibri" w:hAnsi="Calibri" w:cs="Calibri"/>
                <w:b/>
                <w:sz w:val="20"/>
              </w:rPr>
              <w:t xml:space="preserve"> %</w:t>
            </w:r>
          </w:p>
        </w:tc>
        <w:tc>
          <w:tcPr>
            <w:tcW w:w="79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jc w:val="right"/>
            </w:pPr>
            <w:r>
              <w:rPr>
                <w:rFonts w:ascii="Calibri" w:eastAsia="Calibri" w:hAnsi="Calibri" w:cs="Calibri"/>
                <w:b/>
                <w:color w:val="000000"/>
                <w:sz w:val="20"/>
              </w:rPr>
              <w:t>Q3 2021</w:t>
            </w:r>
          </w:p>
        </w:tc>
        <w:tc>
          <w:tcPr>
            <w:tcW w:w="79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jc w:val="right"/>
            </w:pPr>
            <w:r>
              <w:rPr>
                <w:rFonts w:ascii="Calibri" w:eastAsia="Calibri" w:hAnsi="Calibri" w:cs="Calibri"/>
                <w:b/>
                <w:color w:val="000000"/>
                <w:sz w:val="20"/>
              </w:rPr>
              <w:t>Q3 2020</w:t>
            </w:r>
          </w:p>
        </w:tc>
        <w:tc>
          <w:tcPr>
            <w:tcW w:w="94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ind w:left="120"/>
              <w:jc w:val="right"/>
              <w:rPr>
                <w:rFonts w:ascii="Calibri" w:eastAsia="Calibri" w:hAnsi="Calibri" w:cs="Calibri"/>
                <w:b/>
                <w:sz w:val="20"/>
              </w:rPr>
            </w:pPr>
            <w:r>
              <w:rPr>
                <w:rFonts w:ascii="Calibri" w:eastAsia="Calibri" w:hAnsi="Calibri" w:cs="Calibri"/>
                <w:b/>
                <w:sz w:val="20"/>
              </w:rPr>
              <w:t>CC</w:t>
            </w:r>
            <w:r>
              <w:rPr>
                <w:rFonts w:ascii="Calibri" w:eastAsia="Calibri" w:hAnsi="Calibri" w:cs="Calibri"/>
                <w:b/>
                <w:sz w:val="20"/>
                <w:vertAlign w:val="superscript"/>
              </w:rPr>
              <w:t>1</w:t>
            </w:r>
            <w:r>
              <w:rPr>
                <w:rFonts w:ascii="Calibri" w:eastAsia="Calibri" w:hAnsi="Calibri" w:cs="Calibri"/>
                <w:b/>
                <w:sz w:val="20"/>
              </w:rPr>
              <w:t xml:space="preserve"> %</w:t>
            </w:r>
          </w:p>
        </w:tc>
        <w:tc>
          <w:tcPr>
            <w:tcW w:w="79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jc w:val="right"/>
            </w:pPr>
            <w:r>
              <w:rPr>
                <w:rFonts w:ascii="Calibri" w:eastAsia="Calibri" w:hAnsi="Calibri" w:cs="Calibri"/>
                <w:b/>
                <w:color w:val="000000"/>
                <w:sz w:val="20"/>
              </w:rPr>
              <w:t>Q3 2021</w:t>
            </w:r>
          </w:p>
        </w:tc>
        <w:tc>
          <w:tcPr>
            <w:tcW w:w="79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jc w:val="right"/>
            </w:pPr>
            <w:r>
              <w:rPr>
                <w:rFonts w:ascii="Calibri" w:eastAsia="Calibri" w:hAnsi="Calibri" w:cs="Calibri"/>
                <w:b/>
                <w:color w:val="000000"/>
                <w:sz w:val="20"/>
              </w:rPr>
              <w:t>Q3 2020</w:t>
            </w:r>
          </w:p>
        </w:tc>
        <w:tc>
          <w:tcPr>
            <w:tcW w:w="94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ind w:left="120"/>
              <w:jc w:val="right"/>
              <w:rPr>
                <w:rFonts w:ascii="Calibri" w:eastAsia="Calibri" w:hAnsi="Calibri" w:cs="Calibri"/>
                <w:b/>
                <w:sz w:val="20"/>
              </w:rPr>
            </w:pPr>
            <w:r>
              <w:rPr>
                <w:rFonts w:ascii="Calibri" w:eastAsia="Calibri" w:hAnsi="Calibri" w:cs="Calibri"/>
                <w:b/>
                <w:sz w:val="20"/>
              </w:rPr>
              <w:t>CC</w:t>
            </w:r>
            <w:r>
              <w:rPr>
                <w:rFonts w:ascii="Calibri" w:eastAsia="Calibri" w:hAnsi="Calibri" w:cs="Calibri"/>
                <w:b/>
                <w:sz w:val="20"/>
                <w:vertAlign w:val="superscript"/>
              </w:rPr>
              <w:t>1</w:t>
            </w:r>
            <w:r>
              <w:rPr>
                <w:rFonts w:ascii="Calibri" w:eastAsia="Calibri" w:hAnsi="Calibri" w:cs="Calibri"/>
                <w:b/>
                <w:sz w:val="20"/>
              </w:rPr>
              <w:t xml:space="preserve"> %</w:t>
            </w:r>
          </w:p>
        </w:tc>
        <w:tc>
          <w:tcPr>
            <w:tcW w:w="795" w:type="dxa"/>
            <w:tcBorders>
              <w:top w:val="single" w:sz="8" w:space="0" w:color="000000"/>
              <w:left w:val="single" w:sz="8" w:space="0" w:color="000000"/>
              <w:bottom w:val="nil"/>
              <w:right w:val="nil"/>
            </w:tcBorders>
            <w:shd w:val="clear" w:color="auto" w:fill="DBDBDB"/>
            <w:tcMar>
              <w:top w:w="0" w:type="dxa"/>
              <w:left w:w="53" w:type="dxa"/>
              <w:bottom w:w="0" w:type="dxa"/>
              <w:right w:w="53" w:type="dxa"/>
            </w:tcMar>
            <w:vAlign w:val="bottom"/>
          </w:tcPr>
          <w:p w:rsidR="00F8358B" w:rsidRDefault="00594733">
            <w:pPr>
              <w:keepNext/>
              <w:spacing w:before="33" w:after="30"/>
              <w:jc w:val="right"/>
            </w:pPr>
            <w:r>
              <w:rPr>
                <w:rFonts w:ascii="Calibri" w:eastAsia="Calibri" w:hAnsi="Calibri" w:cs="Calibri"/>
                <w:b/>
                <w:color w:val="000000"/>
                <w:sz w:val="20"/>
              </w:rPr>
              <w:t>Q3 2021</w:t>
            </w:r>
          </w:p>
        </w:tc>
        <w:tc>
          <w:tcPr>
            <w:tcW w:w="795" w:type="dxa"/>
            <w:tcBorders>
              <w:top w:val="single" w:sz="8" w:space="0" w:color="000000"/>
              <w:left w:val="nil"/>
              <w:bottom w:val="nil"/>
              <w:right w:val="nil"/>
            </w:tcBorders>
            <w:shd w:val="clear" w:color="auto" w:fill="DBDBDB"/>
            <w:tcMar>
              <w:top w:w="0" w:type="dxa"/>
              <w:left w:w="53" w:type="dxa"/>
              <w:bottom w:w="0" w:type="dxa"/>
              <w:right w:w="53" w:type="dxa"/>
            </w:tcMar>
            <w:vAlign w:val="bottom"/>
          </w:tcPr>
          <w:p w:rsidR="00F8358B" w:rsidRDefault="00594733">
            <w:pPr>
              <w:keepNext/>
              <w:spacing w:before="33" w:after="30"/>
              <w:jc w:val="right"/>
            </w:pPr>
            <w:r>
              <w:rPr>
                <w:rFonts w:ascii="Calibri" w:eastAsia="Calibri" w:hAnsi="Calibri" w:cs="Calibri"/>
                <w:b/>
                <w:color w:val="000000"/>
                <w:sz w:val="20"/>
              </w:rPr>
              <w:t>Q3 2020</w:t>
            </w:r>
          </w:p>
        </w:tc>
        <w:tc>
          <w:tcPr>
            <w:tcW w:w="960" w:type="dxa"/>
            <w:tcBorders>
              <w:top w:val="single" w:sz="8" w:space="0" w:color="000000"/>
              <w:left w:val="nil"/>
              <w:bottom w:val="nil"/>
              <w:right w:val="single" w:sz="8" w:space="0" w:color="000000"/>
            </w:tcBorders>
            <w:shd w:val="clear" w:color="auto" w:fill="DBDBDB"/>
            <w:tcMar>
              <w:top w:w="0" w:type="dxa"/>
              <w:left w:w="53" w:type="dxa"/>
              <w:bottom w:w="0" w:type="dxa"/>
              <w:right w:w="53" w:type="dxa"/>
            </w:tcMar>
            <w:vAlign w:val="bottom"/>
          </w:tcPr>
          <w:p w:rsidR="00F8358B" w:rsidRDefault="00594733">
            <w:pPr>
              <w:keepNext/>
              <w:spacing w:before="33" w:after="30"/>
              <w:ind w:left="120"/>
              <w:jc w:val="right"/>
              <w:rPr>
                <w:rFonts w:ascii="Calibri" w:eastAsia="Calibri" w:hAnsi="Calibri" w:cs="Calibri"/>
                <w:b/>
                <w:sz w:val="20"/>
              </w:rPr>
            </w:pPr>
            <w:r>
              <w:rPr>
                <w:rFonts w:ascii="Calibri" w:eastAsia="Calibri" w:hAnsi="Calibri" w:cs="Calibri"/>
                <w:b/>
                <w:sz w:val="20"/>
              </w:rPr>
              <w:t>CC</w:t>
            </w:r>
            <w:r>
              <w:rPr>
                <w:rFonts w:ascii="Calibri" w:eastAsia="Calibri" w:hAnsi="Calibri" w:cs="Calibri"/>
                <w:b/>
                <w:sz w:val="20"/>
                <w:vertAlign w:val="superscript"/>
              </w:rPr>
              <w:t>1</w:t>
            </w:r>
            <w:r>
              <w:rPr>
                <w:rFonts w:ascii="Calibri" w:eastAsia="Calibri" w:hAnsi="Calibri" w:cs="Calibri"/>
                <w:b/>
                <w:sz w:val="20"/>
              </w:rPr>
              <w:t xml:space="preserve"> %</w:t>
            </w:r>
          </w:p>
        </w:tc>
      </w:tr>
      <w:tr w:rsidR="00F8358B">
        <w:trPr>
          <w:cantSplit/>
          <w:trHeight w:hRule="exact" w:val="285"/>
        </w:trPr>
        <w:tc>
          <w:tcPr>
            <w:tcW w:w="244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bottom"/>
          </w:tcPr>
          <w:p w:rsidR="00F8358B" w:rsidRDefault="00F8358B">
            <w:pPr>
              <w:keepNext/>
              <w:spacing w:before="53" w:after="30"/>
            </w:pPr>
          </w:p>
        </w:tc>
        <w:tc>
          <w:tcPr>
            <w:tcW w:w="79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bottom"/>
          </w:tcPr>
          <w:p w:rsidR="00F8358B" w:rsidRDefault="00594733">
            <w:pPr>
              <w:keepNext/>
              <w:spacing w:before="53" w:after="30"/>
              <w:jc w:val="right"/>
            </w:pPr>
            <w:r>
              <w:rPr>
                <w:rFonts w:ascii="Calibri" w:eastAsia="Calibri" w:hAnsi="Calibri" w:cs="Calibri"/>
                <w:b/>
                <w:color w:val="000000"/>
                <w:sz w:val="20"/>
              </w:rPr>
              <w:t>£m</w:t>
            </w:r>
          </w:p>
        </w:tc>
        <w:tc>
          <w:tcPr>
            <w:tcW w:w="795"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rsidR="00F8358B" w:rsidRDefault="00594733">
            <w:pPr>
              <w:keepNext/>
              <w:spacing w:before="53" w:after="30"/>
              <w:jc w:val="right"/>
            </w:pPr>
            <w:r>
              <w:rPr>
                <w:rFonts w:ascii="Calibri" w:eastAsia="Calibri" w:hAnsi="Calibri" w:cs="Calibri"/>
                <w:b/>
                <w:color w:val="000000"/>
                <w:sz w:val="20"/>
              </w:rPr>
              <w:t>£m</w:t>
            </w:r>
          </w:p>
        </w:tc>
        <w:tc>
          <w:tcPr>
            <w:tcW w:w="94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rsidR="00F8358B" w:rsidRDefault="00594733">
            <w:pPr>
              <w:keepNext/>
              <w:spacing w:before="53" w:after="30"/>
              <w:ind w:right="120"/>
              <w:jc w:val="right"/>
            </w:pPr>
            <w:r>
              <w:rPr>
                <w:rFonts w:ascii="Calibri" w:eastAsia="Calibri" w:hAnsi="Calibri" w:cs="Calibri"/>
                <w:b/>
                <w:color w:val="000000"/>
                <w:sz w:val="20"/>
              </w:rPr>
              <w:t>Change</w:t>
            </w:r>
          </w:p>
        </w:tc>
        <w:tc>
          <w:tcPr>
            <w:tcW w:w="79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bottom"/>
          </w:tcPr>
          <w:p w:rsidR="00F8358B" w:rsidRDefault="00594733">
            <w:pPr>
              <w:keepNext/>
              <w:spacing w:before="53" w:after="30"/>
              <w:jc w:val="right"/>
            </w:pPr>
            <w:r>
              <w:rPr>
                <w:rFonts w:ascii="Calibri" w:eastAsia="Calibri" w:hAnsi="Calibri" w:cs="Calibri"/>
                <w:b/>
                <w:color w:val="000000"/>
                <w:sz w:val="20"/>
              </w:rPr>
              <w:t>£m</w:t>
            </w:r>
          </w:p>
        </w:tc>
        <w:tc>
          <w:tcPr>
            <w:tcW w:w="795"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rsidR="00F8358B" w:rsidRDefault="00594733">
            <w:pPr>
              <w:keepNext/>
              <w:spacing w:before="53" w:after="30"/>
              <w:jc w:val="right"/>
            </w:pPr>
            <w:r>
              <w:rPr>
                <w:rFonts w:ascii="Calibri" w:eastAsia="Calibri" w:hAnsi="Calibri" w:cs="Calibri"/>
                <w:b/>
                <w:color w:val="000000"/>
                <w:sz w:val="20"/>
              </w:rPr>
              <w:t>£m</w:t>
            </w:r>
          </w:p>
        </w:tc>
        <w:tc>
          <w:tcPr>
            <w:tcW w:w="94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rsidR="00F8358B" w:rsidRDefault="00594733">
            <w:pPr>
              <w:keepNext/>
              <w:spacing w:before="53" w:after="30"/>
              <w:ind w:right="120"/>
              <w:jc w:val="right"/>
            </w:pPr>
            <w:r>
              <w:rPr>
                <w:rFonts w:ascii="Calibri" w:eastAsia="Calibri" w:hAnsi="Calibri" w:cs="Calibri"/>
                <w:b/>
                <w:color w:val="000000"/>
                <w:sz w:val="20"/>
              </w:rPr>
              <w:t>Change</w:t>
            </w:r>
          </w:p>
        </w:tc>
        <w:tc>
          <w:tcPr>
            <w:tcW w:w="79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bottom"/>
          </w:tcPr>
          <w:p w:rsidR="00F8358B" w:rsidRDefault="00594733">
            <w:pPr>
              <w:keepNext/>
              <w:spacing w:before="53" w:after="30"/>
              <w:jc w:val="right"/>
            </w:pPr>
            <w:r>
              <w:rPr>
                <w:rFonts w:ascii="Calibri" w:eastAsia="Calibri" w:hAnsi="Calibri" w:cs="Calibri"/>
                <w:b/>
                <w:color w:val="000000"/>
                <w:sz w:val="20"/>
              </w:rPr>
              <w:t>£m</w:t>
            </w:r>
          </w:p>
        </w:tc>
        <w:tc>
          <w:tcPr>
            <w:tcW w:w="795"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rsidR="00F8358B" w:rsidRDefault="00594733">
            <w:pPr>
              <w:keepNext/>
              <w:spacing w:before="53" w:after="30"/>
              <w:jc w:val="right"/>
            </w:pPr>
            <w:r>
              <w:rPr>
                <w:rFonts w:ascii="Calibri" w:eastAsia="Calibri" w:hAnsi="Calibri" w:cs="Calibri"/>
                <w:b/>
                <w:color w:val="000000"/>
                <w:sz w:val="20"/>
              </w:rPr>
              <w:t>£m</w:t>
            </w:r>
          </w:p>
        </w:tc>
        <w:tc>
          <w:tcPr>
            <w:tcW w:w="94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rsidR="00F8358B" w:rsidRDefault="00594733">
            <w:pPr>
              <w:keepNext/>
              <w:spacing w:before="53" w:after="30"/>
              <w:ind w:right="120"/>
              <w:jc w:val="right"/>
            </w:pPr>
            <w:r>
              <w:rPr>
                <w:rFonts w:ascii="Calibri" w:eastAsia="Calibri" w:hAnsi="Calibri" w:cs="Calibri"/>
                <w:b/>
                <w:color w:val="000000"/>
                <w:sz w:val="20"/>
              </w:rPr>
              <w:t>Change</w:t>
            </w:r>
          </w:p>
        </w:tc>
        <w:tc>
          <w:tcPr>
            <w:tcW w:w="79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bottom"/>
          </w:tcPr>
          <w:p w:rsidR="00F8358B" w:rsidRDefault="00594733">
            <w:pPr>
              <w:keepNext/>
              <w:spacing w:before="53" w:after="30"/>
              <w:jc w:val="right"/>
            </w:pPr>
            <w:r>
              <w:rPr>
                <w:rFonts w:ascii="Calibri" w:eastAsia="Calibri" w:hAnsi="Calibri" w:cs="Calibri"/>
                <w:b/>
                <w:color w:val="000000"/>
                <w:sz w:val="20"/>
              </w:rPr>
              <w:t>£m</w:t>
            </w:r>
          </w:p>
        </w:tc>
        <w:tc>
          <w:tcPr>
            <w:tcW w:w="795"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rsidR="00F8358B" w:rsidRDefault="00594733">
            <w:pPr>
              <w:keepNext/>
              <w:spacing w:before="53" w:after="30"/>
              <w:jc w:val="right"/>
            </w:pPr>
            <w:r>
              <w:rPr>
                <w:rFonts w:ascii="Calibri" w:eastAsia="Calibri" w:hAnsi="Calibri" w:cs="Calibri"/>
                <w:b/>
                <w:color w:val="000000"/>
                <w:sz w:val="20"/>
              </w:rPr>
              <w:t>£m</w:t>
            </w:r>
          </w:p>
        </w:tc>
        <w:tc>
          <w:tcPr>
            <w:tcW w:w="94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rsidR="00F8358B" w:rsidRDefault="00594733">
            <w:pPr>
              <w:keepNext/>
              <w:spacing w:before="53" w:after="30"/>
              <w:ind w:right="120"/>
              <w:jc w:val="right"/>
            </w:pPr>
            <w:r>
              <w:rPr>
                <w:rFonts w:ascii="Calibri" w:eastAsia="Calibri" w:hAnsi="Calibri" w:cs="Calibri"/>
                <w:b/>
                <w:color w:val="000000"/>
                <w:sz w:val="20"/>
              </w:rPr>
              <w:t>Change</w:t>
            </w:r>
          </w:p>
        </w:tc>
        <w:tc>
          <w:tcPr>
            <w:tcW w:w="795" w:type="dxa"/>
            <w:tcBorders>
              <w:top w:val="nil"/>
              <w:left w:val="single" w:sz="8" w:space="0" w:color="000000"/>
              <w:bottom w:val="single" w:sz="8" w:space="0" w:color="000000"/>
              <w:right w:val="nil"/>
            </w:tcBorders>
            <w:shd w:val="clear" w:color="auto" w:fill="DBDBDB"/>
            <w:tcMar>
              <w:top w:w="0" w:type="dxa"/>
              <w:left w:w="53" w:type="dxa"/>
              <w:bottom w:w="0" w:type="dxa"/>
              <w:right w:w="53" w:type="dxa"/>
            </w:tcMar>
            <w:vAlign w:val="bottom"/>
          </w:tcPr>
          <w:p w:rsidR="00F8358B" w:rsidRDefault="00594733">
            <w:pPr>
              <w:keepNext/>
              <w:spacing w:before="53" w:after="30"/>
              <w:jc w:val="right"/>
            </w:pPr>
            <w:r>
              <w:rPr>
                <w:rFonts w:ascii="Calibri" w:eastAsia="Calibri" w:hAnsi="Calibri" w:cs="Calibri"/>
                <w:b/>
                <w:color w:val="000000"/>
                <w:sz w:val="20"/>
              </w:rPr>
              <w:t>£m</w:t>
            </w:r>
          </w:p>
        </w:tc>
        <w:tc>
          <w:tcPr>
            <w:tcW w:w="795"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rsidR="00F8358B" w:rsidRDefault="00594733">
            <w:pPr>
              <w:keepNext/>
              <w:spacing w:before="53" w:after="30"/>
              <w:jc w:val="right"/>
            </w:pPr>
            <w:r>
              <w:rPr>
                <w:rFonts w:ascii="Calibri" w:eastAsia="Calibri" w:hAnsi="Calibri" w:cs="Calibri"/>
                <w:b/>
                <w:color w:val="000000"/>
                <w:sz w:val="20"/>
              </w:rPr>
              <w:t>£m</w:t>
            </w:r>
          </w:p>
        </w:tc>
        <w:tc>
          <w:tcPr>
            <w:tcW w:w="960" w:type="dxa"/>
            <w:tcBorders>
              <w:top w:val="nil"/>
              <w:left w:val="nil"/>
              <w:bottom w:val="single" w:sz="8" w:space="0" w:color="000000"/>
              <w:right w:val="single" w:sz="8" w:space="0" w:color="000000"/>
            </w:tcBorders>
            <w:shd w:val="clear" w:color="auto" w:fill="DBDBDB"/>
            <w:tcMar>
              <w:top w:w="0" w:type="dxa"/>
              <w:left w:w="53" w:type="dxa"/>
              <w:bottom w:w="0" w:type="dxa"/>
              <w:right w:w="15" w:type="dxa"/>
            </w:tcMar>
            <w:vAlign w:val="bottom"/>
          </w:tcPr>
          <w:p w:rsidR="00F8358B" w:rsidRDefault="00594733">
            <w:pPr>
              <w:keepNext/>
              <w:spacing w:before="53" w:after="30"/>
              <w:ind w:right="120"/>
              <w:jc w:val="right"/>
            </w:pPr>
            <w:r>
              <w:rPr>
                <w:rFonts w:ascii="Calibri" w:eastAsia="Calibri" w:hAnsi="Calibri" w:cs="Calibri"/>
                <w:b/>
                <w:color w:val="000000"/>
                <w:sz w:val="20"/>
              </w:rPr>
              <w:t>Change</w:t>
            </w:r>
          </w:p>
        </w:tc>
      </w:tr>
      <w:tr w:rsidR="00F8358B">
        <w:trPr>
          <w:cantSplit/>
          <w:trHeight w:hRule="exact" w:val="495"/>
        </w:trPr>
        <w:tc>
          <w:tcPr>
            <w:tcW w:w="244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rPr>
                <w:rFonts w:ascii="Calibri" w:eastAsia="Calibri" w:hAnsi="Calibri" w:cs="Calibri"/>
                <w:b/>
                <w:sz w:val="20"/>
              </w:rPr>
            </w:pPr>
            <w:r>
              <w:rPr>
                <w:rFonts w:ascii="Calibri" w:eastAsia="Calibri" w:hAnsi="Calibri" w:cs="Calibri"/>
                <w:b/>
                <w:sz w:val="20"/>
              </w:rPr>
              <w:t>Average monthly players</w:t>
            </w:r>
            <w:r>
              <w:rPr>
                <w:rFonts w:ascii="Calibri" w:eastAsia="Calibri" w:hAnsi="Calibri" w:cs="Calibri"/>
                <w:b/>
                <w:sz w:val="20"/>
                <w:vertAlign w:val="superscript"/>
              </w:rPr>
              <w:t>2</w:t>
            </w:r>
            <w:r>
              <w:rPr>
                <w:rFonts w:ascii="Calibri" w:eastAsia="Calibri" w:hAnsi="Calibri" w:cs="Calibri"/>
                <w:b/>
                <w:sz w:val="20"/>
              </w:rPr>
              <w:t xml:space="preserve"> (000's)</w:t>
            </w:r>
          </w:p>
        </w:tc>
        <w:tc>
          <w:tcPr>
            <w:tcW w:w="79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3,060</w:t>
            </w:r>
          </w:p>
        </w:tc>
        <w:tc>
          <w:tcPr>
            <w:tcW w:w="795"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2,567</w:t>
            </w:r>
          </w:p>
        </w:tc>
        <w:tc>
          <w:tcPr>
            <w:tcW w:w="945"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+19%</w:t>
            </w:r>
          </w:p>
        </w:tc>
        <w:tc>
          <w:tcPr>
            <w:tcW w:w="79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1,086</w:t>
            </w:r>
          </w:p>
        </w:tc>
        <w:tc>
          <w:tcPr>
            <w:tcW w:w="795"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876</w:t>
            </w:r>
          </w:p>
        </w:tc>
        <w:tc>
          <w:tcPr>
            <w:tcW w:w="945"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+24%</w:t>
            </w:r>
          </w:p>
        </w:tc>
        <w:tc>
          <w:tcPr>
            <w:tcW w:w="79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1,799</w:t>
            </w:r>
          </w:p>
        </w:tc>
        <w:tc>
          <w:tcPr>
            <w:tcW w:w="795"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1,835</w:t>
            </w:r>
          </w:p>
        </w:tc>
        <w:tc>
          <w:tcPr>
            <w:tcW w:w="945"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-2%</w:t>
            </w:r>
          </w:p>
        </w:tc>
        <w:tc>
          <w:tcPr>
            <w:tcW w:w="79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1,312</w:t>
            </w:r>
          </w:p>
        </w:tc>
        <w:tc>
          <w:tcPr>
            <w:tcW w:w="795"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1,122</w:t>
            </w:r>
          </w:p>
        </w:tc>
        <w:tc>
          <w:tcPr>
            <w:tcW w:w="945"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+17%</w:t>
            </w:r>
          </w:p>
        </w:tc>
        <w:tc>
          <w:tcPr>
            <w:tcW w:w="795" w:type="dxa"/>
            <w:tcBorders>
              <w:top w:val="single" w:sz="8" w:space="0" w:color="000000"/>
              <w:left w:val="single" w:sz="8" w:space="0" w:color="000000"/>
              <w:bottom w:val="nil"/>
              <w:right w:val="nil"/>
            </w:tcBorders>
            <w:shd w:val="clear" w:color="auto" w:fill="DBDBDB"/>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7,257</w:t>
            </w:r>
          </w:p>
        </w:tc>
        <w:tc>
          <w:tcPr>
            <w:tcW w:w="795" w:type="dxa"/>
            <w:tcBorders>
              <w:top w:val="single" w:sz="8" w:space="0" w:color="000000"/>
              <w:left w:val="nil"/>
              <w:bottom w:val="nil"/>
              <w:right w:val="nil"/>
            </w:tcBorders>
            <w:shd w:val="clear" w:color="auto" w:fill="DBDBDB"/>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6,401</w:t>
            </w:r>
          </w:p>
        </w:tc>
        <w:tc>
          <w:tcPr>
            <w:tcW w:w="960" w:type="dxa"/>
            <w:tcBorders>
              <w:top w:val="single" w:sz="8" w:space="0" w:color="000000"/>
              <w:left w:val="nil"/>
              <w:bottom w:val="nil"/>
              <w:right w:val="single" w:sz="8" w:space="0" w:color="000000"/>
            </w:tcBorders>
            <w:shd w:val="clear" w:color="auto" w:fill="DBDBDB"/>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+13%</w:t>
            </w:r>
          </w:p>
        </w:tc>
      </w:tr>
      <w:tr w:rsidR="00F8358B">
        <w:trPr>
          <w:cantSplit/>
          <w:trHeight w:hRule="exact" w:val="285"/>
        </w:trPr>
        <w:tc>
          <w:tcPr>
            <w:tcW w:w="244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pPr>
            <w:r>
              <w:rPr>
                <w:rFonts w:ascii="Calibri" w:eastAsia="Calibri" w:hAnsi="Calibri" w:cs="Calibri"/>
                <w:color w:val="000000"/>
                <w:sz w:val="20"/>
              </w:rPr>
              <w:t>Sportsbook stakes</w:t>
            </w:r>
          </w:p>
        </w:tc>
        <w:tc>
          <w:tcPr>
            <w:tcW w:w="7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2,627</w:t>
            </w:r>
          </w:p>
        </w:tc>
        <w:tc>
          <w:tcPr>
            <w:tcW w:w="79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2,790</w:t>
            </w:r>
          </w:p>
        </w:tc>
        <w:tc>
          <w:tcPr>
            <w:tcW w:w="94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-5%</w:t>
            </w:r>
          </w:p>
        </w:tc>
        <w:tc>
          <w:tcPr>
            <w:tcW w:w="7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3,323</w:t>
            </w:r>
          </w:p>
        </w:tc>
        <w:tc>
          <w:tcPr>
            <w:tcW w:w="79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3,003</w:t>
            </w:r>
          </w:p>
        </w:tc>
        <w:tc>
          <w:tcPr>
            <w:tcW w:w="94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+15%</w:t>
            </w:r>
          </w:p>
        </w:tc>
        <w:tc>
          <w:tcPr>
            <w:tcW w:w="7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349</w:t>
            </w:r>
          </w:p>
        </w:tc>
        <w:tc>
          <w:tcPr>
            <w:tcW w:w="79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375</w:t>
            </w:r>
          </w:p>
        </w:tc>
        <w:tc>
          <w:tcPr>
            <w:tcW w:w="94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-2%</w:t>
            </w:r>
          </w:p>
        </w:tc>
        <w:tc>
          <w:tcPr>
            <w:tcW w:w="7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2,109</w:t>
            </w:r>
          </w:p>
        </w:tc>
        <w:tc>
          <w:tcPr>
            <w:tcW w:w="79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1,247</w:t>
            </w:r>
          </w:p>
        </w:tc>
        <w:tc>
          <w:tcPr>
            <w:tcW w:w="94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+80%</w:t>
            </w:r>
          </w:p>
        </w:tc>
        <w:tc>
          <w:tcPr>
            <w:tcW w:w="795" w:type="dxa"/>
            <w:tcBorders>
              <w:top w:val="nil"/>
              <w:left w:val="single" w:sz="8" w:space="0" w:color="000000"/>
              <w:bottom w:val="nil"/>
              <w:right w:val="nil"/>
            </w:tcBorders>
            <w:shd w:val="clear" w:color="auto" w:fill="DBDBDB"/>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8,409</w:t>
            </w:r>
          </w:p>
        </w:tc>
        <w:tc>
          <w:tcPr>
            <w:tcW w:w="795" w:type="dxa"/>
            <w:tcBorders>
              <w:top w:val="nil"/>
              <w:left w:val="nil"/>
              <w:bottom w:val="nil"/>
              <w:right w:val="nil"/>
            </w:tcBorders>
            <w:shd w:val="clear" w:color="auto" w:fill="DBDBDB"/>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7,415</w:t>
            </w:r>
          </w:p>
        </w:tc>
        <w:tc>
          <w:tcPr>
            <w:tcW w:w="960" w:type="dxa"/>
            <w:tcBorders>
              <w:top w:val="nil"/>
              <w:left w:val="nil"/>
              <w:bottom w:val="nil"/>
              <w:right w:val="single" w:sz="8" w:space="0" w:color="000000"/>
            </w:tcBorders>
            <w:shd w:val="clear" w:color="auto" w:fill="DBDBDB"/>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+17%</w:t>
            </w:r>
          </w:p>
        </w:tc>
      </w:tr>
      <w:tr w:rsidR="00F8358B">
        <w:trPr>
          <w:cantSplit/>
          <w:trHeight w:hRule="exact" w:val="495"/>
        </w:trPr>
        <w:tc>
          <w:tcPr>
            <w:tcW w:w="244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pPr>
            <w:r>
              <w:rPr>
                <w:rFonts w:ascii="Calibri" w:eastAsia="Calibri" w:hAnsi="Calibri" w:cs="Calibri"/>
                <w:i/>
                <w:color w:val="000000"/>
                <w:sz w:val="20"/>
              </w:rPr>
              <w:t>Sportsbook net revenue margin</w:t>
            </w:r>
          </w:p>
        </w:tc>
        <w:tc>
          <w:tcPr>
            <w:tcW w:w="7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i/>
                <w:color w:val="000000"/>
                <w:sz w:val="20"/>
              </w:rPr>
              <w:t>10.1%</w:t>
            </w:r>
          </w:p>
        </w:tc>
        <w:tc>
          <w:tcPr>
            <w:tcW w:w="79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i/>
                <w:color w:val="000000"/>
                <w:sz w:val="20"/>
              </w:rPr>
              <w:t>10.4%</w:t>
            </w:r>
          </w:p>
        </w:tc>
        <w:tc>
          <w:tcPr>
            <w:tcW w:w="94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i/>
                <w:color w:val="000000"/>
                <w:sz w:val="20"/>
              </w:rPr>
              <w:t>-30bps</w:t>
            </w:r>
          </w:p>
        </w:tc>
        <w:tc>
          <w:tcPr>
            <w:tcW w:w="7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i/>
                <w:color w:val="000000"/>
                <w:sz w:val="20"/>
              </w:rPr>
              <w:t>11.1%</w:t>
            </w:r>
          </w:p>
        </w:tc>
        <w:tc>
          <w:tcPr>
            <w:tcW w:w="79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i/>
                <w:color w:val="000000"/>
                <w:sz w:val="20"/>
              </w:rPr>
              <w:t>10.7%</w:t>
            </w:r>
          </w:p>
        </w:tc>
        <w:tc>
          <w:tcPr>
            <w:tcW w:w="94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i/>
                <w:color w:val="000000"/>
                <w:sz w:val="20"/>
              </w:rPr>
              <w:t>+40bps</w:t>
            </w:r>
          </w:p>
        </w:tc>
        <w:tc>
          <w:tcPr>
            <w:tcW w:w="7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i/>
                <w:color w:val="000000"/>
                <w:sz w:val="20"/>
              </w:rPr>
              <w:t>8.6%</w:t>
            </w:r>
          </w:p>
        </w:tc>
        <w:tc>
          <w:tcPr>
            <w:tcW w:w="79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i/>
                <w:color w:val="000000"/>
                <w:sz w:val="20"/>
              </w:rPr>
              <w:t>7.2%</w:t>
            </w:r>
          </w:p>
        </w:tc>
        <w:tc>
          <w:tcPr>
            <w:tcW w:w="94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i/>
                <w:color w:val="000000"/>
                <w:sz w:val="20"/>
              </w:rPr>
              <w:t>+140bps</w:t>
            </w:r>
          </w:p>
        </w:tc>
        <w:tc>
          <w:tcPr>
            <w:tcW w:w="7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i/>
                <w:color w:val="000000"/>
                <w:sz w:val="20"/>
              </w:rPr>
              <w:t>6.2%</w:t>
            </w:r>
          </w:p>
        </w:tc>
        <w:tc>
          <w:tcPr>
            <w:tcW w:w="79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i/>
                <w:color w:val="000000"/>
                <w:sz w:val="20"/>
              </w:rPr>
              <w:t>2.1%</w:t>
            </w:r>
          </w:p>
        </w:tc>
        <w:tc>
          <w:tcPr>
            <w:tcW w:w="94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i/>
                <w:color w:val="000000"/>
                <w:sz w:val="20"/>
              </w:rPr>
              <w:t>+410bps</w:t>
            </w:r>
          </w:p>
        </w:tc>
        <w:tc>
          <w:tcPr>
            <w:tcW w:w="795" w:type="dxa"/>
            <w:tcBorders>
              <w:top w:val="nil"/>
              <w:left w:val="single" w:sz="8" w:space="0" w:color="000000"/>
              <w:bottom w:val="nil"/>
              <w:right w:val="nil"/>
            </w:tcBorders>
            <w:shd w:val="clear" w:color="auto" w:fill="DBDBDB"/>
            <w:tcMar>
              <w:top w:w="0" w:type="dxa"/>
              <w:left w:w="53" w:type="dxa"/>
              <w:bottom w:w="0" w:type="dxa"/>
              <w:right w:w="53" w:type="dxa"/>
            </w:tcMar>
            <w:vAlign w:val="center"/>
          </w:tcPr>
          <w:p w:rsidR="00F8358B" w:rsidRDefault="00594733">
            <w:pPr>
              <w:keepNext/>
              <w:jc w:val="right"/>
            </w:pPr>
            <w:r>
              <w:rPr>
                <w:rFonts w:ascii="Calibri" w:eastAsia="Calibri" w:hAnsi="Calibri" w:cs="Calibri"/>
                <w:i/>
                <w:color w:val="000000"/>
                <w:sz w:val="20"/>
              </w:rPr>
              <w:t>9.5%</w:t>
            </w:r>
          </w:p>
        </w:tc>
        <w:tc>
          <w:tcPr>
            <w:tcW w:w="795" w:type="dxa"/>
            <w:tcBorders>
              <w:top w:val="nil"/>
              <w:left w:val="nil"/>
              <w:bottom w:val="nil"/>
              <w:right w:val="nil"/>
            </w:tcBorders>
            <w:shd w:val="clear" w:color="auto" w:fill="DBDBDB"/>
            <w:tcMar>
              <w:top w:w="0" w:type="dxa"/>
              <w:left w:w="53" w:type="dxa"/>
              <w:bottom w:w="0" w:type="dxa"/>
              <w:right w:w="53" w:type="dxa"/>
            </w:tcMar>
            <w:vAlign w:val="center"/>
          </w:tcPr>
          <w:p w:rsidR="00F8358B" w:rsidRDefault="00594733">
            <w:pPr>
              <w:keepNext/>
              <w:jc w:val="right"/>
            </w:pPr>
            <w:r>
              <w:rPr>
                <w:rFonts w:ascii="Calibri" w:eastAsia="Calibri" w:hAnsi="Calibri" w:cs="Calibri"/>
                <w:i/>
                <w:color w:val="000000"/>
                <w:sz w:val="20"/>
              </w:rPr>
              <w:t>9.0%</w:t>
            </w:r>
          </w:p>
        </w:tc>
        <w:tc>
          <w:tcPr>
            <w:tcW w:w="960" w:type="dxa"/>
            <w:tcBorders>
              <w:top w:val="nil"/>
              <w:left w:val="nil"/>
              <w:bottom w:val="nil"/>
              <w:right w:val="single" w:sz="8" w:space="0" w:color="000000"/>
            </w:tcBorders>
            <w:shd w:val="clear" w:color="auto" w:fill="DBDBDB"/>
            <w:tcMar>
              <w:top w:w="0" w:type="dxa"/>
              <w:left w:w="53" w:type="dxa"/>
              <w:bottom w:w="0" w:type="dxa"/>
              <w:right w:w="53" w:type="dxa"/>
            </w:tcMar>
            <w:vAlign w:val="center"/>
          </w:tcPr>
          <w:p w:rsidR="00F8358B" w:rsidRDefault="00594733">
            <w:pPr>
              <w:keepNext/>
              <w:jc w:val="right"/>
            </w:pPr>
            <w:r>
              <w:rPr>
                <w:rFonts w:ascii="Calibri" w:eastAsia="Calibri" w:hAnsi="Calibri" w:cs="Calibri"/>
                <w:i/>
                <w:color w:val="000000"/>
                <w:sz w:val="20"/>
              </w:rPr>
              <w:t>+50bps</w:t>
            </w:r>
          </w:p>
        </w:tc>
      </w:tr>
      <w:tr w:rsidR="00F8358B">
        <w:trPr>
          <w:cantSplit/>
          <w:trHeight w:hRule="exact" w:val="105"/>
        </w:trPr>
        <w:tc>
          <w:tcPr>
            <w:tcW w:w="244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F8358B">
            <w:pPr>
              <w:keepNext/>
            </w:pPr>
          </w:p>
        </w:tc>
        <w:tc>
          <w:tcPr>
            <w:tcW w:w="7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F8358B">
            <w:pPr>
              <w:keepNext/>
              <w:jc w:val="right"/>
            </w:pPr>
          </w:p>
        </w:tc>
        <w:tc>
          <w:tcPr>
            <w:tcW w:w="79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F8358B">
            <w:pPr>
              <w:keepNext/>
              <w:jc w:val="right"/>
            </w:pPr>
          </w:p>
        </w:tc>
        <w:tc>
          <w:tcPr>
            <w:tcW w:w="94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F8358B">
            <w:pPr>
              <w:keepNext/>
              <w:jc w:val="right"/>
            </w:pPr>
          </w:p>
        </w:tc>
        <w:tc>
          <w:tcPr>
            <w:tcW w:w="7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F8358B">
            <w:pPr>
              <w:keepNext/>
              <w:jc w:val="right"/>
            </w:pPr>
          </w:p>
        </w:tc>
        <w:tc>
          <w:tcPr>
            <w:tcW w:w="79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F8358B">
            <w:pPr>
              <w:keepNext/>
              <w:jc w:val="right"/>
            </w:pPr>
          </w:p>
        </w:tc>
        <w:tc>
          <w:tcPr>
            <w:tcW w:w="94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F8358B">
            <w:pPr>
              <w:keepNext/>
              <w:jc w:val="right"/>
            </w:pPr>
          </w:p>
        </w:tc>
        <w:tc>
          <w:tcPr>
            <w:tcW w:w="7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F8358B">
            <w:pPr>
              <w:keepNext/>
              <w:jc w:val="right"/>
            </w:pPr>
          </w:p>
        </w:tc>
        <w:tc>
          <w:tcPr>
            <w:tcW w:w="79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F8358B">
            <w:pPr>
              <w:keepNext/>
              <w:jc w:val="right"/>
            </w:pPr>
          </w:p>
        </w:tc>
        <w:tc>
          <w:tcPr>
            <w:tcW w:w="94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F8358B">
            <w:pPr>
              <w:keepNext/>
              <w:jc w:val="right"/>
            </w:pPr>
          </w:p>
        </w:tc>
        <w:tc>
          <w:tcPr>
            <w:tcW w:w="7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F8358B">
            <w:pPr>
              <w:keepNext/>
              <w:jc w:val="right"/>
            </w:pPr>
          </w:p>
        </w:tc>
        <w:tc>
          <w:tcPr>
            <w:tcW w:w="79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F8358B">
            <w:pPr>
              <w:keepNext/>
              <w:jc w:val="right"/>
            </w:pPr>
          </w:p>
        </w:tc>
        <w:tc>
          <w:tcPr>
            <w:tcW w:w="94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F8358B">
            <w:pPr>
              <w:keepNext/>
              <w:jc w:val="right"/>
            </w:pPr>
          </w:p>
        </w:tc>
        <w:tc>
          <w:tcPr>
            <w:tcW w:w="795" w:type="dxa"/>
            <w:tcBorders>
              <w:top w:val="nil"/>
              <w:left w:val="single" w:sz="8" w:space="0" w:color="000000"/>
              <w:bottom w:val="nil"/>
              <w:right w:val="nil"/>
            </w:tcBorders>
            <w:shd w:val="clear" w:color="auto" w:fill="DBDBDB"/>
            <w:tcMar>
              <w:top w:w="0" w:type="dxa"/>
              <w:left w:w="53" w:type="dxa"/>
              <w:bottom w:w="0" w:type="dxa"/>
              <w:right w:w="53" w:type="dxa"/>
            </w:tcMar>
            <w:vAlign w:val="center"/>
          </w:tcPr>
          <w:p w:rsidR="00F8358B" w:rsidRDefault="00F8358B">
            <w:pPr>
              <w:keepNext/>
              <w:jc w:val="right"/>
            </w:pPr>
          </w:p>
        </w:tc>
        <w:tc>
          <w:tcPr>
            <w:tcW w:w="795" w:type="dxa"/>
            <w:tcBorders>
              <w:top w:val="nil"/>
              <w:left w:val="nil"/>
              <w:bottom w:val="nil"/>
              <w:right w:val="nil"/>
            </w:tcBorders>
            <w:shd w:val="clear" w:color="auto" w:fill="DBDBDB"/>
            <w:tcMar>
              <w:top w:w="0" w:type="dxa"/>
              <w:left w:w="53" w:type="dxa"/>
              <w:bottom w:w="0" w:type="dxa"/>
              <w:right w:w="53" w:type="dxa"/>
            </w:tcMar>
            <w:vAlign w:val="center"/>
          </w:tcPr>
          <w:p w:rsidR="00F8358B" w:rsidRDefault="00F8358B">
            <w:pPr>
              <w:keepNext/>
              <w:jc w:val="right"/>
            </w:pPr>
          </w:p>
        </w:tc>
        <w:tc>
          <w:tcPr>
            <w:tcW w:w="960" w:type="dxa"/>
            <w:tcBorders>
              <w:top w:val="nil"/>
              <w:left w:val="nil"/>
              <w:bottom w:val="nil"/>
              <w:right w:val="single" w:sz="8" w:space="0" w:color="000000"/>
            </w:tcBorders>
            <w:shd w:val="clear" w:color="auto" w:fill="DBDBDB"/>
            <w:tcMar>
              <w:top w:w="0" w:type="dxa"/>
              <w:left w:w="53" w:type="dxa"/>
              <w:bottom w:w="0" w:type="dxa"/>
              <w:right w:w="53" w:type="dxa"/>
            </w:tcMar>
            <w:vAlign w:val="center"/>
          </w:tcPr>
          <w:p w:rsidR="00F8358B" w:rsidRDefault="00F8358B">
            <w:pPr>
              <w:keepNext/>
              <w:jc w:val="right"/>
            </w:pPr>
          </w:p>
        </w:tc>
      </w:tr>
      <w:tr w:rsidR="00F8358B">
        <w:trPr>
          <w:cantSplit/>
          <w:trHeight w:hRule="exact" w:val="285"/>
        </w:trPr>
        <w:tc>
          <w:tcPr>
            <w:tcW w:w="244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pPr>
            <w:r>
              <w:rPr>
                <w:rFonts w:ascii="Calibri" w:eastAsia="Calibri" w:hAnsi="Calibri" w:cs="Calibri"/>
                <w:color w:val="000000"/>
                <w:sz w:val="20"/>
              </w:rPr>
              <w:t>Sports revenue</w:t>
            </w:r>
          </w:p>
        </w:tc>
        <w:tc>
          <w:tcPr>
            <w:tcW w:w="7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302</w:t>
            </w:r>
          </w:p>
        </w:tc>
        <w:tc>
          <w:tcPr>
            <w:tcW w:w="79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333</w:t>
            </w:r>
          </w:p>
        </w:tc>
        <w:tc>
          <w:tcPr>
            <w:tcW w:w="94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-9%</w:t>
            </w:r>
          </w:p>
        </w:tc>
        <w:tc>
          <w:tcPr>
            <w:tcW w:w="7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370</w:t>
            </w:r>
          </w:p>
        </w:tc>
        <w:tc>
          <w:tcPr>
            <w:tcW w:w="79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320</w:t>
            </w:r>
          </w:p>
        </w:tc>
        <w:tc>
          <w:tcPr>
            <w:tcW w:w="94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+20%</w:t>
            </w:r>
          </w:p>
        </w:tc>
        <w:tc>
          <w:tcPr>
            <w:tcW w:w="7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50</w:t>
            </w:r>
          </w:p>
        </w:tc>
        <w:tc>
          <w:tcPr>
            <w:tcW w:w="79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46</w:t>
            </w:r>
          </w:p>
        </w:tc>
        <w:tc>
          <w:tcPr>
            <w:tcW w:w="94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+14%</w:t>
            </w:r>
          </w:p>
        </w:tc>
        <w:tc>
          <w:tcPr>
            <w:tcW w:w="79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184</w:t>
            </w:r>
          </w:p>
        </w:tc>
        <w:tc>
          <w:tcPr>
            <w:tcW w:w="79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99</w:t>
            </w:r>
          </w:p>
        </w:tc>
        <w:tc>
          <w:tcPr>
            <w:tcW w:w="945" w:type="dxa"/>
            <w:tcBorders>
              <w:top w:val="nil"/>
              <w:left w:val="nil"/>
              <w:bottom w:val="nil"/>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+97%</w:t>
            </w:r>
          </w:p>
        </w:tc>
        <w:tc>
          <w:tcPr>
            <w:tcW w:w="795" w:type="dxa"/>
            <w:tcBorders>
              <w:top w:val="nil"/>
              <w:left w:val="single" w:sz="8" w:space="0" w:color="000000"/>
              <w:bottom w:val="nil"/>
              <w:right w:val="nil"/>
            </w:tcBorders>
            <w:shd w:val="clear" w:color="auto" w:fill="DBDBDB"/>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906</w:t>
            </w:r>
          </w:p>
        </w:tc>
        <w:tc>
          <w:tcPr>
            <w:tcW w:w="795" w:type="dxa"/>
            <w:tcBorders>
              <w:top w:val="nil"/>
              <w:left w:val="nil"/>
              <w:bottom w:val="nil"/>
              <w:right w:val="nil"/>
            </w:tcBorders>
            <w:shd w:val="clear" w:color="auto" w:fill="DBDBDB"/>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798</w:t>
            </w:r>
          </w:p>
        </w:tc>
        <w:tc>
          <w:tcPr>
            <w:tcW w:w="960" w:type="dxa"/>
            <w:tcBorders>
              <w:top w:val="nil"/>
              <w:left w:val="nil"/>
              <w:bottom w:val="nil"/>
              <w:right w:val="single" w:sz="8" w:space="0" w:color="000000"/>
            </w:tcBorders>
            <w:shd w:val="clear" w:color="auto" w:fill="DBDBDB"/>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+17%</w:t>
            </w:r>
          </w:p>
        </w:tc>
      </w:tr>
      <w:tr w:rsidR="00F8358B">
        <w:trPr>
          <w:cantSplit/>
          <w:trHeight w:hRule="exact" w:val="285"/>
        </w:trPr>
        <w:tc>
          <w:tcPr>
            <w:tcW w:w="244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pPr>
            <w:r>
              <w:rPr>
                <w:rFonts w:ascii="Calibri" w:eastAsia="Calibri" w:hAnsi="Calibri" w:cs="Calibri"/>
                <w:color w:val="000000"/>
                <w:sz w:val="20"/>
              </w:rPr>
              <w:t>Gaming revenue</w:t>
            </w:r>
          </w:p>
        </w:tc>
        <w:tc>
          <w:tcPr>
            <w:tcW w:w="79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189</w:t>
            </w:r>
          </w:p>
        </w:tc>
        <w:tc>
          <w:tcPr>
            <w:tcW w:w="795"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186</w:t>
            </w:r>
          </w:p>
        </w:tc>
        <w:tc>
          <w:tcPr>
            <w:tcW w:w="945"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+2%</w:t>
            </w:r>
          </w:p>
        </w:tc>
        <w:tc>
          <w:tcPr>
            <w:tcW w:w="79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0</w:t>
            </w:r>
          </w:p>
        </w:tc>
        <w:tc>
          <w:tcPr>
            <w:tcW w:w="795"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0</w:t>
            </w:r>
          </w:p>
        </w:tc>
        <w:tc>
          <w:tcPr>
            <w:tcW w:w="945"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0%</w:t>
            </w:r>
          </w:p>
        </w:tc>
        <w:tc>
          <w:tcPr>
            <w:tcW w:w="79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249</w:t>
            </w:r>
          </w:p>
        </w:tc>
        <w:tc>
          <w:tcPr>
            <w:tcW w:w="795"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279</w:t>
            </w:r>
          </w:p>
        </w:tc>
        <w:tc>
          <w:tcPr>
            <w:tcW w:w="945"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-6%</w:t>
            </w:r>
          </w:p>
        </w:tc>
        <w:tc>
          <w:tcPr>
            <w:tcW w:w="79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95</w:t>
            </w:r>
          </w:p>
        </w:tc>
        <w:tc>
          <w:tcPr>
            <w:tcW w:w="795"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62</w:t>
            </w:r>
          </w:p>
        </w:tc>
        <w:tc>
          <w:tcPr>
            <w:tcW w:w="945"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+65%</w:t>
            </w:r>
          </w:p>
        </w:tc>
        <w:tc>
          <w:tcPr>
            <w:tcW w:w="795" w:type="dxa"/>
            <w:tcBorders>
              <w:top w:val="nil"/>
              <w:left w:val="single" w:sz="8" w:space="0" w:color="000000"/>
              <w:bottom w:val="single" w:sz="8" w:space="0" w:color="000000"/>
              <w:right w:val="nil"/>
            </w:tcBorders>
            <w:shd w:val="clear" w:color="auto" w:fill="DBDBDB"/>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534</w:t>
            </w:r>
          </w:p>
        </w:tc>
        <w:tc>
          <w:tcPr>
            <w:tcW w:w="795"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527</w:t>
            </w:r>
          </w:p>
        </w:tc>
        <w:tc>
          <w:tcPr>
            <w:tcW w:w="960" w:type="dxa"/>
            <w:tcBorders>
              <w:top w:val="nil"/>
              <w:left w:val="nil"/>
              <w:bottom w:val="single" w:sz="8" w:space="0" w:color="000000"/>
              <w:right w:val="single" w:sz="8" w:space="0" w:color="000000"/>
            </w:tcBorders>
            <w:shd w:val="clear" w:color="auto" w:fill="DBDBDB"/>
            <w:tcMar>
              <w:top w:w="0" w:type="dxa"/>
              <w:left w:w="53" w:type="dxa"/>
              <w:bottom w:w="0" w:type="dxa"/>
              <w:right w:w="53" w:type="dxa"/>
            </w:tcMar>
            <w:vAlign w:val="center"/>
          </w:tcPr>
          <w:p w:rsidR="00F8358B" w:rsidRDefault="00594733">
            <w:pPr>
              <w:keepNext/>
              <w:jc w:val="right"/>
            </w:pPr>
            <w:r>
              <w:rPr>
                <w:rFonts w:ascii="Calibri" w:eastAsia="Calibri" w:hAnsi="Calibri" w:cs="Calibri"/>
                <w:color w:val="000000"/>
                <w:sz w:val="20"/>
              </w:rPr>
              <w:t>+5%</w:t>
            </w:r>
          </w:p>
        </w:tc>
      </w:tr>
      <w:tr w:rsidR="00F8358B">
        <w:trPr>
          <w:cantSplit/>
          <w:trHeight w:hRule="exact" w:val="285"/>
        </w:trPr>
        <w:tc>
          <w:tcPr>
            <w:tcW w:w="244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pPr>
            <w:r>
              <w:rPr>
                <w:rFonts w:ascii="Calibri" w:eastAsia="Calibri" w:hAnsi="Calibri" w:cs="Calibri"/>
                <w:b/>
                <w:color w:val="000000"/>
                <w:sz w:val="20"/>
              </w:rPr>
              <w:t>Total revenue</w:t>
            </w:r>
          </w:p>
        </w:tc>
        <w:tc>
          <w:tcPr>
            <w:tcW w:w="79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491</w:t>
            </w:r>
          </w:p>
        </w:tc>
        <w:tc>
          <w:tcPr>
            <w:tcW w:w="795"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519</w:t>
            </w:r>
          </w:p>
        </w:tc>
        <w:tc>
          <w:tcPr>
            <w:tcW w:w="945"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-5%</w:t>
            </w:r>
          </w:p>
        </w:tc>
        <w:tc>
          <w:tcPr>
            <w:tcW w:w="79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370</w:t>
            </w:r>
          </w:p>
        </w:tc>
        <w:tc>
          <w:tcPr>
            <w:tcW w:w="795"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320</w:t>
            </w:r>
          </w:p>
        </w:tc>
        <w:tc>
          <w:tcPr>
            <w:tcW w:w="945"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+20%</w:t>
            </w:r>
          </w:p>
        </w:tc>
        <w:tc>
          <w:tcPr>
            <w:tcW w:w="79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299</w:t>
            </w:r>
          </w:p>
        </w:tc>
        <w:tc>
          <w:tcPr>
            <w:tcW w:w="795"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325</w:t>
            </w:r>
          </w:p>
        </w:tc>
        <w:tc>
          <w:tcPr>
            <w:tcW w:w="945"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-3%</w:t>
            </w:r>
          </w:p>
        </w:tc>
        <w:tc>
          <w:tcPr>
            <w:tcW w:w="79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280</w:t>
            </w:r>
          </w:p>
        </w:tc>
        <w:tc>
          <w:tcPr>
            <w:tcW w:w="795"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161</w:t>
            </w:r>
          </w:p>
        </w:tc>
        <w:tc>
          <w:tcPr>
            <w:tcW w:w="945"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+85%</w:t>
            </w:r>
          </w:p>
        </w:tc>
        <w:tc>
          <w:tcPr>
            <w:tcW w:w="795" w:type="dxa"/>
            <w:tcBorders>
              <w:top w:val="single" w:sz="8" w:space="0" w:color="000000"/>
              <w:left w:val="single" w:sz="8" w:space="0" w:color="000000"/>
              <w:bottom w:val="single" w:sz="8" w:space="0" w:color="000000"/>
              <w:right w:val="nil"/>
            </w:tcBorders>
            <w:shd w:val="clear" w:color="auto" w:fill="DBDBDB"/>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1,439</w:t>
            </w:r>
          </w:p>
        </w:tc>
        <w:tc>
          <w:tcPr>
            <w:tcW w:w="795" w:type="dxa"/>
            <w:tcBorders>
              <w:top w:val="single" w:sz="8" w:space="0" w:color="000000"/>
              <w:left w:val="nil"/>
              <w:bottom w:val="single" w:sz="8" w:space="0" w:color="000000"/>
              <w:right w:val="nil"/>
            </w:tcBorders>
            <w:shd w:val="clear" w:color="auto" w:fill="DBDBDB"/>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1,325</w:t>
            </w:r>
          </w:p>
        </w:tc>
        <w:tc>
          <w:tcPr>
            <w:tcW w:w="960" w:type="dxa"/>
            <w:tcBorders>
              <w:top w:val="single" w:sz="8" w:space="0" w:color="000000"/>
              <w:left w:val="nil"/>
              <w:bottom w:val="single" w:sz="8" w:space="0" w:color="000000"/>
              <w:right w:val="single" w:sz="8" w:space="0" w:color="000000"/>
            </w:tcBorders>
            <w:shd w:val="clear" w:color="auto" w:fill="DBDBDB"/>
            <w:tcMar>
              <w:top w:w="0" w:type="dxa"/>
              <w:left w:w="53" w:type="dxa"/>
              <w:bottom w:w="0" w:type="dxa"/>
              <w:right w:w="53" w:type="dxa"/>
            </w:tcMar>
            <w:vAlign w:val="center"/>
          </w:tcPr>
          <w:p w:rsidR="00F8358B" w:rsidRDefault="00594733">
            <w:pPr>
              <w:keepNext/>
              <w:jc w:val="right"/>
            </w:pPr>
            <w:r>
              <w:rPr>
                <w:rFonts w:ascii="Calibri" w:eastAsia="Calibri" w:hAnsi="Calibri" w:cs="Calibri"/>
                <w:b/>
                <w:color w:val="000000"/>
                <w:sz w:val="20"/>
              </w:rPr>
              <w:t>+12%</w:t>
            </w:r>
          </w:p>
        </w:tc>
      </w:tr>
      <w:tr w:rsidR="00F8358B">
        <w:trPr>
          <w:cantSplit/>
          <w:trHeight w:hRule="exact" w:val="105"/>
        </w:trPr>
        <w:tc>
          <w:tcPr>
            <w:tcW w:w="244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F8358B" w:rsidRDefault="00F8358B">
            <w:pPr>
              <w:keepNext/>
            </w:pPr>
          </w:p>
        </w:tc>
        <w:tc>
          <w:tcPr>
            <w:tcW w:w="795" w:type="dxa"/>
            <w:tcBorders>
              <w:top w:val="single" w:sz="8" w:space="0" w:color="000000"/>
              <w:left w:val="nil"/>
              <w:bottom w:val="single" w:sz="8" w:space="0" w:color="000000"/>
              <w:right w:val="nil"/>
            </w:tcBorders>
            <w:tcMar>
              <w:top w:w="0" w:type="dxa"/>
              <w:left w:w="0" w:type="dxa"/>
              <w:bottom w:w="0" w:type="dxa"/>
              <w:right w:w="0" w:type="dxa"/>
            </w:tcMar>
            <w:vAlign w:val="bottom"/>
          </w:tcPr>
          <w:p w:rsidR="00F8358B" w:rsidRDefault="00F8358B">
            <w:pPr>
              <w:keepNext/>
            </w:pPr>
          </w:p>
        </w:tc>
        <w:tc>
          <w:tcPr>
            <w:tcW w:w="795" w:type="dxa"/>
            <w:tcBorders>
              <w:top w:val="single" w:sz="8" w:space="0" w:color="000000"/>
              <w:left w:val="nil"/>
              <w:bottom w:val="single" w:sz="8" w:space="0" w:color="000000"/>
              <w:right w:val="nil"/>
            </w:tcBorders>
            <w:tcMar>
              <w:top w:w="0" w:type="dxa"/>
              <w:left w:w="0" w:type="dxa"/>
              <w:bottom w:w="0" w:type="dxa"/>
              <w:right w:w="0" w:type="dxa"/>
            </w:tcMar>
            <w:vAlign w:val="bottom"/>
          </w:tcPr>
          <w:p w:rsidR="00F8358B" w:rsidRDefault="00F8358B">
            <w:pPr>
              <w:keepNext/>
            </w:pPr>
          </w:p>
        </w:tc>
        <w:tc>
          <w:tcPr>
            <w:tcW w:w="945" w:type="dxa"/>
            <w:tcBorders>
              <w:top w:val="single" w:sz="8" w:space="0" w:color="000000"/>
              <w:left w:val="nil"/>
              <w:bottom w:val="single" w:sz="8" w:space="0" w:color="000000"/>
              <w:right w:val="nil"/>
            </w:tcBorders>
            <w:tcMar>
              <w:top w:w="0" w:type="dxa"/>
              <w:left w:w="0" w:type="dxa"/>
              <w:bottom w:w="0" w:type="dxa"/>
              <w:right w:w="0" w:type="dxa"/>
            </w:tcMar>
            <w:vAlign w:val="bottom"/>
          </w:tcPr>
          <w:p w:rsidR="00F8358B" w:rsidRDefault="00F8358B">
            <w:pPr>
              <w:keepNext/>
            </w:pPr>
          </w:p>
        </w:tc>
        <w:tc>
          <w:tcPr>
            <w:tcW w:w="795" w:type="dxa"/>
            <w:tcBorders>
              <w:top w:val="single" w:sz="8" w:space="0" w:color="000000"/>
              <w:left w:val="nil"/>
              <w:bottom w:val="single" w:sz="8" w:space="0" w:color="000000"/>
              <w:right w:val="nil"/>
            </w:tcBorders>
            <w:tcMar>
              <w:top w:w="0" w:type="dxa"/>
              <w:left w:w="0" w:type="dxa"/>
              <w:bottom w:w="0" w:type="dxa"/>
              <w:right w:w="0" w:type="dxa"/>
            </w:tcMar>
            <w:vAlign w:val="bottom"/>
          </w:tcPr>
          <w:p w:rsidR="00F8358B" w:rsidRDefault="00F8358B">
            <w:pPr>
              <w:keepNext/>
            </w:pPr>
          </w:p>
        </w:tc>
        <w:tc>
          <w:tcPr>
            <w:tcW w:w="795" w:type="dxa"/>
            <w:tcBorders>
              <w:top w:val="single" w:sz="8" w:space="0" w:color="000000"/>
              <w:left w:val="nil"/>
              <w:bottom w:val="single" w:sz="8" w:space="0" w:color="000000"/>
              <w:right w:val="nil"/>
            </w:tcBorders>
            <w:tcMar>
              <w:top w:w="0" w:type="dxa"/>
              <w:left w:w="0" w:type="dxa"/>
              <w:bottom w:w="0" w:type="dxa"/>
              <w:right w:w="0" w:type="dxa"/>
            </w:tcMar>
            <w:vAlign w:val="bottom"/>
          </w:tcPr>
          <w:p w:rsidR="00F8358B" w:rsidRDefault="00F8358B">
            <w:pPr>
              <w:keepNext/>
            </w:pPr>
          </w:p>
        </w:tc>
        <w:tc>
          <w:tcPr>
            <w:tcW w:w="945" w:type="dxa"/>
            <w:tcBorders>
              <w:top w:val="single" w:sz="8" w:space="0" w:color="000000"/>
              <w:left w:val="nil"/>
              <w:bottom w:val="single" w:sz="8" w:space="0" w:color="000000"/>
              <w:right w:val="nil"/>
            </w:tcBorders>
            <w:tcMar>
              <w:top w:w="0" w:type="dxa"/>
              <w:left w:w="0" w:type="dxa"/>
              <w:bottom w:w="0" w:type="dxa"/>
              <w:right w:w="0" w:type="dxa"/>
            </w:tcMar>
            <w:vAlign w:val="bottom"/>
          </w:tcPr>
          <w:p w:rsidR="00F8358B" w:rsidRDefault="00F8358B">
            <w:pPr>
              <w:keepNext/>
            </w:pPr>
          </w:p>
        </w:tc>
        <w:tc>
          <w:tcPr>
            <w:tcW w:w="795" w:type="dxa"/>
            <w:tcBorders>
              <w:top w:val="single" w:sz="8" w:space="0" w:color="000000"/>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single" w:sz="8" w:space="0" w:color="000000"/>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single" w:sz="8" w:space="0" w:color="000000"/>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single" w:sz="8" w:space="0" w:color="000000"/>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single" w:sz="8" w:space="0" w:color="000000"/>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single" w:sz="8" w:space="0" w:color="000000"/>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single" w:sz="8" w:space="0" w:color="000000"/>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single" w:sz="8" w:space="0" w:color="000000"/>
              <w:left w:val="nil"/>
              <w:bottom w:val="nil"/>
              <w:right w:val="nil"/>
            </w:tcBorders>
            <w:tcMar>
              <w:top w:w="0" w:type="dxa"/>
              <w:left w:w="0" w:type="dxa"/>
              <w:bottom w:w="0" w:type="dxa"/>
              <w:right w:w="0" w:type="dxa"/>
            </w:tcMar>
            <w:vAlign w:val="bottom"/>
          </w:tcPr>
          <w:p w:rsidR="00F8358B" w:rsidRDefault="00F8358B">
            <w:pPr>
              <w:keepNext/>
            </w:pPr>
          </w:p>
        </w:tc>
        <w:tc>
          <w:tcPr>
            <w:tcW w:w="960" w:type="dxa"/>
            <w:tcBorders>
              <w:top w:val="single" w:sz="8" w:space="0" w:color="000000"/>
              <w:left w:val="nil"/>
              <w:bottom w:val="nil"/>
              <w:right w:val="nil"/>
            </w:tcBorders>
            <w:tcMar>
              <w:top w:w="0" w:type="dxa"/>
              <w:left w:w="0" w:type="dxa"/>
              <w:bottom w:w="0" w:type="dxa"/>
              <w:right w:w="0" w:type="dxa"/>
            </w:tcMar>
            <w:vAlign w:val="bottom"/>
          </w:tcPr>
          <w:p w:rsidR="00F8358B" w:rsidRDefault="00F8358B">
            <w:pPr>
              <w:keepNext/>
            </w:pPr>
          </w:p>
        </w:tc>
      </w:tr>
      <w:tr w:rsidR="00F8358B">
        <w:trPr>
          <w:cantSplit/>
          <w:trHeight w:hRule="exact" w:val="285"/>
        </w:trPr>
        <w:tc>
          <w:tcPr>
            <w:tcW w:w="2445" w:type="dxa"/>
            <w:tcBorders>
              <w:top w:val="nil"/>
              <w:left w:val="nil"/>
              <w:bottom w:val="single" w:sz="8" w:space="0" w:color="000000"/>
              <w:right w:val="single" w:sz="8" w:space="0" w:color="000000"/>
            </w:tcBorders>
            <w:shd w:val="clear" w:color="auto" w:fill="FFFFFF"/>
            <w:tcMar>
              <w:top w:w="0" w:type="dxa"/>
              <w:left w:w="53" w:type="dxa"/>
              <w:bottom w:w="0" w:type="dxa"/>
              <w:right w:w="53" w:type="dxa"/>
            </w:tcMar>
            <w:vAlign w:val="bottom"/>
          </w:tcPr>
          <w:p w:rsidR="00F8358B" w:rsidRDefault="00F8358B">
            <w:pPr>
              <w:keepNext/>
              <w:spacing w:before="53" w:after="30"/>
            </w:pPr>
          </w:p>
        </w:tc>
        <w:tc>
          <w:tcPr>
            <w:tcW w:w="2535" w:type="dxa"/>
            <w:gridSpan w:val="3"/>
            <w:tcBorders>
              <w:top w:val="nil"/>
              <w:left w:val="nil"/>
              <w:bottom w:val="nil"/>
              <w:right w:val="single" w:sz="8" w:space="0" w:color="000000"/>
            </w:tcBorders>
            <w:shd w:val="clear" w:color="auto" w:fill="FFFFFF"/>
            <w:tcMar>
              <w:top w:w="0" w:type="dxa"/>
              <w:left w:w="53" w:type="dxa"/>
              <w:bottom w:w="0" w:type="dxa"/>
              <w:right w:w="53" w:type="dxa"/>
            </w:tcMar>
            <w:vAlign w:val="bottom"/>
          </w:tcPr>
          <w:p w:rsidR="00F8358B" w:rsidRDefault="00594733">
            <w:pPr>
              <w:keepNext/>
              <w:spacing w:before="33" w:after="30"/>
              <w:jc w:val="center"/>
            </w:pPr>
            <w:r>
              <w:rPr>
                <w:rFonts w:ascii="Calibri" w:eastAsia="Calibri" w:hAnsi="Calibri" w:cs="Calibri"/>
                <w:b/>
                <w:color w:val="000000"/>
                <w:sz w:val="20"/>
              </w:rPr>
              <w:t>UK &amp; Ireland Online</w:t>
            </w:r>
          </w:p>
        </w:tc>
        <w:tc>
          <w:tcPr>
            <w:tcW w:w="2535" w:type="dxa"/>
            <w:gridSpan w:val="3"/>
            <w:tcBorders>
              <w:top w:val="nil"/>
              <w:left w:val="nil"/>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jc w:val="center"/>
            </w:pPr>
            <w:r>
              <w:rPr>
                <w:rFonts w:ascii="Calibri" w:eastAsia="Calibri" w:hAnsi="Calibri" w:cs="Calibri"/>
                <w:b/>
                <w:color w:val="000000"/>
                <w:sz w:val="20"/>
              </w:rPr>
              <w:t>UK &amp; Ireland Retail</w:t>
            </w:r>
          </w:p>
        </w:tc>
        <w:tc>
          <w:tcPr>
            <w:tcW w:w="795" w:type="dxa"/>
            <w:tcBorders>
              <w:top w:val="nil"/>
              <w:left w:val="single" w:sz="8" w:space="0" w:color="000000"/>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60" w:type="dxa"/>
            <w:tcBorders>
              <w:top w:val="nil"/>
              <w:left w:val="nil"/>
              <w:bottom w:val="nil"/>
              <w:right w:val="nil"/>
            </w:tcBorders>
            <w:tcMar>
              <w:top w:w="0" w:type="dxa"/>
              <w:left w:w="0" w:type="dxa"/>
              <w:bottom w:w="0" w:type="dxa"/>
              <w:right w:w="0" w:type="dxa"/>
            </w:tcMar>
            <w:vAlign w:val="bottom"/>
          </w:tcPr>
          <w:p w:rsidR="00F8358B" w:rsidRDefault="00F8358B">
            <w:pPr>
              <w:keepNext/>
            </w:pPr>
          </w:p>
        </w:tc>
      </w:tr>
      <w:tr w:rsidR="00F8358B">
        <w:trPr>
          <w:cantSplit/>
          <w:trHeight w:hRule="exact" w:val="480"/>
        </w:trPr>
        <w:tc>
          <w:tcPr>
            <w:tcW w:w="244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bottom"/>
          </w:tcPr>
          <w:p w:rsidR="00F8358B" w:rsidRDefault="00F8358B">
            <w:pPr>
              <w:keepNext/>
              <w:spacing w:before="33" w:after="30"/>
            </w:pPr>
          </w:p>
        </w:tc>
        <w:tc>
          <w:tcPr>
            <w:tcW w:w="79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jc w:val="right"/>
            </w:pPr>
            <w:r>
              <w:rPr>
                <w:rFonts w:ascii="Calibri" w:eastAsia="Calibri" w:hAnsi="Calibri" w:cs="Calibri"/>
                <w:b/>
                <w:color w:val="000000"/>
                <w:sz w:val="20"/>
              </w:rPr>
              <w:t>Q3 2021</w:t>
            </w:r>
          </w:p>
        </w:tc>
        <w:tc>
          <w:tcPr>
            <w:tcW w:w="79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jc w:val="right"/>
            </w:pPr>
            <w:r>
              <w:rPr>
                <w:rFonts w:ascii="Calibri" w:eastAsia="Calibri" w:hAnsi="Calibri" w:cs="Calibri"/>
                <w:b/>
                <w:color w:val="000000"/>
                <w:sz w:val="20"/>
              </w:rPr>
              <w:t>Q3 2020</w:t>
            </w:r>
          </w:p>
        </w:tc>
        <w:tc>
          <w:tcPr>
            <w:tcW w:w="94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ind w:left="120"/>
              <w:jc w:val="right"/>
              <w:rPr>
                <w:rFonts w:ascii="Calibri" w:eastAsia="Calibri" w:hAnsi="Calibri" w:cs="Calibri"/>
                <w:b/>
                <w:sz w:val="20"/>
              </w:rPr>
            </w:pPr>
            <w:r>
              <w:rPr>
                <w:rFonts w:ascii="Calibri" w:eastAsia="Calibri" w:hAnsi="Calibri" w:cs="Calibri"/>
                <w:b/>
                <w:sz w:val="20"/>
              </w:rPr>
              <w:t>CC</w:t>
            </w:r>
            <w:r>
              <w:rPr>
                <w:rFonts w:ascii="Calibri" w:eastAsia="Calibri" w:hAnsi="Calibri" w:cs="Calibri"/>
                <w:b/>
                <w:sz w:val="20"/>
                <w:vertAlign w:val="superscript"/>
              </w:rPr>
              <w:t>1</w:t>
            </w:r>
            <w:r>
              <w:rPr>
                <w:rFonts w:ascii="Calibri" w:eastAsia="Calibri" w:hAnsi="Calibri" w:cs="Calibri"/>
                <w:b/>
                <w:sz w:val="20"/>
              </w:rPr>
              <w:t xml:space="preserve"> %</w:t>
            </w:r>
          </w:p>
        </w:tc>
        <w:tc>
          <w:tcPr>
            <w:tcW w:w="79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jc w:val="right"/>
            </w:pPr>
            <w:r>
              <w:rPr>
                <w:rFonts w:ascii="Calibri" w:eastAsia="Calibri" w:hAnsi="Calibri" w:cs="Calibri"/>
                <w:b/>
                <w:color w:val="000000"/>
                <w:sz w:val="20"/>
              </w:rPr>
              <w:t>Q3 2021</w:t>
            </w:r>
          </w:p>
        </w:tc>
        <w:tc>
          <w:tcPr>
            <w:tcW w:w="79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jc w:val="right"/>
            </w:pPr>
            <w:r>
              <w:rPr>
                <w:rFonts w:ascii="Calibri" w:eastAsia="Calibri" w:hAnsi="Calibri" w:cs="Calibri"/>
                <w:b/>
                <w:color w:val="000000"/>
                <w:sz w:val="20"/>
              </w:rPr>
              <w:t>Q3 2020</w:t>
            </w:r>
          </w:p>
        </w:tc>
        <w:tc>
          <w:tcPr>
            <w:tcW w:w="94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rsidR="00F8358B" w:rsidRDefault="00594733">
            <w:pPr>
              <w:keepNext/>
              <w:spacing w:before="33" w:after="30"/>
              <w:ind w:left="120"/>
              <w:jc w:val="right"/>
              <w:rPr>
                <w:rFonts w:ascii="Calibri" w:eastAsia="Calibri" w:hAnsi="Calibri" w:cs="Calibri"/>
                <w:b/>
                <w:sz w:val="20"/>
              </w:rPr>
            </w:pPr>
            <w:r>
              <w:rPr>
                <w:rFonts w:ascii="Calibri" w:eastAsia="Calibri" w:hAnsi="Calibri" w:cs="Calibri"/>
                <w:b/>
                <w:sz w:val="20"/>
              </w:rPr>
              <w:t>CC</w:t>
            </w:r>
            <w:r>
              <w:rPr>
                <w:rFonts w:ascii="Calibri" w:eastAsia="Calibri" w:hAnsi="Calibri" w:cs="Calibri"/>
                <w:b/>
                <w:sz w:val="20"/>
                <w:vertAlign w:val="superscript"/>
              </w:rPr>
              <w:t>1</w:t>
            </w:r>
            <w:r>
              <w:rPr>
                <w:rFonts w:ascii="Calibri" w:eastAsia="Calibri" w:hAnsi="Calibri" w:cs="Calibri"/>
                <w:b/>
                <w:sz w:val="20"/>
              </w:rPr>
              <w:t xml:space="preserve"> %</w:t>
            </w:r>
          </w:p>
        </w:tc>
        <w:tc>
          <w:tcPr>
            <w:tcW w:w="795" w:type="dxa"/>
            <w:tcBorders>
              <w:top w:val="nil"/>
              <w:left w:val="single" w:sz="8" w:space="0" w:color="000000"/>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60" w:type="dxa"/>
            <w:tcBorders>
              <w:top w:val="nil"/>
              <w:left w:val="nil"/>
              <w:bottom w:val="nil"/>
              <w:right w:val="nil"/>
            </w:tcBorders>
            <w:tcMar>
              <w:top w:w="0" w:type="dxa"/>
              <w:left w:w="0" w:type="dxa"/>
              <w:bottom w:w="0" w:type="dxa"/>
              <w:right w:w="0" w:type="dxa"/>
            </w:tcMar>
            <w:vAlign w:val="bottom"/>
          </w:tcPr>
          <w:p w:rsidR="00F8358B" w:rsidRDefault="00F8358B">
            <w:pPr>
              <w:keepNext/>
            </w:pPr>
          </w:p>
        </w:tc>
      </w:tr>
      <w:tr w:rsidR="00F8358B">
        <w:trPr>
          <w:cantSplit/>
          <w:trHeight w:hRule="exact" w:val="285"/>
        </w:trPr>
        <w:tc>
          <w:tcPr>
            <w:tcW w:w="244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bottom"/>
          </w:tcPr>
          <w:p w:rsidR="00F8358B" w:rsidRDefault="00F8358B">
            <w:pPr>
              <w:keepNext/>
              <w:spacing w:before="53" w:after="30"/>
            </w:pPr>
          </w:p>
        </w:tc>
        <w:tc>
          <w:tcPr>
            <w:tcW w:w="79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bottom"/>
          </w:tcPr>
          <w:p w:rsidR="00F8358B" w:rsidRDefault="00594733">
            <w:pPr>
              <w:keepNext/>
              <w:spacing w:before="53" w:after="30"/>
              <w:jc w:val="right"/>
            </w:pPr>
            <w:r>
              <w:rPr>
                <w:rFonts w:ascii="Calibri" w:eastAsia="Calibri" w:hAnsi="Calibri" w:cs="Calibri"/>
                <w:b/>
                <w:color w:val="000000"/>
                <w:sz w:val="20"/>
              </w:rPr>
              <w:t>£m</w:t>
            </w:r>
          </w:p>
        </w:tc>
        <w:tc>
          <w:tcPr>
            <w:tcW w:w="795"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rsidR="00F8358B" w:rsidRDefault="00594733">
            <w:pPr>
              <w:keepNext/>
              <w:spacing w:before="53" w:after="30"/>
              <w:jc w:val="right"/>
            </w:pPr>
            <w:r>
              <w:rPr>
                <w:rFonts w:ascii="Calibri" w:eastAsia="Calibri" w:hAnsi="Calibri" w:cs="Calibri"/>
                <w:b/>
                <w:color w:val="000000"/>
                <w:sz w:val="20"/>
              </w:rPr>
              <w:t>£m</w:t>
            </w:r>
          </w:p>
        </w:tc>
        <w:tc>
          <w:tcPr>
            <w:tcW w:w="94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rsidR="00F8358B" w:rsidRDefault="00594733">
            <w:pPr>
              <w:keepNext/>
              <w:spacing w:before="53" w:after="30"/>
              <w:ind w:right="120"/>
              <w:jc w:val="right"/>
            </w:pPr>
            <w:r>
              <w:rPr>
                <w:rFonts w:ascii="Calibri" w:eastAsia="Calibri" w:hAnsi="Calibri" w:cs="Calibri"/>
                <w:b/>
                <w:color w:val="000000"/>
                <w:sz w:val="20"/>
              </w:rPr>
              <w:t>Change</w:t>
            </w:r>
          </w:p>
        </w:tc>
        <w:tc>
          <w:tcPr>
            <w:tcW w:w="79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bottom"/>
          </w:tcPr>
          <w:p w:rsidR="00F8358B" w:rsidRDefault="00594733">
            <w:pPr>
              <w:keepNext/>
              <w:spacing w:before="53" w:after="30"/>
              <w:jc w:val="right"/>
            </w:pPr>
            <w:r>
              <w:rPr>
                <w:rFonts w:ascii="Calibri" w:eastAsia="Calibri" w:hAnsi="Calibri" w:cs="Calibri"/>
                <w:b/>
                <w:color w:val="000000"/>
                <w:sz w:val="20"/>
              </w:rPr>
              <w:t>£m</w:t>
            </w:r>
          </w:p>
        </w:tc>
        <w:tc>
          <w:tcPr>
            <w:tcW w:w="795"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rsidR="00F8358B" w:rsidRDefault="00594733">
            <w:pPr>
              <w:keepNext/>
              <w:spacing w:before="53" w:after="30"/>
              <w:jc w:val="right"/>
            </w:pPr>
            <w:r>
              <w:rPr>
                <w:rFonts w:ascii="Calibri" w:eastAsia="Calibri" w:hAnsi="Calibri" w:cs="Calibri"/>
                <w:b/>
                <w:color w:val="000000"/>
                <w:sz w:val="20"/>
              </w:rPr>
              <w:t>£m</w:t>
            </w:r>
          </w:p>
        </w:tc>
        <w:tc>
          <w:tcPr>
            <w:tcW w:w="945"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rsidR="00F8358B" w:rsidRDefault="00594733">
            <w:pPr>
              <w:keepNext/>
              <w:spacing w:before="53" w:after="30"/>
              <w:ind w:right="120"/>
              <w:jc w:val="right"/>
            </w:pPr>
            <w:r>
              <w:rPr>
                <w:rFonts w:ascii="Calibri" w:eastAsia="Calibri" w:hAnsi="Calibri" w:cs="Calibri"/>
                <w:b/>
                <w:color w:val="000000"/>
                <w:sz w:val="20"/>
              </w:rPr>
              <w:t>Change</w:t>
            </w:r>
          </w:p>
        </w:tc>
        <w:tc>
          <w:tcPr>
            <w:tcW w:w="795" w:type="dxa"/>
            <w:tcBorders>
              <w:top w:val="nil"/>
              <w:left w:val="single" w:sz="8" w:space="0" w:color="000000"/>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60" w:type="dxa"/>
            <w:tcBorders>
              <w:top w:val="nil"/>
              <w:left w:val="nil"/>
              <w:bottom w:val="nil"/>
              <w:right w:val="nil"/>
            </w:tcBorders>
            <w:tcMar>
              <w:top w:w="0" w:type="dxa"/>
              <w:left w:w="0" w:type="dxa"/>
              <w:bottom w:w="0" w:type="dxa"/>
              <w:right w:w="0" w:type="dxa"/>
            </w:tcMar>
            <w:vAlign w:val="bottom"/>
          </w:tcPr>
          <w:p w:rsidR="00F8358B" w:rsidRDefault="00F8358B">
            <w:pPr>
              <w:keepNext/>
            </w:pPr>
          </w:p>
        </w:tc>
      </w:tr>
      <w:tr w:rsidR="00F8358B">
        <w:trPr>
          <w:cantSplit/>
          <w:trHeight w:hRule="exact" w:val="480"/>
        </w:trPr>
        <w:tc>
          <w:tcPr>
            <w:tcW w:w="2445" w:type="dxa"/>
            <w:tcBorders>
              <w:top w:val="single" w:sz="8" w:space="0" w:color="000000"/>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rPr>
                <w:rFonts w:ascii="Calibri" w:eastAsia="Calibri" w:hAnsi="Calibri" w:cs="Calibri"/>
                <w:b/>
                <w:sz w:val="20"/>
              </w:rPr>
            </w:pPr>
            <w:r>
              <w:rPr>
                <w:rFonts w:ascii="Calibri" w:eastAsia="Calibri" w:hAnsi="Calibri" w:cs="Calibri"/>
                <w:b/>
                <w:sz w:val="20"/>
              </w:rPr>
              <w:t>Average monthly players</w:t>
            </w:r>
            <w:r>
              <w:rPr>
                <w:rFonts w:ascii="Calibri" w:eastAsia="Calibri" w:hAnsi="Calibri" w:cs="Calibri"/>
                <w:b/>
                <w:sz w:val="20"/>
                <w:vertAlign w:val="superscript"/>
              </w:rPr>
              <w:t>2</w:t>
            </w:r>
            <w:r>
              <w:rPr>
                <w:rFonts w:ascii="Calibri" w:eastAsia="Calibri" w:hAnsi="Calibri" w:cs="Calibri"/>
                <w:b/>
                <w:sz w:val="20"/>
              </w:rPr>
              <w:t xml:space="preserve"> (000's)</w:t>
            </w:r>
          </w:p>
        </w:tc>
        <w:tc>
          <w:tcPr>
            <w:tcW w:w="795" w:type="dxa"/>
            <w:tcBorders>
              <w:top w:val="single" w:sz="8" w:space="0" w:color="000000"/>
              <w:left w:val="single" w:sz="8" w:space="0" w:color="000000"/>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b/>
                <w:i/>
                <w:color w:val="000000"/>
                <w:sz w:val="20"/>
              </w:rPr>
              <w:t>3,060</w:t>
            </w:r>
          </w:p>
        </w:tc>
        <w:tc>
          <w:tcPr>
            <w:tcW w:w="795" w:type="dxa"/>
            <w:tcBorders>
              <w:top w:val="single" w:sz="8" w:space="0" w:color="000000"/>
              <w:left w:val="nil"/>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b/>
                <w:color w:val="000000"/>
                <w:sz w:val="20"/>
              </w:rPr>
              <w:t>2,567</w:t>
            </w:r>
          </w:p>
        </w:tc>
        <w:tc>
          <w:tcPr>
            <w:tcW w:w="945" w:type="dxa"/>
            <w:tcBorders>
              <w:top w:val="single" w:sz="8" w:space="0" w:color="000000"/>
              <w:left w:val="nil"/>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b/>
                <w:color w:val="000000"/>
                <w:sz w:val="20"/>
              </w:rPr>
              <w:t>+19%</w:t>
            </w:r>
          </w:p>
        </w:tc>
        <w:tc>
          <w:tcPr>
            <w:tcW w:w="795" w:type="dxa"/>
            <w:tcBorders>
              <w:top w:val="single" w:sz="8" w:space="0" w:color="000000"/>
              <w:left w:val="single" w:sz="8" w:space="0" w:color="000000"/>
              <w:bottom w:val="nil"/>
              <w:right w:val="nil"/>
            </w:tcBorders>
            <w:shd w:val="clear" w:color="auto" w:fill="FFFFFF"/>
            <w:tcMar>
              <w:top w:w="0" w:type="dxa"/>
              <w:left w:w="53" w:type="dxa"/>
              <w:bottom w:w="0" w:type="dxa"/>
              <w:right w:w="15" w:type="dxa"/>
            </w:tcMar>
            <w:vAlign w:val="center"/>
          </w:tcPr>
          <w:p w:rsidR="00F8358B" w:rsidRDefault="00F8358B">
            <w:pPr>
              <w:keepNext/>
              <w:jc w:val="center"/>
            </w:pPr>
          </w:p>
        </w:tc>
        <w:tc>
          <w:tcPr>
            <w:tcW w:w="795" w:type="dxa"/>
            <w:tcBorders>
              <w:top w:val="single" w:sz="8" w:space="0" w:color="000000"/>
              <w:left w:val="nil"/>
              <w:bottom w:val="nil"/>
              <w:right w:val="nil"/>
            </w:tcBorders>
            <w:shd w:val="clear" w:color="auto" w:fill="FFFFFF"/>
            <w:tcMar>
              <w:top w:w="0" w:type="dxa"/>
              <w:left w:w="53" w:type="dxa"/>
              <w:bottom w:w="0" w:type="dxa"/>
              <w:right w:w="15" w:type="dxa"/>
            </w:tcMar>
            <w:vAlign w:val="center"/>
          </w:tcPr>
          <w:p w:rsidR="00F8358B" w:rsidRDefault="00F8358B">
            <w:pPr>
              <w:keepNext/>
              <w:jc w:val="center"/>
            </w:pPr>
          </w:p>
        </w:tc>
        <w:tc>
          <w:tcPr>
            <w:tcW w:w="945" w:type="dxa"/>
            <w:tcBorders>
              <w:top w:val="single" w:sz="8" w:space="0" w:color="000000"/>
              <w:left w:val="nil"/>
              <w:bottom w:val="nil"/>
              <w:right w:val="nil"/>
            </w:tcBorders>
            <w:shd w:val="clear" w:color="auto" w:fill="FFFFFF"/>
            <w:tcMar>
              <w:top w:w="0" w:type="dxa"/>
              <w:left w:w="53" w:type="dxa"/>
              <w:bottom w:w="0" w:type="dxa"/>
              <w:right w:w="15" w:type="dxa"/>
            </w:tcMar>
            <w:vAlign w:val="center"/>
          </w:tcPr>
          <w:p w:rsidR="00F8358B" w:rsidRDefault="00F8358B">
            <w:pPr>
              <w:keepNext/>
              <w:jc w:val="center"/>
            </w:pPr>
          </w:p>
        </w:tc>
        <w:tc>
          <w:tcPr>
            <w:tcW w:w="795" w:type="dxa"/>
            <w:tcBorders>
              <w:top w:val="nil"/>
              <w:left w:val="single" w:sz="8" w:space="0" w:color="000000"/>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60" w:type="dxa"/>
            <w:tcBorders>
              <w:top w:val="nil"/>
              <w:left w:val="nil"/>
              <w:bottom w:val="nil"/>
              <w:right w:val="nil"/>
            </w:tcBorders>
            <w:tcMar>
              <w:top w:w="0" w:type="dxa"/>
              <w:left w:w="0" w:type="dxa"/>
              <w:bottom w:w="0" w:type="dxa"/>
              <w:right w:w="0" w:type="dxa"/>
            </w:tcMar>
            <w:vAlign w:val="bottom"/>
          </w:tcPr>
          <w:p w:rsidR="00F8358B" w:rsidRDefault="00F8358B">
            <w:pPr>
              <w:keepNext/>
            </w:pPr>
          </w:p>
        </w:tc>
      </w:tr>
      <w:tr w:rsidR="00F8358B">
        <w:trPr>
          <w:cantSplit/>
          <w:trHeight w:hRule="exact" w:val="285"/>
        </w:trPr>
        <w:tc>
          <w:tcPr>
            <w:tcW w:w="244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pPr>
            <w:r>
              <w:rPr>
                <w:rFonts w:ascii="Calibri" w:eastAsia="Calibri" w:hAnsi="Calibri" w:cs="Calibri"/>
                <w:color w:val="000000"/>
                <w:sz w:val="20"/>
              </w:rPr>
              <w:t>Sportsbook stakes</w:t>
            </w:r>
          </w:p>
        </w:tc>
        <w:tc>
          <w:tcPr>
            <w:tcW w:w="795" w:type="dxa"/>
            <w:tcBorders>
              <w:top w:val="nil"/>
              <w:left w:val="single" w:sz="8" w:space="0" w:color="000000"/>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color w:val="000000"/>
                <w:sz w:val="20"/>
              </w:rPr>
              <w:t>2,262</w:t>
            </w:r>
          </w:p>
        </w:tc>
        <w:tc>
          <w:tcPr>
            <w:tcW w:w="795" w:type="dxa"/>
            <w:tcBorders>
              <w:top w:val="nil"/>
              <w:left w:val="nil"/>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color w:val="000000"/>
                <w:sz w:val="20"/>
              </w:rPr>
              <w:t>2,396</w:t>
            </w:r>
          </w:p>
        </w:tc>
        <w:tc>
          <w:tcPr>
            <w:tcW w:w="945" w:type="dxa"/>
            <w:tcBorders>
              <w:top w:val="nil"/>
              <w:left w:val="nil"/>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color w:val="000000"/>
                <w:sz w:val="20"/>
              </w:rPr>
              <w:t>-5%</w:t>
            </w:r>
          </w:p>
        </w:tc>
        <w:tc>
          <w:tcPr>
            <w:tcW w:w="795" w:type="dxa"/>
            <w:tcBorders>
              <w:top w:val="nil"/>
              <w:left w:val="single" w:sz="8" w:space="0" w:color="000000"/>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color w:val="000000"/>
                <w:sz w:val="20"/>
              </w:rPr>
              <w:t>365</w:t>
            </w:r>
          </w:p>
        </w:tc>
        <w:tc>
          <w:tcPr>
            <w:tcW w:w="795" w:type="dxa"/>
            <w:tcBorders>
              <w:top w:val="nil"/>
              <w:left w:val="nil"/>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color w:val="000000"/>
                <w:sz w:val="20"/>
              </w:rPr>
              <w:t>394</w:t>
            </w:r>
          </w:p>
        </w:tc>
        <w:tc>
          <w:tcPr>
            <w:tcW w:w="945" w:type="dxa"/>
            <w:tcBorders>
              <w:top w:val="nil"/>
              <w:left w:val="nil"/>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color w:val="000000"/>
                <w:sz w:val="20"/>
              </w:rPr>
              <w:t>-5%</w:t>
            </w:r>
          </w:p>
        </w:tc>
        <w:tc>
          <w:tcPr>
            <w:tcW w:w="795" w:type="dxa"/>
            <w:tcBorders>
              <w:top w:val="nil"/>
              <w:left w:val="single" w:sz="8" w:space="0" w:color="000000"/>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60" w:type="dxa"/>
            <w:tcBorders>
              <w:top w:val="nil"/>
              <w:left w:val="nil"/>
              <w:bottom w:val="nil"/>
              <w:right w:val="nil"/>
            </w:tcBorders>
            <w:tcMar>
              <w:top w:w="0" w:type="dxa"/>
              <w:left w:w="0" w:type="dxa"/>
              <w:bottom w:w="0" w:type="dxa"/>
              <w:right w:w="0" w:type="dxa"/>
            </w:tcMar>
            <w:vAlign w:val="bottom"/>
          </w:tcPr>
          <w:p w:rsidR="00F8358B" w:rsidRDefault="00F8358B">
            <w:pPr>
              <w:keepNext/>
            </w:pPr>
          </w:p>
        </w:tc>
      </w:tr>
      <w:tr w:rsidR="00F8358B">
        <w:trPr>
          <w:cantSplit/>
          <w:trHeight w:hRule="exact" w:val="480"/>
        </w:trPr>
        <w:tc>
          <w:tcPr>
            <w:tcW w:w="244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pPr>
            <w:r>
              <w:rPr>
                <w:rFonts w:ascii="Calibri" w:eastAsia="Calibri" w:hAnsi="Calibri" w:cs="Calibri"/>
                <w:i/>
                <w:color w:val="000000"/>
                <w:sz w:val="20"/>
              </w:rPr>
              <w:t>Sportsbook net revenue margin</w:t>
            </w:r>
          </w:p>
        </w:tc>
        <w:tc>
          <w:tcPr>
            <w:tcW w:w="795" w:type="dxa"/>
            <w:tcBorders>
              <w:top w:val="nil"/>
              <w:left w:val="single" w:sz="8" w:space="0" w:color="000000"/>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i/>
                <w:color w:val="000000"/>
                <w:sz w:val="20"/>
              </w:rPr>
              <w:t>9.8%</w:t>
            </w:r>
          </w:p>
        </w:tc>
        <w:tc>
          <w:tcPr>
            <w:tcW w:w="795" w:type="dxa"/>
            <w:tcBorders>
              <w:top w:val="nil"/>
              <w:left w:val="nil"/>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i/>
                <w:color w:val="000000"/>
                <w:sz w:val="20"/>
              </w:rPr>
              <w:t>9.9%</w:t>
            </w:r>
          </w:p>
        </w:tc>
        <w:tc>
          <w:tcPr>
            <w:tcW w:w="945" w:type="dxa"/>
            <w:tcBorders>
              <w:top w:val="nil"/>
              <w:left w:val="nil"/>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i/>
                <w:color w:val="000000"/>
                <w:sz w:val="20"/>
              </w:rPr>
              <w:t>-10bps</w:t>
            </w:r>
          </w:p>
        </w:tc>
        <w:tc>
          <w:tcPr>
            <w:tcW w:w="795" w:type="dxa"/>
            <w:tcBorders>
              <w:top w:val="nil"/>
              <w:left w:val="single" w:sz="8" w:space="0" w:color="000000"/>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i/>
                <w:color w:val="000000"/>
                <w:sz w:val="20"/>
              </w:rPr>
              <w:t>12.5%</w:t>
            </w:r>
          </w:p>
        </w:tc>
        <w:tc>
          <w:tcPr>
            <w:tcW w:w="795" w:type="dxa"/>
            <w:tcBorders>
              <w:top w:val="nil"/>
              <w:left w:val="nil"/>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i/>
                <w:color w:val="000000"/>
                <w:sz w:val="20"/>
              </w:rPr>
              <w:t>13.4%</w:t>
            </w:r>
          </w:p>
        </w:tc>
        <w:tc>
          <w:tcPr>
            <w:tcW w:w="945" w:type="dxa"/>
            <w:tcBorders>
              <w:top w:val="nil"/>
              <w:left w:val="nil"/>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i/>
                <w:color w:val="000000"/>
                <w:sz w:val="20"/>
              </w:rPr>
              <w:t>-90bps</w:t>
            </w:r>
          </w:p>
        </w:tc>
        <w:tc>
          <w:tcPr>
            <w:tcW w:w="795" w:type="dxa"/>
            <w:tcBorders>
              <w:top w:val="nil"/>
              <w:left w:val="single" w:sz="8" w:space="0" w:color="000000"/>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60" w:type="dxa"/>
            <w:tcBorders>
              <w:top w:val="nil"/>
              <w:left w:val="nil"/>
              <w:bottom w:val="nil"/>
              <w:right w:val="nil"/>
            </w:tcBorders>
            <w:tcMar>
              <w:top w:w="0" w:type="dxa"/>
              <w:left w:w="0" w:type="dxa"/>
              <w:bottom w:w="0" w:type="dxa"/>
              <w:right w:w="0" w:type="dxa"/>
            </w:tcMar>
            <w:vAlign w:val="bottom"/>
          </w:tcPr>
          <w:p w:rsidR="00F8358B" w:rsidRDefault="00F8358B">
            <w:pPr>
              <w:keepNext/>
            </w:pPr>
          </w:p>
        </w:tc>
      </w:tr>
      <w:tr w:rsidR="00F8358B">
        <w:trPr>
          <w:cantSplit/>
          <w:trHeight w:hRule="exact" w:val="285"/>
        </w:trPr>
        <w:tc>
          <w:tcPr>
            <w:tcW w:w="244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F8358B">
            <w:pPr>
              <w:keepNext/>
            </w:pPr>
          </w:p>
        </w:tc>
        <w:tc>
          <w:tcPr>
            <w:tcW w:w="795" w:type="dxa"/>
            <w:tcBorders>
              <w:top w:val="nil"/>
              <w:left w:val="single" w:sz="8" w:space="0" w:color="000000"/>
              <w:bottom w:val="nil"/>
              <w:right w:val="nil"/>
            </w:tcBorders>
            <w:shd w:val="clear" w:color="auto" w:fill="FFFFFF"/>
            <w:tcMar>
              <w:top w:w="0" w:type="dxa"/>
              <w:left w:w="53" w:type="dxa"/>
              <w:bottom w:w="0" w:type="dxa"/>
              <w:right w:w="15" w:type="dxa"/>
            </w:tcMar>
            <w:vAlign w:val="center"/>
          </w:tcPr>
          <w:p w:rsidR="00F8358B" w:rsidRDefault="00F8358B">
            <w:pPr>
              <w:keepNext/>
              <w:jc w:val="center"/>
            </w:pPr>
          </w:p>
        </w:tc>
        <w:tc>
          <w:tcPr>
            <w:tcW w:w="795" w:type="dxa"/>
            <w:tcBorders>
              <w:top w:val="nil"/>
              <w:left w:val="nil"/>
              <w:bottom w:val="nil"/>
              <w:right w:val="nil"/>
            </w:tcBorders>
            <w:shd w:val="clear" w:color="auto" w:fill="FFFFFF"/>
            <w:tcMar>
              <w:top w:w="0" w:type="dxa"/>
              <w:left w:w="53" w:type="dxa"/>
              <w:bottom w:w="0" w:type="dxa"/>
              <w:right w:w="15" w:type="dxa"/>
            </w:tcMar>
            <w:vAlign w:val="center"/>
          </w:tcPr>
          <w:p w:rsidR="00F8358B" w:rsidRDefault="00F8358B">
            <w:pPr>
              <w:keepNext/>
              <w:jc w:val="center"/>
            </w:pPr>
          </w:p>
        </w:tc>
        <w:tc>
          <w:tcPr>
            <w:tcW w:w="945" w:type="dxa"/>
            <w:tcBorders>
              <w:top w:val="nil"/>
              <w:left w:val="nil"/>
              <w:bottom w:val="nil"/>
              <w:right w:val="nil"/>
            </w:tcBorders>
            <w:shd w:val="clear" w:color="auto" w:fill="FFFFFF"/>
            <w:tcMar>
              <w:top w:w="0" w:type="dxa"/>
              <w:left w:w="53" w:type="dxa"/>
              <w:bottom w:w="0" w:type="dxa"/>
              <w:right w:w="15" w:type="dxa"/>
            </w:tcMar>
            <w:vAlign w:val="center"/>
          </w:tcPr>
          <w:p w:rsidR="00F8358B" w:rsidRDefault="00F8358B">
            <w:pPr>
              <w:keepNext/>
              <w:jc w:val="center"/>
            </w:pPr>
          </w:p>
        </w:tc>
        <w:tc>
          <w:tcPr>
            <w:tcW w:w="795" w:type="dxa"/>
            <w:tcBorders>
              <w:top w:val="nil"/>
              <w:left w:val="single" w:sz="8" w:space="0" w:color="000000"/>
              <w:bottom w:val="nil"/>
              <w:right w:val="nil"/>
            </w:tcBorders>
            <w:shd w:val="clear" w:color="auto" w:fill="FFFFFF"/>
            <w:tcMar>
              <w:top w:w="0" w:type="dxa"/>
              <w:left w:w="53" w:type="dxa"/>
              <w:bottom w:w="0" w:type="dxa"/>
              <w:right w:w="15" w:type="dxa"/>
            </w:tcMar>
            <w:vAlign w:val="center"/>
          </w:tcPr>
          <w:p w:rsidR="00F8358B" w:rsidRDefault="00F8358B">
            <w:pPr>
              <w:keepNext/>
              <w:jc w:val="center"/>
            </w:pPr>
          </w:p>
        </w:tc>
        <w:tc>
          <w:tcPr>
            <w:tcW w:w="795" w:type="dxa"/>
            <w:tcBorders>
              <w:top w:val="nil"/>
              <w:left w:val="nil"/>
              <w:bottom w:val="nil"/>
              <w:right w:val="nil"/>
            </w:tcBorders>
            <w:shd w:val="clear" w:color="auto" w:fill="FFFFFF"/>
            <w:tcMar>
              <w:top w:w="0" w:type="dxa"/>
              <w:left w:w="53" w:type="dxa"/>
              <w:bottom w:w="0" w:type="dxa"/>
              <w:right w:w="15" w:type="dxa"/>
            </w:tcMar>
            <w:vAlign w:val="center"/>
          </w:tcPr>
          <w:p w:rsidR="00F8358B" w:rsidRDefault="00F8358B">
            <w:pPr>
              <w:keepNext/>
              <w:jc w:val="center"/>
            </w:pPr>
          </w:p>
        </w:tc>
        <w:tc>
          <w:tcPr>
            <w:tcW w:w="945" w:type="dxa"/>
            <w:tcBorders>
              <w:top w:val="nil"/>
              <w:left w:val="nil"/>
              <w:bottom w:val="nil"/>
              <w:right w:val="nil"/>
            </w:tcBorders>
            <w:shd w:val="clear" w:color="auto" w:fill="FFFFFF"/>
            <w:tcMar>
              <w:top w:w="0" w:type="dxa"/>
              <w:left w:w="53" w:type="dxa"/>
              <w:bottom w:w="0" w:type="dxa"/>
              <w:right w:w="15" w:type="dxa"/>
            </w:tcMar>
            <w:vAlign w:val="center"/>
          </w:tcPr>
          <w:p w:rsidR="00F8358B" w:rsidRDefault="00F8358B">
            <w:pPr>
              <w:keepNext/>
              <w:jc w:val="center"/>
            </w:pPr>
          </w:p>
        </w:tc>
        <w:tc>
          <w:tcPr>
            <w:tcW w:w="795" w:type="dxa"/>
            <w:tcBorders>
              <w:top w:val="nil"/>
              <w:left w:val="single" w:sz="8" w:space="0" w:color="000000"/>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60" w:type="dxa"/>
            <w:tcBorders>
              <w:top w:val="nil"/>
              <w:left w:val="nil"/>
              <w:bottom w:val="nil"/>
              <w:right w:val="nil"/>
            </w:tcBorders>
            <w:tcMar>
              <w:top w:w="0" w:type="dxa"/>
              <w:left w:w="0" w:type="dxa"/>
              <w:bottom w:w="0" w:type="dxa"/>
              <w:right w:w="0" w:type="dxa"/>
            </w:tcMar>
            <w:vAlign w:val="bottom"/>
          </w:tcPr>
          <w:p w:rsidR="00F8358B" w:rsidRDefault="00F8358B">
            <w:pPr>
              <w:keepNext/>
            </w:pPr>
          </w:p>
        </w:tc>
      </w:tr>
      <w:tr w:rsidR="00F8358B">
        <w:trPr>
          <w:cantSplit/>
          <w:trHeight w:hRule="exact" w:val="285"/>
        </w:trPr>
        <w:tc>
          <w:tcPr>
            <w:tcW w:w="244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pPr>
            <w:r>
              <w:rPr>
                <w:rFonts w:ascii="Calibri" w:eastAsia="Calibri" w:hAnsi="Calibri" w:cs="Calibri"/>
                <w:color w:val="000000"/>
                <w:sz w:val="20"/>
              </w:rPr>
              <w:t>Sports revenue</w:t>
            </w:r>
          </w:p>
        </w:tc>
        <w:tc>
          <w:tcPr>
            <w:tcW w:w="795" w:type="dxa"/>
            <w:tcBorders>
              <w:top w:val="nil"/>
              <w:left w:val="single" w:sz="8" w:space="0" w:color="000000"/>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color w:val="000000"/>
                <w:sz w:val="20"/>
              </w:rPr>
              <w:t>256</w:t>
            </w:r>
          </w:p>
        </w:tc>
        <w:tc>
          <w:tcPr>
            <w:tcW w:w="795" w:type="dxa"/>
            <w:tcBorders>
              <w:top w:val="nil"/>
              <w:left w:val="nil"/>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color w:val="000000"/>
                <w:sz w:val="20"/>
              </w:rPr>
              <w:t>281</w:t>
            </w:r>
          </w:p>
        </w:tc>
        <w:tc>
          <w:tcPr>
            <w:tcW w:w="945" w:type="dxa"/>
            <w:tcBorders>
              <w:top w:val="nil"/>
              <w:left w:val="nil"/>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color w:val="000000"/>
                <w:sz w:val="20"/>
              </w:rPr>
              <w:t>-8%</w:t>
            </w:r>
          </w:p>
        </w:tc>
        <w:tc>
          <w:tcPr>
            <w:tcW w:w="795" w:type="dxa"/>
            <w:tcBorders>
              <w:top w:val="nil"/>
              <w:left w:val="single" w:sz="8" w:space="0" w:color="000000"/>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color w:val="000000"/>
                <w:sz w:val="20"/>
              </w:rPr>
              <w:t>45</w:t>
            </w:r>
          </w:p>
        </w:tc>
        <w:tc>
          <w:tcPr>
            <w:tcW w:w="795" w:type="dxa"/>
            <w:tcBorders>
              <w:top w:val="nil"/>
              <w:left w:val="nil"/>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color w:val="000000"/>
                <w:sz w:val="20"/>
              </w:rPr>
              <w:t>53</w:t>
            </w:r>
          </w:p>
        </w:tc>
        <w:tc>
          <w:tcPr>
            <w:tcW w:w="945" w:type="dxa"/>
            <w:tcBorders>
              <w:top w:val="nil"/>
              <w:left w:val="nil"/>
              <w:bottom w:val="nil"/>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color w:val="000000"/>
                <w:sz w:val="20"/>
              </w:rPr>
              <w:t>-11%</w:t>
            </w:r>
          </w:p>
        </w:tc>
        <w:tc>
          <w:tcPr>
            <w:tcW w:w="795" w:type="dxa"/>
            <w:tcBorders>
              <w:top w:val="nil"/>
              <w:left w:val="single" w:sz="8" w:space="0" w:color="000000"/>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60" w:type="dxa"/>
            <w:tcBorders>
              <w:top w:val="nil"/>
              <w:left w:val="nil"/>
              <w:bottom w:val="nil"/>
              <w:right w:val="nil"/>
            </w:tcBorders>
            <w:tcMar>
              <w:top w:w="0" w:type="dxa"/>
              <w:left w:w="0" w:type="dxa"/>
              <w:bottom w:w="0" w:type="dxa"/>
              <w:right w:w="0" w:type="dxa"/>
            </w:tcMar>
            <w:vAlign w:val="bottom"/>
          </w:tcPr>
          <w:p w:rsidR="00F8358B" w:rsidRDefault="00F8358B">
            <w:pPr>
              <w:keepNext/>
            </w:pPr>
          </w:p>
        </w:tc>
      </w:tr>
      <w:tr w:rsidR="00F8358B">
        <w:trPr>
          <w:cantSplit/>
          <w:trHeight w:hRule="exact" w:val="285"/>
        </w:trPr>
        <w:tc>
          <w:tcPr>
            <w:tcW w:w="2445" w:type="dxa"/>
            <w:tcBorders>
              <w:top w:val="nil"/>
              <w:left w:val="single" w:sz="8" w:space="0" w:color="000000"/>
              <w:bottom w:val="nil"/>
              <w:right w:val="nil"/>
            </w:tcBorders>
            <w:shd w:val="clear" w:color="auto" w:fill="FFFFFF"/>
            <w:tcMar>
              <w:top w:w="0" w:type="dxa"/>
              <w:left w:w="53" w:type="dxa"/>
              <w:bottom w:w="0" w:type="dxa"/>
              <w:right w:w="53" w:type="dxa"/>
            </w:tcMar>
            <w:vAlign w:val="center"/>
          </w:tcPr>
          <w:p w:rsidR="00F8358B" w:rsidRDefault="00594733">
            <w:pPr>
              <w:keepNext/>
            </w:pPr>
            <w:r>
              <w:rPr>
                <w:rFonts w:ascii="Calibri" w:eastAsia="Calibri" w:hAnsi="Calibri" w:cs="Calibri"/>
                <w:color w:val="000000"/>
                <w:sz w:val="20"/>
              </w:rPr>
              <w:t>Gaming revenue</w:t>
            </w:r>
          </w:p>
        </w:tc>
        <w:tc>
          <w:tcPr>
            <w:tcW w:w="795" w:type="dxa"/>
            <w:tcBorders>
              <w:top w:val="nil"/>
              <w:left w:val="single" w:sz="8" w:space="0" w:color="000000"/>
              <w:bottom w:val="single" w:sz="8" w:space="0" w:color="000000"/>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color w:val="000000"/>
                <w:sz w:val="20"/>
              </w:rPr>
              <w:t>167</w:t>
            </w:r>
          </w:p>
        </w:tc>
        <w:tc>
          <w:tcPr>
            <w:tcW w:w="795" w:type="dxa"/>
            <w:tcBorders>
              <w:top w:val="nil"/>
              <w:left w:val="nil"/>
              <w:bottom w:val="single" w:sz="8" w:space="0" w:color="000000"/>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color w:val="000000"/>
                <w:sz w:val="20"/>
              </w:rPr>
              <w:t>165</w:t>
            </w:r>
          </w:p>
        </w:tc>
        <w:tc>
          <w:tcPr>
            <w:tcW w:w="945" w:type="dxa"/>
            <w:tcBorders>
              <w:top w:val="nil"/>
              <w:left w:val="nil"/>
              <w:bottom w:val="single" w:sz="8" w:space="0" w:color="000000"/>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color w:val="000000"/>
                <w:sz w:val="20"/>
              </w:rPr>
              <w:t>+2%</w:t>
            </w:r>
          </w:p>
        </w:tc>
        <w:tc>
          <w:tcPr>
            <w:tcW w:w="795" w:type="dxa"/>
            <w:tcBorders>
              <w:top w:val="nil"/>
              <w:left w:val="single" w:sz="8" w:space="0" w:color="000000"/>
              <w:bottom w:val="single" w:sz="8" w:space="0" w:color="000000"/>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color w:val="000000"/>
                <w:sz w:val="20"/>
              </w:rPr>
              <w:t>22</w:t>
            </w:r>
          </w:p>
        </w:tc>
        <w:tc>
          <w:tcPr>
            <w:tcW w:w="795" w:type="dxa"/>
            <w:tcBorders>
              <w:top w:val="nil"/>
              <w:left w:val="nil"/>
              <w:bottom w:val="single" w:sz="8" w:space="0" w:color="000000"/>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color w:val="000000"/>
                <w:sz w:val="20"/>
              </w:rPr>
              <w:t>21</w:t>
            </w:r>
          </w:p>
        </w:tc>
        <w:tc>
          <w:tcPr>
            <w:tcW w:w="945" w:type="dxa"/>
            <w:tcBorders>
              <w:top w:val="nil"/>
              <w:left w:val="nil"/>
              <w:bottom w:val="single" w:sz="8" w:space="0" w:color="000000"/>
              <w:right w:val="nil"/>
            </w:tcBorders>
            <w:shd w:val="clear" w:color="auto" w:fill="FFFFFF"/>
            <w:tcMar>
              <w:top w:w="0" w:type="dxa"/>
              <w:left w:w="53" w:type="dxa"/>
              <w:bottom w:w="0" w:type="dxa"/>
              <w:right w:w="15" w:type="dxa"/>
            </w:tcMar>
            <w:vAlign w:val="center"/>
          </w:tcPr>
          <w:p w:rsidR="00F8358B" w:rsidRDefault="00594733">
            <w:pPr>
              <w:keepNext/>
              <w:jc w:val="center"/>
            </w:pPr>
            <w:r>
              <w:rPr>
                <w:rFonts w:ascii="Calibri" w:eastAsia="Calibri" w:hAnsi="Calibri" w:cs="Calibri"/>
                <w:color w:val="000000"/>
                <w:sz w:val="20"/>
              </w:rPr>
              <w:t>+6%</w:t>
            </w:r>
          </w:p>
        </w:tc>
        <w:tc>
          <w:tcPr>
            <w:tcW w:w="795" w:type="dxa"/>
            <w:tcBorders>
              <w:top w:val="nil"/>
              <w:left w:val="single" w:sz="8" w:space="0" w:color="000000"/>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4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795" w:type="dxa"/>
            <w:tcBorders>
              <w:top w:val="nil"/>
              <w:left w:val="nil"/>
              <w:bottom w:val="nil"/>
              <w:right w:val="nil"/>
            </w:tcBorders>
            <w:tcMar>
              <w:top w:w="0" w:type="dxa"/>
              <w:left w:w="0" w:type="dxa"/>
              <w:bottom w:w="0" w:type="dxa"/>
              <w:right w:w="0" w:type="dxa"/>
            </w:tcMar>
            <w:vAlign w:val="bottom"/>
          </w:tcPr>
          <w:p w:rsidR="00F8358B" w:rsidRDefault="00F8358B">
            <w:pPr>
              <w:keepNext/>
            </w:pPr>
          </w:p>
        </w:tc>
        <w:tc>
          <w:tcPr>
            <w:tcW w:w="960" w:type="dxa"/>
            <w:tcBorders>
              <w:top w:val="nil"/>
              <w:left w:val="nil"/>
              <w:bottom w:val="nil"/>
              <w:right w:val="nil"/>
            </w:tcBorders>
            <w:tcMar>
              <w:top w:w="0" w:type="dxa"/>
              <w:left w:w="0" w:type="dxa"/>
              <w:bottom w:w="0" w:type="dxa"/>
              <w:right w:w="0" w:type="dxa"/>
            </w:tcMar>
            <w:vAlign w:val="bottom"/>
          </w:tcPr>
          <w:p w:rsidR="00F8358B" w:rsidRDefault="00F8358B">
            <w:pPr>
              <w:keepNext/>
            </w:pPr>
          </w:p>
        </w:tc>
      </w:tr>
      <w:tr w:rsidR="00F8358B">
        <w:trPr>
          <w:cantSplit/>
          <w:trHeight w:hRule="exact" w:val="285"/>
        </w:trPr>
        <w:tc>
          <w:tcPr>
            <w:tcW w:w="2445" w:type="dxa"/>
            <w:tcBorders>
              <w:top w:val="nil"/>
              <w:left w:val="single" w:sz="8" w:space="0" w:color="000000"/>
              <w:bottom w:val="single" w:sz="8" w:space="0" w:color="000000"/>
              <w:right w:val="nil"/>
            </w:tcBorders>
            <w:shd w:val="clear" w:color="auto" w:fill="FFFFFF"/>
            <w:tcMar>
              <w:top w:w="0" w:type="dxa"/>
              <w:left w:w="53" w:type="dxa"/>
              <w:bottom w:w="0" w:type="dxa"/>
              <w:right w:w="53" w:type="dxa"/>
            </w:tcMar>
            <w:vAlign w:val="center"/>
          </w:tcPr>
          <w:p w:rsidR="00F8358B" w:rsidRDefault="00594733">
            <w:r>
              <w:rPr>
                <w:rFonts w:ascii="Calibri" w:eastAsia="Calibri" w:hAnsi="Calibri" w:cs="Calibri"/>
                <w:b/>
                <w:color w:val="000000"/>
                <w:sz w:val="20"/>
              </w:rPr>
              <w:t>Total revenue</w:t>
            </w:r>
          </w:p>
        </w:tc>
        <w:tc>
          <w:tcPr>
            <w:tcW w:w="79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15" w:type="dxa"/>
            </w:tcMar>
            <w:vAlign w:val="center"/>
          </w:tcPr>
          <w:p w:rsidR="00F8358B" w:rsidRDefault="00594733">
            <w:pPr>
              <w:jc w:val="center"/>
            </w:pPr>
            <w:r>
              <w:rPr>
                <w:rFonts w:ascii="Calibri" w:eastAsia="Calibri" w:hAnsi="Calibri" w:cs="Calibri"/>
                <w:b/>
                <w:color w:val="000000"/>
                <w:sz w:val="20"/>
              </w:rPr>
              <w:t>423</w:t>
            </w:r>
          </w:p>
        </w:tc>
        <w:tc>
          <w:tcPr>
            <w:tcW w:w="795" w:type="dxa"/>
            <w:tcBorders>
              <w:top w:val="single" w:sz="8" w:space="0" w:color="000000"/>
              <w:left w:val="nil"/>
              <w:bottom w:val="single" w:sz="8" w:space="0" w:color="000000"/>
              <w:right w:val="nil"/>
            </w:tcBorders>
            <w:shd w:val="clear" w:color="auto" w:fill="FFFFFF"/>
            <w:tcMar>
              <w:top w:w="0" w:type="dxa"/>
              <w:left w:w="53" w:type="dxa"/>
              <w:bottom w:w="0" w:type="dxa"/>
              <w:right w:w="15" w:type="dxa"/>
            </w:tcMar>
            <w:vAlign w:val="center"/>
          </w:tcPr>
          <w:p w:rsidR="00F8358B" w:rsidRDefault="00594733">
            <w:pPr>
              <w:jc w:val="center"/>
            </w:pPr>
            <w:r>
              <w:rPr>
                <w:rFonts w:ascii="Calibri" w:eastAsia="Calibri" w:hAnsi="Calibri" w:cs="Calibri"/>
                <w:b/>
                <w:color w:val="000000"/>
                <w:sz w:val="20"/>
              </w:rPr>
              <w:t>446</w:t>
            </w:r>
          </w:p>
        </w:tc>
        <w:tc>
          <w:tcPr>
            <w:tcW w:w="945" w:type="dxa"/>
            <w:tcBorders>
              <w:top w:val="single" w:sz="8" w:space="0" w:color="000000"/>
              <w:left w:val="nil"/>
              <w:bottom w:val="single" w:sz="8" w:space="0" w:color="000000"/>
              <w:right w:val="nil"/>
            </w:tcBorders>
            <w:shd w:val="clear" w:color="auto" w:fill="FFFFFF"/>
            <w:tcMar>
              <w:top w:w="0" w:type="dxa"/>
              <w:left w:w="53" w:type="dxa"/>
              <w:bottom w:w="0" w:type="dxa"/>
              <w:right w:w="15" w:type="dxa"/>
            </w:tcMar>
            <w:vAlign w:val="center"/>
          </w:tcPr>
          <w:p w:rsidR="00F8358B" w:rsidRDefault="00594733">
            <w:pPr>
              <w:jc w:val="center"/>
            </w:pPr>
            <w:r>
              <w:rPr>
                <w:rFonts w:ascii="Calibri" w:eastAsia="Calibri" w:hAnsi="Calibri" w:cs="Calibri"/>
                <w:b/>
                <w:color w:val="000000"/>
                <w:sz w:val="20"/>
              </w:rPr>
              <w:t>-5%</w:t>
            </w:r>
          </w:p>
        </w:tc>
        <w:tc>
          <w:tcPr>
            <w:tcW w:w="795" w:type="dxa"/>
            <w:tcBorders>
              <w:top w:val="single" w:sz="8" w:space="0" w:color="000000"/>
              <w:left w:val="single" w:sz="8" w:space="0" w:color="000000"/>
              <w:bottom w:val="single" w:sz="8" w:space="0" w:color="000000"/>
              <w:right w:val="nil"/>
            </w:tcBorders>
            <w:shd w:val="clear" w:color="auto" w:fill="FFFFFF"/>
            <w:tcMar>
              <w:top w:w="0" w:type="dxa"/>
              <w:left w:w="53" w:type="dxa"/>
              <w:bottom w:w="0" w:type="dxa"/>
              <w:right w:w="15" w:type="dxa"/>
            </w:tcMar>
            <w:vAlign w:val="center"/>
          </w:tcPr>
          <w:p w:rsidR="00F8358B" w:rsidRDefault="00594733">
            <w:pPr>
              <w:jc w:val="center"/>
            </w:pPr>
            <w:r>
              <w:rPr>
                <w:rFonts w:ascii="Calibri" w:eastAsia="Calibri" w:hAnsi="Calibri" w:cs="Calibri"/>
                <w:b/>
                <w:color w:val="000000"/>
                <w:sz w:val="20"/>
              </w:rPr>
              <w:t>68</w:t>
            </w:r>
          </w:p>
        </w:tc>
        <w:tc>
          <w:tcPr>
            <w:tcW w:w="795" w:type="dxa"/>
            <w:tcBorders>
              <w:top w:val="single" w:sz="8" w:space="0" w:color="000000"/>
              <w:left w:val="nil"/>
              <w:bottom w:val="single" w:sz="8" w:space="0" w:color="000000"/>
              <w:right w:val="nil"/>
            </w:tcBorders>
            <w:shd w:val="clear" w:color="auto" w:fill="FFFFFF"/>
            <w:tcMar>
              <w:top w:w="0" w:type="dxa"/>
              <w:left w:w="53" w:type="dxa"/>
              <w:bottom w:w="0" w:type="dxa"/>
              <w:right w:w="15" w:type="dxa"/>
            </w:tcMar>
            <w:vAlign w:val="center"/>
          </w:tcPr>
          <w:p w:rsidR="00F8358B" w:rsidRDefault="00594733">
            <w:pPr>
              <w:jc w:val="center"/>
            </w:pPr>
            <w:r>
              <w:rPr>
                <w:rFonts w:ascii="Calibri" w:eastAsia="Calibri" w:hAnsi="Calibri" w:cs="Calibri"/>
                <w:b/>
                <w:color w:val="000000"/>
                <w:sz w:val="20"/>
              </w:rPr>
              <w:t>74</w:t>
            </w:r>
          </w:p>
        </w:tc>
        <w:tc>
          <w:tcPr>
            <w:tcW w:w="945" w:type="dxa"/>
            <w:tcBorders>
              <w:top w:val="single" w:sz="8" w:space="0" w:color="000000"/>
              <w:left w:val="nil"/>
              <w:bottom w:val="single" w:sz="8" w:space="0" w:color="000000"/>
              <w:right w:val="nil"/>
            </w:tcBorders>
            <w:shd w:val="clear" w:color="auto" w:fill="FFFFFF"/>
            <w:tcMar>
              <w:top w:w="0" w:type="dxa"/>
              <w:left w:w="53" w:type="dxa"/>
              <w:bottom w:w="0" w:type="dxa"/>
              <w:right w:w="15" w:type="dxa"/>
            </w:tcMar>
            <w:vAlign w:val="center"/>
          </w:tcPr>
          <w:p w:rsidR="00F8358B" w:rsidRDefault="00594733">
            <w:pPr>
              <w:jc w:val="center"/>
            </w:pPr>
            <w:r>
              <w:rPr>
                <w:rFonts w:ascii="Calibri" w:eastAsia="Calibri" w:hAnsi="Calibri" w:cs="Calibri"/>
                <w:b/>
                <w:color w:val="000000"/>
                <w:sz w:val="20"/>
              </w:rPr>
              <w:t>-6%</w:t>
            </w:r>
          </w:p>
        </w:tc>
        <w:tc>
          <w:tcPr>
            <w:tcW w:w="795" w:type="dxa"/>
            <w:tcBorders>
              <w:top w:val="nil"/>
              <w:left w:val="single" w:sz="8" w:space="0" w:color="000000"/>
              <w:bottom w:val="nil"/>
              <w:right w:val="nil"/>
            </w:tcBorders>
            <w:tcMar>
              <w:top w:w="0" w:type="dxa"/>
              <w:left w:w="0" w:type="dxa"/>
              <w:bottom w:w="0" w:type="dxa"/>
              <w:right w:w="0" w:type="dxa"/>
            </w:tcMar>
            <w:vAlign w:val="bottom"/>
          </w:tcPr>
          <w:p w:rsidR="00F8358B" w:rsidRDefault="00F8358B"/>
        </w:tc>
        <w:tc>
          <w:tcPr>
            <w:tcW w:w="795" w:type="dxa"/>
            <w:tcBorders>
              <w:top w:val="nil"/>
              <w:left w:val="nil"/>
              <w:bottom w:val="nil"/>
              <w:right w:val="nil"/>
            </w:tcBorders>
            <w:tcMar>
              <w:top w:w="0" w:type="dxa"/>
              <w:left w:w="0" w:type="dxa"/>
              <w:bottom w:w="0" w:type="dxa"/>
              <w:right w:w="0" w:type="dxa"/>
            </w:tcMar>
            <w:vAlign w:val="bottom"/>
          </w:tcPr>
          <w:p w:rsidR="00F8358B" w:rsidRDefault="00F8358B"/>
        </w:tc>
        <w:tc>
          <w:tcPr>
            <w:tcW w:w="945" w:type="dxa"/>
            <w:tcBorders>
              <w:top w:val="nil"/>
              <w:left w:val="nil"/>
              <w:bottom w:val="nil"/>
              <w:right w:val="nil"/>
            </w:tcBorders>
            <w:tcMar>
              <w:top w:w="0" w:type="dxa"/>
              <w:left w:w="0" w:type="dxa"/>
              <w:bottom w:w="0" w:type="dxa"/>
              <w:right w:w="0" w:type="dxa"/>
            </w:tcMar>
            <w:vAlign w:val="bottom"/>
          </w:tcPr>
          <w:p w:rsidR="00F8358B" w:rsidRDefault="00F8358B"/>
        </w:tc>
        <w:tc>
          <w:tcPr>
            <w:tcW w:w="795" w:type="dxa"/>
            <w:tcBorders>
              <w:top w:val="nil"/>
              <w:left w:val="nil"/>
              <w:bottom w:val="nil"/>
              <w:right w:val="nil"/>
            </w:tcBorders>
            <w:tcMar>
              <w:top w:w="0" w:type="dxa"/>
              <w:left w:w="0" w:type="dxa"/>
              <w:bottom w:w="0" w:type="dxa"/>
              <w:right w:w="0" w:type="dxa"/>
            </w:tcMar>
            <w:vAlign w:val="bottom"/>
          </w:tcPr>
          <w:p w:rsidR="00F8358B" w:rsidRDefault="00F8358B"/>
        </w:tc>
        <w:tc>
          <w:tcPr>
            <w:tcW w:w="795" w:type="dxa"/>
            <w:tcBorders>
              <w:top w:val="nil"/>
              <w:left w:val="nil"/>
              <w:bottom w:val="nil"/>
              <w:right w:val="nil"/>
            </w:tcBorders>
            <w:tcMar>
              <w:top w:w="0" w:type="dxa"/>
              <w:left w:w="0" w:type="dxa"/>
              <w:bottom w:w="0" w:type="dxa"/>
              <w:right w:w="0" w:type="dxa"/>
            </w:tcMar>
            <w:vAlign w:val="bottom"/>
          </w:tcPr>
          <w:p w:rsidR="00F8358B" w:rsidRDefault="00F8358B"/>
        </w:tc>
        <w:tc>
          <w:tcPr>
            <w:tcW w:w="945" w:type="dxa"/>
            <w:tcBorders>
              <w:top w:val="nil"/>
              <w:left w:val="nil"/>
              <w:bottom w:val="nil"/>
              <w:right w:val="nil"/>
            </w:tcBorders>
            <w:tcMar>
              <w:top w:w="0" w:type="dxa"/>
              <w:left w:w="0" w:type="dxa"/>
              <w:bottom w:w="0" w:type="dxa"/>
              <w:right w:w="0" w:type="dxa"/>
            </w:tcMar>
            <w:vAlign w:val="bottom"/>
          </w:tcPr>
          <w:p w:rsidR="00F8358B" w:rsidRDefault="00F8358B"/>
        </w:tc>
        <w:tc>
          <w:tcPr>
            <w:tcW w:w="795" w:type="dxa"/>
            <w:tcBorders>
              <w:top w:val="nil"/>
              <w:left w:val="nil"/>
              <w:bottom w:val="nil"/>
              <w:right w:val="nil"/>
            </w:tcBorders>
            <w:tcMar>
              <w:top w:w="0" w:type="dxa"/>
              <w:left w:w="0" w:type="dxa"/>
              <w:bottom w:w="0" w:type="dxa"/>
              <w:right w:w="0" w:type="dxa"/>
            </w:tcMar>
            <w:vAlign w:val="bottom"/>
          </w:tcPr>
          <w:p w:rsidR="00F8358B" w:rsidRDefault="00F8358B"/>
        </w:tc>
        <w:tc>
          <w:tcPr>
            <w:tcW w:w="795" w:type="dxa"/>
            <w:tcBorders>
              <w:top w:val="nil"/>
              <w:left w:val="nil"/>
              <w:bottom w:val="nil"/>
              <w:right w:val="nil"/>
            </w:tcBorders>
            <w:tcMar>
              <w:top w:w="0" w:type="dxa"/>
              <w:left w:w="0" w:type="dxa"/>
              <w:bottom w:w="0" w:type="dxa"/>
              <w:right w:w="0" w:type="dxa"/>
            </w:tcMar>
            <w:vAlign w:val="bottom"/>
          </w:tcPr>
          <w:p w:rsidR="00F8358B" w:rsidRDefault="00F8358B"/>
        </w:tc>
        <w:tc>
          <w:tcPr>
            <w:tcW w:w="960" w:type="dxa"/>
            <w:tcBorders>
              <w:top w:val="nil"/>
              <w:left w:val="nil"/>
              <w:bottom w:val="nil"/>
              <w:right w:val="nil"/>
            </w:tcBorders>
            <w:tcMar>
              <w:top w:w="0" w:type="dxa"/>
              <w:left w:w="0" w:type="dxa"/>
              <w:bottom w:w="0" w:type="dxa"/>
              <w:right w:w="0" w:type="dxa"/>
            </w:tcMar>
            <w:vAlign w:val="bottom"/>
          </w:tcPr>
          <w:p w:rsidR="00F8358B" w:rsidRDefault="00F8358B"/>
        </w:tc>
      </w:tr>
    </w:tbl>
    <w:p w:rsidR="00F8358B" w:rsidRDefault="00F8358B">
      <w:pPr>
        <w:spacing w:before="120" w:line="288" w:lineRule="auto"/>
        <w:rPr>
          <w:rFonts w:ascii="Calibri" w:eastAsia="Calibri" w:hAnsi="Calibri" w:cs="Calibri"/>
          <w:i/>
          <w:sz w:val="22"/>
          <w:shd w:val="clear" w:color="auto" w:fill="FFFF00"/>
        </w:rPr>
      </w:pPr>
    </w:p>
    <w:p w:rsidR="00F8358B" w:rsidRDefault="00F8358B">
      <w:pPr>
        <w:spacing w:line="288" w:lineRule="auto"/>
        <w:rPr>
          <w:rFonts w:ascii="Arial" w:eastAsia="Arial" w:hAnsi="Arial" w:cs="Arial"/>
          <w:i/>
          <w:shd w:val="clear" w:color="auto" w:fill="FFFF00"/>
        </w:rPr>
      </w:pPr>
    </w:p>
    <w:p w:rsidR="00F8358B" w:rsidRDefault="00594733">
      <w:pPr>
        <w:spacing w:line="288" w:lineRule="auto"/>
        <w:rPr>
          <w:rFonts w:ascii="Calibri" w:eastAsia="Calibri" w:hAnsi="Calibri" w:cs="Calibri"/>
          <w:i/>
          <w:sz w:val="22"/>
          <w:shd w:val="clear" w:color="auto" w:fill="FFFF00"/>
        </w:rPr>
      </w:pPr>
      <w:r>
        <w:rPr>
          <w:rFonts w:ascii="Calibri" w:eastAsia="Calibri" w:hAnsi="Calibri" w:cs="Calibri"/>
          <w:i/>
          <w:sz w:val="18"/>
          <w:vertAlign w:val="superscript"/>
        </w:rPr>
        <w:t xml:space="preserve">1 </w:t>
      </w:r>
      <w:r>
        <w:rPr>
          <w:rFonts w:ascii="Calibri" w:eastAsia="Calibri" w:hAnsi="Calibri" w:cs="Calibri"/>
          <w:i/>
          <w:sz w:val="18"/>
        </w:rPr>
        <w:t>Constant currency (“cc”) growth is calculated by retranslating the non-sterling denominated component of Q3 2020 at Q3 2021 exchange rates.</w:t>
      </w:r>
    </w:p>
    <w:p w:rsidR="00F8358B" w:rsidRDefault="00594733">
      <w:pPr>
        <w:spacing w:line="288" w:lineRule="auto"/>
        <w:rPr>
          <w:rFonts w:ascii="Arial" w:eastAsia="Arial" w:hAnsi="Arial" w:cs="Arial"/>
          <w:i/>
          <w:sz w:val="18"/>
          <w:shd w:val="clear" w:color="auto" w:fill="FFFF00"/>
        </w:rPr>
      </w:pPr>
      <w:r>
        <w:rPr>
          <w:rFonts w:ascii="Calibri" w:eastAsia="Calibri" w:hAnsi="Calibri" w:cs="Calibri"/>
          <w:i/>
          <w:sz w:val="18"/>
          <w:vertAlign w:val="superscript"/>
        </w:rPr>
        <w:t>2</w:t>
      </w:r>
      <w:r>
        <w:rPr>
          <w:rFonts w:ascii="Calibri" w:eastAsia="Calibri" w:hAnsi="Calibri" w:cs="Calibri"/>
          <w:i/>
          <w:sz w:val="18"/>
        </w:rPr>
        <w:t xml:space="preserve"> </w:t>
      </w:r>
      <w:r>
        <w:rPr>
          <w:rFonts w:ascii="Calibri" w:eastAsia="Calibri" w:hAnsi="Calibri" w:cs="Calibri"/>
          <w:i/>
          <w:sz w:val="18"/>
          <w:vertAlign w:val="superscript"/>
        </w:rPr>
        <w:t xml:space="preserve"> </w:t>
      </w:r>
      <w:r>
        <w:rPr>
          <w:rFonts w:ascii="Calibri" w:eastAsia="Calibri" w:hAnsi="Calibri" w:cs="Calibri"/>
          <w:i/>
          <w:sz w:val="18"/>
        </w:rPr>
        <w:t>Average Monthly Players represent the average number of players who have placed and/or wagered a stake and/or contributed to rake or tournament fees during the month in the reporting period. The AMP numbers do not include Junglee players in 2020 or 2021 to allow for better comparability of underlying player growth for International and Group.</w:t>
      </w:r>
    </w:p>
    <w:sectPr w:rsidR="00F8358B">
      <w:headerReference w:type="default" r:id="rId11"/>
      <w:footerReference w:type="default" r:id="rId12"/>
      <w:type w:val="continuous"/>
      <w:pgSz w:w="16838" w:h="11900" w:orient="landscape"/>
      <w:pgMar w:top="1304" w:right="1020" w:bottom="1247" w:left="907" w:header="270" w:footer="27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743" w:rsidRDefault="00594733">
      <w:r>
        <w:separator/>
      </w:r>
    </w:p>
  </w:endnote>
  <w:endnote w:type="continuationSeparator" w:id="0">
    <w:p w:rsidR="00F57743" w:rsidRDefault="00594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58B" w:rsidRDefault="00594733">
    <w:pPr>
      <w:spacing w:line="288" w:lineRule="auto"/>
      <w:jc w:val="center"/>
      <w:rPr>
        <w:rFonts w:ascii="Calibri" w:eastAsia="Calibri" w:hAnsi="Calibri" w:cs="Calibri"/>
        <w:sz w:val="22"/>
      </w:rPr>
    </w:pPr>
    <w:r>
      <w:rPr>
        <w:rFonts w:ascii="Calibri" w:eastAsia="Calibri" w:hAnsi="Calibri" w:cs="Calibri"/>
        <w:sz w:val="22"/>
      </w:rPr>
      <w:fldChar w:fldCharType="begin"/>
    </w:r>
    <w:r>
      <w:rPr>
        <w:rFonts w:ascii="Calibri" w:eastAsia="Calibri" w:hAnsi="Calibri" w:cs="Calibri"/>
        <w:sz w:val="22"/>
      </w:rPr>
      <w:instrText xml:space="preserve"> PAGE </w:instrText>
    </w:r>
    <w:r>
      <w:rPr>
        <w:rFonts w:ascii="Calibri" w:eastAsia="Calibri" w:hAnsi="Calibri" w:cs="Calibri"/>
        <w:sz w:val="22"/>
      </w:rPr>
      <w:fldChar w:fldCharType="separate"/>
    </w:r>
    <w:r>
      <w:rPr>
        <w:rFonts w:ascii="Calibri" w:eastAsia="Calibri" w:hAnsi="Calibri" w:cs="Calibri"/>
        <w:sz w:val="22"/>
      </w:rPr>
      <w:t>4</w:t>
    </w:r>
    <w:r>
      <w:rPr>
        <w:rFonts w:ascii="Calibri" w:eastAsia="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58B" w:rsidRDefault="00594733">
    <w:pPr>
      <w:spacing w:line="288" w:lineRule="auto"/>
      <w:jc w:val="center"/>
      <w:rPr>
        <w:rFonts w:ascii="Calibri" w:eastAsia="Calibri" w:hAnsi="Calibri" w:cs="Calibri"/>
        <w:sz w:val="22"/>
      </w:rPr>
    </w:pPr>
    <w:r>
      <w:rPr>
        <w:rFonts w:ascii="Calibri" w:eastAsia="Calibri" w:hAnsi="Calibri" w:cs="Calibri"/>
        <w:sz w:val="22"/>
      </w:rPr>
      <w:fldChar w:fldCharType="begin"/>
    </w:r>
    <w:r>
      <w:rPr>
        <w:rFonts w:ascii="Calibri" w:eastAsia="Calibri" w:hAnsi="Calibri" w:cs="Calibri"/>
        <w:sz w:val="22"/>
      </w:rPr>
      <w:instrText xml:space="preserve"> PAGE </w:instrText>
    </w:r>
    <w:r>
      <w:rPr>
        <w:rFonts w:ascii="Calibri" w:eastAsia="Calibri" w:hAnsi="Calibri" w:cs="Calibri"/>
        <w:sz w:val="22"/>
      </w:rPr>
      <w:fldChar w:fldCharType="separate"/>
    </w:r>
    <w:r>
      <w:rPr>
        <w:rFonts w:ascii="Calibri" w:eastAsia="Calibri" w:hAnsi="Calibri" w:cs="Calibri"/>
        <w:sz w:val="22"/>
      </w:rPr>
      <w:t>5</w:t>
    </w:r>
    <w:r>
      <w:rPr>
        <w:rFonts w:ascii="Calibri" w:eastAsia="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743" w:rsidRDefault="00594733">
      <w:r>
        <w:separator/>
      </w:r>
    </w:p>
  </w:footnote>
  <w:footnote w:type="continuationSeparator" w:id="0">
    <w:p w:rsidR="00F57743" w:rsidRDefault="00594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58B" w:rsidRDefault="00F8358B">
    <w:pPr>
      <w:spacing w:line="288" w:lineRule="auto"/>
      <w:rPr>
        <w:rFonts w:ascii="Arial" w:eastAsia="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58B" w:rsidRDefault="00F8358B">
    <w:pPr>
      <w:spacing w:line="288" w:lineRule="auto"/>
      <w:rPr>
        <w:rFonts w:ascii="Arial" w:eastAsia="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styleLink w:val="DiscSYMBOL"/>
    <w:lvl w:ilvl="0">
      <w:start w:val="1"/>
      <w:numFmt w:val="decimal"/>
      <w:lvlText w:val="•"/>
      <w:lvlJc w:val="left"/>
      <w:pPr>
        <w:tabs>
          <w:tab w:val="num" w:pos="720"/>
        </w:tabs>
        <w:ind w:left="720" w:hanging="360"/>
      </w:p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 w15:restartNumberingAfterBreak="0">
    <w:nsid w:val="0000000C"/>
    <w:multiLevelType w:val="multilevel"/>
    <w:tmpl w:val="00000001"/>
    <w:lvl w:ilvl="0">
      <w:start w:val="1"/>
      <w:numFmt w:val="decimal"/>
      <w:lvlText w:val="•"/>
      <w:lvlJc w:val="left"/>
      <w:pPr>
        <w:tabs>
          <w:tab w:val="num" w:pos="425"/>
        </w:tabs>
        <w:ind w:left="720" w:hanging="360"/>
      </w:pPr>
      <w:rPr>
        <w:rFonts w:ascii="Calibri" w:eastAsia="Calibri" w:hAnsi="Calibri" w:cs="Calibri"/>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 w15:restartNumberingAfterBreak="0">
    <w:nsid w:val="0000000D"/>
    <w:multiLevelType w:val="multilevel"/>
    <w:tmpl w:val="0000000D"/>
    <w:styleLink w:val="EnDashSYMBOL"/>
    <w:lvl w:ilvl="0">
      <w:start w:val="1"/>
      <w:numFmt w:val="decimal"/>
      <w:lvlText w:val="–"/>
      <w:lvlJc w:val="left"/>
      <w:pPr>
        <w:tabs>
          <w:tab w:val="num" w:pos="720"/>
        </w:tabs>
        <w:ind w:left="720" w:hanging="360"/>
      </w:p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 w15:restartNumberingAfterBreak="0">
    <w:nsid w:val="0000002F"/>
    <w:multiLevelType w:val="multilevel"/>
    <w:tmpl w:val="0000000D"/>
    <w:lvl w:ilvl="0">
      <w:start w:val="1"/>
      <w:numFmt w:val="decimal"/>
      <w:lvlText w:val="–"/>
      <w:lvlJc w:val="left"/>
      <w:pPr>
        <w:tabs>
          <w:tab w:val="num" w:pos="850"/>
        </w:tabs>
        <w:ind w:left="720" w:hanging="360"/>
      </w:pPr>
      <w:rPr>
        <w:rFonts w:ascii="Arial" w:eastAsia="Arial" w:hAnsi="Arial" w:cs="Arial"/>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 w15:restartNumberingAfterBreak="0">
    <w:nsid w:val="0000007A"/>
    <w:multiLevelType w:val="multilevel"/>
    <w:tmpl w:val="00000001"/>
    <w:lvl w:ilvl="0">
      <w:start w:val="1"/>
      <w:numFmt w:val="decimal"/>
      <w:lvlText w:val="•"/>
      <w:lvlJc w:val="left"/>
      <w:pPr>
        <w:tabs>
          <w:tab w:val="num" w:pos="425"/>
        </w:tabs>
        <w:ind w:left="720" w:hanging="360"/>
      </w:pPr>
      <w:rPr>
        <w:rFonts w:ascii="Calibri" w:eastAsia="Calibri" w:hAnsi="Calibri" w:cs="Calibri"/>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 w15:restartNumberingAfterBreak="0">
    <w:nsid w:val="00000093"/>
    <w:multiLevelType w:val="multilevel"/>
    <w:tmpl w:val="00000001"/>
    <w:lvl w:ilvl="0">
      <w:start w:val="1"/>
      <w:numFmt w:val="decimal"/>
      <w:lvlText w:val="•"/>
      <w:lvlJc w:val="left"/>
      <w:pPr>
        <w:tabs>
          <w:tab w:val="num" w:pos="425"/>
        </w:tabs>
        <w:ind w:left="720" w:hanging="360"/>
      </w:pPr>
      <w:rPr>
        <w:rFonts w:ascii="Calibri" w:eastAsia="Calibri" w:hAnsi="Calibri" w:cs="Calibri"/>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 w15:restartNumberingAfterBreak="0">
    <w:nsid w:val="000000DC"/>
    <w:multiLevelType w:val="multilevel"/>
    <w:tmpl w:val="00000001"/>
    <w:lvl w:ilvl="0">
      <w:start w:val="1"/>
      <w:numFmt w:val="decimal"/>
      <w:lvlText w:val="•"/>
      <w:lvlJc w:val="left"/>
      <w:pPr>
        <w:tabs>
          <w:tab w:val="num" w:pos="425"/>
        </w:tabs>
        <w:ind w:left="720" w:hanging="360"/>
      </w:pPr>
      <w:rPr>
        <w:rFonts w:ascii="Calibri" w:eastAsia="Calibri" w:hAnsi="Calibri" w:cs="Calibri"/>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7" w15:restartNumberingAfterBreak="0">
    <w:nsid w:val="000000DE"/>
    <w:multiLevelType w:val="multilevel"/>
    <w:tmpl w:val="00000001"/>
    <w:lvl w:ilvl="0">
      <w:start w:val="1"/>
      <w:numFmt w:val="decimal"/>
      <w:lvlText w:val="•"/>
      <w:lvlJc w:val="left"/>
      <w:pPr>
        <w:tabs>
          <w:tab w:val="num" w:pos="425"/>
        </w:tabs>
        <w:ind w:left="720" w:hanging="360"/>
      </w:pPr>
      <w:rPr>
        <w:rFonts w:ascii="Calibri" w:eastAsia="Calibri" w:hAnsi="Calibri" w:cs="Calibri"/>
        <w:color w:val="000000"/>
        <w:sz w:val="22"/>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noLeading/>
    <w:suppressTopSpacingWP/>
    <w:compatSetting w:name="compatibilityMode" w:uri="http://schemas.microsoft.com/office/word" w:val="12"/>
    <w:compatSetting w:name="useWord2013TrackBottomHyphenation" w:uri="http://schemas.microsoft.com/office/word" w:val="1"/>
  </w:compat>
  <w:rsids>
    <w:rsidRoot w:val="00A77B3E"/>
    <w:rsid w:val="00594733"/>
    <w:rsid w:val="00970894"/>
    <w:rsid w:val="00A77B3E"/>
    <w:rsid w:val="00CA2A55"/>
    <w:rsid w:val="00D62012"/>
    <w:rsid w:val="00F57743"/>
    <w:rsid w:val="00F8358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6F1B36E-2247-44D6-AA70-4F510B5D6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DiscSYMBOL">
    <w:name w:val="DiscSYMBOL•◦▪"/>
    <w:pPr>
      <w:numPr>
        <w:numId w:val="1"/>
      </w:numPr>
    </w:pPr>
  </w:style>
  <w:style w:type="numbering" w:customStyle="1" w:styleId="EnDashSYMBOL">
    <w:name w:val="EnDashSYMBOL–"/>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cossprereg.btci.com/prereg/key.process?key=PLCLMWK8N"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2021-11-02T09:24:01+00:00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CB9A593B-37F8-4D10-BE80-DDC6454E9C33}"/>
</file>

<file path=customXml/itemProps2.xml><?xml version="1.0" encoding="utf-8"?>
<ds:datastoreItem xmlns:ds="http://schemas.openxmlformats.org/officeDocument/2006/customXml" ds:itemID="{E096B61E-9DF5-4429-8D5B-ADBD297125BE}"/>
</file>

<file path=customXml/itemProps3.xml><?xml version="1.0" encoding="utf-8"?>
<ds:datastoreItem xmlns:ds="http://schemas.openxmlformats.org/officeDocument/2006/customXml" ds:itemID="{2388072A-C94F-4D1F-8D03-F93B0B9B6C56}"/>
</file>

<file path=docProps/app.xml><?xml version="1.0" encoding="utf-8"?>
<Properties xmlns="http://schemas.openxmlformats.org/officeDocument/2006/extended-properties" xmlns:vt="http://schemas.openxmlformats.org/officeDocument/2006/docPropsVTypes">
  <Template>Normal</Template>
  <TotalTime>0</TotalTime>
  <Pages>3</Pages>
  <Words>2219</Words>
  <Characters>12654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Flutter Annual Financial Statement (Investor Relations)</vt:lpstr>
    </vt:vector>
  </TitlesOfParts>
  <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Flutter Annual Financial Statement (Investor Relations)</dc:title>
  <dc:creator>Ciara O'Mullane</dc:creator>
  <cp:lastModifiedBy>Ciara O'Mullane</cp:lastModifiedBy>
  <cp:revision>2</cp:revision>
  <dcterms:created xsi:type="dcterms:W3CDTF">2021-11-01T17:10:00Z</dcterms:created>
  <dcterms:modified xsi:type="dcterms:W3CDTF">2021-11-01T17:10:00Z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IssuerName">
    <vt:lpwstr/>
  </property>
  <property fmtid="{D5CDD505-2E9C-101B-9397-08002B2CF9AE}" pid="4" name="MigrateFolderIssueDetected">
    <vt:bool>false</vt:bool>
  </property>
  <property fmtid="{D5CDD505-2E9C-101B-9397-08002B2CF9AE}" pid="5" name="Order">
    <vt:r8>177096400</vt:r8>
  </property>
  <property fmtid="{D5CDD505-2E9C-101B-9397-08002B2CF9AE}" pid="6" name="JobType">
    <vt:lpwstr/>
  </property>
  <property fmtid="{D5CDD505-2E9C-101B-9397-08002B2CF9AE}" pid="7" name="IssuerID">
    <vt:lpwstr/>
  </property>
  <property fmtid="{D5CDD505-2E9C-101B-9397-08002B2CF9AE}" pid="8" name="SendToWeb">
    <vt:bool>false</vt:bool>
  </property>
  <property fmtid="{D5CDD505-2E9C-101B-9397-08002B2CF9AE}" pid="9" name="JobContentType">
    <vt:lpwstr/>
  </property>
  <property fmtid="{D5CDD505-2E9C-101B-9397-08002B2CF9AE}" pid="10" name="Organisation">
    <vt:lpwstr/>
  </property>
  <property fmtid="{D5CDD505-2E9C-101B-9397-08002B2CF9AE}" pid="11" name="Contact">
    <vt:lpwstr/>
  </property>
  <property fmtid="{D5CDD505-2E9C-101B-9397-08002B2CF9AE}" pid="12" name="MigrateFolderIssueDetected0">
    <vt:bool>false</vt:bool>
  </property>
</Properties>
</file>