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D5BE0" w14:textId="77777777" w:rsidR="00BC1F59" w:rsidRDefault="00D74BF9">
      <w:pPr>
        <w:jc w:val="both"/>
        <w:rPr>
          <w:b/>
          <w:sz w:val="24"/>
          <w:szCs w:val="24"/>
        </w:rPr>
      </w:pPr>
      <w:r w:rsidRPr="00D74BF9">
        <w:rPr>
          <w:sz w:val="24"/>
          <w:szCs w:val="24"/>
        </w:rPr>
        <w:t>15</w:t>
      </w:r>
      <w:r w:rsidR="00980268">
        <w:rPr>
          <w:sz w:val="24"/>
          <w:szCs w:val="24"/>
        </w:rPr>
        <w:t xml:space="preserve"> September 2017</w:t>
      </w:r>
    </w:p>
    <w:p w14:paraId="339D5BE1" w14:textId="77777777" w:rsidR="00BC1F59" w:rsidRDefault="00BC1F59">
      <w:pPr>
        <w:jc w:val="both"/>
        <w:rPr>
          <w:b/>
          <w:sz w:val="24"/>
          <w:szCs w:val="24"/>
        </w:rPr>
      </w:pPr>
    </w:p>
    <w:p w14:paraId="339D5BE2" w14:textId="77777777" w:rsidR="00BC1F59" w:rsidRDefault="00980268">
      <w:pPr>
        <w:rPr>
          <w:b/>
          <w:sz w:val="24"/>
          <w:szCs w:val="24"/>
        </w:rPr>
      </w:pPr>
      <w:r>
        <w:rPr>
          <w:b/>
          <w:sz w:val="24"/>
          <w:szCs w:val="24"/>
        </w:rPr>
        <w:t>I●RES Announces Increased Credit Facility</w:t>
      </w:r>
    </w:p>
    <w:p w14:paraId="339D5BE3" w14:textId="77777777" w:rsidR="00BC1F59" w:rsidRDefault="00980268">
      <w:pPr>
        <w:jc w:val="both"/>
        <w:rPr>
          <w:b/>
          <w:sz w:val="24"/>
          <w:szCs w:val="24"/>
        </w:rPr>
      </w:pPr>
      <w:r>
        <w:rPr>
          <w:b/>
          <w:sz w:val="24"/>
          <w:szCs w:val="24"/>
        </w:rPr>
        <w:t xml:space="preserve"> </w:t>
      </w:r>
    </w:p>
    <w:p w14:paraId="339D5BE4" w14:textId="77777777" w:rsidR="00BC1F59" w:rsidRDefault="00980268">
      <w:pPr>
        <w:pStyle w:val="ag"/>
        <w:spacing w:before="0" w:beforeAutospacing="0" w:after="0" w:afterAutospacing="0"/>
        <w:jc w:val="both"/>
        <w:rPr>
          <w:rFonts w:asciiTheme="minorHAnsi" w:hAnsiTheme="minorHAnsi" w:cs="Tahoma"/>
        </w:rPr>
      </w:pPr>
      <w:r>
        <w:rPr>
          <w:rFonts w:asciiTheme="minorHAnsi" w:hAnsiTheme="minorHAnsi" w:cs="Tahoma"/>
        </w:rPr>
        <w:t>Irish Residential Properties REIT plc (“</w:t>
      </w:r>
      <w:r>
        <w:rPr>
          <w:rFonts w:asciiTheme="minorHAnsi" w:hAnsiTheme="minorHAnsi" w:cs="Tahoma"/>
          <w:b/>
        </w:rPr>
        <w:t>I•RES</w:t>
      </w:r>
      <w:r>
        <w:rPr>
          <w:rFonts w:asciiTheme="minorHAnsi" w:hAnsiTheme="minorHAnsi" w:cs="Tahoma"/>
        </w:rPr>
        <w:t>” or the “</w:t>
      </w:r>
      <w:r>
        <w:rPr>
          <w:rFonts w:asciiTheme="minorHAnsi" w:hAnsiTheme="minorHAnsi" w:cs="Tahoma"/>
          <w:b/>
        </w:rPr>
        <w:t>Company</w:t>
      </w:r>
      <w:r>
        <w:rPr>
          <w:rFonts w:asciiTheme="minorHAnsi" w:hAnsiTheme="minorHAnsi" w:cs="Tahoma"/>
        </w:rPr>
        <w:t>”) announces today that it has increased its revolving and accordion credit facility from up to €250 million to up to €350 million of which Barclays Bank Ireland plc (“</w:t>
      </w:r>
      <w:r>
        <w:rPr>
          <w:rFonts w:asciiTheme="minorHAnsi" w:hAnsiTheme="minorHAnsi" w:cs="Tahoma"/>
          <w:b/>
        </w:rPr>
        <w:t>Barclays</w:t>
      </w:r>
      <w:r>
        <w:rPr>
          <w:rFonts w:asciiTheme="minorHAnsi" w:hAnsiTheme="minorHAnsi" w:cs="Tahoma"/>
        </w:rPr>
        <w:t>”) are lending €162.5 million, Ulster Bank Ireland DAC (“</w:t>
      </w:r>
      <w:r>
        <w:rPr>
          <w:rFonts w:asciiTheme="minorHAnsi" w:hAnsiTheme="minorHAnsi" w:cs="Tahoma"/>
          <w:b/>
        </w:rPr>
        <w:t>Ulster Bank</w:t>
      </w:r>
      <w:r>
        <w:rPr>
          <w:rFonts w:asciiTheme="minorHAnsi" w:hAnsiTheme="minorHAnsi" w:cs="Tahoma"/>
        </w:rPr>
        <w:t>”) €117.5 million and The Governor and Company of the Bank of Ireland</w:t>
      </w:r>
      <w:r w:rsidR="00353378">
        <w:rPr>
          <w:rFonts w:asciiTheme="minorHAnsi" w:hAnsiTheme="minorHAnsi" w:cs="Tahoma"/>
        </w:rPr>
        <w:t xml:space="preserve"> (“</w:t>
      </w:r>
      <w:r w:rsidR="00353378" w:rsidRPr="00353378">
        <w:rPr>
          <w:rFonts w:asciiTheme="minorHAnsi" w:hAnsiTheme="minorHAnsi" w:cs="Tahoma"/>
          <w:b/>
        </w:rPr>
        <w:t>Bank of Ireland</w:t>
      </w:r>
      <w:r w:rsidR="00353378">
        <w:rPr>
          <w:rFonts w:asciiTheme="minorHAnsi" w:hAnsiTheme="minorHAnsi" w:cs="Tahoma"/>
        </w:rPr>
        <w:t>”)</w:t>
      </w:r>
      <w:r>
        <w:rPr>
          <w:rFonts w:asciiTheme="minorHAnsi" w:hAnsiTheme="minorHAnsi" w:cs="Tahoma"/>
        </w:rPr>
        <w:t xml:space="preserve"> €70 million (the “</w:t>
      </w:r>
      <w:r>
        <w:rPr>
          <w:rFonts w:asciiTheme="minorHAnsi" w:hAnsiTheme="minorHAnsi" w:cs="Tahoma"/>
          <w:b/>
        </w:rPr>
        <w:t>Increased Credit Facility</w:t>
      </w:r>
      <w:r>
        <w:rPr>
          <w:rFonts w:asciiTheme="minorHAnsi" w:hAnsiTheme="minorHAnsi" w:cs="Tahoma"/>
        </w:rPr>
        <w:t xml:space="preserve">”). </w:t>
      </w:r>
    </w:p>
    <w:p w14:paraId="339D5BE5" w14:textId="77777777" w:rsidR="00BC1F59" w:rsidRDefault="00980268">
      <w:pPr>
        <w:jc w:val="both"/>
        <w:rPr>
          <w:b/>
          <w:sz w:val="24"/>
          <w:szCs w:val="24"/>
        </w:rPr>
      </w:pPr>
      <w:r>
        <w:rPr>
          <w:sz w:val="24"/>
          <w:szCs w:val="24"/>
        </w:rPr>
        <w:t xml:space="preserve">  </w:t>
      </w:r>
    </w:p>
    <w:p w14:paraId="339D5BE6" w14:textId="77777777" w:rsidR="00BC1F59" w:rsidRDefault="00980268">
      <w:pPr>
        <w:pStyle w:val="ag"/>
        <w:spacing w:before="0" w:beforeAutospacing="0" w:after="0" w:afterAutospacing="0"/>
        <w:jc w:val="both"/>
        <w:rPr>
          <w:rFonts w:asciiTheme="minorHAnsi" w:hAnsiTheme="minorHAnsi" w:cs="Tahoma"/>
        </w:rPr>
      </w:pPr>
      <w:r>
        <w:rPr>
          <w:rFonts w:asciiTheme="minorHAnsi" w:hAnsiTheme="minorHAnsi" w:cs="Tahoma"/>
        </w:rPr>
        <w:t>The Increased Credit Facility continues to have a five year term from 14 January 2016 and the margins remain the same and will be used to fund acquisitions, developments and for working capital purposes.  The Increased Credit Facility is secured by a floating charge over the assets of the Company and its subsidiaries.</w:t>
      </w:r>
    </w:p>
    <w:p w14:paraId="339D5BE7" w14:textId="77777777" w:rsidR="00BC1F59" w:rsidRDefault="00BC1F59">
      <w:pPr>
        <w:pStyle w:val="ag"/>
        <w:spacing w:before="0" w:beforeAutospacing="0" w:after="0" w:afterAutospacing="0"/>
        <w:jc w:val="both"/>
        <w:rPr>
          <w:rFonts w:asciiTheme="minorHAnsi" w:hAnsiTheme="minorHAnsi" w:cs="Tahoma"/>
        </w:rPr>
      </w:pPr>
    </w:p>
    <w:p w14:paraId="339D5BE8" w14:textId="77777777" w:rsidR="00BC1F59" w:rsidRDefault="00980268">
      <w:pPr>
        <w:pStyle w:val="ag"/>
        <w:spacing w:before="0" w:beforeAutospacing="0" w:after="0" w:afterAutospacing="0"/>
        <w:jc w:val="both"/>
        <w:rPr>
          <w:rFonts w:asciiTheme="minorHAnsi" w:hAnsiTheme="minorHAnsi"/>
          <w:lang w:val="en-GB"/>
        </w:rPr>
      </w:pPr>
      <w:r>
        <w:rPr>
          <w:rFonts w:asciiTheme="minorHAnsi" w:hAnsiTheme="minorHAnsi"/>
        </w:rPr>
        <w:t xml:space="preserve">Barclays acted as Facility Co-ordinator whilst Barclays and Ulster Bank were Joint Arrangers. </w:t>
      </w:r>
    </w:p>
    <w:p w14:paraId="339D5BE9" w14:textId="77777777" w:rsidR="00BC1F59" w:rsidRDefault="00980268">
      <w:pPr>
        <w:pStyle w:val="ag"/>
        <w:spacing w:before="0" w:beforeAutospacing="0" w:after="0" w:afterAutospacing="0"/>
        <w:jc w:val="both"/>
        <w:rPr>
          <w:rFonts w:asciiTheme="minorHAnsi" w:hAnsiTheme="minorHAnsi" w:cs="Tahoma"/>
        </w:rPr>
      </w:pPr>
      <w:r>
        <w:rPr>
          <w:rFonts w:asciiTheme="minorHAnsi" w:hAnsiTheme="minorHAnsi" w:cs="Tahoma"/>
        </w:rPr>
        <w:t> </w:t>
      </w:r>
    </w:p>
    <w:p w14:paraId="339D5BEA" w14:textId="77777777" w:rsidR="00BC1F59" w:rsidRDefault="00980268">
      <w:pPr>
        <w:pStyle w:val="ag"/>
        <w:spacing w:before="0" w:beforeAutospacing="0" w:after="0" w:afterAutospacing="0"/>
        <w:jc w:val="both"/>
        <w:rPr>
          <w:rFonts w:asciiTheme="minorHAnsi" w:hAnsiTheme="minorHAnsi" w:cs="Tahoma"/>
        </w:rPr>
      </w:pPr>
      <w:r>
        <w:rPr>
          <w:rFonts w:asciiTheme="minorHAnsi" w:hAnsiTheme="minorHAnsi" w:cs="Tahoma"/>
        </w:rPr>
        <w:t xml:space="preserve">As of 15 September 2017, I●RES has total interest rate swap agreements aggregating to €204.8 million, with a </w:t>
      </w:r>
      <w:r w:rsidR="00765984">
        <w:rPr>
          <w:rFonts w:asciiTheme="minorHAnsi" w:hAnsiTheme="minorHAnsi" w:cs="Tahoma"/>
        </w:rPr>
        <w:t>weighted average EURIBOR rate at</w:t>
      </w:r>
      <w:r>
        <w:rPr>
          <w:rFonts w:asciiTheme="minorHAnsi" w:hAnsiTheme="minorHAnsi" w:cs="Tahoma"/>
        </w:rPr>
        <w:t xml:space="preserve"> </w:t>
      </w:r>
      <w:r w:rsidR="00765984">
        <w:rPr>
          <w:rFonts w:asciiTheme="minorHAnsi" w:hAnsiTheme="minorHAnsi" w:cs="Tahoma"/>
        </w:rPr>
        <w:t xml:space="preserve">c. </w:t>
      </w:r>
      <w:r w:rsidR="00765984" w:rsidRPr="00765984">
        <w:rPr>
          <w:rFonts w:asciiTheme="minorHAnsi" w:hAnsiTheme="minorHAnsi" w:cs="Tahoma"/>
        </w:rPr>
        <w:t>minus 0.09</w:t>
      </w:r>
      <w:r>
        <w:rPr>
          <w:rFonts w:asciiTheme="minorHAnsi" w:hAnsiTheme="minorHAnsi" w:cs="Tahoma"/>
        </w:rPr>
        <w:t>%</w:t>
      </w:r>
      <w:r w:rsidR="00765984">
        <w:rPr>
          <w:rFonts w:asciiTheme="minorHAnsi" w:hAnsiTheme="minorHAnsi" w:cs="Tahoma"/>
        </w:rPr>
        <w:t xml:space="preserve"> per annum</w:t>
      </w:r>
      <w:r>
        <w:rPr>
          <w:rFonts w:asciiTheme="minorHAnsi" w:hAnsiTheme="minorHAnsi" w:cs="Tahoma"/>
        </w:rPr>
        <w:t>, with maturity of January 2021. The total interest rate swap agreements effectively convert borrowings on a EURIBOR-based floating rate credit facility to a fixed rate facility for a four-year term.  Arrangement fees were paid in connection with the additional €100 million commitment.</w:t>
      </w:r>
    </w:p>
    <w:p w14:paraId="339D5BEB" w14:textId="77777777" w:rsidR="00BC1F59" w:rsidRDefault="00BC1F59">
      <w:pPr>
        <w:pStyle w:val="ag"/>
        <w:spacing w:before="0" w:beforeAutospacing="0" w:after="0" w:afterAutospacing="0"/>
        <w:jc w:val="both"/>
        <w:rPr>
          <w:rFonts w:asciiTheme="minorHAnsi" w:hAnsiTheme="minorHAnsi" w:cs="Tahoma"/>
        </w:rPr>
      </w:pPr>
    </w:p>
    <w:p w14:paraId="339D5BEC" w14:textId="77777777" w:rsidR="00BC1F59" w:rsidRDefault="00980268">
      <w:pPr>
        <w:pStyle w:val="ag"/>
        <w:spacing w:before="0" w:beforeAutospacing="0" w:after="240" w:afterAutospacing="0"/>
        <w:jc w:val="both"/>
        <w:rPr>
          <w:rFonts w:asciiTheme="minorHAnsi" w:hAnsiTheme="minorHAnsi" w:cs="Tahoma"/>
          <w:color w:val="333333"/>
        </w:rPr>
      </w:pPr>
      <w:r>
        <w:rPr>
          <w:rStyle w:val="ab"/>
          <w:rFonts w:asciiTheme="minorHAnsi" w:hAnsiTheme="minorHAnsi"/>
          <w:color w:val="000000"/>
        </w:rPr>
        <w:t>David Ehrlich, Chief Executive Officer of the Company, said:    </w:t>
      </w:r>
    </w:p>
    <w:p w14:paraId="339D5BED" w14:textId="77777777" w:rsidR="00BC1F59" w:rsidRDefault="00980268">
      <w:pPr>
        <w:ind w:left="720"/>
        <w:jc w:val="both"/>
        <w:rPr>
          <w:i/>
          <w:sz w:val="24"/>
          <w:szCs w:val="24"/>
        </w:rPr>
      </w:pPr>
      <w:r>
        <w:rPr>
          <w:i/>
          <w:sz w:val="24"/>
          <w:szCs w:val="24"/>
        </w:rPr>
        <w:t>“We are very pleased to be able to add Bank of Ireland to our syndicate of quality lenders and that Ulster Bank has increased its commitment.”</w:t>
      </w:r>
    </w:p>
    <w:p w14:paraId="339D5BEE" w14:textId="77777777" w:rsidR="00BC1F59" w:rsidRDefault="00BC1F59">
      <w:pPr>
        <w:jc w:val="both"/>
        <w:rPr>
          <w:rFonts w:cs="Tahoma"/>
          <w:sz w:val="24"/>
          <w:szCs w:val="24"/>
        </w:rPr>
      </w:pPr>
    </w:p>
    <w:p w14:paraId="339D5BEF" w14:textId="77777777" w:rsidR="00BC1F59" w:rsidRDefault="00980268">
      <w:pPr>
        <w:jc w:val="both"/>
        <w:rPr>
          <w:rFonts w:cs="Tahoma"/>
          <w:sz w:val="24"/>
          <w:szCs w:val="24"/>
        </w:rPr>
      </w:pPr>
      <w:r>
        <w:rPr>
          <w:rFonts w:cs="Tahoma"/>
          <w:sz w:val="24"/>
          <w:szCs w:val="24"/>
        </w:rPr>
        <w:t>Henry Cleary, Head of Real Estate, Barclays, said:</w:t>
      </w:r>
    </w:p>
    <w:p w14:paraId="339D5BF0" w14:textId="77777777" w:rsidR="00BC1F59" w:rsidRDefault="00BC1F59">
      <w:pPr>
        <w:ind w:left="720"/>
        <w:jc w:val="left"/>
        <w:rPr>
          <w:rFonts w:cs="Tahoma"/>
          <w:sz w:val="24"/>
          <w:szCs w:val="24"/>
        </w:rPr>
      </w:pPr>
    </w:p>
    <w:p w14:paraId="339D5BF1" w14:textId="77777777" w:rsidR="00BC1F59" w:rsidRDefault="00980268">
      <w:pPr>
        <w:ind w:left="720"/>
        <w:jc w:val="both"/>
        <w:rPr>
          <w:rFonts w:cs="Tahoma"/>
          <w:sz w:val="24"/>
          <w:szCs w:val="24"/>
        </w:rPr>
      </w:pPr>
      <w:r>
        <w:rPr>
          <w:rFonts w:cs="Tahoma"/>
          <w:sz w:val="24"/>
          <w:szCs w:val="24"/>
        </w:rPr>
        <w:t>“</w:t>
      </w:r>
      <w:r>
        <w:rPr>
          <w:rFonts w:cs="Tahoma"/>
          <w:i/>
          <w:sz w:val="24"/>
          <w:szCs w:val="24"/>
        </w:rPr>
        <w:t>As Facility Co-ordinator and Agent, Barclays were delighted to work with I●RES to increase the size of their bank facility and thus support their continued growth and development</w:t>
      </w:r>
      <w:r>
        <w:rPr>
          <w:rFonts w:cs="Tahoma"/>
          <w:sz w:val="24"/>
          <w:szCs w:val="24"/>
        </w:rPr>
        <w:t>.”</w:t>
      </w:r>
    </w:p>
    <w:p w14:paraId="339D5BF2" w14:textId="77777777" w:rsidR="00BC1F59" w:rsidRDefault="00BC1F59">
      <w:pPr>
        <w:jc w:val="both"/>
        <w:rPr>
          <w:rFonts w:cs="Tahoma"/>
          <w:sz w:val="24"/>
          <w:szCs w:val="24"/>
        </w:rPr>
      </w:pPr>
    </w:p>
    <w:p w14:paraId="339D5BF3" w14:textId="77777777" w:rsidR="00BC1F59" w:rsidRDefault="00980268">
      <w:pPr>
        <w:jc w:val="both"/>
        <w:rPr>
          <w:bCs/>
          <w:color w:val="000000"/>
          <w:sz w:val="24"/>
          <w:szCs w:val="24"/>
        </w:rPr>
      </w:pPr>
      <w:r>
        <w:rPr>
          <w:bCs/>
          <w:color w:val="000000"/>
          <w:sz w:val="24"/>
          <w:szCs w:val="24"/>
        </w:rPr>
        <w:t>Stephen Masterson, head of Corporate Banking, Ulster Bank, said:</w:t>
      </w:r>
    </w:p>
    <w:p w14:paraId="339D5BF4" w14:textId="77777777" w:rsidR="00BC1F59" w:rsidRDefault="00BC1F59">
      <w:pPr>
        <w:jc w:val="both"/>
        <w:rPr>
          <w:color w:val="000000"/>
          <w:sz w:val="24"/>
          <w:szCs w:val="24"/>
        </w:rPr>
      </w:pPr>
    </w:p>
    <w:p w14:paraId="339D5BF5" w14:textId="77777777" w:rsidR="00BC1F59" w:rsidRDefault="00980268">
      <w:pPr>
        <w:ind w:left="720"/>
        <w:jc w:val="both"/>
        <w:rPr>
          <w:rFonts w:cs="Tahoma"/>
          <w:sz w:val="24"/>
          <w:szCs w:val="24"/>
        </w:rPr>
      </w:pPr>
      <w:r>
        <w:rPr>
          <w:rFonts w:cs="Tahoma"/>
          <w:sz w:val="24"/>
          <w:szCs w:val="24"/>
        </w:rPr>
        <w:t>“</w:t>
      </w:r>
      <w:r>
        <w:rPr>
          <w:rFonts w:cs="Tahoma"/>
          <w:i/>
          <w:sz w:val="24"/>
          <w:szCs w:val="24"/>
        </w:rPr>
        <w:t>Ulster Bank is delighted to increase our lending facility to I●RES from €87.5 million to €117.5 million. Ulster Bank and I●RES have worked closely together since 2016 and we look forward to supporting them further in the future.</w:t>
      </w:r>
      <w:r>
        <w:rPr>
          <w:rFonts w:cs="Tahoma"/>
          <w:sz w:val="24"/>
          <w:szCs w:val="24"/>
        </w:rPr>
        <w:t>”</w:t>
      </w:r>
    </w:p>
    <w:p w14:paraId="339D5BF6" w14:textId="77777777" w:rsidR="00BC1F59" w:rsidRDefault="00BC1F59">
      <w:pPr>
        <w:jc w:val="both"/>
        <w:rPr>
          <w:i/>
          <w:iCs/>
          <w:color w:val="000000"/>
          <w:sz w:val="24"/>
          <w:szCs w:val="24"/>
        </w:rPr>
      </w:pPr>
    </w:p>
    <w:p w14:paraId="339D5BF7" w14:textId="77777777" w:rsidR="00BC1F59" w:rsidRDefault="00980268">
      <w:pPr>
        <w:jc w:val="both"/>
        <w:rPr>
          <w:rFonts w:cs="Tahoma"/>
          <w:sz w:val="24"/>
          <w:szCs w:val="24"/>
        </w:rPr>
      </w:pPr>
      <w:r>
        <w:rPr>
          <w:rFonts w:cs="Tahoma"/>
          <w:sz w:val="24"/>
          <w:szCs w:val="24"/>
        </w:rPr>
        <w:t>Paul McDonnell, Head of Property Finance Group at Bank of Ireland Corporate Banking, said:</w:t>
      </w:r>
    </w:p>
    <w:p w14:paraId="339D5BF8" w14:textId="77777777" w:rsidR="00BC1F59" w:rsidRDefault="00980268">
      <w:pPr>
        <w:jc w:val="both"/>
        <w:rPr>
          <w:rFonts w:cs="Tahoma"/>
          <w:sz w:val="24"/>
          <w:szCs w:val="24"/>
        </w:rPr>
      </w:pPr>
      <w:r>
        <w:rPr>
          <w:rFonts w:cs="Tahoma"/>
          <w:sz w:val="24"/>
          <w:szCs w:val="24"/>
        </w:rPr>
        <w:t> </w:t>
      </w:r>
    </w:p>
    <w:p w14:paraId="339D5BF9" w14:textId="77777777" w:rsidR="00BC1F59" w:rsidRDefault="00980268">
      <w:pPr>
        <w:ind w:left="720"/>
        <w:jc w:val="both"/>
        <w:rPr>
          <w:rFonts w:cs="Tahoma"/>
          <w:sz w:val="24"/>
          <w:szCs w:val="24"/>
        </w:rPr>
      </w:pPr>
      <w:r>
        <w:rPr>
          <w:rFonts w:cs="Tahoma"/>
          <w:sz w:val="24"/>
          <w:szCs w:val="24"/>
        </w:rPr>
        <w:t>“</w:t>
      </w:r>
      <w:r>
        <w:rPr>
          <w:rFonts w:cs="Tahoma"/>
          <w:i/>
          <w:sz w:val="24"/>
          <w:szCs w:val="24"/>
        </w:rPr>
        <w:t>Bank of Ireland Corporate Banking would like to thank I●RES for the opportunity to join in their revolving credit facility. I●RES has shown strong commitment to the Irish property market and Bank of Ireland is happy to support the company through the next stage of their growth.</w:t>
      </w:r>
      <w:r>
        <w:rPr>
          <w:rFonts w:cs="Tahoma"/>
          <w:sz w:val="24"/>
          <w:szCs w:val="24"/>
        </w:rPr>
        <w:t>”</w:t>
      </w:r>
    </w:p>
    <w:p w14:paraId="339D5BFA" w14:textId="77777777" w:rsidR="00BC1F59" w:rsidRDefault="00BC1F59">
      <w:pPr>
        <w:jc w:val="both"/>
        <w:rPr>
          <w:color w:val="000000"/>
          <w:sz w:val="24"/>
          <w:szCs w:val="24"/>
        </w:rPr>
      </w:pPr>
    </w:p>
    <w:p w14:paraId="339D5BFB" w14:textId="77777777" w:rsidR="00BC1F59" w:rsidRDefault="00BC1F59">
      <w:pPr>
        <w:jc w:val="both"/>
        <w:rPr>
          <w:rFonts w:cs="Tahoma"/>
          <w:sz w:val="24"/>
          <w:szCs w:val="24"/>
        </w:rPr>
      </w:pPr>
    </w:p>
    <w:p w14:paraId="339D5BFC" w14:textId="77777777" w:rsidR="00BC1F59" w:rsidRDefault="00BC1F59">
      <w:pPr>
        <w:jc w:val="both"/>
        <w:rPr>
          <w:rStyle w:val="au"/>
          <w:sz w:val="24"/>
          <w:szCs w:val="24"/>
          <w:lang w:val="en-GB"/>
        </w:rPr>
      </w:pPr>
    </w:p>
    <w:p w14:paraId="339D5BFD" w14:textId="77777777" w:rsidR="00BC1F59" w:rsidRDefault="00980268">
      <w:pPr>
        <w:jc w:val="both"/>
        <w:rPr>
          <w:b/>
          <w:sz w:val="24"/>
          <w:szCs w:val="24"/>
        </w:rPr>
      </w:pPr>
      <w:r>
        <w:rPr>
          <w:b/>
          <w:sz w:val="24"/>
          <w:szCs w:val="24"/>
        </w:rPr>
        <w:t>For further information please contact:</w:t>
      </w:r>
    </w:p>
    <w:p w14:paraId="339D5BFE" w14:textId="77777777" w:rsidR="00BC1F59" w:rsidRDefault="00980268">
      <w:pPr>
        <w:jc w:val="both"/>
        <w:rPr>
          <w:sz w:val="24"/>
          <w:szCs w:val="24"/>
        </w:rPr>
      </w:pPr>
      <w:r>
        <w:rPr>
          <w:sz w:val="24"/>
          <w:szCs w:val="24"/>
        </w:rPr>
        <w:t>For Investor Relations:</w:t>
      </w:r>
    </w:p>
    <w:p w14:paraId="339D5BFF" w14:textId="77777777" w:rsidR="00BC1F59" w:rsidRDefault="00980268">
      <w:pPr>
        <w:jc w:val="both"/>
        <w:rPr>
          <w:sz w:val="24"/>
          <w:szCs w:val="24"/>
        </w:rPr>
      </w:pPr>
      <w:r>
        <w:rPr>
          <w:sz w:val="24"/>
          <w:szCs w:val="24"/>
        </w:rPr>
        <w:t>Irish Residential Properties REIT plc</w:t>
      </w:r>
    </w:p>
    <w:p w14:paraId="339D5C00" w14:textId="77777777" w:rsidR="00BC1F59" w:rsidRDefault="00980268">
      <w:pPr>
        <w:jc w:val="both"/>
        <w:rPr>
          <w:sz w:val="24"/>
          <w:szCs w:val="24"/>
        </w:rPr>
      </w:pPr>
      <w:r>
        <w:rPr>
          <w:sz w:val="24"/>
          <w:szCs w:val="24"/>
        </w:rPr>
        <w:t>David Ehrlich, CEO</w:t>
      </w:r>
    </w:p>
    <w:p w14:paraId="339D5C01" w14:textId="77777777" w:rsidR="00BC1F59" w:rsidRDefault="00980268">
      <w:pPr>
        <w:jc w:val="both"/>
        <w:rPr>
          <w:sz w:val="24"/>
          <w:szCs w:val="24"/>
        </w:rPr>
      </w:pPr>
      <w:r>
        <w:rPr>
          <w:sz w:val="24"/>
          <w:szCs w:val="24"/>
        </w:rPr>
        <w:t>+1 (416) 861-2467</w:t>
      </w:r>
    </w:p>
    <w:p w14:paraId="339D5C02" w14:textId="77777777" w:rsidR="00BC1F59" w:rsidRDefault="00BC1F59">
      <w:pPr>
        <w:jc w:val="both"/>
        <w:rPr>
          <w:sz w:val="24"/>
          <w:szCs w:val="24"/>
        </w:rPr>
      </w:pPr>
    </w:p>
    <w:p w14:paraId="339D5C03" w14:textId="77777777" w:rsidR="00BC1F59" w:rsidRDefault="00980268">
      <w:pPr>
        <w:jc w:val="both"/>
        <w:rPr>
          <w:sz w:val="24"/>
          <w:szCs w:val="24"/>
        </w:rPr>
      </w:pPr>
      <w:r>
        <w:rPr>
          <w:sz w:val="24"/>
          <w:szCs w:val="24"/>
        </w:rPr>
        <w:t>For Media Requests:</w:t>
      </w:r>
    </w:p>
    <w:p w14:paraId="339D5C04" w14:textId="77777777" w:rsidR="00BC1F59" w:rsidRDefault="00980268">
      <w:pPr>
        <w:jc w:val="both"/>
        <w:rPr>
          <w:sz w:val="24"/>
          <w:szCs w:val="24"/>
        </w:rPr>
      </w:pPr>
      <w:r>
        <w:rPr>
          <w:sz w:val="24"/>
          <w:szCs w:val="24"/>
        </w:rPr>
        <w:t>Q4PR</w:t>
      </w:r>
    </w:p>
    <w:p w14:paraId="339D5C05" w14:textId="77777777" w:rsidR="00BC1F59" w:rsidRDefault="00980268">
      <w:pPr>
        <w:jc w:val="both"/>
        <w:rPr>
          <w:sz w:val="24"/>
          <w:szCs w:val="24"/>
        </w:rPr>
      </w:pPr>
      <w:r>
        <w:rPr>
          <w:sz w:val="24"/>
          <w:szCs w:val="24"/>
        </w:rPr>
        <w:t>Gerry O’Sullivan</w:t>
      </w:r>
    </w:p>
    <w:p w14:paraId="339D5C06" w14:textId="77777777" w:rsidR="00BC1F59" w:rsidRDefault="00980268">
      <w:pPr>
        <w:jc w:val="both"/>
        <w:rPr>
          <w:sz w:val="24"/>
          <w:szCs w:val="24"/>
        </w:rPr>
      </w:pPr>
      <w:r>
        <w:rPr>
          <w:sz w:val="24"/>
          <w:szCs w:val="24"/>
        </w:rPr>
        <w:t>+ 353 87 2597644</w:t>
      </w:r>
    </w:p>
    <w:p w14:paraId="339D5C07" w14:textId="77777777" w:rsidR="00BC1F59" w:rsidRDefault="00BC1F59">
      <w:pPr>
        <w:jc w:val="both"/>
        <w:rPr>
          <w:sz w:val="24"/>
          <w:szCs w:val="24"/>
        </w:rPr>
      </w:pPr>
    </w:p>
    <w:p w14:paraId="339D5C08" w14:textId="77777777" w:rsidR="00BC1F59" w:rsidRDefault="00BC1F59">
      <w:pPr>
        <w:jc w:val="both"/>
        <w:rPr>
          <w:sz w:val="24"/>
          <w:szCs w:val="24"/>
        </w:rPr>
      </w:pPr>
    </w:p>
    <w:p w14:paraId="339D5C09" w14:textId="77777777" w:rsidR="00BC1F59" w:rsidRDefault="00980268">
      <w:pPr>
        <w:jc w:val="both"/>
        <w:rPr>
          <w:b/>
          <w:sz w:val="24"/>
          <w:szCs w:val="24"/>
        </w:rPr>
      </w:pPr>
      <w:r>
        <w:rPr>
          <w:b/>
          <w:sz w:val="24"/>
          <w:szCs w:val="24"/>
        </w:rPr>
        <w:t>About Irish Residential Properties REIT plc</w:t>
      </w:r>
    </w:p>
    <w:p w14:paraId="339D5C0A" w14:textId="77777777" w:rsidR="00BC1F59" w:rsidRDefault="00BC1F59">
      <w:pPr>
        <w:jc w:val="both"/>
        <w:rPr>
          <w:sz w:val="24"/>
          <w:szCs w:val="24"/>
        </w:rPr>
      </w:pPr>
    </w:p>
    <w:p w14:paraId="339D5C0B" w14:textId="77777777" w:rsidR="00BC1F59" w:rsidRDefault="00980268">
      <w:pPr>
        <w:jc w:val="both"/>
        <w:rPr>
          <w:sz w:val="24"/>
          <w:szCs w:val="24"/>
        </w:rPr>
      </w:pPr>
      <w:r>
        <w:rPr>
          <w:sz w:val="24"/>
          <w:szCs w:val="24"/>
        </w:rPr>
        <w:t>Irish Residential Properties REIT plc is an Irish Real Estate Investment Trust (“</w:t>
      </w:r>
      <w:r>
        <w:rPr>
          <w:b/>
          <w:sz w:val="24"/>
          <w:szCs w:val="24"/>
        </w:rPr>
        <w:t>REIT</w:t>
      </w:r>
      <w:r>
        <w:rPr>
          <w:sz w:val="24"/>
          <w:szCs w:val="24"/>
        </w:rPr>
        <w:t xml:space="preserve">”) listed on the Irish Stock Exchange. The Company is the first REIT established in Ireland primarily focused on residential rental accommodations. The Company will continue to seek to acquire, hold, manage and develop investments primarily focused on residential rental accommodations in Ireland.  I•RES currently owns 2,449 apartments.  </w:t>
      </w:r>
      <w:r>
        <w:rPr>
          <w:sz w:val="24"/>
          <w:szCs w:val="24"/>
          <w:lang w:val="en-GB"/>
        </w:rPr>
        <w:t xml:space="preserve">Further information in respect of I•RES can be obtained from </w:t>
      </w:r>
      <w:r>
        <w:rPr>
          <w:sz w:val="24"/>
          <w:szCs w:val="24"/>
        </w:rPr>
        <w:t>I•RES’</w:t>
      </w:r>
      <w:r>
        <w:rPr>
          <w:sz w:val="24"/>
          <w:szCs w:val="24"/>
          <w:lang w:val="en-GB"/>
        </w:rPr>
        <w:t xml:space="preserve"> website at </w:t>
      </w:r>
      <w:hyperlink r:id="rId10" w:history="1">
        <w:r>
          <w:rPr>
            <w:rStyle w:val="Hyperlink"/>
            <w:sz w:val="24"/>
            <w:szCs w:val="24"/>
            <w:lang w:val="en-GB"/>
          </w:rPr>
          <w:t>www.iresreit.ie</w:t>
        </w:r>
      </w:hyperlink>
      <w:r>
        <w:rPr>
          <w:sz w:val="24"/>
          <w:szCs w:val="24"/>
          <w:lang w:val="en-GB"/>
        </w:rPr>
        <w:t>.</w:t>
      </w:r>
    </w:p>
    <w:p w14:paraId="339D5C0C" w14:textId="77777777" w:rsidR="00BC1F59" w:rsidRDefault="00BC1F59">
      <w:pPr>
        <w:jc w:val="both"/>
        <w:rPr>
          <w:sz w:val="24"/>
          <w:szCs w:val="24"/>
        </w:rPr>
      </w:pPr>
    </w:p>
    <w:p w14:paraId="339D5C0D" w14:textId="77777777" w:rsidR="00BC1F59" w:rsidRDefault="00980268">
      <w:pPr>
        <w:jc w:val="both"/>
        <w:rPr>
          <w:b/>
          <w:sz w:val="24"/>
          <w:szCs w:val="24"/>
        </w:rPr>
      </w:pPr>
      <w:r>
        <w:rPr>
          <w:b/>
          <w:sz w:val="24"/>
          <w:szCs w:val="24"/>
        </w:rPr>
        <w:t xml:space="preserve">Note on forward-looking information </w:t>
      </w:r>
    </w:p>
    <w:p w14:paraId="339D5C0E" w14:textId="77777777" w:rsidR="00BC1F59" w:rsidRDefault="00BC1F59">
      <w:pPr>
        <w:jc w:val="both"/>
        <w:rPr>
          <w:b/>
          <w:sz w:val="24"/>
          <w:szCs w:val="24"/>
        </w:rPr>
      </w:pPr>
    </w:p>
    <w:p w14:paraId="339D5C0F" w14:textId="77777777" w:rsidR="00BC1F59" w:rsidRDefault="00980268">
      <w:pPr>
        <w:jc w:val="both"/>
        <w:rPr>
          <w:b/>
          <w:sz w:val="24"/>
          <w:szCs w:val="24"/>
        </w:rPr>
      </w:pPr>
      <w:r>
        <w:rPr>
          <w:b/>
          <w:sz w:val="24"/>
          <w:szCs w:val="24"/>
        </w:rPr>
        <w:t>This note applies if and to the extent that there are forward-looking statements in this Announcement.</w:t>
      </w:r>
    </w:p>
    <w:p w14:paraId="339D5C10" w14:textId="77777777" w:rsidR="00BC1F59" w:rsidRDefault="00BC1F59">
      <w:pPr>
        <w:jc w:val="both"/>
        <w:rPr>
          <w:sz w:val="24"/>
          <w:szCs w:val="24"/>
        </w:rPr>
      </w:pPr>
    </w:p>
    <w:p w14:paraId="339D5C11" w14:textId="77777777" w:rsidR="00BC1F59" w:rsidRDefault="00980268">
      <w:pPr>
        <w:jc w:val="both"/>
        <w:rPr>
          <w:sz w:val="24"/>
          <w:szCs w:val="24"/>
        </w:rPr>
      </w:pPr>
      <w:r>
        <w:rPr>
          <w:sz w:val="24"/>
          <w:szCs w:val="24"/>
        </w:rP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339D5C12" w14:textId="77777777" w:rsidR="00BC1F59" w:rsidRDefault="00BC1F59">
      <w:pPr>
        <w:rPr>
          <w:sz w:val="24"/>
          <w:szCs w:val="24"/>
        </w:rPr>
      </w:pPr>
    </w:p>
    <w:p w14:paraId="127BB4F3" w14:textId="522B8993" w:rsidR="00FC59DD" w:rsidRDefault="00FC59DD">
      <w:pPr>
        <w:rPr>
          <w:sz w:val="24"/>
          <w:szCs w:val="24"/>
        </w:rPr>
      </w:pPr>
    </w:p>
    <w:p w14:paraId="62542C12" w14:textId="77777777" w:rsidR="00FC59DD" w:rsidRDefault="00FC59DD">
      <w:pPr>
        <w:rPr>
          <w:sz w:val="24"/>
          <w:szCs w:val="24"/>
        </w:rPr>
      </w:pPr>
    </w:p>
    <w:p w14:paraId="78B3540A" w14:textId="77777777" w:rsidR="00FC59DD" w:rsidRDefault="00FC59DD" w:rsidP="00FC59DD">
      <w:pPr>
        <w:pStyle w:val="bv"/>
        <w:spacing w:before="220" w:beforeAutospacing="0" w:after="220" w:afterAutospacing="0"/>
        <w:jc w:val="center"/>
        <w:rPr>
          <w:color w:val="000000"/>
          <w:sz w:val="27"/>
          <w:szCs w:val="27"/>
        </w:rPr>
      </w:pPr>
      <w:r>
        <w:rPr>
          <w:rStyle w:val="x"/>
          <w:rFonts w:ascii="Arial" w:hAnsi="Arial" w:cs="Arial"/>
          <w:color w:val="000000"/>
          <w:sz w:val="20"/>
          <w:szCs w:val="20"/>
        </w:rPr>
        <w:t>This announcement has been issued through the Companies Announcement Service of</w:t>
      </w:r>
    </w:p>
    <w:p w14:paraId="12ABF4DA" w14:textId="77777777" w:rsidR="00FC59DD" w:rsidRDefault="00FC59DD" w:rsidP="00FC59DD">
      <w:pPr>
        <w:pStyle w:val="bv"/>
        <w:spacing w:before="220" w:beforeAutospacing="0" w:after="220" w:afterAutospacing="0"/>
        <w:jc w:val="center"/>
        <w:rPr>
          <w:color w:val="000000"/>
          <w:sz w:val="27"/>
          <w:szCs w:val="27"/>
        </w:rPr>
      </w:pPr>
      <w:r>
        <w:rPr>
          <w:rStyle w:val="u"/>
          <w:rFonts w:ascii="Arial" w:hAnsi="Arial" w:cs="Arial"/>
          <w:color w:val="000000"/>
          <w:sz w:val="20"/>
          <w:szCs w:val="20"/>
        </w:rPr>
        <w:t>the Irish Stock Exchange</w:t>
      </w:r>
      <w:r>
        <w:rPr>
          <w:rStyle w:val="u"/>
          <w:rFonts w:ascii="Arial" w:hAnsi="Arial" w:cs="Arial"/>
          <w:i/>
          <w:iCs/>
          <w:color w:val="000000"/>
          <w:sz w:val="20"/>
          <w:szCs w:val="20"/>
        </w:rPr>
        <w:t>.</w:t>
      </w:r>
    </w:p>
    <w:p w14:paraId="6BDF7C77" w14:textId="77777777" w:rsidR="00FC59DD" w:rsidRDefault="00FC59DD">
      <w:pPr>
        <w:rPr>
          <w:sz w:val="24"/>
          <w:szCs w:val="24"/>
        </w:rPr>
      </w:pPr>
      <w:bookmarkStart w:id="0" w:name="_GoBack"/>
      <w:bookmarkEnd w:id="0"/>
    </w:p>
    <w:sectPr w:rsidR="00FC59DD">
      <w:headerReference w:type="default" r:id="rId11"/>
      <w:footerReference w:type="even" r:id="rId12"/>
      <w:footerReference w:type="default" r:id="rId13"/>
      <w:footerReference w:type="first" r:id="rId14"/>
      <w:pgSz w:w="11907" w:h="16839" w:code="9"/>
      <w:pgMar w:top="1440" w:right="1107" w:bottom="1440" w:left="1170" w:header="4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D5C15" w14:textId="77777777" w:rsidR="00C4105F" w:rsidRDefault="00C4105F">
      <w:r>
        <w:separator/>
      </w:r>
    </w:p>
  </w:endnote>
  <w:endnote w:type="continuationSeparator" w:id="0">
    <w:p w14:paraId="339D5C16" w14:textId="77777777" w:rsidR="00C4105F" w:rsidRDefault="00C4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D5C19" w14:textId="77777777" w:rsidR="00BC1F59" w:rsidRDefault="00FC59DD" w:rsidP="00353378">
    <w:pPr>
      <w:pStyle w:val="Footer"/>
      <w:jc w:val="left"/>
    </w:pPr>
    <w:r>
      <w:fldChar w:fldCharType="begin"/>
    </w:r>
    <w:r>
      <w:instrText xml:space="preserve"> DOCVARIABLE RBRO_EASYID_VALUE \* MERGEFORMAT </w:instrText>
    </w:r>
    <w:r>
      <w:fldChar w:fldCharType="separate"/>
    </w:r>
    <w:r w:rsidR="00353378" w:rsidRPr="00353378">
      <w:rPr>
        <w:rStyle w:val="EasyID"/>
        <w:rFonts w:eastAsiaTheme="minorHAnsi"/>
      </w:rPr>
      <w:t>2660 V10</w:t>
    </w:r>
    <w:r>
      <w:rPr>
        <w:rStyle w:val="EasyID"/>
        <w:rFonts w:eastAsia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D5C1A" w14:textId="77777777" w:rsidR="00BC1F59" w:rsidRDefault="00BC1F59" w:rsidP="00A62F13">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D5C1C" w14:textId="77777777" w:rsidR="00BC1F59" w:rsidRDefault="00FC59DD" w:rsidP="00353378">
    <w:pPr>
      <w:pStyle w:val="Footer"/>
      <w:jc w:val="left"/>
    </w:pPr>
    <w:r>
      <w:fldChar w:fldCharType="begin"/>
    </w:r>
    <w:r>
      <w:instrText xml:space="preserve"> DOCVARIABLE RBRO_EASYID_VALUE \* MERGEFORMAT </w:instrText>
    </w:r>
    <w:r>
      <w:fldChar w:fldCharType="separate"/>
    </w:r>
    <w:r w:rsidR="00353378" w:rsidRPr="00353378">
      <w:rPr>
        <w:rStyle w:val="EasyID"/>
        <w:rFonts w:eastAsiaTheme="minorHAnsi"/>
      </w:rPr>
      <w:t>2660 V10</w:t>
    </w:r>
    <w:r>
      <w:rPr>
        <w:rStyle w:val="EasyID"/>
        <w:rFonts w:eastAsia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D5C13" w14:textId="77777777" w:rsidR="00C4105F" w:rsidRDefault="00C4105F">
      <w:r>
        <w:separator/>
      </w:r>
    </w:p>
  </w:footnote>
  <w:footnote w:type="continuationSeparator" w:id="0">
    <w:p w14:paraId="339D5C14" w14:textId="77777777" w:rsidR="00C4105F" w:rsidRDefault="00C41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D5C18" w14:textId="1FA18518" w:rsidR="00BC1F59" w:rsidRDefault="00980268">
    <w:pPr>
      <w:pStyle w:val="Header"/>
      <w:tabs>
        <w:tab w:val="clear" w:pos="9360"/>
        <w:tab w:val="right" w:pos="10080"/>
      </w:tabs>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Book Antiqua|8"/>
    <w:docVar w:name="RBRO_EasyID_ID" w:val="%1% V%2%"/>
    <w:docVar w:name="RBRO_EasyID_Location" w:val="Footer|wdAlignParagraphLeft|All"/>
    <w:docVar w:name="RBRO_EASYID_VALUE" w:val="2660 V10"/>
  </w:docVars>
  <w:rsids>
    <w:rsidRoot w:val="00BC1F59"/>
    <w:rsid w:val="00353378"/>
    <w:rsid w:val="00765984"/>
    <w:rsid w:val="009275E3"/>
    <w:rsid w:val="00980268"/>
    <w:rsid w:val="00A62F13"/>
    <w:rsid w:val="00BC1F59"/>
    <w:rsid w:val="00C22D6D"/>
    <w:rsid w:val="00C4105F"/>
    <w:rsid w:val="00D74BF9"/>
    <w:rsid w:val="00FC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9D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ind w:left="720" w:hanging="720"/>
        <w:jc w:val="both"/>
      </w:pPr>
    </w:pPrDefault>
  </w:docDefaults>
  <w:latentStyles w:defLockedState="0" w:defUIPriority="99" w:defSemiHidden="1" w:defUnhideWhenUsed="1" w:defQFormat="0" w:count="267">
    <w:lsdException w:name="Normal" w:semiHidden="0" w:uiPriority="2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9"/>
    <w:unhideWhenUsed/>
    <w:qFormat/>
    <w:pPr>
      <w:spacing w:after="0"/>
      <w:ind w:left="0"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ind w:left="720" w:hanging="720"/>
      <w:jc w:val="both"/>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720" w:hanging="720"/>
      <w:jc w:val="both"/>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au">
    <w:name w:val="au"/>
    <w:basedOn w:val="DefaultParagraphFont"/>
  </w:style>
  <w:style w:type="paragraph" w:customStyle="1" w:styleId="ag">
    <w:name w:val="ag"/>
    <w:basedOn w:val="Normal"/>
    <w:uiPriority w:val="99"/>
    <w:pPr>
      <w:spacing w:before="100" w:beforeAutospacing="1" w:after="100" w:afterAutospacing="1"/>
      <w:jc w:val="left"/>
    </w:pPr>
    <w:rPr>
      <w:rFonts w:ascii="Times New Roman" w:hAnsi="Times New Roman" w:cs="Times New Roman"/>
      <w:sz w:val="24"/>
      <w:szCs w:val="24"/>
    </w:rPr>
  </w:style>
  <w:style w:type="character" w:customStyle="1" w:styleId="ab">
    <w:name w:val="ab"/>
    <w:basedOn w:val="DefaultParagraphFont"/>
  </w:style>
  <w:style w:type="character" w:customStyle="1" w:styleId="EasyID">
    <w:name w:val="EasyID"/>
    <w:basedOn w:val="DefaultParagraphFont"/>
    <w:rPr>
      <w:rFonts w:ascii="Book Antiqua" w:eastAsia="Times New Roman" w:hAnsi="Book Antiqua" w:cs="Times New Roman"/>
      <w:sz w:val="16"/>
      <w:szCs w:val="20"/>
      <w:lang w:val="en-US" w:eastAsia="en-US" w:bidi="ar-SA"/>
    </w:rPr>
  </w:style>
  <w:style w:type="paragraph" w:styleId="BalloonText">
    <w:name w:val="Balloon Text"/>
    <w:basedOn w:val="Normal"/>
    <w:link w:val="BalloonTextChar"/>
    <w:uiPriority w:val="99"/>
    <w:semiHidden/>
    <w:unhideWhenUsed/>
    <w:rsid w:val="00FC59DD"/>
    <w:rPr>
      <w:rFonts w:ascii="Tahoma" w:hAnsi="Tahoma" w:cs="Tahoma"/>
      <w:sz w:val="16"/>
      <w:szCs w:val="16"/>
    </w:rPr>
  </w:style>
  <w:style w:type="character" w:customStyle="1" w:styleId="BalloonTextChar">
    <w:name w:val="Balloon Text Char"/>
    <w:basedOn w:val="DefaultParagraphFont"/>
    <w:link w:val="BalloonText"/>
    <w:uiPriority w:val="99"/>
    <w:semiHidden/>
    <w:rsid w:val="00FC59DD"/>
    <w:rPr>
      <w:rFonts w:ascii="Tahoma" w:hAnsi="Tahoma" w:cs="Tahoma"/>
      <w:sz w:val="16"/>
      <w:szCs w:val="16"/>
    </w:rPr>
  </w:style>
  <w:style w:type="paragraph" w:customStyle="1" w:styleId="bv">
    <w:name w:val="bv"/>
    <w:basedOn w:val="Normal"/>
    <w:rsid w:val="00FC59DD"/>
    <w:pPr>
      <w:spacing w:before="100" w:beforeAutospacing="1" w:after="100" w:afterAutospacing="1"/>
      <w:jc w:val="left"/>
    </w:pPr>
    <w:rPr>
      <w:rFonts w:ascii="Times New Roman" w:eastAsia="Times New Roman" w:hAnsi="Times New Roman" w:cs="Times New Roman"/>
      <w:sz w:val="24"/>
      <w:szCs w:val="24"/>
      <w:lang w:val="en-IE" w:eastAsia="en-IE"/>
    </w:rPr>
  </w:style>
  <w:style w:type="character" w:customStyle="1" w:styleId="x">
    <w:name w:val="x"/>
    <w:basedOn w:val="DefaultParagraphFont"/>
    <w:rsid w:val="00FC59DD"/>
  </w:style>
  <w:style w:type="character" w:customStyle="1" w:styleId="u">
    <w:name w:val="u"/>
    <w:basedOn w:val="DefaultParagraphFont"/>
    <w:rsid w:val="00FC5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ind w:left="720" w:hanging="720"/>
        <w:jc w:val="both"/>
      </w:pPr>
    </w:pPrDefault>
  </w:docDefaults>
  <w:latentStyles w:defLockedState="0" w:defUIPriority="99" w:defSemiHidden="1" w:defUnhideWhenUsed="1" w:defQFormat="0" w:count="267">
    <w:lsdException w:name="Normal" w:semiHidden="0" w:uiPriority="2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9"/>
    <w:unhideWhenUsed/>
    <w:qFormat/>
    <w:pPr>
      <w:spacing w:after="0"/>
      <w:ind w:left="0"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ind w:left="720" w:hanging="720"/>
      <w:jc w:val="both"/>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720" w:hanging="720"/>
      <w:jc w:val="both"/>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au">
    <w:name w:val="au"/>
    <w:basedOn w:val="DefaultParagraphFont"/>
  </w:style>
  <w:style w:type="paragraph" w:customStyle="1" w:styleId="ag">
    <w:name w:val="ag"/>
    <w:basedOn w:val="Normal"/>
    <w:uiPriority w:val="99"/>
    <w:pPr>
      <w:spacing w:before="100" w:beforeAutospacing="1" w:after="100" w:afterAutospacing="1"/>
      <w:jc w:val="left"/>
    </w:pPr>
    <w:rPr>
      <w:rFonts w:ascii="Times New Roman" w:hAnsi="Times New Roman" w:cs="Times New Roman"/>
      <w:sz w:val="24"/>
      <w:szCs w:val="24"/>
    </w:rPr>
  </w:style>
  <w:style w:type="character" w:customStyle="1" w:styleId="ab">
    <w:name w:val="ab"/>
    <w:basedOn w:val="DefaultParagraphFont"/>
  </w:style>
  <w:style w:type="character" w:customStyle="1" w:styleId="EasyID">
    <w:name w:val="EasyID"/>
    <w:basedOn w:val="DefaultParagraphFont"/>
    <w:rPr>
      <w:rFonts w:ascii="Book Antiqua" w:eastAsia="Times New Roman" w:hAnsi="Book Antiqua" w:cs="Times New Roman"/>
      <w:sz w:val="16"/>
      <w:szCs w:val="20"/>
      <w:lang w:val="en-US" w:eastAsia="en-US" w:bidi="ar-SA"/>
    </w:rPr>
  </w:style>
  <w:style w:type="paragraph" w:styleId="BalloonText">
    <w:name w:val="Balloon Text"/>
    <w:basedOn w:val="Normal"/>
    <w:link w:val="BalloonTextChar"/>
    <w:uiPriority w:val="99"/>
    <w:semiHidden/>
    <w:unhideWhenUsed/>
    <w:rsid w:val="00FC59DD"/>
    <w:rPr>
      <w:rFonts w:ascii="Tahoma" w:hAnsi="Tahoma" w:cs="Tahoma"/>
      <w:sz w:val="16"/>
      <w:szCs w:val="16"/>
    </w:rPr>
  </w:style>
  <w:style w:type="character" w:customStyle="1" w:styleId="BalloonTextChar">
    <w:name w:val="Balloon Text Char"/>
    <w:basedOn w:val="DefaultParagraphFont"/>
    <w:link w:val="BalloonText"/>
    <w:uiPriority w:val="99"/>
    <w:semiHidden/>
    <w:rsid w:val="00FC59DD"/>
    <w:rPr>
      <w:rFonts w:ascii="Tahoma" w:hAnsi="Tahoma" w:cs="Tahoma"/>
      <w:sz w:val="16"/>
      <w:szCs w:val="16"/>
    </w:rPr>
  </w:style>
  <w:style w:type="paragraph" w:customStyle="1" w:styleId="bv">
    <w:name w:val="bv"/>
    <w:basedOn w:val="Normal"/>
    <w:rsid w:val="00FC59DD"/>
    <w:pPr>
      <w:spacing w:before="100" w:beforeAutospacing="1" w:after="100" w:afterAutospacing="1"/>
      <w:jc w:val="left"/>
    </w:pPr>
    <w:rPr>
      <w:rFonts w:ascii="Times New Roman" w:eastAsia="Times New Roman" w:hAnsi="Times New Roman" w:cs="Times New Roman"/>
      <w:sz w:val="24"/>
      <w:szCs w:val="24"/>
      <w:lang w:val="en-IE" w:eastAsia="en-IE"/>
    </w:rPr>
  </w:style>
  <w:style w:type="character" w:customStyle="1" w:styleId="x">
    <w:name w:val="x"/>
    <w:basedOn w:val="DefaultParagraphFont"/>
    <w:rsid w:val="00FC59DD"/>
  </w:style>
  <w:style w:type="character" w:customStyle="1" w:styleId="u">
    <w:name w:val="u"/>
    <w:basedOn w:val="DefaultParagraphFont"/>
    <w:rsid w:val="00FC5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iresreit.i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2017-09-15T16:01:05+00:00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D3584-95BA-47CE-B0C0-4CF060F737CD}"/>
</file>

<file path=customXml/itemProps2.xml><?xml version="1.0" encoding="utf-8"?>
<ds:datastoreItem xmlns:ds="http://schemas.openxmlformats.org/officeDocument/2006/customXml" ds:itemID="{454CEFC5-E023-4905-933B-A57215239DA8}"/>
</file>

<file path=customXml/itemProps3.xml><?xml version="1.0" encoding="utf-8"?>
<ds:datastoreItem xmlns:ds="http://schemas.openxmlformats.org/officeDocument/2006/customXml" ds:itemID="{4A176E7E-E694-4FC8-8C30-EF1479C0EEE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CAPREIT</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Conde</dc:creator>
  <cp:keywords/>
  <dc:description/>
  <cp:lastModifiedBy>Dunn Katie</cp:lastModifiedBy>
  <cp:revision>3</cp:revision>
  <dcterms:created xsi:type="dcterms:W3CDTF">2017-09-15T15:42:00Z</dcterms:created>
  <dcterms:modified xsi:type="dcterms:W3CDTF">2017-09-15T16:05:00Z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2660 V10</vt:lpwstr>
  </property>
  <property fmtid="{D5CDD505-2E9C-101B-9397-08002B2CF9AE}" pid="6" name="ContentTypeId">
    <vt:lpwstr>0x010100BE156B1CF39149A8843C57AB06C49AFE0011B886BEF4CCD94F85F46E94360FD412</vt:lpwstr>
  </property>
  <property fmtid="{D5CDD505-2E9C-101B-9397-08002B2CF9AE}" pid="7" name="DocType_AnnouncementDocument">
    <vt:lpwstr>RNS Announcement</vt:lpwstr>
  </property>
  <property fmtid="{D5CDD505-2E9C-101B-9397-08002B2CF9AE}" pid="8" name="SendToWeb">
    <vt:bool>false</vt:bool>
  </property>
  <property fmtid="{D5CDD505-2E9C-101B-9397-08002B2CF9AE}" pid="9" name="Visible">
    <vt:bool>false</vt:bool>
  </property>
  <property fmtid="{D5CDD505-2E9C-101B-9397-08002B2CF9AE}" pid="10" name="DocType_Miscellaneous">
    <vt:lpwstr>Miscellaneous</vt:lpwstr>
  </property>
  <property fmtid="{D5CDD505-2E9C-101B-9397-08002B2CF9AE}" pid="11" name="IssuerID">
    <vt:lpwstr/>
  </property>
  <property fmtid="{D5CDD505-2E9C-101B-9397-08002B2CF9AE}" pid="12" name="JobContentType">
    <vt:lpwstr/>
  </property>
  <property fmtid="{D5CDD505-2E9C-101B-9397-08002B2CF9AE}" pid="13" name="MediaServiceImageTags">
    <vt:lpwstr/>
  </property>
  <property fmtid="{D5CDD505-2E9C-101B-9397-08002B2CF9AE}" pid="14" name="Organisation">
    <vt:lpwstr/>
  </property>
  <property fmtid="{D5CDD505-2E9C-101B-9397-08002B2CF9AE}" pid="15" name="JobType">
    <vt:lpwstr/>
  </property>
  <property fmtid="{D5CDD505-2E9C-101B-9397-08002B2CF9AE}" pid="16" name="Contact">
    <vt:lpwstr/>
  </property>
  <property fmtid="{D5CDD505-2E9C-101B-9397-08002B2CF9AE}" pid="17" name="IssuerName">
    <vt:lpwstr/>
  </property>
</Properties>
</file>