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CCBC4" w14:textId="77777777" w:rsidR="005B0E50" w:rsidRDefault="004717D3">
      <w:pPr>
        <w:jc w:val="both"/>
      </w:pPr>
      <w:r w:rsidRPr="004717D3">
        <w:t xml:space="preserve">11 </w:t>
      </w:r>
      <w:r w:rsidR="00900879" w:rsidRPr="004717D3">
        <w:t>D</w:t>
      </w:r>
      <w:r w:rsidR="00900879">
        <w:t>ecember</w:t>
      </w:r>
      <w:r w:rsidR="002D5AD0">
        <w:t xml:space="preserve"> 2018</w:t>
      </w:r>
    </w:p>
    <w:p w14:paraId="04BCCBC5" w14:textId="77777777" w:rsidR="009D1DB0" w:rsidRDefault="009D1DB0">
      <w:pPr>
        <w:jc w:val="both"/>
      </w:pPr>
    </w:p>
    <w:p w14:paraId="04BCCBC6" w14:textId="77777777" w:rsidR="009D1DB0" w:rsidRPr="00463CD3" w:rsidRDefault="009D1DB0">
      <w:pPr>
        <w:jc w:val="both"/>
        <w:rPr>
          <w:b/>
        </w:rPr>
      </w:pPr>
    </w:p>
    <w:p w14:paraId="04BCCBC7" w14:textId="77777777" w:rsidR="004C0FCA" w:rsidRDefault="00DF5EB8" w:rsidP="00683823">
      <w:pPr>
        <w:rPr>
          <w:b/>
          <w:sz w:val="32"/>
          <w:szCs w:val="32"/>
        </w:rPr>
      </w:pPr>
      <w:r>
        <w:rPr>
          <w:b/>
          <w:sz w:val="32"/>
          <w:szCs w:val="32"/>
        </w:rPr>
        <w:t xml:space="preserve">RETIREMENT OF DIRECTOR AND </w:t>
      </w:r>
      <w:r w:rsidR="00D87C40">
        <w:rPr>
          <w:b/>
          <w:sz w:val="32"/>
          <w:szCs w:val="32"/>
        </w:rPr>
        <w:t>APPOINTMENT OF NEW DIRECTOR</w:t>
      </w:r>
    </w:p>
    <w:p w14:paraId="04BCCBC8" w14:textId="77777777" w:rsidR="002A3FB1" w:rsidRDefault="002A3FB1" w:rsidP="002A3FB1">
      <w:pPr>
        <w:jc w:val="both"/>
        <w:rPr>
          <w:b/>
          <w:sz w:val="32"/>
          <w:szCs w:val="32"/>
        </w:rPr>
      </w:pPr>
    </w:p>
    <w:p w14:paraId="04BCCBC9" w14:textId="77777777" w:rsidR="00DF5EB8" w:rsidRDefault="00DF5EB8" w:rsidP="00DF5EB8">
      <w:pPr>
        <w:jc w:val="both"/>
      </w:pPr>
      <w:r>
        <w:t>Irish Residential Properties REIT plc (“</w:t>
      </w:r>
      <w:r>
        <w:rPr>
          <w:b/>
        </w:rPr>
        <w:t>I●RES</w:t>
      </w:r>
      <w:r>
        <w:t>” or the “</w:t>
      </w:r>
      <w:r>
        <w:rPr>
          <w:b/>
        </w:rPr>
        <w:t>Company</w:t>
      </w:r>
      <w:r>
        <w:t>”) announces that David Ehrlich, a non-executive director of the Company and IRES Fund Management Limited’s nominee</w:t>
      </w:r>
      <w:r w:rsidR="00D444E4">
        <w:t xml:space="preserve"> on the Company’s board</w:t>
      </w:r>
      <w:r>
        <w:t xml:space="preserve">, has advised the Company that he will retire as a director of the Company with effect </w:t>
      </w:r>
      <w:r w:rsidRPr="00DF5EB8">
        <w:t>from 31 December 2018.</w:t>
      </w:r>
    </w:p>
    <w:p w14:paraId="04BCCBCA" w14:textId="77777777" w:rsidR="00DF5EB8" w:rsidRDefault="00DF5EB8" w:rsidP="00DF5EB8">
      <w:pPr>
        <w:jc w:val="both"/>
      </w:pPr>
    </w:p>
    <w:p w14:paraId="04BCCBCB" w14:textId="77777777" w:rsidR="00DF5EB8" w:rsidRDefault="00DC5AD6" w:rsidP="00DF5EB8">
      <w:pPr>
        <w:jc w:val="both"/>
      </w:pPr>
      <w:r>
        <w:t>Mr. Ehrlich’s decision</w:t>
      </w:r>
      <w:r w:rsidR="00DF5EB8">
        <w:t xml:space="preserve"> follows an announcement by Canadian Apartment Properties Real Estate Investment Trust (“</w:t>
      </w:r>
      <w:r w:rsidR="00DF5EB8">
        <w:rPr>
          <w:b/>
        </w:rPr>
        <w:t>CAPREIT</w:t>
      </w:r>
      <w:r w:rsidR="00D444E4">
        <w:t>”) that Mr. Ehrlich will</w:t>
      </w:r>
      <w:r w:rsidR="00DF5EB8">
        <w:t xml:space="preserve"> be retiring as Chief Executive Officer of CAPREIT with effect from 31 December 2018. </w:t>
      </w:r>
      <w:r w:rsidR="001F107C">
        <w:t xml:space="preserve">  Mr. Ehrlich will continue to serve as a trustee on the board of CAPREIT.</w:t>
      </w:r>
      <w:r w:rsidR="00DF5EB8">
        <w:t xml:space="preserve"> </w:t>
      </w:r>
    </w:p>
    <w:p w14:paraId="04BCCBCC" w14:textId="77777777" w:rsidR="00DF5EB8" w:rsidRDefault="00DF5EB8" w:rsidP="00DF5EB8">
      <w:pPr>
        <w:jc w:val="both"/>
      </w:pPr>
    </w:p>
    <w:p w14:paraId="04BCCBCD" w14:textId="77777777" w:rsidR="00DF5EB8" w:rsidRDefault="00DF5EB8" w:rsidP="00DF5EB8">
      <w:pPr>
        <w:jc w:val="both"/>
      </w:pPr>
      <w:r>
        <w:t>CAPREIT is indirectly the Company’s largest shareholder and, together with its subsidiary IRES Fund Management</w:t>
      </w:r>
      <w:r w:rsidR="00DC5AD6">
        <w:t xml:space="preserve"> Limited</w:t>
      </w:r>
      <w:r>
        <w:t>, provides asset management and property management services to the Company.</w:t>
      </w:r>
    </w:p>
    <w:p w14:paraId="04BCCBCE" w14:textId="77777777" w:rsidR="00CE4FB8" w:rsidRDefault="00CE4FB8" w:rsidP="00325CFB">
      <w:pPr>
        <w:jc w:val="both"/>
      </w:pPr>
    </w:p>
    <w:p w14:paraId="04BCCBCF" w14:textId="77777777" w:rsidR="00DF5EB8" w:rsidRDefault="00DF5EB8" w:rsidP="00D87C40">
      <w:pPr>
        <w:jc w:val="both"/>
      </w:pPr>
      <w:r>
        <w:t xml:space="preserve">The Company is delighted to announce the appointment of </w:t>
      </w:r>
      <w:r w:rsidR="00D87C40">
        <w:t xml:space="preserve">Mark Kenney </w:t>
      </w:r>
      <w:r>
        <w:t>to the board of the Company as a non-independent non-executive director with effect from 1 January 2019.  Mr. Kenney will succeed Mr.  Ehrlich as IRES Fund Management</w:t>
      </w:r>
      <w:r w:rsidR="00DC5AD6">
        <w:t xml:space="preserve"> Limited</w:t>
      </w:r>
      <w:r>
        <w:t xml:space="preserve">’s nominee on the board of the Company.  </w:t>
      </w:r>
    </w:p>
    <w:p w14:paraId="04BCCBD0" w14:textId="77777777" w:rsidR="00DF5EB8" w:rsidRDefault="00DF5EB8" w:rsidP="00D87C40">
      <w:pPr>
        <w:jc w:val="both"/>
      </w:pPr>
    </w:p>
    <w:p w14:paraId="04BCCBD1" w14:textId="77777777" w:rsidR="00D87C40" w:rsidRDefault="00DF5EB8" w:rsidP="00D87C40">
      <w:pPr>
        <w:jc w:val="both"/>
      </w:pPr>
      <w:r>
        <w:t xml:space="preserve">Mark Kenney </w:t>
      </w:r>
      <w:r w:rsidR="00D87C40">
        <w:t xml:space="preserve">is currently the President and Chief Operating Officer of CAPREIT.  Mr. Kenney joined CAPREIT in 1998 and, since that time, has been actively involved in creating and implementing </w:t>
      </w:r>
      <w:r w:rsidR="008D7224">
        <w:t>CAPREIT</w:t>
      </w:r>
      <w:r w:rsidR="00D87C40">
        <w:t xml:space="preserve">'s policy, directing the property management team, and overseeing the marketing, procurement, development and </w:t>
      </w:r>
      <w:r w:rsidR="008D7224">
        <w:t xml:space="preserve">acquisitions departments. </w:t>
      </w:r>
      <w:r w:rsidR="00D87C40">
        <w:t>Mr. Kenney oversees all of CAPREIT's operations in Canada and Europe</w:t>
      </w:r>
      <w:r w:rsidR="00E41A03">
        <w:t>, including IRES Fund Management</w:t>
      </w:r>
      <w:r w:rsidR="00DC5AD6">
        <w:t xml:space="preserve"> Limited</w:t>
      </w:r>
      <w:r w:rsidR="00E41A03">
        <w:t>’s operations in Ireland</w:t>
      </w:r>
      <w:r w:rsidR="00D87C40">
        <w:t>.</w:t>
      </w:r>
    </w:p>
    <w:p w14:paraId="04BCCBD2" w14:textId="77777777" w:rsidR="00E41A03" w:rsidRDefault="00E41A03" w:rsidP="00D87C40">
      <w:pPr>
        <w:jc w:val="both"/>
      </w:pPr>
    </w:p>
    <w:p w14:paraId="04BCCBD3" w14:textId="77777777" w:rsidR="00D87C40" w:rsidRDefault="00D87C40" w:rsidP="00D87C40">
      <w:pPr>
        <w:jc w:val="both"/>
      </w:pPr>
      <w:r>
        <w:t>Mr. Kenney has more than 28 years of experience in the multi-family real estate sector. Prior to joining CAPREIT, Mr. Kenney held a senior position at Realstar Management Partnership, overseeing portfolios in Western Canada and Northern Ontario. He has also held various leadership roles at Greenwin Property Management and Tridel, where he managed portfolios in the Greater Toronto Area. Mr. Kenney is a</w:t>
      </w:r>
      <w:r w:rsidR="00CE4FB8">
        <w:t xml:space="preserve"> former</w:t>
      </w:r>
      <w:r>
        <w:t xml:space="preserve"> board member of the Federation of Rental-Housing Providers of Ontari</w:t>
      </w:r>
      <w:r w:rsidR="00CE4FB8">
        <w:t>o and St. Hilda's Towers and was</w:t>
      </w:r>
      <w:r>
        <w:t xml:space="preserve"> a founding board member of the </w:t>
      </w:r>
      <w:r w:rsidR="00CE4FB8" w:rsidRPr="00CE4FB8">
        <w:t>Greater Toronto Apartment Association (GTAA)</w:t>
      </w:r>
      <w:r w:rsidRPr="00CE4FB8">
        <w:t>.</w:t>
      </w:r>
      <w:r>
        <w:t xml:space="preserve"> He holds a Bachelor of Economics degree from Carleton University.</w:t>
      </w:r>
    </w:p>
    <w:p w14:paraId="04BCCBD4" w14:textId="77777777" w:rsidR="00325CFB" w:rsidRDefault="00325CFB" w:rsidP="00325CFB">
      <w:pPr>
        <w:pStyle w:val="j"/>
        <w:spacing w:before="0" w:beforeAutospacing="0" w:after="0" w:afterAutospacing="0"/>
        <w:jc w:val="both"/>
        <w:rPr>
          <w:rFonts w:asciiTheme="minorHAnsi" w:hAnsiTheme="minorHAnsi" w:cstheme="minorBidi"/>
          <w:sz w:val="22"/>
          <w:szCs w:val="22"/>
        </w:rPr>
      </w:pPr>
    </w:p>
    <w:p w14:paraId="04BCCBD5" w14:textId="77777777" w:rsidR="00325CFB" w:rsidRPr="00D87C40" w:rsidRDefault="00D87C40" w:rsidP="00325CFB">
      <w:pPr>
        <w:pStyle w:val="ch"/>
        <w:spacing w:before="0" w:beforeAutospacing="0" w:after="0" w:afterAutospacing="0"/>
        <w:jc w:val="both"/>
        <w:rPr>
          <w:rFonts w:asciiTheme="minorHAnsi" w:hAnsiTheme="minorHAnsi" w:cstheme="minorBidi"/>
          <w:b/>
          <w:sz w:val="22"/>
          <w:szCs w:val="22"/>
        </w:rPr>
      </w:pPr>
      <w:r>
        <w:rPr>
          <w:rFonts w:asciiTheme="minorHAnsi" w:hAnsiTheme="minorHAnsi" w:cstheme="minorBidi"/>
          <w:sz w:val="22"/>
          <w:szCs w:val="22"/>
        </w:rPr>
        <w:t>Mr. Kenney</w:t>
      </w:r>
      <w:r w:rsidR="00325CFB">
        <w:rPr>
          <w:rFonts w:asciiTheme="minorHAnsi" w:hAnsiTheme="minorHAnsi" w:cstheme="minorBidi"/>
          <w:sz w:val="22"/>
          <w:szCs w:val="22"/>
        </w:rPr>
        <w:t xml:space="preserve"> </w:t>
      </w:r>
      <w:r>
        <w:rPr>
          <w:rFonts w:asciiTheme="minorHAnsi" w:hAnsiTheme="minorHAnsi" w:cstheme="minorBidi"/>
          <w:sz w:val="22"/>
          <w:szCs w:val="22"/>
        </w:rPr>
        <w:t xml:space="preserve">has </w:t>
      </w:r>
      <w:r w:rsidR="00A74C4A" w:rsidRPr="00A74C4A">
        <w:rPr>
          <w:rFonts w:asciiTheme="minorHAnsi" w:hAnsiTheme="minorHAnsi" w:cstheme="minorBidi"/>
          <w:sz w:val="22"/>
          <w:szCs w:val="22"/>
        </w:rPr>
        <w:t>1,500,000</w:t>
      </w:r>
      <w:r w:rsidR="00A74C4A">
        <w:rPr>
          <w:lang w:val="en-CA"/>
        </w:rPr>
        <w:t xml:space="preserve"> </w:t>
      </w:r>
      <w:r w:rsidR="00DC5AD6">
        <w:rPr>
          <w:rFonts w:asciiTheme="minorHAnsi" w:hAnsiTheme="minorHAnsi" w:cstheme="minorBidi"/>
          <w:sz w:val="22"/>
          <w:szCs w:val="22"/>
        </w:rPr>
        <w:t>share options in I•RES but</w:t>
      </w:r>
      <w:r>
        <w:rPr>
          <w:rFonts w:asciiTheme="minorHAnsi" w:hAnsiTheme="minorHAnsi" w:cstheme="minorBidi"/>
          <w:sz w:val="22"/>
          <w:szCs w:val="22"/>
        </w:rPr>
        <w:t xml:space="preserve"> has no other </w:t>
      </w:r>
      <w:r w:rsidR="00325CFB">
        <w:rPr>
          <w:rFonts w:asciiTheme="minorHAnsi" w:hAnsiTheme="minorHAnsi" w:cstheme="minorBidi"/>
          <w:sz w:val="22"/>
          <w:szCs w:val="22"/>
        </w:rPr>
        <w:t>interest</w:t>
      </w:r>
      <w:r w:rsidR="008D7224">
        <w:rPr>
          <w:rFonts w:asciiTheme="minorHAnsi" w:hAnsiTheme="minorHAnsi" w:cstheme="minorBidi"/>
          <w:sz w:val="22"/>
          <w:szCs w:val="22"/>
        </w:rPr>
        <w:t>s</w:t>
      </w:r>
      <w:r w:rsidR="00325CFB">
        <w:rPr>
          <w:rFonts w:asciiTheme="minorHAnsi" w:hAnsiTheme="minorHAnsi" w:cstheme="minorBidi"/>
          <w:sz w:val="22"/>
          <w:szCs w:val="22"/>
        </w:rPr>
        <w:t xml:space="preserve"> in any shares</w:t>
      </w:r>
      <w:r>
        <w:rPr>
          <w:rFonts w:asciiTheme="minorHAnsi" w:hAnsiTheme="minorHAnsi" w:cstheme="minorBidi"/>
          <w:sz w:val="22"/>
          <w:szCs w:val="22"/>
        </w:rPr>
        <w:t xml:space="preserve"> of I•RES. </w:t>
      </w:r>
    </w:p>
    <w:p w14:paraId="04BCCBD6" w14:textId="77777777" w:rsidR="00325CFB" w:rsidRDefault="00325CFB" w:rsidP="00325CFB">
      <w:pPr>
        <w:pStyle w:val="j"/>
        <w:spacing w:before="0" w:beforeAutospacing="0" w:after="0" w:afterAutospacing="0"/>
        <w:jc w:val="both"/>
        <w:rPr>
          <w:rFonts w:asciiTheme="minorHAnsi" w:hAnsiTheme="minorHAnsi" w:cstheme="minorBidi"/>
          <w:sz w:val="22"/>
          <w:szCs w:val="22"/>
        </w:rPr>
      </w:pPr>
    </w:p>
    <w:p w14:paraId="04BCCBD7" w14:textId="77777777" w:rsidR="00325CFB" w:rsidRDefault="00325CFB" w:rsidP="00325CFB">
      <w:pPr>
        <w:pStyle w:val="j"/>
        <w:spacing w:before="0" w:beforeAutospacing="0" w:after="0" w:afterAutospacing="0"/>
        <w:jc w:val="both"/>
        <w:rPr>
          <w:rFonts w:asciiTheme="minorHAnsi" w:hAnsiTheme="minorHAnsi" w:cstheme="minorBidi"/>
          <w:sz w:val="22"/>
          <w:szCs w:val="22"/>
        </w:rPr>
      </w:pPr>
      <w:r>
        <w:rPr>
          <w:rFonts w:asciiTheme="minorHAnsi" w:hAnsiTheme="minorHAnsi" w:cstheme="minorBidi"/>
          <w:sz w:val="22"/>
          <w:szCs w:val="22"/>
        </w:rPr>
        <w:t xml:space="preserve">Mr. </w:t>
      </w:r>
      <w:r w:rsidR="00D87C40">
        <w:rPr>
          <w:rFonts w:asciiTheme="minorHAnsi" w:hAnsiTheme="minorHAnsi" w:cstheme="minorBidi"/>
          <w:sz w:val="22"/>
          <w:szCs w:val="22"/>
        </w:rPr>
        <w:t>Kenney</w:t>
      </w:r>
      <w:r>
        <w:rPr>
          <w:rFonts w:asciiTheme="minorHAnsi" w:hAnsiTheme="minorHAnsi" w:cstheme="minorBidi"/>
          <w:sz w:val="22"/>
          <w:szCs w:val="22"/>
        </w:rPr>
        <w:t xml:space="preserve"> has not held any directorships in other publicly quoted companies at any time in the previous five (5) years. </w:t>
      </w:r>
      <w:r w:rsidR="00D87C40">
        <w:rPr>
          <w:rFonts w:asciiTheme="minorHAnsi" w:hAnsiTheme="minorHAnsi" w:cstheme="minorBidi"/>
          <w:sz w:val="22"/>
          <w:szCs w:val="22"/>
        </w:rPr>
        <w:t xml:space="preserve"> </w:t>
      </w:r>
    </w:p>
    <w:p w14:paraId="04BCCBD8" w14:textId="77777777" w:rsidR="00325CFB" w:rsidRDefault="00325CFB" w:rsidP="00325CFB">
      <w:pPr>
        <w:pStyle w:val="j"/>
        <w:spacing w:before="0" w:beforeAutospacing="0" w:after="0" w:afterAutospacing="0"/>
        <w:jc w:val="both"/>
        <w:rPr>
          <w:rFonts w:asciiTheme="minorHAnsi" w:hAnsiTheme="minorHAnsi" w:cstheme="minorBidi"/>
          <w:sz w:val="22"/>
          <w:szCs w:val="22"/>
        </w:rPr>
      </w:pPr>
    </w:p>
    <w:p w14:paraId="04BCCBD9" w14:textId="77777777" w:rsidR="00325CFB" w:rsidRDefault="00325CFB" w:rsidP="00325CFB">
      <w:pPr>
        <w:pStyle w:val="ch"/>
        <w:spacing w:before="0" w:beforeAutospacing="0" w:after="0" w:afterAutospacing="0"/>
        <w:jc w:val="both"/>
        <w:rPr>
          <w:rFonts w:asciiTheme="minorHAnsi" w:hAnsiTheme="minorHAnsi" w:cstheme="minorBidi"/>
          <w:b/>
          <w:sz w:val="22"/>
          <w:szCs w:val="22"/>
        </w:rPr>
      </w:pPr>
      <w:r>
        <w:rPr>
          <w:rFonts w:asciiTheme="minorHAnsi" w:hAnsiTheme="minorHAnsi" w:cstheme="minorBidi"/>
          <w:sz w:val="22"/>
          <w:szCs w:val="22"/>
        </w:rPr>
        <w:t>I•RES</w:t>
      </w:r>
      <w:r>
        <w:t xml:space="preserve"> </w:t>
      </w:r>
      <w:r>
        <w:rPr>
          <w:rFonts w:asciiTheme="minorHAnsi" w:hAnsiTheme="minorHAnsi" w:cstheme="minorBidi"/>
          <w:sz w:val="22"/>
          <w:szCs w:val="22"/>
        </w:rPr>
        <w:t>confirms that there are no other matters requiring disclosure in relation to Rule</w:t>
      </w:r>
      <w:r w:rsidR="00D87C40">
        <w:rPr>
          <w:rFonts w:asciiTheme="minorHAnsi" w:hAnsiTheme="minorHAnsi" w:cstheme="minorBidi"/>
          <w:sz w:val="22"/>
          <w:szCs w:val="22"/>
        </w:rPr>
        <w:t xml:space="preserve"> </w:t>
      </w:r>
      <w:r w:rsidR="00DF5EB8">
        <w:rPr>
          <w:rFonts w:asciiTheme="minorHAnsi" w:hAnsiTheme="minorHAnsi" w:cstheme="minorBidi"/>
          <w:sz w:val="22"/>
          <w:szCs w:val="22"/>
        </w:rPr>
        <w:t xml:space="preserve">6.6.5, </w:t>
      </w:r>
      <w:r>
        <w:rPr>
          <w:rFonts w:asciiTheme="minorHAnsi" w:hAnsiTheme="minorHAnsi" w:cstheme="minorBidi"/>
          <w:sz w:val="22"/>
          <w:szCs w:val="22"/>
        </w:rPr>
        <w:t>6.6.7 (1) to (6) of the Main Securities Market Listing Ru</w:t>
      </w:r>
      <w:r w:rsidR="00DC5AD6">
        <w:rPr>
          <w:rFonts w:asciiTheme="minorHAnsi" w:hAnsiTheme="minorHAnsi" w:cstheme="minorBidi"/>
          <w:sz w:val="22"/>
          <w:szCs w:val="22"/>
        </w:rPr>
        <w:t xml:space="preserve">les of Euronext Dublin (the </w:t>
      </w:r>
      <w:r>
        <w:rPr>
          <w:rFonts w:asciiTheme="minorHAnsi" w:hAnsiTheme="minorHAnsi" w:cstheme="minorBidi"/>
          <w:sz w:val="22"/>
          <w:szCs w:val="22"/>
        </w:rPr>
        <w:t>trading name of The Irish Stock Exchange plc).  </w:t>
      </w:r>
    </w:p>
    <w:p w14:paraId="04BCCBDA" w14:textId="77777777" w:rsidR="002A3FB1" w:rsidRDefault="002A3FB1" w:rsidP="002A3FB1">
      <w:pPr>
        <w:jc w:val="both"/>
      </w:pPr>
    </w:p>
    <w:p w14:paraId="04BCCBDB" w14:textId="77777777" w:rsidR="000F3AAC" w:rsidRDefault="000F3AAC" w:rsidP="002A3FB1">
      <w:pPr>
        <w:jc w:val="both"/>
      </w:pPr>
    </w:p>
    <w:p w14:paraId="04BCCBDC" w14:textId="77777777" w:rsidR="000F3AAC" w:rsidRDefault="000F3AAC" w:rsidP="002A3FB1">
      <w:pPr>
        <w:jc w:val="both"/>
      </w:pPr>
    </w:p>
    <w:p w14:paraId="04BCCBDD" w14:textId="77777777" w:rsidR="000F3AAC" w:rsidRDefault="000F3AAC" w:rsidP="002A3FB1">
      <w:pPr>
        <w:jc w:val="both"/>
      </w:pPr>
    </w:p>
    <w:p w14:paraId="04BCCBDE" w14:textId="77777777" w:rsidR="000F3AAC" w:rsidRDefault="000F3AAC" w:rsidP="002A3FB1">
      <w:pPr>
        <w:jc w:val="both"/>
      </w:pPr>
    </w:p>
    <w:p w14:paraId="04BCCBDF" w14:textId="77777777" w:rsidR="00C12F78" w:rsidRDefault="002A3FB1" w:rsidP="002A3FB1">
      <w:pPr>
        <w:jc w:val="both"/>
      </w:pPr>
      <w:r w:rsidRPr="00244225">
        <w:lastRenderedPageBreak/>
        <w:t>Declan Moylan, I●RES’ Chairman, commented:</w:t>
      </w:r>
      <w:r w:rsidR="00244225">
        <w:t xml:space="preserve">  </w:t>
      </w:r>
    </w:p>
    <w:p w14:paraId="04BCCBE0" w14:textId="77777777" w:rsidR="00C12F78" w:rsidRDefault="00C12F78" w:rsidP="002A3FB1">
      <w:pPr>
        <w:jc w:val="both"/>
      </w:pPr>
    </w:p>
    <w:p w14:paraId="04BCCBE1" w14:textId="77777777" w:rsidR="00C12F78" w:rsidRDefault="00244225" w:rsidP="002A3FB1">
      <w:pPr>
        <w:jc w:val="both"/>
      </w:pPr>
      <w:r>
        <w:rPr>
          <w:rFonts w:eastAsia="Times New Roman"/>
        </w:rPr>
        <w:t>“</w:t>
      </w:r>
      <w:r>
        <w:rPr>
          <w:rFonts w:eastAsia="Times New Roman"/>
          <w:i/>
        </w:rPr>
        <w:t>Since it</w:t>
      </w:r>
      <w:r w:rsidRPr="00244225">
        <w:rPr>
          <w:rFonts w:eastAsia="Times New Roman"/>
          <w:i/>
        </w:rPr>
        <w:t>s inception in 2014, David Ehrlic</w:t>
      </w:r>
      <w:r w:rsidR="00D444E4">
        <w:rPr>
          <w:rFonts w:eastAsia="Times New Roman"/>
          <w:i/>
        </w:rPr>
        <w:t>h has le</w:t>
      </w:r>
      <w:r>
        <w:rPr>
          <w:rFonts w:eastAsia="Times New Roman"/>
          <w:i/>
        </w:rPr>
        <w:t xml:space="preserve">d the formation of </w:t>
      </w:r>
      <w:r w:rsidRPr="00244225">
        <w:rPr>
          <w:i/>
        </w:rPr>
        <w:t>I●RES</w:t>
      </w:r>
      <w:r w:rsidRPr="00244225">
        <w:rPr>
          <w:rFonts w:eastAsia="Times New Roman"/>
          <w:i/>
        </w:rPr>
        <w:t xml:space="preserve"> as its first Chief Executive Officer and oversaw the development of </w:t>
      </w:r>
      <w:r w:rsidRPr="00244225">
        <w:rPr>
          <w:i/>
        </w:rPr>
        <w:t>I●RES</w:t>
      </w:r>
      <w:r w:rsidRPr="00244225">
        <w:rPr>
          <w:rFonts w:eastAsia="Times New Roman"/>
          <w:i/>
        </w:rPr>
        <w:t xml:space="preserve"> into </w:t>
      </w:r>
      <w:r>
        <w:rPr>
          <w:rFonts w:eastAsia="Times New Roman"/>
          <w:i/>
        </w:rPr>
        <w:t>Ireland’s largest multi-</w:t>
      </w:r>
      <w:r w:rsidRPr="00244225">
        <w:rPr>
          <w:rFonts w:eastAsia="Times New Roman"/>
          <w:i/>
        </w:rPr>
        <w:t>residential apartment ow</w:t>
      </w:r>
      <w:r>
        <w:rPr>
          <w:rFonts w:eastAsia="Times New Roman"/>
          <w:i/>
        </w:rPr>
        <w:t>ner until his appointment as Chief Executive Officer</w:t>
      </w:r>
      <w:r w:rsidRPr="00244225">
        <w:rPr>
          <w:rFonts w:eastAsia="Times New Roman"/>
          <w:i/>
        </w:rPr>
        <w:t xml:space="preserve"> of CAPREIT in</w:t>
      </w:r>
      <w:r>
        <w:rPr>
          <w:rFonts w:eastAsia="Times New Roman"/>
          <w:i/>
        </w:rPr>
        <w:t xml:space="preserve"> 2017. On behalf of the Board, </w:t>
      </w:r>
      <w:r w:rsidRPr="00244225">
        <w:rPr>
          <w:rFonts w:eastAsia="Times New Roman"/>
          <w:i/>
        </w:rPr>
        <w:t xml:space="preserve">I want to thank David for his professional and personal commitment and dedication to </w:t>
      </w:r>
      <w:r w:rsidRPr="00244225">
        <w:rPr>
          <w:i/>
        </w:rPr>
        <w:t>I●RES</w:t>
      </w:r>
      <w:r w:rsidRPr="00244225">
        <w:rPr>
          <w:rFonts w:eastAsia="Times New Roman"/>
          <w:i/>
        </w:rPr>
        <w:t xml:space="preserve"> </w:t>
      </w:r>
      <w:r>
        <w:rPr>
          <w:rFonts w:eastAsia="Times New Roman"/>
          <w:i/>
        </w:rPr>
        <w:t xml:space="preserve">during his tenure as Chief Executive Officer and </w:t>
      </w:r>
      <w:r w:rsidR="00DC5AD6">
        <w:rPr>
          <w:rFonts w:eastAsia="Times New Roman"/>
          <w:i/>
        </w:rPr>
        <w:t>subsequently as non-executive director</w:t>
      </w:r>
      <w:r w:rsidRPr="00244225">
        <w:rPr>
          <w:rFonts w:eastAsia="Times New Roman"/>
          <w:i/>
        </w:rPr>
        <w:t xml:space="preserve"> and wish him well for the future</w:t>
      </w:r>
      <w:r>
        <w:rPr>
          <w:rFonts w:eastAsia="Times New Roman"/>
        </w:rPr>
        <w:t>.</w:t>
      </w:r>
      <w:r w:rsidR="00C12F78" w:rsidRPr="00C12F78">
        <w:t xml:space="preserve"> </w:t>
      </w:r>
    </w:p>
    <w:p w14:paraId="04BCCBE2" w14:textId="77777777" w:rsidR="00C12F78" w:rsidRDefault="00C12F78" w:rsidP="002A3FB1">
      <w:pPr>
        <w:jc w:val="both"/>
      </w:pPr>
    </w:p>
    <w:p w14:paraId="04BCCBE3" w14:textId="77777777" w:rsidR="00244225" w:rsidRPr="00C12F78" w:rsidRDefault="00D444E4" w:rsidP="002A3FB1">
      <w:pPr>
        <w:jc w:val="both"/>
        <w:rPr>
          <w:rFonts w:eastAsia="Times New Roman"/>
        </w:rPr>
      </w:pPr>
      <w:r>
        <w:rPr>
          <w:rFonts w:eastAsia="Times New Roman"/>
          <w:i/>
        </w:rPr>
        <w:t>I am very</w:t>
      </w:r>
      <w:r w:rsidR="00C12F78" w:rsidRPr="00C12F78">
        <w:rPr>
          <w:rFonts w:eastAsia="Times New Roman"/>
          <w:i/>
        </w:rPr>
        <w:t xml:space="preserve"> pleased to welcome </w:t>
      </w:r>
      <w:r w:rsidR="00C12F78">
        <w:rPr>
          <w:rFonts w:eastAsia="Times New Roman"/>
          <w:i/>
        </w:rPr>
        <w:t>Mark Kenney to the Board of I</w:t>
      </w:r>
      <w:r w:rsidR="00C12F78" w:rsidRPr="00C12F78">
        <w:rPr>
          <w:rFonts w:eastAsia="Times New Roman"/>
          <w:i/>
        </w:rPr>
        <w:t>●</w:t>
      </w:r>
      <w:r w:rsidR="00C12F78">
        <w:rPr>
          <w:rFonts w:eastAsia="Times New Roman"/>
          <w:i/>
        </w:rPr>
        <w:t>RES</w:t>
      </w:r>
      <w:r w:rsidR="00C12F78" w:rsidRPr="00C12F78">
        <w:rPr>
          <w:rFonts w:eastAsia="Times New Roman"/>
          <w:i/>
        </w:rPr>
        <w:t>. Mark brings a depth of knowledge and expertise of the Private Rented Residential sector</w:t>
      </w:r>
      <w:r>
        <w:rPr>
          <w:rFonts w:eastAsia="Times New Roman"/>
          <w:i/>
        </w:rPr>
        <w:t xml:space="preserve"> and has been actively involved with I</w:t>
      </w:r>
      <w:r w:rsidRPr="00C12F78">
        <w:rPr>
          <w:rFonts w:eastAsia="Times New Roman"/>
          <w:i/>
        </w:rPr>
        <w:t>●</w:t>
      </w:r>
      <w:r>
        <w:rPr>
          <w:rFonts w:eastAsia="Times New Roman"/>
          <w:i/>
        </w:rPr>
        <w:t>RES in his capacity as Chief Operating Officer of CAPREIT.  W</w:t>
      </w:r>
      <w:r w:rsidR="00C12F78" w:rsidRPr="00C12F78">
        <w:rPr>
          <w:rFonts w:eastAsia="Times New Roman"/>
          <w:i/>
        </w:rPr>
        <w:t>e look forward to his significant contribution to the Board.</w:t>
      </w:r>
      <w:r w:rsidR="00C12F78">
        <w:rPr>
          <w:rFonts w:eastAsia="Times New Roman"/>
          <w:i/>
        </w:rPr>
        <w:t>”</w:t>
      </w:r>
    </w:p>
    <w:p w14:paraId="04BCCBE4" w14:textId="77777777" w:rsidR="002A3FB1" w:rsidRPr="00E41A03" w:rsidRDefault="002A3FB1" w:rsidP="002A3FB1">
      <w:pPr>
        <w:jc w:val="both"/>
        <w:rPr>
          <w:highlight w:val="yellow"/>
        </w:rPr>
      </w:pPr>
    </w:p>
    <w:p w14:paraId="04BCCBE5" w14:textId="77777777" w:rsidR="002A3FB1" w:rsidRPr="004700E0" w:rsidRDefault="00DF5EB8" w:rsidP="002A3FB1">
      <w:pPr>
        <w:jc w:val="both"/>
        <w:rPr>
          <w:i/>
        </w:rPr>
      </w:pPr>
      <w:r w:rsidRPr="004700E0">
        <w:t>David Ehrlich commented:</w:t>
      </w:r>
      <w:r w:rsidR="004700E0" w:rsidRPr="004700E0">
        <w:t xml:space="preserve">  “</w:t>
      </w:r>
      <w:r w:rsidR="004700E0" w:rsidRPr="004700E0">
        <w:rPr>
          <w:i/>
        </w:rPr>
        <w:t>I am enormously proud of what I</w:t>
      </w:r>
      <w:r w:rsidR="004700E0" w:rsidRPr="00C12F78">
        <w:rPr>
          <w:rFonts w:eastAsia="Times New Roman"/>
          <w:i/>
        </w:rPr>
        <w:t>●</w:t>
      </w:r>
      <w:r w:rsidR="004700E0" w:rsidRPr="004700E0">
        <w:rPr>
          <w:i/>
        </w:rPr>
        <w:t>RES has accomplished, while also setting the stage for a very bright future. It has been a great privilege both to have served I</w:t>
      </w:r>
      <w:r w:rsidR="004700E0" w:rsidRPr="00C12F78">
        <w:rPr>
          <w:rFonts w:eastAsia="Times New Roman"/>
          <w:i/>
        </w:rPr>
        <w:t>●</w:t>
      </w:r>
      <w:r w:rsidR="004700E0" w:rsidRPr="004700E0">
        <w:rPr>
          <w:i/>
        </w:rPr>
        <w:t>RES and to have worked with such a fine group of directors.</w:t>
      </w:r>
      <w:r w:rsidR="004700E0">
        <w:rPr>
          <w:i/>
        </w:rPr>
        <w:t>”</w:t>
      </w:r>
    </w:p>
    <w:p w14:paraId="04BCCBE6" w14:textId="77777777" w:rsidR="00DF5EB8" w:rsidRDefault="00DF5EB8" w:rsidP="002A3FB1">
      <w:pPr>
        <w:jc w:val="both"/>
      </w:pPr>
    </w:p>
    <w:p w14:paraId="04BCCBE7" w14:textId="77777777" w:rsidR="00D87C40" w:rsidRDefault="00D87C40" w:rsidP="002A3FB1">
      <w:pPr>
        <w:jc w:val="both"/>
      </w:pPr>
      <w:r w:rsidRPr="00960CA2">
        <w:t>Mark Kenney commented:</w:t>
      </w:r>
      <w:r w:rsidR="00960CA2">
        <w:t xml:space="preserve">  “</w:t>
      </w:r>
      <w:r w:rsidR="00960CA2" w:rsidRPr="00960CA2">
        <w:rPr>
          <w:i/>
        </w:rPr>
        <w:t>I am delighted for the opportunity to serve as a director of I●RES and contribute further to the success of this vibrant company.</w:t>
      </w:r>
      <w:r w:rsidR="00960CA2">
        <w:rPr>
          <w:i/>
        </w:rPr>
        <w:t>”</w:t>
      </w:r>
      <w:r w:rsidR="00960CA2">
        <w:t xml:space="preserve"> </w:t>
      </w:r>
    </w:p>
    <w:p w14:paraId="04BCCBE8" w14:textId="77777777" w:rsidR="000F3AAC" w:rsidRDefault="000F3AAC" w:rsidP="002A3FB1">
      <w:pPr>
        <w:jc w:val="both"/>
      </w:pPr>
    </w:p>
    <w:p w14:paraId="04BCCBE9" w14:textId="77777777" w:rsidR="00960CA2" w:rsidRPr="002A3FB1" w:rsidRDefault="00960CA2" w:rsidP="002A3FB1">
      <w:pPr>
        <w:jc w:val="both"/>
        <w:rPr>
          <w:b/>
        </w:rPr>
      </w:pPr>
    </w:p>
    <w:p w14:paraId="04BCCBEA" w14:textId="77777777" w:rsidR="00BB12AB" w:rsidRDefault="00BB12AB" w:rsidP="00BB12AB">
      <w:pPr>
        <w:jc w:val="both"/>
        <w:rPr>
          <w:b/>
        </w:rPr>
      </w:pPr>
      <w:r>
        <w:rPr>
          <w:b/>
        </w:rPr>
        <w:t>For further information please contact:</w:t>
      </w:r>
    </w:p>
    <w:p w14:paraId="04BCCBEB" w14:textId="77777777" w:rsidR="00BB12AB" w:rsidRDefault="00BB12AB" w:rsidP="00BB12AB">
      <w:pPr>
        <w:jc w:val="both"/>
      </w:pPr>
      <w:r>
        <w:t>For Investor Relations:</w:t>
      </w:r>
    </w:p>
    <w:p w14:paraId="04BCCBEC" w14:textId="77777777" w:rsidR="00BB12AB" w:rsidRDefault="00BB12AB" w:rsidP="00BB12AB">
      <w:pPr>
        <w:jc w:val="both"/>
      </w:pPr>
      <w:r>
        <w:t>Irish Residential Properties REIT plc</w:t>
      </w:r>
    </w:p>
    <w:p w14:paraId="04BCCBED" w14:textId="77777777" w:rsidR="009E5B90" w:rsidRDefault="00900879" w:rsidP="009E5B90">
      <w:pPr>
        <w:jc w:val="both"/>
      </w:pPr>
      <w:r>
        <w:t>Margaret Sweeney, Chief Executive Officer</w:t>
      </w:r>
    </w:p>
    <w:p w14:paraId="04BCCBEE" w14:textId="77777777" w:rsidR="00900879" w:rsidRDefault="00900879" w:rsidP="00900879">
      <w:pPr>
        <w:jc w:val="both"/>
      </w:pPr>
      <w:r>
        <w:t>+ 353 (0) 1 557 0974</w:t>
      </w:r>
    </w:p>
    <w:p w14:paraId="04BCCBEF" w14:textId="77777777" w:rsidR="009E5B90" w:rsidRDefault="009E5B90" w:rsidP="00BB12AB">
      <w:pPr>
        <w:jc w:val="both"/>
      </w:pPr>
    </w:p>
    <w:p w14:paraId="04BCCBF0" w14:textId="77777777" w:rsidR="00BB12AB" w:rsidRDefault="00BB12AB" w:rsidP="00BB12AB">
      <w:pPr>
        <w:jc w:val="both"/>
      </w:pPr>
      <w:r>
        <w:t>For Media Requests:</w:t>
      </w:r>
    </w:p>
    <w:p w14:paraId="04BCCBF1" w14:textId="77777777" w:rsidR="00BB12AB" w:rsidRDefault="00BB12AB" w:rsidP="00BB12AB">
      <w:pPr>
        <w:jc w:val="both"/>
      </w:pPr>
      <w:r>
        <w:t>Q4PR</w:t>
      </w:r>
    </w:p>
    <w:p w14:paraId="04BCCBF2" w14:textId="77777777" w:rsidR="00BB12AB" w:rsidRDefault="00BB12AB" w:rsidP="00BB12AB">
      <w:pPr>
        <w:jc w:val="both"/>
      </w:pPr>
      <w:r>
        <w:t>Gerry O’Sullivan</w:t>
      </w:r>
    </w:p>
    <w:p w14:paraId="04BCCBF3" w14:textId="77777777" w:rsidR="002D78AE" w:rsidRDefault="00BB12AB" w:rsidP="00BB12AB">
      <w:pPr>
        <w:jc w:val="both"/>
      </w:pPr>
      <w:r>
        <w:t>+ 353 87 2597644</w:t>
      </w:r>
    </w:p>
    <w:p w14:paraId="04BCCBF4" w14:textId="77777777" w:rsidR="000F3AAC" w:rsidRDefault="000F3AAC" w:rsidP="00BB12AB">
      <w:pPr>
        <w:jc w:val="both"/>
      </w:pPr>
    </w:p>
    <w:p w14:paraId="04BCCBF5" w14:textId="77777777" w:rsidR="002D78AE" w:rsidRDefault="002D78AE" w:rsidP="00BB12AB">
      <w:pPr>
        <w:jc w:val="both"/>
      </w:pPr>
    </w:p>
    <w:p w14:paraId="04BCCBF6" w14:textId="77777777" w:rsidR="00BB12AB" w:rsidRDefault="00BB12AB" w:rsidP="00BB12AB">
      <w:pPr>
        <w:jc w:val="both"/>
        <w:rPr>
          <w:b/>
        </w:rPr>
      </w:pPr>
      <w:r>
        <w:rPr>
          <w:b/>
        </w:rPr>
        <w:t>About Irish Residential Properties REIT plc</w:t>
      </w:r>
    </w:p>
    <w:p w14:paraId="04BCCBF7" w14:textId="77777777" w:rsidR="00BB12AB" w:rsidRDefault="00BB12AB" w:rsidP="00BB12AB">
      <w:pPr>
        <w:jc w:val="both"/>
      </w:pPr>
    </w:p>
    <w:p w14:paraId="04BCCBF8" w14:textId="77777777" w:rsidR="00BB12AB" w:rsidRDefault="00BB12AB" w:rsidP="00BB12AB">
      <w:pPr>
        <w:jc w:val="both"/>
      </w:pPr>
      <w:r>
        <w:t>Irish Residential Properties REIT plc is an Irish Real Estate Investment Trust (“</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The Company currently owns </w:t>
      </w:r>
      <w:r w:rsidR="004D1C0D" w:rsidRPr="00244225">
        <w:t>2,678</w:t>
      </w:r>
      <w:r>
        <w:t xml:space="preserve"> residential units.  </w:t>
      </w:r>
      <w:r>
        <w:rPr>
          <w:lang w:val="en-GB"/>
        </w:rPr>
        <w:t xml:space="preserve">Further information in respect of the Company can be obtained from </w:t>
      </w:r>
      <w:r>
        <w:t>the Company’s</w:t>
      </w:r>
      <w:r>
        <w:rPr>
          <w:lang w:val="en-GB"/>
        </w:rPr>
        <w:t xml:space="preserve"> website at </w:t>
      </w:r>
      <w:hyperlink r:id="rId11" w:history="1">
        <w:r>
          <w:rPr>
            <w:rStyle w:val="Hyperlink"/>
            <w:lang w:val="en-GB"/>
          </w:rPr>
          <w:t>www.iresreit.ie</w:t>
        </w:r>
      </w:hyperlink>
      <w:r>
        <w:rPr>
          <w:lang w:val="en-GB"/>
        </w:rPr>
        <w:t>.</w:t>
      </w:r>
    </w:p>
    <w:p w14:paraId="04BCCBF9" w14:textId="77777777" w:rsidR="00BB12AB" w:rsidRDefault="00BB12AB" w:rsidP="00BB12AB">
      <w:pPr>
        <w:jc w:val="both"/>
      </w:pPr>
    </w:p>
    <w:p w14:paraId="04BCCBFA" w14:textId="77777777" w:rsidR="00BB12AB" w:rsidRDefault="00BB12AB" w:rsidP="00BB12AB">
      <w:pPr>
        <w:jc w:val="both"/>
        <w:rPr>
          <w:b/>
        </w:rPr>
      </w:pPr>
      <w:r>
        <w:rPr>
          <w:b/>
        </w:rPr>
        <w:t xml:space="preserve">Note on forward-looking information </w:t>
      </w:r>
    </w:p>
    <w:p w14:paraId="04BCCBFB" w14:textId="77777777" w:rsidR="00BB12AB" w:rsidRDefault="00BB12AB" w:rsidP="00BB12AB">
      <w:pPr>
        <w:jc w:val="both"/>
        <w:rPr>
          <w:b/>
        </w:rPr>
      </w:pPr>
    </w:p>
    <w:p w14:paraId="04BCCBFC" w14:textId="77777777" w:rsidR="00BB12AB" w:rsidRDefault="00BB12AB" w:rsidP="00BB12AB">
      <w:pPr>
        <w:jc w:val="both"/>
        <w:rPr>
          <w:b/>
        </w:rPr>
      </w:pPr>
      <w:r>
        <w:rPr>
          <w:b/>
        </w:rPr>
        <w:t>This note applies if and to the extent that there are forward-looking statements in this Announcement.</w:t>
      </w:r>
    </w:p>
    <w:p w14:paraId="04BCCBFD" w14:textId="77777777" w:rsidR="00BB12AB" w:rsidRDefault="00BB12AB" w:rsidP="00BB12AB">
      <w:pPr>
        <w:jc w:val="both"/>
      </w:pPr>
    </w:p>
    <w:p w14:paraId="04BCCBFE" w14:textId="77777777" w:rsidR="00BB12AB" w:rsidRDefault="00BB12AB" w:rsidP="00BB12AB">
      <w:pPr>
        <w:jc w:val="both"/>
      </w:pPr>
      <w:r>
        <w:t xml:space="preserve">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w:t>
      </w:r>
      <w:r>
        <w:lastRenderedPageBreak/>
        <w:t>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04BCCBFF" w14:textId="77777777" w:rsidR="005B0E50" w:rsidRDefault="005B0E50" w:rsidP="00AC6257">
      <w:pPr>
        <w:tabs>
          <w:tab w:val="left" w:pos="5700"/>
        </w:tabs>
        <w:jc w:val="left"/>
      </w:pPr>
    </w:p>
    <w:p w14:paraId="04BCCC00" w14:textId="77777777" w:rsidR="00BB12AB" w:rsidRDefault="00BB12AB" w:rsidP="00AC6257">
      <w:pPr>
        <w:tabs>
          <w:tab w:val="left" w:pos="5700"/>
        </w:tabs>
        <w:jc w:val="left"/>
      </w:pPr>
    </w:p>
    <w:p w14:paraId="0F0481EE" w14:textId="564D71B4" w:rsidR="00765735" w:rsidRDefault="00765735" w:rsidP="00AC6257">
      <w:pPr>
        <w:tabs>
          <w:tab w:val="left" w:pos="5700"/>
        </w:tabs>
        <w:jc w:val="left"/>
      </w:pPr>
    </w:p>
    <w:p w14:paraId="276E8768" w14:textId="77777777" w:rsidR="00765735" w:rsidRDefault="00765735" w:rsidP="00AC6257">
      <w:pPr>
        <w:tabs>
          <w:tab w:val="left" w:pos="5700"/>
        </w:tabs>
        <w:jc w:val="left"/>
      </w:pPr>
    </w:p>
    <w:p w14:paraId="388D0657" w14:textId="77777777" w:rsidR="00765735" w:rsidRDefault="00765735" w:rsidP="00AC6257">
      <w:pPr>
        <w:tabs>
          <w:tab w:val="left" w:pos="5700"/>
        </w:tabs>
        <w:jc w:val="left"/>
      </w:pPr>
    </w:p>
    <w:p w14:paraId="40D4100C" w14:textId="77777777" w:rsidR="00765735" w:rsidRDefault="00765735" w:rsidP="00AC6257">
      <w:pPr>
        <w:tabs>
          <w:tab w:val="left" w:pos="5700"/>
        </w:tabs>
        <w:jc w:val="left"/>
      </w:pPr>
    </w:p>
    <w:p w14:paraId="4C8990A7" w14:textId="77777777" w:rsidR="00765735" w:rsidRDefault="00765735" w:rsidP="00AC6257">
      <w:pPr>
        <w:tabs>
          <w:tab w:val="left" w:pos="5700"/>
        </w:tabs>
        <w:jc w:val="left"/>
      </w:pPr>
    </w:p>
    <w:p w14:paraId="25689BCB" w14:textId="77777777" w:rsidR="00765735" w:rsidRDefault="00765735" w:rsidP="00AC6257">
      <w:pPr>
        <w:tabs>
          <w:tab w:val="left" w:pos="5700"/>
        </w:tabs>
        <w:jc w:val="left"/>
      </w:pPr>
    </w:p>
    <w:p w14:paraId="74BC6815" w14:textId="77777777" w:rsidR="00765735" w:rsidRDefault="00765735" w:rsidP="00AC6257">
      <w:pPr>
        <w:tabs>
          <w:tab w:val="left" w:pos="5700"/>
        </w:tabs>
        <w:jc w:val="left"/>
      </w:pPr>
    </w:p>
    <w:p w14:paraId="6ECD58D8" w14:textId="77777777" w:rsidR="00765735" w:rsidRDefault="00765735" w:rsidP="00AC6257">
      <w:pPr>
        <w:tabs>
          <w:tab w:val="left" w:pos="5700"/>
        </w:tabs>
        <w:jc w:val="left"/>
      </w:pPr>
    </w:p>
    <w:p w14:paraId="07E0AE4F" w14:textId="77777777" w:rsidR="00765735" w:rsidRDefault="00765735" w:rsidP="00AC6257">
      <w:pPr>
        <w:tabs>
          <w:tab w:val="left" w:pos="5700"/>
        </w:tabs>
        <w:jc w:val="left"/>
      </w:pPr>
    </w:p>
    <w:p w14:paraId="5DF40BAC" w14:textId="77777777" w:rsidR="00765735" w:rsidRDefault="00765735" w:rsidP="007657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left"/>
        <w:rPr>
          <w:rFonts w:ascii="Segoe Print" w:hAnsi="Segoe Print" w:cs="Segoe Print"/>
          <w:lang w:val="en"/>
        </w:rPr>
      </w:pPr>
      <w:r>
        <w:rPr>
          <w:rFonts w:ascii="Arial" w:hAnsi="Arial" w:cs="Arial"/>
          <w:sz w:val="20"/>
          <w:szCs w:val="20"/>
          <w:lang w:val="en-GB"/>
        </w:rPr>
        <w:t>This announcement has been issued through the Companies Announcement Service of Euronext Dublin.</w:t>
      </w:r>
    </w:p>
    <w:p w14:paraId="52D2199F" w14:textId="77777777" w:rsidR="00765735" w:rsidRPr="00BB12AB" w:rsidRDefault="00765735" w:rsidP="00AC6257">
      <w:pPr>
        <w:tabs>
          <w:tab w:val="left" w:pos="5700"/>
        </w:tabs>
        <w:jc w:val="left"/>
      </w:pPr>
      <w:bookmarkStart w:id="0" w:name="_GoBack"/>
      <w:bookmarkEnd w:id="0"/>
    </w:p>
    <w:sectPr w:rsidR="00765735" w:rsidRPr="00BB12AB">
      <w:headerReference w:type="default" r:id="rId12"/>
      <w:footerReference w:type="even" r:id="rId13"/>
      <w:footerReference w:type="default" r:id="rId14"/>
      <w:headerReference w:type="first" r:id="rId15"/>
      <w:footerReference w:type="first" r:id="rId16"/>
      <w:pgSz w:w="12240" w:h="15840" w:code="1"/>
      <w:pgMar w:top="1014" w:right="1183" w:bottom="426" w:left="1080" w:header="432" w:footer="8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CCC04" w14:textId="77777777" w:rsidR="00743291" w:rsidRDefault="00743291">
      <w:r>
        <w:separator/>
      </w:r>
    </w:p>
  </w:endnote>
  <w:endnote w:type="continuationSeparator" w:id="0">
    <w:p w14:paraId="04BCCC05" w14:textId="77777777" w:rsidR="00743291" w:rsidRDefault="00743291">
      <w:r>
        <w:continuationSeparator/>
      </w:r>
    </w:p>
  </w:endnote>
  <w:endnote w:type="continuationNotice" w:id="1">
    <w:p w14:paraId="04BCCC06" w14:textId="77777777" w:rsidR="00743291" w:rsidRDefault="0074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CC08" w14:textId="77777777" w:rsidR="005B0E50" w:rsidRDefault="005B0E50">
    <w:pPr>
      <w:pStyle w:val="Footer"/>
    </w:pPr>
  </w:p>
  <w:p w14:paraId="04BCCC09" w14:textId="77777777" w:rsidR="005B0E50" w:rsidRDefault="00E8341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BD7C37" w:rsidRPr="00BD7C37">
      <w:rPr>
        <w:b/>
        <w:bCs/>
        <w:sz w:val="16"/>
      </w:rPr>
      <w:t>MHC-19078530-1</w:t>
    </w:r>
    <w:r>
      <w:rPr>
        <w:sz w:val="16"/>
      </w:rPr>
      <w:fldChar w:fldCharType="end"/>
    </w:r>
  </w:p>
  <w:p w14:paraId="04BCCC0A" w14:textId="77777777" w:rsidR="005B0E50" w:rsidRDefault="00E8341A">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BD7C37" w:rsidRPr="00BD7C37">
      <w:rPr>
        <w:rStyle w:val="EasyID"/>
        <w:rFonts w:eastAsiaTheme="minorHAnsi"/>
      </w:rPr>
      <w:t>2598 V9</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CC0B" w14:textId="77777777" w:rsidR="005B0E50" w:rsidRDefault="005B0E50">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CC0E" w14:textId="77777777" w:rsidR="005B0E50" w:rsidRDefault="005B0E50">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CCC01" w14:textId="77777777" w:rsidR="00743291" w:rsidRDefault="00743291">
      <w:r>
        <w:separator/>
      </w:r>
    </w:p>
  </w:footnote>
  <w:footnote w:type="continuationSeparator" w:id="0">
    <w:p w14:paraId="04BCCC02" w14:textId="77777777" w:rsidR="00743291" w:rsidRDefault="00743291">
      <w:r>
        <w:continuationSeparator/>
      </w:r>
    </w:p>
  </w:footnote>
  <w:footnote w:type="continuationNotice" w:id="1">
    <w:p w14:paraId="04BCCC03" w14:textId="77777777" w:rsidR="00743291" w:rsidRDefault="007432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CC07" w14:textId="77777777" w:rsidR="005B0E50" w:rsidRDefault="00E8341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CC0C" w14:textId="77777777" w:rsidR="005B0E50" w:rsidRDefault="00E8341A">
    <w:pPr>
      <w:pStyle w:val="Header"/>
      <w:tabs>
        <w:tab w:val="clear" w:pos="4680"/>
      </w:tabs>
      <w:jc w:val="both"/>
      <w:rPr>
        <w:lang w:val="en-CA"/>
      </w:rPr>
    </w:pPr>
    <w:r>
      <w:rPr>
        <w:lang w:val="en-CA"/>
      </w:rPr>
      <w:tab/>
    </w:r>
    <w:r>
      <w:rPr>
        <w:noProof/>
      </w:rPr>
      <w:drawing>
        <wp:inline distT="0" distB="0" distL="0" distR="0" wp14:anchorId="04BCCC0F" wp14:editId="04BCCC10">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04BCCC0D" w14:textId="77777777" w:rsidR="005B0E50" w:rsidRDefault="005B0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2598 V9"/>
  </w:docVars>
  <w:rsids>
    <w:rsidRoot w:val="005B0E50"/>
    <w:rsid w:val="000155A8"/>
    <w:rsid w:val="00015F57"/>
    <w:rsid w:val="000431F1"/>
    <w:rsid w:val="0004560D"/>
    <w:rsid w:val="000519C5"/>
    <w:rsid w:val="00057912"/>
    <w:rsid w:val="000618A1"/>
    <w:rsid w:val="0006491C"/>
    <w:rsid w:val="000663E2"/>
    <w:rsid w:val="00067466"/>
    <w:rsid w:val="00093260"/>
    <w:rsid w:val="00097919"/>
    <w:rsid w:val="000A1462"/>
    <w:rsid w:val="000B7950"/>
    <w:rsid w:val="000D12AD"/>
    <w:rsid w:val="000E7221"/>
    <w:rsid w:val="000F1784"/>
    <w:rsid w:val="000F322D"/>
    <w:rsid w:val="000F3AAC"/>
    <w:rsid w:val="00104D98"/>
    <w:rsid w:val="00112F7E"/>
    <w:rsid w:val="001304AE"/>
    <w:rsid w:val="0013392F"/>
    <w:rsid w:val="00142074"/>
    <w:rsid w:val="001665B3"/>
    <w:rsid w:val="001B00AA"/>
    <w:rsid w:val="001B0866"/>
    <w:rsid w:val="001B6224"/>
    <w:rsid w:val="001C5AE8"/>
    <w:rsid w:val="001E4CD6"/>
    <w:rsid w:val="001F107C"/>
    <w:rsid w:val="00201964"/>
    <w:rsid w:val="00215A05"/>
    <w:rsid w:val="002371C9"/>
    <w:rsid w:val="00244225"/>
    <w:rsid w:val="00286835"/>
    <w:rsid w:val="00287A1A"/>
    <w:rsid w:val="002A3FB1"/>
    <w:rsid w:val="002A7F63"/>
    <w:rsid w:val="002C5B15"/>
    <w:rsid w:val="002D5AD0"/>
    <w:rsid w:val="002D78AE"/>
    <w:rsid w:val="002E258A"/>
    <w:rsid w:val="0030122D"/>
    <w:rsid w:val="00312C6B"/>
    <w:rsid w:val="00314838"/>
    <w:rsid w:val="00325CFB"/>
    <w:rsid w:val="00331CCE"/>
    <w:rsid w:val="003456A6"/>
    <w:rsid w:val="00357FA6"/>
    <w:rsid w:val="0038493F"/>
    <w:rsid w:val="00392152"/>
    <w:rsid w:val="00394C0F"/>
    <w:rsid w:val="003B26F4"/>
    <w:rsid w:val="003B6732"/>
    <w:rsid w:val="003C53CA"/>
    <w:rsid w:val="003E68D4"/>
    <w:rsid w:val="0041276E"/>
    <w:rsid w:val="00436F66"/>
    <w:rsid w:val="00437A2C"/>
    <w:rsid w:val="00437D16"/>
    <w:rsid w:val="00456684"/>
    <w:rsid w:val="00463CD3"/>
    <w:rsid w:val="004660F7"/>
    <w:rsid w:val="004700E0"/>
    <w:rsid w:val="00470EF7"/>
    <w:rsid w:val="004717D3"/>
    <w:rsid w:val="00471E5B"/>
    <w:rsid w:val="004A4D46"/>
    <w:rsid w:val="004A6DF3"/>
    <w:rsid w:val="004C0FCA"/>
    <w:rsid w:val="004C50E4"/>
    <w:rsid w:val="004D1C0D"/>
    <w:rsid w:val="00510BE5"/>
    <w:rsid w:val="00531B86"/>
    <w:rsid w:val="005354C2"/>
    <w:rsid w:val="0053664C"/>
    <w:rsid w:val="00566D8D"/>
    <w:rsid w:val="005B0E50"/>
    <w:rsid w:val="005E129B"/>
    <w:rsid w:val="00630430"/>
    <w:rsid w:val="006816FB"/>
    <w:rsid w:val="00683823"/>
    <w:rsid w:val="006B2CE0"/>
    <w:rsid w:val="006C30D1"/>
    <w:rsid w:val="006F1B7A"/>
    <w:rsid w:val="00714DCF"/>
    <w:rsid w:val="0071612D"/>
    <w:rsid w:val="007174B9"/>
    <w:rsid w:val="007419E2"/>
    <w:rsid w:val="00743291"/>
    <w:rsid w:val="00750221"/>
    <w:rsid w:val="00754A82"/>
    <w:rsid w:val="00765735"/>
    <w:rsid w:val="00780CFA"/>
    <w:rsid w:val="007966BA"/>
    <w:rsid w:val="007B13FA"/>
    <w:rsid w:val="007C661D"/>
    <w:rsid w:val="007D68AA"/>
    <w:rsid w:val="007E2108"/>
    <w:rsid w:val="0080026B"/>
    <w:rsid w:val="0084650F"/>
    <w:rsid w:val="008500B8"/>
    <w:rsid w:val="00863C71"/>
    <w:rsid w:val="008946A7"/>
    <w:rsid w:val="008D2023"/>
    <w:rsid w:val="008D7224"/>
    <w:rsid w:val="008E0A3B"/>
    <w:rsid w:val="008E4704"/>
    <w:rsid w:val="00900879"/>
    <w:rsid w:val="00917DCB"/>
    <w:rsid w:val="00937015"/>
    <w:rsid w:val="00960CA2"/>
    <w:rsid w:val="0096188E"/>
    <w:rsid w:val="00976BA1"/>
    <w:rsid w:val="00985DA2"/>
    <w:rsid w:val="009A2334"/>
    <w:rsid w:val="009A2F5F"/>
    <w:rsid w:val="009B372D"/>
    <w:rsid w:val="009D1DB0"/>
    <w:rsid w:val="009E18F7"/>
    <w:rsid w:val="009E5B90"/>
    <w:rsid w:val="00A136BA"/>
    <w:rsid w:val="00A16FFC"/>
    <w:rsid w:val="00A32CDE"/>
    <w:rsid w:val="00A33E6A"/>
    <w:rsid w:val="00A40268"/>
    <w:rsid w:val="00A74C4A"/>
    <w:rsid w:val="00A85C44"/>
    <w:rsid w:val="00AA316D"/>
    <w:rsid w:val="00AA6010"/>
    <w:rsid w:val="00AA6024"/>
    <w:rsid w:val="00AC6257"/>
    <w:rsid w:val="00AE02AF"/>
    <w:rsid w:val="00AE4010"/>
    <w:rsid w:val="00AE6431"/>
    <w:rsid w:val="00AF210E"/>
    <w:rsid w:val="00B07D3C"/>
    <w:rsid w:val="00B16AD5"/>
    <w:rsid w:val="00B533EE"/>
    <w:rsid w:val="00B5737C"/>
    <w:rsid w:val="00B85E37"/>
    <w:rsid w:val="00BB12AB"/>
    <w:rsid w:val="00BC6988"/>
    <w:rsid w:val="00BD7C37"/>
    <w:rsid w:val="00BF04C4"/>
    <w:rsid w:val="00C12F78"/>
    <w:rsid w:val="00C16EE1"/>
    <w:rsid w:val="00C25226"/>
    <w:rsid w:val="00C3625F"/>
    <w:rsid w:val="00C60FCB"/>
    <w:rsid w:val="00C96CEC"/>
    <w:rsid w:val="00CA4139"/>
    <w:rsid w:val="00CA69D4"/>
    <w:rsid w:val="00CB2E07"/>
    <w:rsid w:val="00CE4FB8"/>
    <w:rsid w:val="00CE6416"/>
    <w:rsid w:val="00D1749E"/>
    <w:rsid w:val="00D213C5"/>
    <w:rsid w:val="00D225DC"/>
    <w:rsid w:val="00D4435B"/>
    <w:rsid w:val="00D444E4"/>
    <w:rsid w:val="00D50C32"/>
    <w:rsid w:val="00D7789E"/>
    <w:rsid w:val="00D81C6C"/>
    <w:rsid w:val="00D87C40"/>
    <w:rsid w:val="00D90B3A"/>
    <w:rsid w:val="00DA620C"/>
    <w:rsid w:val="00DC5AD6"/>
    <w:rsid w:val="00DF3640"/>
    <w:rsid w:val="00DF5EB8"/>
    <w:rsid w:val="00E1262A"/>
    <w:rsid w:val="00E2706C"/>
    <w:rsid w:val="00E41A03"/>
    <w:rsid w:val="00E8341A"/>
    <w:rsid w:val="00E909BA"/>
    <w:rsid w:val="00EB535B"/>
    <w:rsid w:val="00EC1503"/>
    <w:rsid w:val="00EC66BA"/>
    <w:rsid w:val="00EE4376"/>
    <w:rsid w:val="00F105F9"/>
    <w:rsid w:val="00F20DFF"/>
    <w:rsid w:val="00F24259"/>
    <w:rsid w:val="00F865D8"/>
    <w:rsid w:val="00FA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4BC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68983334">
      <w:bodyDiv w:val="1"/>
      <w:marLeft w:val="0"/>
      <w:marRight w:val="0"/>
      <w:marTop w:val="0"/>
      <w:marBottom w:val="0"/>
      <w:divBdr>
        <w:top w:val="none" w:sz="0" w:space="0" w:color="auto"/>
        <w:left w:val="none" w:sz="0" w:space="0" w:color="auto"/>
        <w:bottom w:val="none" w:sz="0" w:space="0" w:color="auto"/>
        <w:right w:val="none" w:sz="0" w:space="0" w:color="auto"/>
      </w:divBdr>
    </w:div>
    <w:div w:id="305549992">
      <w:bodyDiv w:val="1"/>
      <w:marLeft w:val="0"/>
      <w:marRight w:val="0"/>
      <w:marTop w:val="0"/>
      <w:marBottom w:val="0"/>
      <w:divBdr>
        <w:top w:val="none" w:sz="0" w:space="0" w:color="auto"/>
        <w:left w:val="none" w:sz="0" w:space="0" w:color="auto"/>
        <w:bottom w:val="none" w:sz="0" w:space="0" w:color="auto"/>
        <w:right w:val="none" w:sz="0" w:space="0" w:color="auto"/>
      </w:divBdr>
    </w:div>
    <w:div w:id="42245573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20076032">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230842853">
      <w:bodyDiv w:val="1"/>
      <w:marLeft w:val="0"/>
      <w:marRight w:val="0"/>
      <w:marTop w:val="0"/>
      <w:marBottom w:val="0"/>
      <w:divBdr>
        <w:top w:val="none" w:sz="0" w:space="0" w:color="auto"/>
        <w:left w:val="none" w:sz="0" w:space="0" w:color="auto"/>
        <w:bottom w:val="none" w:sz="0" w:space="0" w:color="auto"/>
        <w:right w:val="none" w:sz="0" w:space="0" w:color="auto"/>
      </w:divBdr>
    </w:div>
    <w:div w:id="1495292548">
      <w:bodyDiv w:val="1"/>
      <w:marLeft w:val="0"/>
      <w:marRight w:val="0"/>
      <w:marTop w:val="0"/>
      <w:marBottom w:val="0"/>
      <w:divBdr>
        <w:top w:val="none" w:sz="0" w:space="0" w:color="auto"/>
        <w:left w:val="none" w:sz="0" w:space="0" w:color="auto"/>
        <w:bottom w:val="none" w:sz="0" w:space="0" w:color="auto"/>
        <w:right w:val="none" w:sz="0" w:space="0" w:color="auto"/>
      </w:divBdr>
    </w:div>
    <w:div w:id="1567451387">
      <w:bodyDiv w:val="1"/>
      <w:marLeft w:val="0"/>
      <w:marRight w:val="0"/>
      <w:marTop w:val="0"/>
      <w:marBottom w:val="0"/>
      <w:divBdr>
        <w:top w:val="none" w:sz="0" w:space="0" w:color="auto"/>
        <w:left w:val="none" w:sz="0" w:space="0" w:color="auto"/>
        <w:bottom w:val="none" w:sz="0" w:space="0" w:color="auto"/>
        <w:right w:val="none" w:sz="0" w:space="0" w:color="auto"/>
      </w:divBdr>
    </w:div>
    <w:div w:id="20372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esreit.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2018-12-11T15:37:05+00:00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6C8EE-17CF-439F-BCF5-C34B482203CB}"/>
</file>

<file path=customXml/itemProps2.xml><?xml version="1.0" encoding="utf-8"?>
<ds:datastoreItem xmlns:ds="http://schemas.openxmlformats.org/officeDocument/2006/customXml" ds:itemID="{278A3766-226F-4608-80F9-A17A64BCEDB1}"/>
</file>

<file path=customXml/itemProps3.xml><?xml version="1.0" encoding="utf-8"?>
<ds:datastoreItem xmlns:ds="http://schemas.openxmlformats.org/officeDocument/2006/customXml" ds:itemID="{C9AEFB5A-7241-44C7-91C5-52A925DEBAD6}"/>
</file>

<file path=customXml/itemProps4.xml><?xml version="1.0" encoding="utf-8"?>
<ds:datastoreItem xmlns:ds="http://schemas.openxmlformats.org/officeDocument/2006/customXml" ds:itemID="{E7C1E6BB-0B7F-4A5A-B218-D795505C9784}"/>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5266</Characters>
  <Application>Microsoft Office Word</Application>
  <DocSecurity>0</DocSecurity>
  <PresentationFormat/>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2018-12-11T15:35:00Z</dcterms:created>
  <dcterms:modified xsi:type="dcterms:W3CDTF">2018-12-11T15:42:00Z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2598 V9</vt:lpwstr>
  </property>
  <property fmtid="{D5CDD505-2E9C-101B-9397-08002B2CF9AE}" pid="11" name="iManTInitials">
    <vt:lpwstr>JAK</vt:lpwstr>
  </property>
  <property fmtid="{D5CDD505-2E9C-101B-9397-08002B2CF9AE}" pid="12" name="iManOInitials">
    <vt:lpwstr>JAK</vt:lpwstr>
  </property>
  <property fmtid="{D5CDD505-2E9C-101B-9397-08002B2CF9AE}" pid="13" name="IWFooter">
    <vt:lpwstr>MHC-19078530-1</vt:lpwstr>
  </property>
  <property fmtid="{D5CDD505-2E9C-101B-9397-08002B2CF9AE}" pid="14" name="IWOwner">
    <vt:lpwstr>JMCKENNA</vt:lpwstr>
  </property>
  <property fmtid="{D5CDD505-2E9C-101B-9397-08002B2CF9AE}" pid="15" name="IWOwnerName">
    <vt:lpwstr>Justin McKenna</vt:lpwstr>
  </property>
  <property fmtid="{D5CDD505-2E9C-101B-9397-08002B2CF9AE}" pid="16" name="IWClientNum">
    <vt:lpwstr>41964</vt:lpwstr>
  </property>
  <property fmtid="{D5CDD505-2E9C-101B-9397-08002B2CF9AE}" pid="17" name="IWClientName">
    <vt:lpwstr>Irish Residential Properties REIT plc</vt:lpwstr>
  </property>
  <property fmtid="{D5CDD505-2E9C-101B-9397-08002B2CF9AE}" pid="18" name="IWMatterNum">
    <vt:lpwstr>136</vt:lpwstr>
  </property>
  <property fmtid="{D5CDD505-2E9C-101B-9397-08002B2CF9AE}" pid="19" name="IWMatterDesc">
    <vt:lpwstr>Acquisition of 69 residential units located on the Tara Towers Hotel Site, Merrion Road, Dublin 4</vt:lpwstr>
  </property>
  <property fmtid="{D5CDD505-2E9C-101B-9397-08002B2CF9AE}" pid="20" name="IWOurRef">
    <vt:lpwstr>JAK</vt:lpwstr>
  </property>
  <property fmtid="{D5CDD505-2E9C-101B-9397-08002B2CF9AE}" pid="21" name="IWClientMatter">
    <vt:lpwstr>41964/136</vt:lpwstr>
  </property>
  <property fmtid="{D5CDD505-2E9C-101B-9397-08002B2CF9AE}" pid="22" name="MSIP_Label_eb8a70db-6353-4723-9645-3c298b95df56_Enabled">
    <vt:lpwstr>True</vt:lpwstr>
  </property>
  <property fmtid="{D5CDD505-2E9C-101B-9397-08002B2CF9AE}" pid="23" name="MSIP_Label_eb8a70db-6353-4723-9645-3c298b95df56_SiteId">
    <vt:lpwstr>6d6a11bc-469a-48df-a548-d3f353ac1be8</vt:lpwstr>
  </property>
  <property fmtid="{D5CDD505-2E9C-101B-9397-08002B2CF9AE}" pid="24" name="MSIP_Label_eb8a70db-6353-4723-9645-3c298b95df56_Owner">
    <vt:lpwstr>Jennifer.Porter@investec.ie</vt:lpwstr>
  </property>
  <property fmtid="{D5CDD505-2E9C-101B-9397-08002B2CF9AE}" pid="25" name="MSIP_Label_eb8a70db-6353-4723-9645-3c298b95df56_SetDate">
    <vt:lpwstr>2018-12-11T15:34:44.6787474Z</vt:lpwstr>
  </property>
  <property fmtid="{D5CDD505-2E9C-101B-9397-08002B2CF9AE}" pid="26" name="MSIP_Label_eb8a70db-6353-4723-9645-3c298b95df56_Name">
    <vt:lpwstr>Investec Sensitive</vt:lpwstr>
  </property>
  <property fmtid="{D5CDD505-2E9C-101B-9397-08002B2CF9AE}" pid="27" name="MSIP_Label_eb8a70db-6353-4723-9645-3c298b95df56_Application">
    <vt:lpwstr>Microsoft Azure Information Protection</vt:lpwstr>
  </property>
  <property fmtid="{D5CDD505-2E9C-101B-9397-08002B2CF9AE}" pid="28" name="MSIP_Label_eb8a70db-6353-4723-9645-3c298b95df56_Extended_MSFT_Method">
    <vt:lpwstr>Manual</vt:lpwstr>
  </property>
  <property fmtid="{D5CDD505-2E9C-101B-9397-08002B2CF9AE}" pid="29" name="Sensitivity">
    <vt:lpwstr>Investec Sensitive</vt:lpwstr>
  </property>
  <property fmtid="{D5CDD505-2E9C-101B-9397-08002B2CF9AE}" pid="30" name="ContentTypeId">
    <vt:lpwstr>0x010100BE156B1CF39149A8843C57AB06C49AFE0011B886BEF4CCD94F85F46E94360FD412</vt:lpwstr>
  </property>
  <property fmtid="{D5CDD505-2E9C-101B-9397-08002B2CF9AE}" pid="31" name="IssuerID">
    <vt:lpwstr/>
  </property>
  <property fmtid="{D5CDD505-2E9C-101B-9397-08002B2CF9AE}" pid="32" name="JobContentType">
    <vt:lpwstr/>
  </property>
  <property fmtid="{D5CDD505-2E9C-101B-9397-08002B2CF9AE}" pid="33" name="MediaServiceImageTags">
    <vt:lpwstr/>
  </property>
  <property fmtid="{D5CDD505-2E9C-101B-9397-08002B2CF9AE}" pid="34" name="JobType">
    <vt:lpwstr/>
  </property>
  <property fmtid="{D5CDD505-2E9C-101B-9397-08002B2CF9AE}" pid="35" name="Contact">
    <vt:lpwstr/>
  </property>
  <property fmtid="{D5CDD505-2E9C-101B-9397-08002B2CF9AE}" pid="36" name="IssuerName">
    <vt:lpwstr/>
  </property>
  <property fmtid="{D5CDD505-2E9C-101B-9397-08002B2CF9AE}" pid="37" name="Organisation">
    <vt:lpwstr/>
  </property>
</Properties>
</file>