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680E5" w14:textId="77777777" w:rsidR="00D8722B" w:rsidRDefault="00D8722B">
      <w:pPr>
        <w:jc w:val="both"/>
      </w:pPr>
    </w:p>
    <w:p w14:paraId="0BE680E6" w14:textId="77777777" w:rsidR="00D8722B" w:rsidRDefault="000F3078">
      <w:pPr>
        <w:jc w:val="both"/>
      </w:pPr>
      <w:r>
        <w:t>28</w:t>
      </w:r>
      <w:r w:rsidR="002C792F" w:rsidRPr="000F3CF2">
        <w:t xml:space="preserve"> </w:t>
      </w:r>
      <w:r w:rsidR="00A253D2">
        <w:t>May</w:t>
      </w:r>
      <w:r w:rsidR="002C792F" w:rsidRPr="000F3CF2">
        <w:t xml:space="preserve"> 201</w:t>
      </w:r>
      <w:r>
        <w:t>9</w:t>
      </w:r>
    </w:p>
    <w:p w14:paraId="0BE680E7" w14:textId="77777777" w:rsidR="00D8722B" w:rsidRDefault="00D8722B">
      <w:pPr>
        <w:jc w:val="both"/>
      </w:pPr>
    </w:p>
    <w:p w14:paraId="0BE680E8" w14:textId="77777777" w:rsidR="00D8722B" w:rsidRDefault="00A253D2">
      <w:pPr>
        <w:rPr>
          <w:b/>
          <w:sz w:val="32"/>
        </w:rPr>
      </w:pPr>
      <w:r>
        <w:rPr>
          <w:b/>
          <w:sz w:val="32"/>
        </w:rPr>
        <w:t>Result of Annual General Meeting</w:t>
      </w:r>
    </w:p>
    <w:p w14:paraId="0BE680E9" w14:textId="77777777" w:rsidR="00D8722B" w:rsidRDefault="00D8722B">
      <w:pPr>
        <w:jc w:val="both"/>
      </w:pPr>
    </w:p>
    <w:p w14:paraId="0BE680EA" w14:textId="77777777" w:rsidR="003F49C0" w:rsidRDefault="004E7FDC" w:rsidP="00EB1154">
      <w:pPr>
        <w:shd w:val="clear" w:color="auto" w:fill="FFFFFF"/>
        <w:spacing w:before="200" w:line="264" w:lineRule="auto"/>
        <w:ind w:right="-46"/>
        <w:jc w:val="both"/>
      </w:pPr>
      <w:r>
        <w:t>Irish Residential Properties REIT plc (“</w:t>
      </w:r>
      <w:r w:rsidRPr="004E7FDC">
        <w:rPr>
          <w:b/>
        </w:rPr>
        <w:t>I•RES</w:t>
      </w:r>
      <w:r>
        <w:t>” or the “</w:t>
      </w:r>
      <w:r w:rsidRPr="004E7FDC">
        <w:rPr>
          <w:b/>
        </w:rPr>
        <w:t>Company</w:t>
      </w:r>
      <w:r>
        <w:t>”</w:t>
      </w:r>
      <w:r w:rsidR="00621654">
        <w:t>)</w:t>
      </w:r>
      <w:r w:rsidR="00587841">
        <w:t xml:space="preserve"> </w:t>
      </w:r>
      <w:r w:rsidR="003F78A1">
        <w:t>announces that at its</w:t>
      </w:r>
      <w:r w:rsidR="00A253D2">
        <w:t xml:space="preserve"> </w:t>
      </w:r>
      <w:r w:rsidR="002B4FD4">
        <w:t>A</w:t>
      </w:r>
      <w:r w:rsidR="003F78A1">
        <w:t>nnual General Meeting held today,</w:t>
      </w:r>
      <w:r w:rsidR="000F3078">
        <w:t xml:space="preserve"> 28 May 2019</w:t>
      </w:r>
      <w:r w:rsidR="003F78A1">
        <w:t>,</w:t>
      </w:r>
      <w:r w:rsidR="00B45B16">
        <w:t xml:space="preserve"> at The Shelbourne Hotel, 27 St. Stephen’s Green, Dublin 2, Ireland,</w:t>
      </w:r>
      <w:r w:rsidR="00A253D2">
        <w:t xml:space="preserve"> </w:t>
      </w:r>
      <w:r w:rsidR="00A253D2" w:rsidRPr="004B5638">
        <w:t>all of the resolutions</w:t>
      </w:r>
      <w:r w:rsidR="003F49C0">
        <w:t xml:space="preserve"> put to the shareholders at the </w:t>
      </w:r>
      <w:r w:rsidR="00B87077" w:rsidRPr="004B5638">
        <w:t>Annual General Meeting</w:t>
      </w:r>
      <w:r w:rsidR="00A253D2" w:rsidRPr="004B5638">
        <w:t xml:space="preserve"> were passed </w:t>
      </w:r>
      <w:r w:rsidR="003F49C0">
        <w:t>on a show of hands at the meeting</w:t>
      </w:r>
      <w:r w:rsidR="00A253D2" w:rsidRPr="004B5638">
        <w:t>.</w:t>
      </w:r>
      <w:r w:rsidR="00A253D2">
        <w:t xml:space="preserve"> </w:t>
      </w:r>
    </w:p>
    <w:p w14:paraId="0BE680EB" w14:textId="77777777" w:rsidR="00B45B16" w:rsidRDefault="00B45B16" w:rsidP="00EB1154">
      <w:pPr>
        <w:shd w:val="clear" w:color="auto" w:fill="FFFFFF"/>
        <w:spacing w:before="200" w:line="264" w:lineRule="auto"/>
        <w:ind w:right="-46"/>
        <w:jc w:val="both"/>
      </w:pPr>
      <w:r>
        <w:t>The full text of each resolution</w:t>
      </w:r>
      <w:r w:rsidR="003F78A1">
        <w:t>, together with explanatory notes,</w:t>
      </w:r>
      <w:r>
        <w:t xml:space="preserve"> was included in the Notice of Annual General Meeting circulat</w:t>
      </w:r>
      <w:r w:rsidR="000F3078">
        <w:t>ed to shareholders on 15</w:t>
      </w:r>
      <w:r w:rsidR="005B667B">
        <w:t xml:space="preserve"> </w:t>
      </w:r>
      <w:r w:rsidR="000F3078">
        <w:t>April 2019</w:t>
      </w:r>
      <w:r w:rsidR="003F78A1">
        <w:t xml:space="preserve"> and made available on the Company’s website at </w:t>
      </w:r>
      <w:hyperlink r:id="rId10" w:history="1">
        <w:r w:rsidR="003F78A1" w:rsidRPr="00591750">
          <w:rPr>
            <w:rStyle w:val="Hyperlink"/>
          </w:rPr>
          <w:t>www.iresreit.ie</w:t>
        </w:r>
      </w:hyperlink>
      <w:r w:rsidR="003F78A1">
        <w:t>.</w:t>
      </w:r>
    </w:p>
    <w:p w14:paraId="0BE680EC" w14:textId="77777777" w:rsidR="003F49C0" w:rsidRDefault="003F49C0" w:rsidP="00EB1154">
      <w:pPr>
        <w:shd w:val="clear" w:color="auto" w:fill="FFFFFF"/>
        <w:spacing w:before="200" w:line="264" w:lineRule="auto"/>
        <w:ind w:right="-46"/>
        <w:jc w:val="both"/>
      </w:pPr>
      <w:r>
        <w:t>The results of the proxy votes received in advance of the meeting are reported below:</w:t>
      </w:r>
      <w:r>
        <w:br/>
      </w:r>
    </w:p>
    <w:tbl>
      <w:tblPr>
        <w:tblStyle w:val="TableGrid"/>
        <w:tblW w:w="9606" w:type="dxa"/>
        <w:tblLook w:val="04A0" w:firstRow="1" w:lastRow="0" w:firstColumn="1" w:lastColumn="0" w:noHBand="0" w:noVBand="1"/>
      </w:tblPr>
      <w:tblGrid>
        <w:gridCol w:w="862"/>
        <w:gridCol w:w="2191"/>
        <w:gridCol w:w="2183"/>
        <w:gridCol w:w="2183"/>
        <w:gridCol w:w="2187"/>
      </w:tblGrid>
      <w:tr w:rsidR="007D5858" w14:paraId="0BE680F2" w14:textId="77777777" w:rsidTr="005B667B">
        <w:trPr>
          <w:tblHeader/>
        </w:trPr>
        <w:tc>
          <w:tcPr>
            <w:tcW w:w="862" w:type="dxa"/>
          </w:tcPr>
          <w:p w14:paraId="0BE680ED" w14:textId="77777777" w:rsidR="007D5858" w:rsidRPr="00E87F2C" w:rsidRDefault="007D5858" w:rsidP="00E87F2C">
            <w:pPr>
              <w:spacing w:before="200" w:line="264" w:lineRule="auto"/>
              <w:ind w:right="-46"/>
              <w:rPr>
                <w:b/>
              </w:rPr>
            </w:pPr>
            <w:r w:rsidRPr="00E87F2C">
              <w:rPr>
                <w:b/>
              </w:rPr>
              <w:t>No</w:t>
            </w:r>
          </w:p>
        </w:tc>
        <w:tc>
          <w:tcPr>
            <w:tcW w:w="2191" w:type="dxa"/>
          </w:tcPr>
          <w:p w14:paraId="0BE680EE" w14:textId="77777777" w:rsidR="007D5858" w:rsidRPr="00E87F2C" w:rsidRDefault="007D5858" w:rsidP="00E87F2C">
            <w:pPr>
              <w:spacing w:before="200" w:line="264" w:lineRule="auto"/>
              <w:ind w:right="-46"/>
              <w:rPr>
                <w:b/>
              </w:rPr>
            </w:pPr>
            <w:r w:rsidRPr="00E87F2C">
              <w:rPr>
                <w:b/>
              </w:rPr>
              <w:t>Resolution</w:t>
            </w:r>
          </w:p>
        </w:tc>
        <w:tc>
          <w:tcPr>
            <w:tcW w:w="2183" w:type="dxa"/>
          </w:tcPr>
          <w:p w14:paraId="0BE680EF" w14:textId="77777777" w:rsidR="007D5858" w:rsidRPr="00E87F2C" w:rsidRDefault="007D5858" w:rsidP="007D5858">
            <w:pPr>
              <w:spacing w:before="200" w:line="264" w:lineRule="auto"/>
              <w:ind w:right="-46"/>
              <w:rPr>
                <w:b/>
              </w:rPr>
            </w:pPr>
            <w:r>
              <w:rPr>
                <w:b/>
              </w:rPr>
              <w:t xml:space="preserve">In </w:t>
            </w:r>
            <w:proofErr w:type="spellStart"/>
            <w:r>
              <w:rPr>
                <w:b/>
              </w:rPr>
              <w:t>Favour</w:t>
            </w:r>
            <w:proofErr w:type="spellEnd"/>
          </w:p>
        </w:tc>
        <w:tc>
          <w:tcPr>
            <w:tcW w:w="2183" w:type="dxa"/>
          </w:tcPr>
          <w:p w14:paraId="0BE680F0" w14:textId="77777777" w:rsidR="007D5858" w:rsidRPr="00E87F2C" w:rsidRDefault="007D5858" w:rsidP="00E87F2C">
            <w:pPr>
              <w:spacing w:before="200" w:line="264" w:lineRule="auto"/>
              <w:ind w:right="-46"/>
              <w:rPr>
                <w:b/>
              </w:rPr>
            </w:pPr>
            <w:r w:rsidRPr="00E87F2C">
              <w:rPr>
                <w:b/>
              </w:rPr>
              <w:t>Against</w:t>
            </w:r>
          </w:p>
        </w:tc>
        <w:tc>
          <w:tcPr>
            <w:tcW w:w="2187" w:type="dxa"/>
          </w:tcPr>
          <w:p w14:paraId="0BE680F1" w14:textId="77777777" w:rsidR="007D5858" w:rsidRPr="00E87F2C" w:rsidRDefault="007D5858" w:rsidP="00B45B16">
            <w:pPr>
              <w:spacing w:before="200" w:line="264" w:lineRule="auto"/>
              <w:ind w:right="-46"/>
              <w:rPr>
                <w:b/>
              </w:rPr>
            </w:pPr>
            <w:r w:rsidRPr="00E87F2C">
              <w:rPr>
                <w:b/>
              </w:rPr>
              <w:t>Vote withheld</w:t>
            </w:r>
            <w:r w:rsidR="00B45B16">
              <w:rPr>
                <w:b/>
              </w:rPr>
              <w:t>*</w:t>
            </w:r>
          </w:p>
        </w:tc>
      </w:tr>
      <w:tr w:rsidR="007D5858" w14:paraId="0BE680F8" w14:textId="77777777" w:rsidTr="005B667B">
        <w:tc>
          <w:tcPr>
            <w:tcW w:w="862" w:type="dxa"/>
          </w:tcPr>
          <w:p w14:paraId="0BE680F3" w14:textId="77777777" w:rsidR="007D5858" w:rsidRDefault="007D5858" w:rsidP="00EB1154">
            <w:pPr>
              <w:spacing w:before="200" w:line="264" w:lineRule="auto"/>
              <w:ind w:right="-46"/>
              <w:jc w:val="both"/>
            </w:pPr>
            <w:r>
              <w:t xml:space="preserve">1 </w:t>
            </w:r>
          </w:p>
        </w:tc>
        <w:tc>
          <w:tcPr>
            <w:tcW w:w="2191" w:type="dxa"/>
          </w:tcPr>
          <w:p w14:paraId="0BE680F4" w14:textId="77777777" w:rsidR="007D5858" w:rsidRPr="005B667B" w:rsidRDefault="007D5858" w:rsidP="00B45B16">
            <w:pPr>
              <w:spacing w:before="200" w:line="264" w:lineRule="auto"/>
              <w:ind w:right="-46"/>
              <w:jc w:val="both"/>
            </w:pPr>
            <w:r w:rsidRPr="005B667B">
              <w:t xml:space="preserve">To receive and consider the </w:t>
            </w:r>
            <w:r w:rsidR="005B667B" w:rsidRPr="005B667B">
              <w:t>f</w:t>
            </w:r>
            <w:r w:rsidR="00864C08" w:rsidRPr="005B667B">
              <w:t xml:space="preserve">inancial </w:t>
            </w:r>
            <w:r w:rsidR="005B667B" w:rsidRPr="005B667B">
              <w:t>s</w:t>
            </w:r>
            <w:r w:rsidR="00475865" w:rsidRPr="005B667B">
              <w:t>tatements for the year ended</w:t>
            </w:r>
            <w:r w:rsidR="000F3078">
              <w:t xml:space="preserve"> 31 December 2018</w:t>
            </w:r>
            <w:r w:rsidR="00864C08" w:rsidRPr="005B667B">
              <w:t xml:space="preserve"> and the</w:t>
            </w:r>
            <w:r w:rsidR="00475865" w:rsidRPr="005B667B">
              <w:t xml:space="preserve"> reports of the  Directors and the Auditors</w:t>
            </w:r>
            <w:r w:rsidR="00864C08" w:rsidRPr="005B667B">
              <w:t xml:space="preserve"> </w:t>
            </w:r>
            <w:r w:rsidR="000F37F6" w:rsidRPr="005B667B">
              <w:t>thereon</w:t>
            </w:r>
          </w:p>
        </w:tc>
        <w:tc>
          <w:tcPr>
            <w:tcW w:w="2183" w:type="dxa"/>
          </w:tcPr>
          <w:p w14:paraId="0BE680F5" w14:textId="77777777" w:rsidR="007D5858" w:rsidRDefault="007B0821" w:rsidP="00867E95">
            <w:pPr>
              <w:spacing w:before="200" w:line="264" w:lineRule="auto"/>
              <w:ind w:right="57"/>
              <w:jc w:val="right"/>
            </w:pPr>
            <w:r>
              <w:t>231,990,823</w:t>
            </w:r>
          </w:p>
        </w:tc>
        <w:tc>
          <w:tcPr>
            <w:tcW w:w="2183" w:type="dxa"/>
          </w:tcPr>
          <w:p w14:paraId="0BE680F6" w14:textId="77777777" w:rsidR="007D5858" w:rsidRDefault="008A1F92" w:rsidP="00867E95">
            <w:pPr>
              <w:spacing w:before="200" w:line="264" w:lineRule="auto"/>
              <w:ind w:right="57"/>
              <w:jc w:val="right"/>
            </w:pPr>
            <w:r>
              <w:t>0</w:t>
            </w:r>
          </w:p>
        </w:tc>
        <w:tc>
          <w:tcPr>
            <w:tcW w:w="2187" w:type="dxa"/>
          </w:tcPr>
          <w:p w14:paraId="0BE680F7" w14:textId="77777777" w:rsidR="007D5858" w:rsidRDefault="008A1F92" w:rsidP="00867E95">
            <w:pPr>
              <w:spacing w:before="200" w:line="264" w:lineRule="auto"/>
              <w:ind w:right="57"/>
              <w:jc w:val="right"/>
            </w:pPr>
            <w:r>
              <w:t>240,423</w:t>
            </w:r>
          </w:p>
        </w:tc>
      </w:tr>
      <w:tr w:rsidR="000F37F6" w14:paraId="0BE680FE" w14:textId="77777777" w:rsidTr="005B667B">
        <w:tc>
          <w:tcPr>
            <w:tcW w:w="862" w:type="dxa"/>
          </w:tcPr>
          <w:p w14:paraId="0BE680F9" w14:textId="77777777" w:rsidR="000F37F6" w:rsidRDefault="000F3078" w:rsidP="00EB1154">
            <w:pPr>
              <w:spacing w:before="200" w:line="264" w:lineRule="auto"/>
              <w:ind w:right="-46"/>
              <w:jc w:val="both"/>
            </w:pPr>
            <w:r>
              <w:t xml:space="preserve">2 </w:t>
            </w:r>
          </w:p>
        </w:tc>
        <w:tc>
          <w:tcPr>
            <w:tcW w:w="2191" w:type="dxa"/>
          </w:tcPr>
          <w:p w14:paraId="0BE680FA" w14:textId="77777777" w:rsidR="000F37F6" w:rsidRPr="005B667B" w:rsidRDefault="000F37F6" w:rsidP="000F3078">
            <w:pPr>
              <w:spacing w:before="200" w:line="264" w:lineRule="auto"/>
              <w:ind w:right="-46"/>
              <w:jc w:val="both"/>
            </w:pPr>
            <w:r w:rsidRPr="005B667B">
              <w:t xml:space="preserve">To </w:t>
            </w:r>
            <w:r w:rsidR="005B667B" w:rsidRPr="005B667B">
              <w:t xml:space="preserve">elect </w:t>
            </w:r>
            <w:r w:rsidR="000F3078">
              <w:t>Mark Kenney</w:t>
            </w:r>
            <w:r w:rsidR="00211C5F" w:rsidRPr="005B667B">
              <w:t xml:space="preserve"> </w:t>
            </w:r>
            <w:r w:rsidRPr="005B667B">
              <w:t>as a Director</w:t>
            </w:r>
            <w:r w:rsidR="005B667B" w:rsidRPr="005B667B">
              <w:t xml:space="preserve"> </w:t>
            </w:r>
          </w:p>
        </w:tc>
        <w:tc>
          <w:tcPr>
            <w:tcW w:w="2183" w:type="dxa"/>
          </w:tcPr>
          <w:p w14:paraId="0BE680FB" w14:textId="77777777" w:rsidR="000F37F6" w:rsidRDefault="007B0821" w:rsidP="00867E95">
            <w:pPr>
              <w:spacing w:before="200" w:line="264" w:lineRule="auto"/>
              <w:ind w:right="57"/>
              <w:jc w:val="right"/>
            </w:pPr>
            <w:r>
              <w:t>204,446,172</w:t>
            </w:r>
          </w:p>
        </w:tc>
        <w:tc>
          <w:tcPr>
            <w:tcW w:w="2183" w:type="dxa"/>
          </w:tcPr>
          <w:p w14:paraId="0BE680FC" w14:textId="77777777" w:rsidR="000F37F6" w:rsidRDefault="007B0821" w:rsidP="00867E95">
            <w:pPr>
              <w:spacing w:before="200" w:line="264" w:lineRule="auto"/>
              <w:ind w:right="57"/>
              <w:jc w:val="right"/>
            </w:pPr>
            <w:r>
              <w:t>445,614</w:t>
            </w:r>
          </w:p>
        </w:tc>
        <w:tc>
          <w:tcPr>
            <w:tcW w:w="2187" w:type="dxa"/>
          </w:tcPr>
          <w:p w14:paraId="0BE680FD" w14:textId="77777777" w:rsidR="000F37F6" w:rsidRDefault="007B0821" w:rsidP="00867E95">
            <w:pPr>
              <w:spacing w:before="200" w:line="264" w:lineRule="auto"/>
              <w:ind w:right="57"/>
              <w:jc w:val="right"/>
            </w:pPr>
            <w:r>
              <w:t>27,339,460</w:t>
            </w:r>
          </w:p>
        </w:tc>
      </w:tr>
      <w:tr w:rsidR="007D5858" w14:paraId="0BE68104" w14:textId="77777777" w:rsidTr="005B667B">
        <w:tc>
          <w:tcPr>
            <w:tcW w:w="862" w:type="dxa"/>
          </w:tcPr>
          <w:p w14:paraId="0BE680FF" w14:textId="77777777" w:rsidR="007D5858" w:rsidRDefault="000F3078" w:rsidP="00EB1154">
            <w:pPr>
              <w:spacing w:before="200" w:line="264" w:lineRule="auto"/>
              <w:ind w:right="-46"/>
              <w:jc w:val="both"/>
            </w:pPr>
            <w:r>
              <w:t>3 (a</w:t>
            </w:r>
            <w:r w:rsidR="007D5858">
              <w:t>)</w:t>
            </w:r>
          </w:p>
        </w:tc>
        <w:tc>
          <w:tcPr>
            <w:tcW w:w="2191" w:type="dxa"/>
          </w:tcPr>
          <w:p w14:paraId="0BE68100" w14:textId="77777777" w:rsidR="007D5858" w:rsidRPr="005B667B" w:rsidRDefault="007D5858" w:rsidP="00211C5F">
            <w:pPr>
              <w:spacing w:before="200" w:line="264" w:lineRule="auto"/>
              <w:ind w:right="-46"/>
              <w:jc w:val="both"/>
            </w:pPr>
            <w:r w:rsidRPr="005B667B">
              <w:t xml:space="preserve">To re-elect </w:t>
            </w:r>
            <w:r w:rsidR="005B667B" w:rsidRPr="005B667B">
              <w:t>Phillip Burns</w:t>
            </w:r>
            <w:r w:rsidR="00211C5F" w:rsidRPr="005B667B">
              <w:t xml:space="preserve"> </w:t>
            </w:r>
            <w:r w:rsidRPr="005B667B">
              <w:t>as a Director</w:t>
            </w:r>
          </w:p>
        </w:tc>
        <w:tc>
          <w:tcPr>
            <w:tcW w:w="2183" w:type="dxa"/>
          </w:tcPr>
          <w:p w14:paraId="0BE68101" w14:textId="77777777" w:rsidR="007D5858" w:rsidRDefault="007B0821" w:rsidP="00867E95">
            <w:pPr>
              <w:spacing w:before="200" w:line="264" w:lineRule="auto"/>
              <w:ind w:right="57"/>
              <w:jc w:val="right"/>
            </w:pPr>
            <w:r>
              <w:t>203,307,700</w:t>
            </w:r>
          </w:p>
        </w:tc>
        <w:tc>
          <w:tcPr>
            <w:tcW w:w="2183" w:type="dxa"/>
          </w:tcPr>
          <w:p w14:paraId="0BE68102" w14:textId="77777777" w:rsidR="007D5858" w:rsidRDefault="007B0821" w:rsidP="00867E95">
            <w:pPr>
              <w:spacing w:before="200" w:line="264" w:lineRule="auto"/>
              <w:ind w:right="57"/>
              <w:jc w:val="right"/>
            </w:pPr>
            <w:r>
              <w:t>1,584,086</w:t>
            </w:r>
          </w:p>
        </w:tc>
        <w:tc>
          <w:tcPr>
            <w:tcW w:w="2187" w:type="dxa"/>
          </w:tcPr>
          <w:p w14:paraId="0BE68103" w14:textId="77777777" w:rsidR="007D5858" w:rsidRDefault="007B0821" w:rsidP="00867E95">
            <w:pPr>
              <w:spacing w:before="200" w:line="264" w:lineRule="auto"/>
              <w:ind w:right="57"/>
              <w:jc w:val="right"/>
            </w:pPr>
            <w:r>
              <w:t>27,339,460</w:t>
            </w:r>
          </w:p>
        </w:tc>
      </w:tr>
      <w:tr w:rsidR="007D5858" w14:paraId="0BE6810A" w14:textId="77777777" w:rsidTr="005B667B">
        <w:tc>
          <w:tcPr>
            <w:tcW w:w="862" w:type="dxa"/>
          </w:tcPr>
          <w:p w14:paraId="0BE68105" w14:textId="77777777" w:rsidR="007D5858" w:rsidRDefault="000F3078" w:rsidP="00EB1154">
            <w:pPr>
              <w:spacing w:before="200" w:line="264" w:lineRule="auto"/>
              <w:ind w:right="-46"/>
              <w:jc w:val="both"/>
            </w:pPr>
            <w:r>
              <w:t>3 (b)</w:t>
            </w:r>
          </w:p>
        </w:tc>
        <w:tc>
          <w:tcPr>
            <w:tcW w:w="2191" w:type="dxa"/>
          </w:tcPr>
          <w:p w14:paraId="0BE68106" w14:textId="77777777" w:rsidR="007D5858" w:rsidRPr="005B667B" w:rsidRDefault="005B667B" w:rsidP="000F3078">
            <w:pPr>
              <w:spacing w:before="200" w:line="264" w:lineRule="auto"/>
              <w:ind w:right="-46"/>
              <w:jc w:val="both"/>
            </w:pPr>
            <w:r w:rsidRPr="005B667B">
              <w:t xml:space="preserve">To re-elect </w:t>
            </w:r>
            <w:r w:rsidR="000F3078">
              <w:t xml:space="preserve">Joan </w:t>
            </w:r>
            <w:proofErr w:type="spellStart"/>
            <w:r w:rsidR="000F3078">
              <w:t>Garahy</w:t>
            </w:r>
            <w:proofErr w:type="spellEnd"/>
            <w:r w:rsidR="00211C5F" w:rsidRPr="005B667B">
              <w:t xml:space="preserve"> as a Director</w:t>
            </w:r>
          </w:p>
        </w:tc>
        <w:tc>
          <w:tcPr>
            <w:tcW w:w="2183" w:type="dxa"/>
          </w:tcPr>
          <w:p w14:paraId="0BE68107" w14:textId="77777777" w:rsidR="007D5858" w:rsidRDefault="007B0821" w:rsidP="00867E95">
            <w:pPr>
              <w:spacing w:before="200" w:line="264" w:lineRule="auto"/>
              <w:ind w:right="57"/>
              <w:jc w:val="right"/>
            </w:pPr>
            <w:r>
              <w:t>231,908,372</w:t>
            </w:r>
          </w:p>
        </w:tc>
        <w:tc>
          <w:tcPr>
            <w:tcW w:w="2183" w:type="dxa"/>
          </w:tcPr>
          <w:p w14:paraId="0BE68108" w14:textId="77777777" w:rsidR="007D5858" w:rsidRDefault="007B0821" w:rsidP="00867E95">
            <w:pPr>
              <w:spacing w:before="200" w:line="264" w:lineRule="auto"/>
              <w:ind w:right="57"/>
              <w:jc w:val="right"/>
            </w:pPr>
            <w:r>
              <w:t>322,874</w:t>
            </w:r>
          </w:p>
        </w:tc>
        <w:tc>
          <w:tcPr>
            <w:tcW w:w="2187" w:type="dxa"/>
          </w:tcPr>
          <w:p w14:paraId="0BE68109" w14:textId="77777777" w:rsidR="007D5858" w:rsidRDefault="007B0821" w:rsidP="00867E95">
            <w:pPr>
              <w:spacing w:before="200" w:line="264" w:lineRule="auto"/>
              <w:ind w:right="57"/>
              <w:jc w:val="right"/>
            </w:pPr>
            <w:r>
              <w:t>0</w:t>
            </w:r>
          </w:p>
        </w:tc>
      </w:tr>
      <w:tr w:rsidR="007D5858" w14:paraId="0BE68110" w14:textId="77777777" w:rsidTr="005B667B">
        <w:tc>
          <w:tcPr>
            <w:tcW w:w="862" w:type="dxa"/>
          </w:tcPr>
          <w:p w14:paraId="0BE6810B" w14:textId="77777777" w:rsidR="007D5858" w:rsidRDefault="000F3078" w:rsidP="00EB1154">
            <w:pPr>
              <w:spacing w:before="200" w:line="264" w:lineRule="auto"/>
              <w:ind w:right="-46"/>
              <w:jc w:val="both"/>
            </w:pPr>
            <w:r>
              <w:t>3 (c)</w:t>
            </w:r>
          </w:p>
        </w:tc>
        <w:tc>
          <w:tcPr>
            <w:tcW w:w="2191" w:type="dxa"/>
          </w:tcPr>
          <w:p w14:paraId="0BE6810C" w14:textId="77777777" w:rsidR="007D5858" w:rsidRPr="005B667B" w:rsidRDefault="005B667B" w:rsidP="000F3078">
            <w:pPr>
              <w:spacing w:before="200" w:line="264" w:lineRule="auto"/>
              <w:ind w:right="-46"/>
              <w:jc w:val="both"/>
            </w:pPr>
            <w:r w:rsidRPr="005B667B">
              <w:t xml:space="preserve">To re-elect </w:t>
            </w:r>
            <w:r w:rsidR="000F3078">
              <w:t>Tom Kavanagh</w:t>
            </w:r>
            <w:r w:rsidR="00211C5F" w:rsidRPr="005B667B">
              <w:t xml:space="preserve"> as a Director</w:t>
            </w:r>
          </w:p>
        </w:tc>
        <w:tc>
          <w:tcPr>
            <w:tcW w:w="2183" w:type="dxa"/>
          </w:tcPr>
          <w:p w14:paraId="0BE6810D" w14:textId="77777777" w:rsidR="007D5858" w:rsidRDefault="007B0821" w:rsidP="00867E95">
            <w:pPr>
              <w:spacing w:before="200" w:line="264" w:lineRule="auto"/>
              <w:ind w:right="57"/>
              <w:jc w:val="right"/>
            </w:pPr>
            <w:r>
              <w:t>232,054,531</w:t>
            </w:r>
          </w:p>
        </w:tc>
        <w:tc>
          <w:tcPr>
            <w:tcW w:w="2183" w:type="dxa"/>
          </w:tcPr>
          <w:p w14:paraId="0BE6810E" w14:textId="77777777" w:rsidR="007D5858" w:rsidRDefault="007B0821" w:rsidP="00867E95">
            <w:pPr>
              <w:spacing w:before="200" w:line="264" w:lineRule="auto"/>
              <w:ind w:right="57"/>
              <w:jc w:val="right"/>
            </w:pPr>
            <w:r>
              <w:t>176,715</w:t>
            </w:r>
          </w:p>
        </w:tc>
        <w:tc>
          <w:tcPr>
            <w:tcW w:w="2187" w:type="dxa"/>
          </w:tcPr>
          <w:p w14:paraId="0BE6810F" w14:textId="77777777" w:rsidR="007D5858" w:rsidRDefault="007B0821" w:rsidP="00867E95">
            <w:pPr>
              <w:spacing w:before="200" w:line="264" w:lineRule="auto"/>
              <w:ind w:right="57"/>
              <w:jc w:val="right"/>
            </w:pPr>
            <w:r>
              <w:t>0</w:t>
            </w:r>
          </w:p>
        </w:tc>
      </w:tr>
      <w:tr w:rsidR="007D5858" w14:paraId="0BE68116" w14:textId="77777777" w:rsidTr="005B667B">
        <w:tc>
          <w:tcPr>
            <w:tcW w:w="862" w:type="dxa"/>
          </w:tcPr>
          <w:p w14:paraId="0BE68111" w14:textId="77777777" w:rsidR="007D5858" w:rsidRDefault="000F3078" w:rsidP="00EB1154">
            <w:pPr>
              <w:spacing w:before="200" w:line="264" w:lineRule="auto"/>
              <w:ind w:right="-46"/>
              <w:jc w:val="both"/>
            </w:pPr>
            <w:r>
              <w:t>3 (d)</w:t>
            </w:r>
          </w:p>
        </w:tc>
        <w:tc>
          <w:tcPr>
            <w:tcW w:w="2191" w:type="dxa"/>
          </w:tcPr>
          <w:p w14:paraId="0BE68112" w14:textId="77777777" w:rsidR="007D5858" w:rsidRPr="005B667B" w:rsidRDefault="005B667B" w:rsidP="00EB1154">
            <w:pPr>
              <w:spacing w:before="200" w:line="264" w:lineRule="auto"/>
              <w:ind w:right="-46"/>
              <w:jc w:val="both"/>
            </w:pPr>
            <w:r w:rsidRPr="005B667B">
              <w:t>To re-elect Declan Moylan</w:t>
            </w:r>
            <w:r w:rsidR="00211C5F" w:rsidRPr="005B667B">
              <w:t xml:space="preserve"> as a Director</w:t>
            </w:r>
          </w:p>
        </w:tc>
        <w:tc>
          <w:tcPr>
            <w:tcW w:w="2183" w:type="dxa"/>
          </w:tcPr>
          <w:p w14:paraId="0BE68113" w14:textId="77777777" w:rsidR="007D5858" w:rsidRDefault="007B0821" w:rsidP="00867E95">
            <w:pPr>
              <w:spacing w:before="200" w:line="264" w:lineRule="auto"/>
              <w:ind w:right="57"/>
              <w:jc w:val="right"/>
            </w:pPr>
            <w:r>
              <w:t>231,776,787</w:t>
            </w:r>
          </w:p>
        </w:tc>
        <w:tc>
          <w:tcPr>
            <w:tcW w:w="2183" w:type="dxa"/>
          </w:tcPr>
          <w:p w14:paraId="0BE68114" w14:textId="77777777" w:rsidR="007D5858" w:rsidRDefault="007B0821" w:rsidP="00867E95">
            <w:pPr>
              <w:spacing w:before="200" w:line="264" w:lineRule="auto"/>
              <w:ind w:right="57"/>
              <w:jc w:val="right"/>
            </w:pPr>
            <w:r>
              <w:t>454,459</w:t>
            </w:r>
          </w:p>
        </w:tc>
        <w:tc>
          <w:tcPr>
            <w:tcW w:w="2187" w:type="dxa"/>
          </w:tcPr>
          <w:p w14:paraId="0BE68115" w14:textId="77777777" w:rsidR="007D5858" w:rsidRDefault="007B0821" w:rsidP="00867E95">
            <w:pPr>
              <w:spacing w:before="200" w:line="264" w:lineRule="auto"/>
              <w:ind w:right="57"/>
              <w:jc w:val="right"/>
            </w:pPr>
            <w:r>
              <w:t>0</w:t>
            </w:r>
          </w:p>
        </w:tc>
      </w:tr>
      <w:tr w:rsidR="007D5858" w14:paraId="0BE6811C" w14:textId="77777777" w:rsidTr="005B667B">
        <w:tc>
          <w:tcPr>
            <w:tcW w:w="862" w:type="dxa"/>
          </w:tcPr>
          <w:p w14:paraId="0BE68117" w14:textId="77777777" w:rsidR="007D5858" w:rsidRDefault="000F3078" w:rsidP="00EB1154">
            <w:pPr>
              <w:spacing w:before="200" w:line="264" w:lineRule="auto"/>
              <w:ind w:right="-46"/>
              <w:jc w:val="both"/>
            </w:pPr>
            <w:r>
              <w:lastRenderedPageBreak/>
              <w:t>3 (e)</w:t>
            </w:r>
          </w:p>
        </w:tc>
        <w:tc>
          <w:tcPr>
            <w:tcW w:w="2191" w:type="dxa"/>
          </w:tcPr>
          <w:p w14:paraId="0BE68118" w14:textId="77777777" w:rsidR="007D5858" w:rsidRPr="005B667B" w:rsidRDefault="005B667B" w:rsidP="00EB1154">
            <w:pPr>
              <w:spacing w:before="200" w:line="264" w:lineRule="auto"/>
              <w:ind w:right="-46"/>
              <w:jc w:val="both"/>
            </w:pPr>
            <w:r w:rsidRPr="005B667B">
              <w:t xml:space="preserve">To re-elect Aidan </w:t>
            </w:r>
            <w:proofErr w:type="spellStart"/>
            <w:r w:rsidRPr="005B667B">
              <w:t>O’Hogan</w:t>
            </w:r>
            <w:proofErr w:type="spellEnd"/>
            <w:r w:rsidR="00211C5F" w:rsidRPr="005B667B">
              <w:t xml:space="preserve"> as a Director</w:t>
            </w:r>
          </w:p>
        </w:tc>
        <w:tc>
          <w:tcPr>
            <w:tcW w:w="2183" w:type="dxa"/>
          </w:tcPr>
          <w:p w14:paraId="0BE68119" w14:textId="77777777" w:rsidR="007D5858" w:rsidRDefault="007B0821" w:rsidP="00867E95">
            <w:pPr>
              <w:spacing w:before="200" w:line="264" w:lineRule="auto"/>
              <w:ind w:right="57"/>
              <w:jc w:val="right"/>
            </w:pPr>
            <w:r>
              <w:t>231,908,372</w:t>
            </w:r>
          </w:p>
        </w:tc>
        <w:tc>
          <w:tcPr>
            <w:tcW w:w="2183" w:type="dxa"/>
          </w:tcPr>
          <w:p w14:paraId="0BE6811A" w14:textId="77777777" w:rsidR="007D5858" w:rsidRDefault="007B0821" w:rsidP="00867E95">
            <w:pPr>
              <w:spacing w:before="200" w:line="264" w:lineRule="auto"/>
              <w:ind w:right="57"/>
              <w:jc w:val="right"/>
            </w:pPr>
            <w:r>
              <w:t>322,874</w:t>
            </w:r>
          </w:p>
        </w:tc>
        <w:tc>
          <w:tcPr>
            <w:tcW w:w="2187" w:type="dxa"/>
          </w:tcPr>
          <w:p w14:paraId="0BE6811B" w14:textId="77777777" w:rsidR="007D5858" w:rsidRDefault="007B0821" w:rsidP="00867E95">
            <w:pPr>
              <w:spacing w:before="200" w:line="264" w:lineRule="auto"/>
              <w:ind w:right="57"/>
              <w:jc w:val="right"/>
            </w:pPr>
            <w:r>
              <w:t>0</w:t>
            </w:r>
          </w:p>
        </w:tc>
      </w:tr>
      <w:tr w:rsidR="007D5858" w14:paraId="0BE68122" w14:textId="77777777" w:rsidTr="005B667B">
        <w:tc>
          <w:tcPr>
            <w:tcW w:w="862" w:type="dxa"/>
          </w:tcPr>
          <w:p w14:paraId="0BE6811D" w14:textId="77777777" w:rsidR="007D5858" w:rsidRDefault="000F3078" w:rsidP="00EB1154">
            <w:pPr>
              <w:spacing w:before="200" w:line="264" w:lineRule="auto"/>
              <w:ind w:right="-46"/>
              <w:jc w:val="both"/>
            </w:pPr>
            <w:r>
              <w:t>3 (f)</w:t>
            </w:r>
          </w:p>
        </w:tc>
        <w:tc>
          <w:tcPr>
            <w:tcW w:w="2191" w:type="dxa"/>
          </w:tcPr>
          <w:p w14:paraId="0BE6811E" w14:textId="77777777" w:rsidR="007D5858" w:rsidRPr="005B667B" w:rsidRDefault="005B667B" w:rsidP="00EB1154">
            <w:pPr>
              <w:spacing w:before="200" w:line="264" w:lineRule="auto"/>
              <w:ind w:right="-46"/>
              <w:jc w:val="both"/>
            </w:pPr>
            <w:r w:rsidRPr="005B667B">
              <w:t>To re-elect Margaret Sweeney</w:t>
            </w:r>
            <w:r w:rsidR="00211C5F" w:rsidRPr="005B667B">
              <w:t xml:space="preserve"> as a Director</w:t>
            </w:r>
          </w:p>
        </w:tc>
        <w:tc>
          <w:tcPr>
            <w:tcW w:w="2183" w:type="dxa"/>
          </w:tcPr>
          <w:p w14:paraId="0BE6811F" w14:textId="77777777" w:rsidR="007D5858" w:rsidRDefault="007B0821" w:rsidP="00867E95">
            <w:pPr>
              <w:spacing w:before="200" w:line="264" w:lineRule="auto"/>
              <w:ind w:right="57"/>
              <w:jc w:val="right"/>
            </w:pPr>
            <w:r>
              <w:t>231,838,883</w:t>
            </w:r>
          </w:p>
        </w:tc>
        <w:tc>
          <w:tcPr>
            <w:tcW w:w="2183" w:type="dxa"/>
          </w:tcPr>
          <w:p w14:paraId="0BE68120" w14:textId="77777777" w:rsidR="007D5858" w:rsidRDefault="007B0821" w:rsidP="00867E95">
            <w:pPr>
              <w:spacing w:before="200" w:line="264" w:lineRule="auto"/>
              <w:ind w:right="57"/>
              <w:jc w:val="right"/>
            </w:pPr>
            <w:r>
              <w:t>392,363</w:t>
            </w:r>
          </w:p>
        </w:tc>
        <w:tc>
          <w:tcPr>
            <w:tcW w:w="2187" w:type="dxa"/>
          </w:tcPr>
          <w:p w14:paraId="0BE68121" w14:textId="77777777" w:rsidR="007D5858" w:rsidRDefault="007B0821" w:rsidP="00867E95">
            <w:pPr>
              <w:spacing w:before="200" w:line="264" w:lineRule="auto"/>
              <w:ind w:right="57"/>
              <w:jc w:val="right"/>
            </w:pPr>
            <w:r>
              <w:t>0</w:t>
            </w:r>
          </w:p>
        </w:tc>
      </w:tr>
      <w:tr w:rsidR="007D5858" w14:paraId="0BE68128" w14:textId="77777777" w:rsidTr="005B667B">
        <w:tc>
          <w:tcPr>
            <w:tcW w:w="862" w:type="dxa"/>
          </w:tcPr>
          <w:p w14:paraId="0BE68123" w14:textId="77777777" w:rsidR="007D5858" w:rsidRDefault="000F3078" w:rsidP="00EB1154">
            <w:pPr>
              <w:spacing w:before="200" w:line="264" w:lineRule="auto"/>
              <w:ind w:right="-46"/>
              <w:jc w:val="both"/>
            </w:pPr>
            <w:r>
              <w:t>4</w:t>
            </w:r>
          </w:p>
        </w:tc>
        <w:tc>
          <w:tcPr>
            <w:tcW w:w="2191" w:type="dxa"/>
          </w:tcPr>
          <w:p w14:paraId="0BE68124" w14:textId="77777777" w:rsidR="007D5858" w:rsidRPr="005B667B" w:rsidRDefault="005B667B" w:rsidP="00EB1154">
            <w:pPr>
              <w:spacing w:before="200" w:line="264" w:lineRule="auto"/>
              <w:ind w:right="-46"/>
              <w:jc w:val="both"/>
            </w:pPr>
            <w:r w:rsidRPr="005B667B">
              <w:t>Authority to call a general meeting on 14 clear days’ notice</w:t>
            </w:r>
          </w:p>
        </w:tc>
        <w:tc>
          <w:tcPr>
            <w:tcW w:w="2183" w:type="dxa"/>
          </w:tcPr>
          <w:p w14:paraId="0BE68125" w14:textId="77777777" w:rsidR="007D5858" w:rsidRDefault="007B0821" w:rsidP="00867E95">
            <w:pPr>
              <w:spacing w:before="200" w:line="264" w:lineRule="auto"/>
              <w:ind w:right="57"/>
              <w:jc w:val="right"/>
            </w:pPr>
            <w:r>
              <w:t>212,768,088</w:t>
            </w:r>
          </w:p>
        </w:tc>
        <w:tc>
          <w:tcPr>
            <w:tcW w:w="2183" w:type="dxa"/>
          </w:tcPr>
          <w:p w14:paraId="0BE68126" w14:textId="77777777" w:rsidR="007D5858" w:rsidRDefault="007B0821" w:rsidP="00867E95">
            <w:pPr>
              <w:spacing w:before="200" w:line="264" w:lineRule="auto"/>
              <w:ind w:right="57"/>
              <w:jc w:val="right"/>
            </w:pPr>
            <w:r>
              <w:t>19,463,158</w:t>
            </w:r>
          </w:p>
        </w:tc>
        <w:tc>
          <w:tcPr>
            <w:tcW w:w="2187" w:type="dxa"/>
          </w:tcPr>
          <w:p w14:paraId="0BE68127" w14:textId="77777777" w:rsidR="007D5858" w:rsidRDefault="007B0821" w:rsidP="00867E95">
            <w:pPr>
              <w:spacing w:before="200" w:line="264" w:lineRule="auto"/>
              <w:ind w:right="57"/>
              <w:jc w:val="right"/>
            </w:pPr>
            <w:r>
              <w:t>0</w:t>
            </w:r>
          </w:p>
        </w:tc>
      </w:tr>
      <w:tr w:rsidR="00B033E1" w14:paraId="0BE6812E" w14:textId="77777777" w:rsidTr="005B667B">
        <w:tc>
          <w:tcPr>
            <w:tcW w:w="862" w:type="dxa"/>
          </w:tcPr>
          <w:p w14:paraId="0BE68129" w14:textId="77777777" w:rsidR="00B033E1" w:rsidRDefault="000F3078" w:rsidP="00EB1154">
            <w:pPr>
              <w:spacing w:before="200" w:line="264" w:lineRule="auto"/>
              <w:ind w:right="-46"/>
              <w:jc w:val="both"/>
            </w:pPr>
            <w:r>
              <w:t>5</w:t>
            </w:r>
          </w:p>
        </w:tc>
        <w:tc>
          <w:tcPr>
            <w:tcW w:w="2191" w:type="dxa"/>
          </w:tcPr>
          <w:p w14:paraId="0BE6812A" w14:textId="77777777" w:rsidR="00B033E1" w:rsidRPr="005B667B" w:rsidRDefault="005B667B" w:rsidP="00EB1154">
            <w:pPr>
              <w:spacing w:before="200" w:line="264" w:lineRule="auto"/>
              <w:ind w:right="-46"/>
              <w:jc w:val="both"/>
            </w:pPr>
            <w:r w:rsidRPr="005B667B">
              <w:t>Authority to fix the remuneration of the Auditors in respect of the period expiring at the next Annual General Meeting of the Company</w:t>
            </w:r>
          </w:p>
        </w:tc>
        <w:tc>
          <w:tcPr>
            <w:tcW w:w="2183" w:type="dxa"/>
          </w:tcPr>
          <w:p w14:paraId="0BE6812B" w14:textId="77777777" w:rsidR="00B033E1" w:rsidRDefault="007B0821" w:rsidP="00867E95">
            <w:pPr>
              <w:spacing w:before="200" w:line="264" w:lineRule="auto"/>
              <w:ind w:right="57"/>
              <w:jc w:val="right"/>
            </w:pPr>
            <w:r>
              <w:t>232,231,246</w:t>
            </w:r>
          </w:p>
        </w:tc>
        <w:tc>
          <w:tcPr>
            <w:tcW w:w="2183" w:type="dxa"/>
          </w:tcPr>
          <w:p w14:paraId="0BE6812C" w14:textId="77777777" w:rsidR="00B033E1" w:rsidRDefault="007B0821" w:rsidP="00867E95">
            <w:pPr>
              <w:spacing w:before="200" w:line="264" w:lineRule="auto"/>
              <w:ind w:right="57"/>
              <w:jc w:val="right"/>
            </w:pPr>
            <w:r>
              <w:t>0</w:t>
            </w:r>
          </w:p>
        </w:tc>
        <w:tc>
          <w:tcPr>
            <w:tcW w:w="2187" w:type="dxa"/>
          </w:tcPr>
          <w:p w14:paraId="0BE6812D" w14:textId="77777777" w:rsidR="00B033E1" w:rsidRDefault="007B0821" w:rsidP="00867E95">
            <w:pPr>
              <w:spacing w:before="200" w:line="264" w:lineRule="auto"/>
              <w:ind w:right="57"/>
              <w:jc w:val="right"/>
            </w:pPr>
            <w:r>
              <w:t>0</w:t>
            </w:r>
          </w:p>
        </w:tc>
      </w:tr>
      <w:tr w:rsidR="007D5858" w14:paraId="0BE68134" w14:textId="77777777" w:rsidTr="005B667B">
        <w:tc>
          <w:tcPr>
            <w:tcW w:w="862" w:type="dxa"/>
          </w:tcPr>
          <w:p w14:paraId="0BE6812F" w14:textId="77777777" w:rsidR="007D5858" w:rsidRDefault="005B667B" w:rsidP="00EB1154">
            <w:pPr>
              <w:spacing w:before="200" w:line="264" w:lineRule="auto"/>
              <w:ind w:right="-46"/>
              <w:jc w:val="both"/>
            </w:pPr>
            <w:r>
              <w:t xml:space="preserve">6 </w:t>
            </w:r>
          </w:p>
        </w:tc>
        <w:tc>
          <w:tcPr>
            <w:tcW w:w="2191" w:type="dxa"/>
          </w:tcPr>
          <w:p w14:paraId="0BE68130" w14:textId="77777777" w:rsidR="007D5858" w:rsidRPr="005B667B" w:rsidRDefault="005B667B" w:rsidP="00EB1154">
            <w:pPr>
              <w:spacing w:before="200" w:line="264" w:lineRule="auto"/>
              <w:ind w:right="-46"/>
              <w:jc w:val="both"/>
            </w:pPr>
            <w:r w:rsidRPr="005B667B">
              <w:t>Authority to allot relevant securities up to specified limits</w:t>
            </w:r>
          </w:p>
        </w:tc>
        <w:tc>
          <w:tcPr>
            <w:tcW w:w="2183" w:type="dxa"/>
          </w:tcPr>
          <w:p w14:paraId="0BE68131" w14:textId="77777777" w:rsidR="007D5858" w:rsidRDefault="007B0821" w:rsidP="00867E95">
            <w:pPr>
              <w:spacing w:before="200" w:line="264" w:lineRule="auto"/>
              <w:ind w:right="57"/>
              <w:jc w:val="right"/>
            </w:pPr>
            <w:r>
              <w:t>216,919,295</w:t>
            </w:r>
          </w:p>
        </w:tc>
        <w:tc>
          <w:tcPr>
            <w:tcW w:w="2183" w:type="dxa"/>
          </w:tcPr>
          <w:p w14:paraId="0BE68132" w14:textId="77777777" w:rsidR="007D5858" w:rsidRDefault="007B0821" w:rsidP="00867E95">
            <w:pPr>
              <w:spacing w:before="200" w:line="264" w:lineRule="auto"/>
              <w:ind w:right="57"/>
              <w:jc w:val="right"/>
            </w:pPr>
            <w:r>
              <w:t>15,311,951</w:t>
            </w:r>
          </w:p>
        </w:tc>
        <w:tc>
          <w:tcPr>
            <w:tcW w:w="2187" w:type="dxa"/>
          </w:tcPr>
          <w:p w14:paraId="0BE68133" w14:textId="77777777" w:rsidR="007D5858" w:rsidRDefault="007B0821" w:rsidP="00867E95">
            <w:pPr>
              <w:spacing w:before="200" w:line="264" w:lineRule="auto"/>
              <w:ind w:right="57"/>
              <w:jc w:val="right"/>
            </w:pPr>
            <w:r>
              <w:t>0</w:t>
            </w:r>
          </w:p>
        </w:tc>
      </w:tr>
      <w:tr w:rsidR="000F37F6" w14:paraId="0BE6813A" w14:textId="77777777" w:rsidTr="005B667B">
        <w:tc>
          <w:tcPr>
            <w:tcW w:w="862" w:type="dxa"/>
          </w:tcPr>
          <w:p w14:paraId="0BE68135" w14:textId="77777777" w:rsidR="000F37F6" w:rsidRDefault="000F37F6" w:rsidP="00EB1154">
            <w:pPr>
              <w:spacing w:before="200" w:line="264" w:lineRule="auto"/>
              <w:ind w:right="-46"/>
              <w:jc w:val="both"/>
            </w:pPr>
            <w:r>
              <w:t>7(a)</w:t>
            </w:r>
          </w:p>
        </w:tc>
        <w:tc>
          <w:tcPr>
            <w:tcW w:w="2191" w:type="dxa"/>
          </w:tcPr>
          <w:p w14:paraId="0BE68136" w14:textId="77777777" w:rsidR="000F37F6" w:rsidRPr="005B667B" w:rsidRDefault="00475865" w:rsidP="005B667B">
            <w:pPr>
              <w:spacing w:before="200" w:line="264" w:lineRule="auto"/>
              <w:ind w:right="-46"/>
              <w:jc w:val="both"/>
            </w:pPr>
            <w:r w:rsidRPr="005B667B">
              <w:t xml:space="preserve">Authority to disapply pre-emption rights </w:t>
            </w:r>
            <w:r w:rsidR="005B667B" w:rsidRPr="005B667B">
              <w:t>in specified circumstances</w:t>
            </w:r>
          </w:p>
        </w:tc>
        <w:tc>
          <w:tcPr>
            <w:tcW w:w="2183" w:type="dxa"/>
          </w:tcPr>
          <w:p w14:paraId="0BE68137" w14:textId="77777777" w:rsidR="000F37F6" w:rsidRDefault="007B0821" w:rsidP="00867E95">
            <w:pPr>
              <w:spacing w:before="200" w:line="264" w:lineRule="auto"/>
              <w:ind w:right="57"/>
              <w:jc w:val="right"/>
            </w:pPr>
            <w:r>
              <w:t>232,214,246</w:t>
            </w:r>
          </w:p>
        </w:tc>
        <w:tc>
          <w:tcPr>
            <w:tcW w:w="2183" w:type="dxa"/>
          </w:tcPr>
          <w:p w14:paraId="0BE68138" w14:textId="77777777" w:rsidR="000F37F6" w:rsidRDefault="007B0821" w:rsidP="00867E95">
            <w:pPr>
              <w:spacing w:before="200" w:line="264" w:lineRule="auto"/>
              <w:ind w:right="57"/>
              <w:jc w:val="right"/>
            </w:pPr>
            <w:r>
              <w:t>17,000</w:t>
            </w:r>
          </w:p>
        </w:tc>
        <w:tc>
          <w:tcPr>
            <w:tcW w:w="2187" w:type="dxa"/>
          </w:tcPr>
          <w:p w14:paraId="0BE68139" w14:textId="77777777" w:rsidR="000F37F6" w:rsidRDefault="007B0821" w:rsidP="00867E95">
            <w:pPr>
              <w:spacing w:before="200" w:line="264" w:lineRule="auto"/>
              <w:ind w:right="57"/>
              <w:jc w:val="right"/>
            </w:pPr>
            <w:r>
              <w:t>0</w:t>
            </w:r>
          </w:p>
        </w:tc>
      </w:tr>
      <w:tr w:rsidR="000F37F6" w14:paraId="0BE68140" w14:textId="77777777" w:rsidTr="005B667B">
        <w:tc>
          <w:tcPr>
            <w:tcW w:w="862" w:type="dxa"/>
          </w:tcPr>
          <w:p w14:paraId="0BE6813B" w14:textId="77777777" w:rsidR="000F37F6" w:rsidRDefault="000F37F6" w:rsidP="00EB1154">
            <w:pPr>
              <w:spacing w:before="200" w:line="264" w:lineRule="auto"/>
              <w:ind w:right="-46"/>
              <w:jc w:val="both"/>
            </w:pPr>
            <w:r>
              <w:t>7(b)</w:t>
            </w:r>
          </w:p>
        </w:tc>
        <w:tc>
          <w:tcPr>
            <w:tcW w:w="2191" w:type="dxa"/>
          </w:tcPr>
          <w:p w14:paraId="0BE6813C" w14:textId="77777777" w:rsidR="000F37F6" w:rsidRPr="005B667B" w:rsidRDefault="00475865" w:rsidP="00EB1154">
            <w:pPr>
              <w:spacing w:before="200" w:line="264" w:lineRule="auto"/>
              <w:ind w:right="-46"/>
              <w:jc w:val="both"/>
            </w:pPr>
            <w:r w:rsidRPr="005B667B">
              <w:t>Additional authority to disapply pre-emption rights for an acquisition or other specified capital investment</w:t>
            </w:r>
          </w:p>
        </w:tc>
        <w:tc>
          <w:tcPr>
            <w:tcW w:w="2183" w:type="dxa"/>
          </w:tcPr>
          <w:p w14:paraId="0BE6813D" w14:textId="77777777" w:rsidR="000F37F6" w:rsidRDefault="007B0821" w:rsidP="00867E95">
            <w:pPr>
              <w:spacing w:before="200" w:line="264" w:lineRule="auto"/>
              <w:ind w:right="57"/>
              <w:jc w:val="right"/>
            </w:pPr>
            <w:r>
              <w:t>232,214,246</w:t>
            </w:r>
          </w:p>
        </w:tc>
        <w:tc>
          <w:tcPr>
            <w:tcW w:w="2183" w:type="dxa"/>
          </w:tcPr>
          <w:p w14:paraId="0BE6813E" w14:textId="77777777" w:rsidR="000F37F6" w:rsidRDefault="007B0821" w:rsidP="00867E95">
            <w:pPr>
              <w:spacing w:before="200" w:line="264" w:lineRule="auto"/>
              <w:ind w:right="57"/>
              <w:jc w:val="right"/>
            </w:pPr>
            <w:r>
              <w:t>17,000</w:t>
            </w:r>
          </w:p>
        </w:tc>
        <w:tc>
          <w:tcPr>
            <w:tcW w:w="2187" w:type="dxa"/>
          </w:tcPr>
          <w:p w14:paraId="0BE6813F" w14:textId="77777777" w:rsidR="000F37F6" w:rsidRDefault="007B0821" w:rsidP="00867E95">
            <w:pPr>
              <w:spacing w:before="200" w:line="264" w:lineRule="auto"/>
              <w:ind w:right="57"/>
              <w:jc w:val="right"/>
            </w:pPr>
            <w:r>
              <w:t>0</w:t>
            </w:r>
          </w:p>
        </w:tc>
      </w:tr>
      <w:tr w:rsidR="007D5858" w14:paraId="0BE68146" w14:textId="77777777" w:rsidTr="005B667B">
        <w:tc>
          <w:tcPr>
            <w:tcW w:w="862" w:type="dxa"/>
          </w:tcPr>
          <w:p w14:paraId="0BE68141" w14:textId="77777777" w:rsidR="007D5858" w:rsidRDefault="000F37F6" w:rsidP="00EB1154">
            <w:pPr>
              <w:spacing w:before="200" w:line="264" w:lineRule="auto"/>
              <w:ind w:right="-46"/>
              <w:jc w:val="both"/>
            </w:pPr>
            <w:r>
              <w:t>8</w:t>
            </w:r>
          </w:p>
        </w:tc>
        <w:tc>
          <w:tcPr>
            <w:tcW w:w="2191" w:type="dxa"/>
          </w:tcPr>
          <w:p w14:paraId="0BE68142" w14:textId="77777777" w:rsidR="007D5858" w:rsidRPr="005B667B" w:rsidRDefault="007D5858" w:rsidP="000F37F6">
            <w:pPr>
              <w:spacing w:before="200" w:line="264" w:lineRule="auto"/>
              <w:ind w:right="-46"/>
              <w:jc w:val="both"/>
            </w:pPr>
            <w:r w:rsidRPr="005B667B">
              <w:t xml:space="preserve">Authority to make market purchases of </w:t>
            </w:r>
            <w:r w:rsidR="000F37F6" w:rsidRPr="005B667B">
              <w:t>the Company’s own shares</w:t>
            </w:r>
          </w:p>
        </w:tc>
        <w:tc>
          <w:tcPr>
            <w:tcW w:w="2183" w:type="dxa"/>
          </w:tcPr>
          <w:p w14:paraId="0BE68143" w14:textId="77777777" w:rsidR="007D5858" w:rsidRDefault="007B0821" w:rsidP="00867E95">
            <w:pPr>
              <w:spacing w:before="200" w:line="264" w:lineRule="auto"/>
              <w:ind w:right="57"/>
              <w:jc w:val="right"/>
            </w:pPr>
            <w:r>
              <w:t>232,193,422</w:t>
            </w:r>
          </w:p>
        </w:tc>
        <w:tc>
          <w:tcPr>
            <w:tcW w:w="2183" w:type="dxa"/>
          </w:tcPr>
          <w:p w14:paraId="0BE68144" w14:textId="77777777" w:rsidR="007D5858" w:rsidRDefault="007B0821" w:rsidP="00867E95">
            <w:pPr>
              <w:spacing w:before="200" w:line="264" w:lineRule="auto"/>
              <w:ind w:right="57"/>
              <w:jc w:val="right"/>
            </w:pPr>
            <w:r>
              <w:t>22,981</w:t>
            </w:r>
          </w:p>
        </w:tc>
        <w:tc>
          <w:tcPr>
            <w:tcW w:w="2187" w:type="dxa"/>
          </w:tcPr>
          <w:p w14:paraId="0BE68145" w14:textId="77777777" w:rsidR="007D5858" w:rsidRDefault="007B0821" w:rsidP="00867E95">
            <w:pPr>
              <w:spacing w:before="200" w:line="264" w:lineRule="auto"/>
              <w:ind w:right="57"/>
              <w:jc w:val="right"/>
            </w:pPr>
            <w:r>
              <w:t>14,843</w:t>
            </w:r>
          </w:p>
        </w:tc>
      </w:tr>
      <w:tr w:rsidR="007D5858" w14:paraId="0BE6814C" w14:textId="77777777" w:rsidTr="005B667B">
        <w:tc>
          <w:tcPr>
            <w:tcW w:w="862" w:type="dxa"/>
          </w:tcPr>
          <w:p w14:paraId="0BE68147" w14:textId="77777777" w:rsidR="007D5858" w:rsidRDefault="000F37F6" w:rsidP="00EB1154">
            <w:pPr>
              <w:spacing w:before="200" w:line="264" w:lineRule="auto"/>
              <w:ind w:right="-46"/>
              <w:jc w:val="both"/>
            </w:pPr>
            <w:r>
              <w:t>9</w:t>
            </w:r>
          </w:p>
        </w:tc>
        <w:tc>
          <w:tcPr>
            <w:tcW w:w="2191" w:type="dxa"/>
          </w:tcPr>
          <w:p w14:paraId="0BE68148" w14:textId="77777777" w:rsidR="007D5858" w:rsidRPr="005B667B" w:rsidRDefault="007D5858" w:rsidP="000F37F6">
            <w:pPr>
              <w:spacing w:before="200" w:line="264" w:lineRule="auto"/>
              <w:ind w:right="-46"/>
              <w:jc w:val="both"/>
            </w:pPr>
            <w:r w:rsidRPr="005B667B">
              <w:t>Autho</w:t>
            </w:r>
            <w:r w:rsidR="00117955" w:rsidRPr="005B667B">
              <w:t>rity to</w:t>
            </w:r>
            <w:r w:rsidR="000F3078">
              <w:t xml:space="preserve"> re-allot</w:t>
            </w:r>
            <w:r w:rsidR="000F37F6" w:rsidRPr="005B667B">
              <w:t xml:space="preserve"> treasury shares</w:t>
            </w:r>
            <w:r w:rsidR="005B667B" w:rsidRPr="005B667B">
              <w:t xml:space="preserve"> at a specified price range</w:t>
            </w:r>
          </w:p>
        </w:tc>
        <w:tc>
          <w:tcPr>
            <w:tcW w:w="2183" w:type="dxa"/>
          </w:tcPr>
          <w:p w14:paraId="0BE68149" w14:textId="77777777" w:rsidR="007D5858" w:rsidRDefault="007B0821" w:rsidP="00867E95">
            <w:pPr>
              <w:spacing w:before="200" w:line="264" w:lineRule="auto"/>
              <w:ind w:right="57"/>
              <w:jc w:val="right"/>
            </w:pPr>
            <w:r>
              <w:t>204,828,142</w:t>
            </w:r>
          </w:p>
        </w:tc>
        <w:tc>
          <w:tcPr>
            <w:tcW w:w="2183" w:type="dxa"/>
          </w:tcPr>
          <w:p w14:paraId="0BE6814A" w14:textId="77777777" w:rsidR="007D5858" w:rsidRDefault="007B0821" w:rsidP="00867E95">
            <w:pPr>
              <w:spacing w:before="200" w:line="264" w:lineRule="auto"/>
              <w:ind w:right="57"/>
              <w:jc w:val="right"/>
            </w:pPr>
            <w:r>
              <w:t>27,388,261</w:t>
            </w:r>
          </w:p>
        </w:tc>
        <w:tc>
          <w:tcPr>
            <w:tcW w:w="2187" w:type="dxa"/>
          </w:tcPr>
          <w:p w14:paraId="0BE6814B" w14:textId="77777777" w:rsidR="007D5858" w:rsidRDefault="007B0821" w:rsidP="00867E95">
            <w:pPr>
              <w:spacing w:before="200" w:line="264" w:lineRule="auto"/>
              <w:ind w:right="57"/>
              <w:jc w:val="right"/>
            </w:pPr>
            <w:r>
              <w:t>14,843</w:t>
            </w:r>
          </w:p>
        </w:tc>
      </w:tr>
    </w:tbl>
    <w:p w14:paraId="0BE6814D" w14:textId="77777777" w:rsidR="00A253D2" w:rsidRDefault="00B45B16" w:rsidP="00B45B16">
      <w:pPr>
        <w:shd w:val="clear" w:color="auto" w:fill="FFFFFF"/>
        <w:spacing w:before="200" w:line="264" w:lineRule="auto"/>
        <w:ind w:right="-46"/>
        <w:jc w:val="both"/>
        <w:rPr>
          <w:rFonts w:ascii="Arial" w:eastAsia="Times New Roman" w:hAnsi="Arial" w:cs="Arial"/>
          <w:b/>
          <w:color w:val="000000"/>
          <w:spacing w:val="-1"/>
          <w:sz w:val="20"/>
          <w:szCs w:val="20"/>
          <w:lang w:eastAsia="en-GB"/>
        </w:rPr>
      </w:pPr>
      <w:r>
        <w:rPr>
          <w:rFonts w:ascii="Arial" w:eastAsia="Times New Roman" w:hAnsi="Arial" w:cs="Arial"/>
          <w:b/>
          <w:color w:val="000000"/>
          <w:spacing w:val="-1"/>
          <w:sz w:val="20"/>
          <w:szCs w:val="20"/>
          <w:lang w:eastAsia="en-GB"/>
        </w:rPr>
        <w:lastRenderedPageBreak/>
        <w:t xml:space="preserve">* </w:t>
      </w:r>
      <w:r w:rsidRPr="00656AB4">
        <w:t>A vote withheld is not a vote in law and is not counted in the proportion of votes for or against a resolution</w:t>
      </w:r>
      <w:r>
        <w:rPr>
          <w:rFonts w:ascii="Arial" w:eastAsia="Times New Roman" w:hAnsi="Arial" w:cs="Arial"/>
          <w:b/>
          <w:color w:val="000000"/>
          <w:spacing w:val="-1"/>
          <w:sz w:val="20"/>
          <w:szCs w:val="20"/>
          <w:lang w:eastAsia="en-GB"/>
        </w:rPr>
        <w:t>.</w:t>
      </w:r>
    </w:p>
    <w:p w14:paraId="0BE6814E" w14:textId="77777777" w:rsidR="00D043AB" w:rsidRPr="00C61AC4" w:rsidRDefault="00EB7416" w:rsidP="00B45B16">
      <w:pPr>
        <w:shd w:val="clear" w:color="auto" w:fill="FFFFFF"/>
        <w:spacing w:before="200" w:line="264" w:lineRule="auto"/>
        <w:ind w:right="-46"/>
        <w:jc w:val="both"/>
      </w:pPr>
      <w:r>
        <w:t>In accordance with the Listing R</w:t>
      </w:r>
      <w:r w:rsidR="00D043AB" w:rsidRPr="004B5638">
        <w:t>ules</w:t>
      </w:r>
      <w:r w:rsidR="000F3078">
        <w:t xml:space="preserve"> of Euronext Dublin</w:t>
      </w:r>
      <w:r w:rsidR="00D043AB" w:rsidRPr="004B5638">
        <w:t xml:space="preserve">, copies of the resolutions passed at the </w:t>
      </w:r>
      <w:r>
        <w:t>Annual General Meeting</w:t>
      </w:r>
      <w:r w:rsidR="00D043AB" w:rsidRPr="004B5638">
        <w:t xml:space="preserve"> relating to special business of the Com</w:t>
      </w:r>
      <w:r>
        <w:t xml:space="preserve">pany have been forwarded to </w:t>
      </w:r>
      <w:r w:rsidR="005B667B" w:rsidRPr="004B5638">
        <w:t>Euronext Dublin</w:t>
      </w:r>
      <w:r w:rsidR="00D043AB" w:rsidRPr="004B5638">
        <w:t xml:space="preserve"> </w:t>
      </w:r>
      <w:r w:rsidR="002671F4" w:rsidRPr="004B5638">
        <w:t>and will shortly be available for inspection at the following address</w:t>
      </w:r>
      <w:r w:rsidR="00D043AB" w:rsidRPr="004B5638">
        <w:t>:</w:t>
      </w:r>
      <w:r w:rsidR="004B5638">
        <w:br/>
      </w:r>
      <w:r w:rsidR="007A51CE">
        <w:t xml:space="preserve">  </w:t>
      </w:r>
    </w:p>
    <w:p w14:paraId="0BE6814F" w14:textId="77777777" w:rsidR="00D043AB" w:rsidRPr="00C61AC4" w:rsidRDefault="00D043AB" w:rsidP="00185352">
      <w:pPr>
        <w:shd w:val="clear" w:color="auto" w:fill="FFFFFF"/>
        <w:spacing w:line="264" w:lineRule="auto"/>
        <w:ind w:right="-45"/>
        <w:jc w:val="both"/>
      </w:pPr>
      <w:r w:rsidRPr="00C61AC4">
        <w:t>Companies Announcement Office</w:t>
      </w:r>
    </w:p>
    <w:p w14:paraId="0BE68150" w14:textId="77777777" w:rsidR="00D043AB" w:rsidRPr="00C61AC4" w:rsidRDefault="00653F15" w:rsidP="00185352">
      <w:pPr>
        <w:shd w:val="clear" w:color="auto" w:fill="FFFFFF"/>
        <w:spacing w:line="264" w:lineRule="auto"/>
        <w:ind w:right="-45"/>
        <w:jc w:val="both"/>
      </w:pPr>
      <w:r>
        <w:t>Euronext Dublin</w:t>
      </w:r>
    </w:p>
    <w:p w14:paraId="0BE68151" w14:textId="77777777" w:rsidR="00D043AB" w:rsidRPr="00C61AC4" w:rsidRDefault="00D043AB" w:rsidP="00185352">
      <w:pPr>
        <w:shd w:val="clear" w:color="auto" w:fill="FFFFFF"/>
        <w:spacing w:line="264" w:lineRule="auto"/>
        <w:ind w:right="-45"/>
        <w:jc w:val="both"/>
      </w:pPr>
      <w:r w:rsidRPr="00C61AC4">
        <w:t xml:space="preserve">28 </w:t>
      </w:r>
      <w:proofErr w:type="spellStart"/>
      <w:r w:rsidRPr="00C61AC4">
        <w:t>Anglesea</w:t>
      </w:r>
      <w:proofErr w:type="spellEnd"/>
      <w:r w:rsidRPr="00C61AC4">
        <w:t xml:space="preserve"> Street</w:t>
      </w:r>
    </w:p>
    <w:p w14:paraId="0BE68152" w14:textId="77777777" w:rsidR="00D043AB" w:rsidRPr="00C61AC4" w:rsidRDefault="00D043AB" w:rsidP="00185352">
      <w:pPr>
        <w:shd w:val="clear" w:color="auto" w:fill="FFFFFF"/>
        <w:spacing w:line="264" w:lineRule="auto"/>
        <w:ind w:right="-45"/>
        <w:jc w:val="both"/>
      </w:pPr>
      <w:r w:rsidRPr="00C61AC4">
        <w:t>Dublin 2</w:t>
      </w:r>
    </w:p>
    <w:p w14:paraId="0BE68153" w14:textId="77777777" w:rsidR="00D043AB" w:rsidRPr="00C61AC4" w:rsidRDefault="00D043AB" w:rsidP="00185352">
      <w:pPr>
        <w:shd w:val="clear" w:color="auto" w:fill="FFFFFF"/>
        <w:spacing w:line="264" w:lineRule="auto"/>
        <w:ind w:right="-45"/>
        <w:jc w:val="both"/>
      </w:pPr>
      <w:r w:rsidRPr="00C61AC4">
        <w:t>Ireland</w:t>
      </w:r>
    </w:p>
    <w:p w14:paraId="0BE68154" w14:textId="77777777" w:rsidR="00D043AB" w:rsidRDefault="002671F4" w:rsidP="00185352">
      <w:pPr>
        <w:shd w:val="clear" w:color="auto" w:fill="FFFFFF"/>
        <w:spacing w:line="264" w:lineRule="auto"/>
        <w:ind w:right="-45"/>
        <w:jc w:val="both"/>
      </w:pPr>
      <w:r w:rsidRPr="002671F4">
        <w:t>Tel: +353 (1) 6174200</w:t>
      </w:r>
    </w:p>
    <w:p w14:paraId="0BE68155" w14:textId="77777777" w:rsidR="002671F4" w:rsidRDefault="002671F4" w:rsidP="00185352">
      <w:pPr>
        <w:shd w:val="clear" w:color="auto" w:fill="FFFFFF"/>
        <w:spacing w:line="264" w:lineRule="auto"/>
        <w:ind w:right="-45"/>
        <w:jc w:val="both"/>
      </w:pPr>
    </w:p>
    <w:p w14:paraId="0BE68156" w14:textId="77777777" w:rsidR="000F3078" w:rsidRDefault="000F3078" w:rsidP="000F3078">
      <w:pPr>
        <w:jc w:val="both"/>
        <w:rPr>
          <w:b/>
        </w:rPr>
      </w:pPr>
      <w:r>
        <w:rPr>
          <w:b/>
        </w:rPr>
        <w:t>For further information please contact:</w:t>
      </w:r>
    </w:p>
    <w:p w14:paraId="0BE68157" w14:textId="77777777" w:rsidR="000F3078" w:rsidRDefault="000F3078" w:rsidP="000F3078">
      <w:pPr>
        <w:jc w:val="both"/>
      </w:pPr>
      <w:r>
        <w:t>For Investor Relations:</w:t>
      </w:r>
    </w:p>
    <w:p w14:paraId="0BE68158" w14:textId="77777777" w:rsidR="000F3078" w:rsidRDefault="000F3078" w:rsidP="000F3078">
      <w:pPr>
        <w:jc w:val="both"/>
      </w:pPr>
      <w:r>
        <w:t>Irish Residential Properties REIT plc</w:t>
      </w:r>
    </w:p>
    <w:p w14:paraId="0BE68159" w14:textId="77777777" w:rsidR="000F3078" w:rsidRDefault="000F3078" w:rsidP="000F3078">
      <w:pPr>
        <w:jc w:val="both"/>
      </w:pPr>
      <w:r>
        <w:t>Margaret Sweeney, Chief Executive Officer</w:t>
      </w:r>
    </w:p>
    <w:p w14:paraId="0BE6815A" w14:textId="77777777" w:rsidR="000F3078" w:rsidRDefault="000F3078" w:rsidP="000F3078">
      <w:pPr>
        <w:jc w:val="both"/>
      </w:pPr>
      <w:r>
        <w:t>+ 353 (0) 1 557 0974</w:t>
      </w:r>
    </w:p>
    <w:p w14:paraId="0BE6815B" w14:textId="77777777" w:rsidR="000F3078" w:rsidRDefault="000F3078" w:rsidP="000F3078">
      <w:pPr>
        <w:jc w:val="both"/>
      </w:pPr>
    </w:p>
    <w:p w14:paraId="0BE6815C" w14:textId="77777777" w:rsidR="000F3078" w:rsidRDefault="000F3078" w:rsidP="000F3078">
      <w:pPr>
        <w:jc w:val="both"/>
      </w:pPr>
      <w:r>
        <w:t>For Media Requests:</w:t>
      </w:r>
    </w:p>
    <w:p w14:paraId="0BE6815D" w14:textId="77777777" w:rsidR="000F3078" w:rsidRDefault="000F3078" w:rsidP="000F3078">
      <w:pPr>
        <w:jc w:val="both"/>
      </w:pPr>
      <w:r>
        <w:t>Q4PR</w:t>
      </w:r>
    </w:p>
    <w:p w14:paraId="0BE6815E" w14:textId="77777777" w:rsidR="000F3078" w:rsidRDefault="000F3078" w:rsidP="000F3078">
      <w:pPr>
        <w:jc w:val="both"/>
      </w:pPr>
      <w:r>
        <w:t>Gerry O’Sullivan</w:t>
      </w:r>
    </w:p>
    <w:p w14:paraId="0BE6815F" w14:textId="77777777" w:rsidR="000F3078" w:rsidRDefault="000F3078" w:rsidP="000F3078">
      <w:pPr>
        <w:jc w:val="both"/>
      </w:pPr>
      <w:r>
        <w:t>+ 353 87 2597644</w:t>
      </w:r>
    </w:p>
    <w:p w14:paraId="0BE68160" w14:textId="77777777" w:rsidR="000F3078" w:rsidRDefault="000F3078" w:rsidP="000F3078">
      <w:pPr>
        <w:jc w:val="both"/>
      </w:pPr>
    </w:p>
    <w:p w14:paraId="0BE68161" w14:textId="77777777" w:rsidR="000F3078" w:rsidRDefault="000F3078" w:rsidP="000F3078">
      <w:pPr>
        <w:jc w:val="both"/>
        <w:rPr>
          <w:b/>
        </w:rPr>
      </w:pPr>
      <w:r>
        <w:rPr>
          <w:b/>
        </w:rPr>
        <w:t>About Irish Residential Properties REIT plc</w:t>
      </w:r>
    </w:p>
    <w:p w14:paraId="0BE68162" w14:textId="77777777" w:rsidR="000F3078" w:rsidRDefault="000F3078" w:rsidP="000F3078">
      <w:pPr>
        <w:jc w:val="both"/>
      </w:pPr>
    </w:p>
    <w:p w14:paraId="0BE68163" w14:textId="77777777" w:rsidR="000F3078" w:rsidRDefault="000F3078" w:rsidP="007A51CE">
      <w:pPr>
        <w:jc w:val="both"/>
      </w:pPr>
      <w:r>
        <w:t>Irish Residential Properties REIT plc, is a leading Irish Real Estate Investment Trust (“</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w:t>
      </w:r>
      <w:r w:rsidR="00653F15">
        <w:t xml:space="preserve">The Company currently </w:t>
      </w:r>
      <w:r w:rsidR="00653F15" w:rsidRPr="0049245E">
        <w:t xml:space="preserve">owns 2732 </w:t>
      </w:r>
      <w:r w:rsidR="00653F15">
        <w:t xml:space="preserve">residential units with a further 337 residential units due for delivery by 2021 under pre-purchase contracts.  </w:t>
      </w:r>
      <w:r w:rsidRPr="00077A0B">
        <w:rPr>
          <w:lang w:val="en-GB"/>
        </w:rPr>
        <w:t>Further</w:t>
      </w:r>
      <w:r>
        <w:rPr>
          <w:lang w:val="en-GB"/>
        </w:rPr>
        <w:t xml:space="preserve"> information in respect of the Company can be obtained from </w:t>
      </w:r>
      <w:r>
        <w:t>the Company’s</w:t>
      </w:r>
      <w:r>
        <w:rPr>
          <w:lang w:val="en-GB"/>
        </w:rPr>
        <w:t xml:space="preserve"> website at </w:t>
      </w:r>
      <w:hyperlink r:id="rId11" w:history="1">
        <w:r>
          <w:rPr>
            <w:rStyle w:val="Hyperlink"/>
            <w:lang w:val="en-GB"/>
          </w:rPr>
          <w:t>www.iresreit.ie</w:t>
        </w:r>
      </w:hyperlink>
      <w:r>
        <w:rPr>
          <w:lang w:val="en-GB"/>
        </w:rPr>
        <w:t>.</w:t>
      </w:r>
    </w:p>
    <w:p w14:paraId="0BE68164" w14:textId="77777777" w:rsidR="000F3078" w:rsidRDefault="000F3078" w:rsidP="007A51CE">
      <w:pPr>
        <w:jc w:val="both"/>
      </w:pPr>
    </w:p>
    <w:p w14:paraId="0BE68165" w14:textId="77777777" w:rsidR="007A51CE" w:rsidRDefault="007A51CE" w:rsidP="007A51CE">
      <w:pPr>
        <w:jc w:val="both"/>
        <w:rPr>
          <w:b/>
        </w:rPr>
      </w:pPr>
      <w:r>
        <w:rPr>
          <w:b/>
        </w:rPr>
        <w:t xml:space="preserve">Note on forward-looking information </w:t>
      </w:r>
    </w:p>
    <w:p w14:paraId="0BE68166" w14:textId="77777777" w:rsidR="007A51CE" w:rsidRDefault="007A51CE" w:rsidP="007A51CE">
      <w:pPr>
        <w:jc w:val="both"/>
        <w:rPr>
          <w:b/>
        </w:rPr>
      </w:pPr>
    </w:p>
    <w:p w14:paraId="0BE68167" w14:textId="77777777" w:rsidR="007A51CE" w:rsidRDefault="007A51CE" w:rsidP="007A51CE">
      <w:pPr>
        <w:jc w:val="both"/>
        <w:rPr>
          <w:b/>
        </w:rPr>
      </w:pPr>
      <w:r>
        <w:rPr>
          <w:b/>
        </w:rPr>
        <w:t>This note applies if and to the extent that there are forward-looking statements in this Announcement.</w:t>
      </w:r>
    </w:p>
    <w:p w14:paraId="0BE68168" w14:textId="77777777" w:rsidR="007A51CE" w:rsidRDefault="007A51CE" w:rsidP="007A51CE">
      <w:pPr>
        <w:jc w:val="both"/>
      </w:pPr>
    </w:p>
    <w:p w14:paraId="0BE68169" w14:textId="77777777" w:rsidR="007A51CE" w:rsidRDefault="007A51CE" w:rsidP="007A51CE">
      <w:pPr>
        <w:jc w:val="both"/>
      </w:pPr>
      <w:r>
        <w:t xml:space="preserve">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w:t>
      </w:r>
      <w:r>
        <w:lastRenderedPageBreak/>
        <w:t>revision or updates to these forward-looking statements to reflect future events, circumstances, unanticipated events, new information or otherwise except as required by law or by any appropriate regulatory authority.</w:t>
      </w:r>
    </w:p>
    <w:p w14:paraId="0BE6816A" w14:textId="77777777" w:rsidR="007A51CE" w:rsidRDefault="007A51CE" w:rsidP="007A51CE">
      <w:pPr>
        <w:jc w:val="both"/>
      </w:pPr>
    </w:p>
    <w:p w14:paraId="0BE6816B" w14:textId="25B317B3" w:rsidR="007A51CE" w:rsidRDefault="007A51CE" w:rsidP="00185352">
      <w:pPr>
        <w:shd w:val="clear" w:color="auto" w:fill="FFFFFF"/>
        <w:spacing w:line="264" w:lineRule="auto"/>
        <w:ind w:right="-45"/>
        <w:jc w:val="both"/>
      </w:pPr>
    </w:p>
    <w:p w14:paraId="62A0F7FB" w14:textId="54563CBD" w:rsidR="002E3EDD" w:rsidRDefault="002E3EDD" w:rsidP="00185352">
      <w:pPr>
        <w:shd w:val="clear" w:color="auto" w:fill="FFFFFF"/>
        <w:spacing w:line="264" w:lineRule="auto"/>
        <w:ind w:right="-45"/>
        <w:jc w:val="both"/>
      </w:pPr>
    </w:p>
    <w:p w14:paraId="0B64EF5D" w14:textId="3A3F67F3" w:rsidR="002E3EDD" w:rsidRDefault="002E3EDD" w:rsidP="00185352">
      <w:pPr>
        <w:shd w:val="clear" w:color="auto" w:fill="FFFFFF"/>
        <w:spacing w:line="264" w:lineRule="auto"/>
        <w:ind w:right="-45"/>
        <w:jc w:val="both"/>
      </w:pPr>
    </w:p>
    <w:p w14:paraId="2D83B2B7" w14:textId="306BDD5D" w:rsidR="002E3EDD" w:rsidRDefault="002E3EDD" w:rsidP="00185352">
      <w:pPr>
        <w:shd w:val="clear" w:color="auto" w:fill="FFFFFF"/>
        <w:spacing w:line="264" w:lineRule="auto"/>
        <w:ind w:right="-45"/>
        <w:jc w:val="both"/>
      </w:pPr>
    </w:p>
    <w:p w14:paraId="35180C2E" w14:textId="769820EA" w:rsidR="002E3EDD" w:rsidRDefault="002E3EDD" w:rsidP="00185352">
      <w:pPr>
        <w:shd w:val="clear" w:color="auto" w:fill="FFFFFF"/>
        <w:spacing w:line="264" w:lineRule="auto"/>
        <w:ind w:right="-45"/>
        <w:jc w:val="both"/>
      </w:pPr>
    </w:p>
    <w:p w14:paraId="4533B9E7" w14:textId="6C6FA75C" w:rsidR="002E3EDD" w:rsidRDefault="002E3EDD" w:rsidP="00185352">
      <w:pPr>
        <w:shd w:val="clear" w:color="auto" w:fill="FFFFFF"/>
        <w:spacing w:line="264" w:lineRule="auto"/>
        <w:ind w:right="-45"/>
        <w:jc w:val="both"/>
      </w:pPr>
    </w:p>
    <w:p w14:paraId="42E60F8F" w14:textId="77777777" w:rsidR="002E3EDD" w:rsidRDefault="002E3EDD" w:rsidP="002E3EDD">
      <w:pPr>
        <w:rPr>
          <w:rFonts w:ascii="Calibri" w:hAnsi="Calibri" w:cs="Calibri"/>
        </w:rPr>
      </w:pPr>
      <w:r>
        <w:rPr>
          <w:rFonts w:ascii="Calibri" w:hAnsi="Calibri" w:cs="Calibri"/>
        </w:rPr>
        <w:t>This announcement has been issued through the Companies Announcement Service of Euronext Dublin.</w:t>
      </w:r>
    </w:p>
    <w:p w14:paraId="0EEFCB80" w14:textId="77777777" w:rsidR="002E3EDD" w:rsidRDefault="002E3EDD" w:rsidP="002E3EDD">
      <w:pPr>
        <w:rPr>
          <w:rFonts w:ascii="Calibri" w:hAnsi="Calibri" w:cs="Calibri"/>
          <w:sz w:val="20"/>
          <w:szCs w:val="20"/>
        </w:rPr>
      </w:pPr>
    </w:p>
    <w:p w14:paraId="12746977" w14:textId="77777777" w:rsidR="002E3EDD" w:rsidRPr="00C61AC4" w:rsidRDefault="002E3EDD" w:rsidP="00185352">
      <w:pPr>
        <w:shd w:val="clear" w:color="auto" w:fill="FFFFFF"/>
        <w:spacing w:line="264" w:lineRule="auto"/>
        <w:ind w:right="-45"/>
        <w:jc w:val="both"/>
      </w:pPr>
      <w:bookmarkStart w:id="0" w:name="_GoBack"/>
      <w:bookmarkEnd w:id="0"/>
    </w:p>
    <w:sectPr w:rsidR="002E3EDD" w:rsidRPr="00C61AC4">
      <w:headerReference w:type="default" r:id="rId12"/>
      <w:footerReference w:type="even" r:id="rId13"/>
      <w:footerReference w:type="default" r:id="rId14"/>
      <w:headerReference w:type="first" r:id="rId15"/>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816F" w14:textId="77777777" w:rsidR="002F4DA2" w:rsidRDefault="002F4DA2">
      <w:r>
        <w:separator/>
      </w:r>
    </w:p>
  </w:endnote>
  <w:endnote w:type="continuationSeparator" w:id="0">
    <w:p w14:paraId="0BE68170" w14:textId="77777777" w:rsidR="002F4DA2" w:rsidRDefault="002F4DA2">
      <w:r>
        <w:continuationSeparator/>
      </w:r>
    </w:p>
  </w:endnote>
  <w:endnote w:type="continuationNotice" w:id="1">
    <w:p w14:paraId="0BE68171" w14:textId="77777777" w:rsidR="002F4DA2" w:rsidRDefault="002F4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8173" w14:textId="77777777" w:rsidR="00D8722B" w:rsidRDefault="00D8722B">
    <w:pPr>
      <w:pStyle w:val="Footer"/>
    </w:pPr>
  </w:p>
  <w:p w14:paraId="0BE68174" w14:textId="77777777" w:rsidR="00D8722B" w:rsidRDefault="00185352">
    <w:pPr>
      <w:pStyle w:val="Footer"/>
      <w:jc w:val="right"/>
      <w:rPr>
        <w:b/>
        <w:bCs/>
        <w:sz w:val="16"/>
      </w:rPr>
    </w:pPr>
    <w:r w:rsidRPr="00185352">
      <w:rPr>
        <w:b/>
        <w:bCs/>
        <w:sz w:val="16"/>
      </w:rPr>
      <w:t>MHC-13753170-1</w:t>
    </w:r>
  </w:p>
  <w:p w14:paraId="0BE68175" w14:textId="77777777" w:rsidR="001E244A" w:rsidRDefault="001E244A" w:rsidP="00895C1D">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7E0830" w:rsidRPr="007E0830">
      <w:rPr>
        <w:rStyle w:val="EasyID"/>
        <w:rFonts w:eastAsiaTheme="minorHAnsi"/>
      </w:rPr>
      <w:t>4894 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96240"/>
      <w:docPartObj>
        <w:docPartGallery w:val="Page Numbers (Bottom of Page)"/>
        <w:docPartUnique/>
      </w:docPartObj>
    </w:sdtPr>
    <w:sdtEndPr>
      <w:rPr>
        <w:noProof/>
      </w:rPr>
    </w:sdtEndPr>
    <w:sdtContent>
      <w:p w14:paraId="0BE68176" w14:textId="77777777" w:rsidR="00587841" w:rsidRDefault="00587841">
        <w:pPr>
          <w:pStyle w:val="Footer"/>
        </w:pPr>
        <w:r>
          <w:fldChar w:fldCharType="begin"/>
        </w:r>
        <w:r>
          <w:instrText xml:space="preserve"> PAGE   \* MERGEFORMAT </w:instrText>
        </w:r>
        <w:r>
          <w:fldChar w:fldCharType="separate"/>
        </w:r>
        <w:r w:rsidR="004936F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6816C" w14:textId="77777777" w:rsidR="002F4DA2" w:rsidRDefault="002F4DA2">
      <w:r>
        <w:separator/>
      </w:r>
    </w:p>
  </w:footnote>
  <w:footnote w:type="continuationSeparator" w:id="0">
    <w:p w14:paraId="0BE6816D" w14:textId="77777777" w:rsidR="002F4DA2" w:rsidRDefault="002F4DA2">
      <w:r>
        <w:continuationSeparator/>
      </w:r>
    </w:p>
  </w:footnote>
  <w:footnote w:type="continuationNotice" w:id="1">
    <w:p w14:paraId="0BE6816E" w14:textId="77777777" w:rsidR="002F4DA2" w:rsidRDefault="002F4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8172" w14:textId="77777777" w:rsidR="00D8722B" w:rsidRDefault="002C792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8177" w14:textId="77777777" w:rsidR="00D8722B" w:rsidRDefault="002C792F">
    <w:pPr>
      <w:pStyle w:val="Header"/>
      <w:tabs>
        <w:tab w:val="clear" w:pos="4680"/>
      </w:tabs>
      <w:jc w:val="both"/>
      <w:rPr>
        <w:lang w:val="en-CA"/>
      </w:rPr>
    </w:pPr>
    <w:r>
      <w:rPr>
        <w:lang w:val="en-CA"/>
      </w:rPr>
      <w:tab/>
    </w:r>
    <w:r>
      <w:rPr>
        <w:noProof/>
        <w:lang w:val="en-GB" w:eastAsia="en-GB"/>
      </w:rPr>
      <w:drawing>
        <wp:inline distT="0" distB="0" distL="0" distR="0" wp14:anchorId="0BE68179" wp14:editId="0BE6817A">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0BE68178" w14:textId="77777777" w:rsidR="00D8722B" w:rsidRDefault="00D87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9443C6"/>
    <w:multiLevelType w:val="hybridMultilevel"/>
    <w:tmpl w:val="014277BE"/>
    <w:lvl w:ilvl="0" w:tplc="46D6CBFC">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8421F7"/>
    <w:multiLevelType w:val="hybridMultilevel"/>
    <w:tmpl w:val="047A3522"/>
    <w:lvl w:ilvl="0" w:tplc="355C651A">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3"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4" w15:restartNumberingAfterBreak="0">
    <w:nsid w:val="25A154D5"/>
    <w:multiLevelType w:val="hybridMultilevel"/>
    <w:tmpl w:val="53402F58"/>
    <w:lvl w:ilvl="0" w:tplc="AFBC4220">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5"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35414"/>
    <w:multiLevelType w:val="hybridMultilevel"/>
    <w:tmpl w:val="92C06268"/>
    <w:lvl w:ilvl="0" w:tplc="4AEE1964">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E53889"/>
    <w:multiLevelType w:val="hybridMultilevel"/>
    <w:tmpl w:val="6AB408C0"/>
    <w:lvl w:ilvl="0" w:tplc="028E7F92">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3"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22"/>
  </w:num>
  <w:num w:numId="5">
    <w:abstractNumId w:val="17"/>
  </w:num>
  <w:num w:numId="6">
    <w:abstractNumId w:val="18"/>
  </w:num>
  <w:num w:numId="7">
    <w:abstractNumId w:val="21"/>
  </w:num>
  <w:num w:numId="8">
    <w:abstractNumId w:val="15"/>
  </w:num>
  <w:num w:numId="9">
    <w:abstractNumId w:val="10"/>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9"/>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BRO_EasyID_Font" w:val="Book Antiqua|8"/>
    <w:docVar w:name="RBRO_EasyID_ID" w:val="%1% V%2%"/>
    <w:docVar w:name="RBRO_EasyID_Location" w:val="Footer|wdAlignParagraphLeft|All"/>
    <w:docVar w:name="RBRO_EASYID_VALUE" w:val="4894 V1"/>
  </w:docVars>
  <w:rsids>
    <w:rsidRoot w:val="00D8722B"/>
    <w:rsid w:val="000235C1"/>
    <w:rsid w:val="00036131"/>
    <w:rsid w:val="00046BAB"/>
    <w:rsid w:val="000564BD"/>
    <w:rsid w:val="0007714C"/>
    <w:rsid w:val="00084970"/>
    <w:rsid w:val="00085EFD"/>
    <w:rsid w:val="000A2F12"/>
    <w:rsid w:val="000B00A7"/>
    <w:rsid w:val="000B4263"/>
    <w:rsid w:val="000B76F7"/>
    <w:rsid w:val="000C7405"/>
    <w:rsid w:val="000D28D9"/>
    <w:rsid w:val="000E4A9D"/>
    <w:rsid w:val="000F3078"/>
    <w:rsid w:val="000F37F6"/>
    <w:rsid w:val="000F3CF2"/>
    <w:rsid w:val="0010379D"/>
    <w:rsid w:val="00117955"/>
    <w:rsid w:val="00175247"/>
    <w:rsid w:val="001831AD"/>
    <w:rsid w:val="00185352"/>
    <w:rsid w:val="00186F9B"/>
    <w:rsid w:val="00191060"/>
    <w:rsid w:val="001A6E31"/>
    <w:rsid w:val="001B4C18"/>
    <w:rsid w:val="001D5610"/>
    <w:rsid w:val="001E244A"/>
    <w:rsid w:val="001E31DC"/>
    <w:rsid w:val="001E6544"/>
    <w:rsid w:val="00211C5F"/>
    <w:rsid w:val="00231184"/>
    <w:rsid w:val="002433EC"/>
    <w:rsid w:val="00265EF4"/>
    <w:rsid w:val="002671F4"/>
    <w:rsid w:val="00284F80"/>
    <w:rsid w:val="00297F71"/>
    <w:rsid w:val="002B42FB"/>
    <w:rsid w:val="002B4FD4"/>
    <w:rsid w:val="002C4E36"/>
    <w:rsid w:val="002C792F"/>
    <w:rsid w:val="002E3EDD"/>
    <w:rsid w:val="002F4DA2"/>
    <w:rsid w:val="003067D2"/>
    <w:rsid w:val="0031084C"/>
    <w:rsid w:val="00337811"/>
    <w:rsid w:val="0034703F"/>
    <w:rsid w:val="00347BEB"/>
    <w:rsid w:val="00371844"/>
    <w:rsid w:val="00392ED8"/>
    <w:rsid w:val="003A06EB"/>
    <w:rsid w:val="003D0E32"/>
    <w:rsid w:val="003D2026"/>
    <w:rsid w:val="003E49E6"/>
    <w:rsid w:val="003F49C0"/>
    <w:rsid w:val="003F78A1"/>
    <w:rsid w:val="00403F5D"/>
    <w:rsid w:val="0041375D"/>
    <w:rsid w:val="00414A0A"/>
    <w:rsid w:val="0042167C"/>
    <w:rsid w:val="00422DDA"/>
    <w:rsid w:val="00423622"/>
    <w:rsid w:val="00444864"/>
    <w:rsid w:val="00465818"/>
    <w:rsid w:val="004672E3"/>
    <w:rsid w:val="00475865"/>
    <w:rsid w:val="00484B75"/>
    <w:rsid w:val="00492A9F"/>
    <w:rsid w:val="004936FC"/>
    <w:rsid w:val="004B5638"/>
    <w:rsid w:val="004C2430"/>
    <w:rsid w:val="004E7FDC"/>
    <w:rsid w:val="004F4719"/>
    <w:rsid w:val="00501509"/>
    <w:rsid w:val="00507A11"/>
    <w:rsid w:val="00522A05"/>
    <w:rsid w:val="00522DF8"/>
    <w:rsid w:val="00557D63"/>
    <w:rsid w:val="00567801"/>
    <w:rsid w:val="00570190"/>
    <w:rsid w:val="00587841"/>
    <w:rsid w:val="005A27FE"/>
    <w:rsid w:val="005B667B"/>
    <w:rsid w:val="005C46F5"/>
    <w:rsid w:val="005E3CC2"/>
    <w:rsid w:val="005F2E64"/>
    <w:rsid w:val="005F3584"/>
    <w:rsid w:val="00600F0F"/>
    <w:rsid w:val="00606095"/>
    <w:rsid w:val="006159B4"/>
    <w:rsid w:val="00620094"/>
    <w:rsid w:val="00621654"/>
    <w:rsid w:val="00622A07"/>
    <w:rsid w:val="00623306"/>
    <w:rsid w:val="00631616"/>
    <w:rsid w:val="006331D8"/>
    <w:rsid w:val="00642772"/>
    <w:rsid w:val="00653F15"/>
    <w:rsid w:val="00656AB4"/>
    <w:rsid w:val="006772CC"/>
    <w:rsid w:val="0068098C"/>
    <w:rsid w:val="00694BF4"/>
    <w:rsid w:val="006A2F0F"/>
    <w:rsid w:val="006B0541"/>
    <w:rsid w:val="006D6A07"/>
    <w:rsid w:val="00716B06"/>
    <w:rsid w:val="007202F5"/>
    <w:rsid w:val="00722931"/>
    <w:rsid w:val="00753CDA"/>
    <w:rsid w:val="00772921"/>
    <w:rsid w:val="00787501"/>
    <w:rsid w:val="007A51CE"/>
    <w:rsid w:val="007A51CF"/>
    <w:rsid w:val="007B0821"/>
    <w:rsid w:val="007C3AA8"/>
    <w:rsid w:val="007C7F60"/>
    <w:rsid w:val="007D5236"/>
    <w:rsid w:val="007D5858"/>
    <w:rsid w:val="007E05BD"/>
    <w:rsid w:val="007E0830"/>
    <w:rsid w:val="00800609"/>
    <w:rsid w:val="00801AF3"/>
    <w:rsid w:val="00806920"/>
    <w:rsid w:val="0082118A"/>
    <w:rsid w:val="0082357B"/>
    <w:rsid w:val="008450F6"/>
    <w:rsid w:val="00847754"/>
    <w:rsid w:val="0085091C"/>
    <w:rsid w:val="00850A10"/>
    <w:rsid w:val="00852D60"/>
    <w:rsid w:val="008569F6"/>
    <w:rsid w:val="00864C08"/>
    <w:rsid w:val="00867E95"/>
    <w:rsid w:val="00895C1D"/>
    <w:rsid w:val="008A1F92"/>
    <w:rsid w:val="008C0D16"/>
    <w:rsid w:val="008D15D7"/>
    <w:rsid w:val="008E6817"/>
    <w:rsid w:val="008F6872"/>
    <w:rsid w:val="00901DFC"/>
    <w:rsid w:val="00911CC6"/>
    <w:rsid w:val="00930396"/>
    <w:rsid w:val="009326CC"/>
    <w:rsid w:val="009430C0"/>
    <w:rsid w:val="00954C37"/>
    <w:rsid w:val="00967C07"/>
    <w:rsid w:val="00983184"/>
    <w:rsid w:val="00984A5E"/>
    <w:rsid w:val="00984F2D"/>
    <w:rsid w:val="00993AA7"/>
    <w:rsid w:val="009A0806"/>
    <w:rsid w:val="009B765D"/>
    <w:rsid w:val="009D3A5C"/>
    <w:rsid w:val="00A0143C"/>
    <w:rsid w:val="00A02809"/>
    <w:rsid w:val="00A03CEA"/>
    <w:rsid w:val="00A04811"/>
    <w:rsid w:val="00A13642"/>
    <w:rsid w:val="00A22AA9"/>
    <w:rsid w:val="00A253D2"/>
    <w:rsid w:val="00A36967"/>
    <w:rsid w:val="00A36CFC"/>
    <w:rsid w:val="00A449DD"/>
    <w:rsid w:val="00A46F17"/>
    <w:rsid w:val="00A478DB"/>
    <w:rsid w:val="00A7036B"/>
    <w:rsid w:val="00A91057"/>
    <w:rsid w:val="00A956E0"/>
    <w:rsid w:val="00AB050C"/>
    <w:rsid w:val="00AC0338"/>
    <w:rsid w:val="00AC1BD8"/>
    <w:rsid w:val="00AF0063"/>
    <w:rsid w:val="00B033E1"/>
    <w:rsid w:val="00B05F62"/>
    <w:rsid w:val="00B118F7"/>
    <w:rsid w:val="00B160B6"/>
    <w:rsid w:val="00B340CA"/>
    <w:rsid w:val="00B441A2"/>
    <w:rsid w:val="00B45B16"/>
    <w:rsid w:val="00B64C48"/>
    <w:rsid w:val="00B72765"/>
    <w:rsid w:val="00B80F83"/>
    <w:rsid w:val="00B87077"/>
    <w:rsid w:val="00B87AB2"/>
    <w:rsid w:val="00B904E6"/>
    <w:rsid w:val="00BC5DB8"/>
    <w:rsid w:val="00BE311F"/>
    <w:rsid w:val="00BF3F0E"/>
    <w:rsid w:val="00C21C12"/>
    <w:rsid w:val="00C25D20"/>
    <w:rsid w:val="00C26FF8"/>
    <w:rsid w:val="00C61AC4"/>
    <w:rsid w:val="00C65F40"/>
    <w:rsid w:val="00C67B15"/>
    <w:rsid w:val="00C74F40"/>
    <w:rsid w:val="00C84ED1"/>
    <w:rsid w:val="00C85C85"/>
    <w:rsid w:val="00C91B08"/>
    <w:rsid w:val="00CD6FA1"/>
    <w:rsid w:val="00D043AB"/>
    <w:rsid w:val="00D04785"/>
    <w:rsid w:val="00D179B1"/>
    <w:rsid w:val="00D21396"/>
    <w:rsid w:val="00D26842"/>
    <w:rsid w:val="00D27DC8"/>
    <w:rsid w:val="00D33F29"/>
    <w:rsid w:val="00D373AF"/>
    <w:rsid w:val="00D411BF"/>
    <w:rsid w:val="00D63B46"/>
    <w:rsid w:val="00D7399B"/>
    <w:rsid w:val="00D8722B"/>
    <w:rsid w:val="00D875A8"/>
    <w:rsid w:val="00D92E41"/>
    <w:rsid w:val="00DA73C7"/>
    <w:rsid w:val="00DB0E66"/>
    <w:rsid w:val="00DB0F76"/>
    <w:rsid w:val="00DD4890"/>
    <w:rsid w:val="00DD5B24"/>
    <w:rsid w:val="00E00E46"/>
    <w:rsid w:val="00E021ED"/>
    <w:rsid w:val="00E06B13"/>
    <w:rsid w:val="00E26B91"/>
    <w:rsid w:val="00E31FA4"/>
    <w:rsid w:val="00E53347"/>
    <w:rsid w:val="00E5342E"/>
    <w:rsid w:val="00E6005A"/>
    <w:rsid w:val="00E875C3"/>
    <w:rsid w:val="00E87F2C"/>
    <w:rsid w:val="00EB1154"/>
    <w:rsid w:val="00EB21D2"/>
    <w:rsid w:val="00EB29A0"/>
    <w:rsid w:val="00EB59D7"/>
    <w:rsid w:val="00EB7416"/>
    <w:rsid w:val="00EE7A4F"/>
    <w:rsid w:val="00F033A3"/>
    <w:rsid w:val="00F340DF"/>
    <w:rsid w:val="00F37A4C"/>
    <w:rsid w:val="00F415D4"/>
    <w:rsid w:val="00F435CE"/>
    <w:rsid w:val="00F43671"/>
    <w:rsid w:val="00FA0B0C"/>
    <w:rsid w:val="00FA1605"/>
    <w:rsid w:val="00FB1A9F"/>
    <w:rsid w:val="00FB720C"/>
    <w:rsid w:val="00FE4F76"/>
    <w:rsid w:val="00FF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BE6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character" w:customStyle="1" w:styleId="EasyID">
    <w:name w:val="EasyID"/>
    <w:basedOn w:val="DefaultParagraphFont"/>
    <w:rsid w:val="001E244A"/>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5906">
      <w:bodyDiv w:val="1"/>
      <w:marLeft w:val="0"/>
      <w:marRight w:val="0"/>
      <w:marTop w:val="0"/>
      <w:marBottom w:val="0"/>
      <w:divBdr>
        <w:top w:val="none" w:sz="0" w:space="0" w:color="auto"/>
        <w:left w:val="none" w:sz="0" w:space="0" w:color="auto"/>
        <w:bottom w:val="none" w:sz="0" w:space="0" w:color="auto"/>
        <w:right w:val="none" w:sz="0" w:space="0" w:color="auto"/>
      </w:divBdr>
    </w:div>
    <w:div w:id="70395899">
      <w:bodyDiv w:val="1"/>
      <w:marLeft w:val="0"/>
      <w:marRight w:val="0"/>
      <w:marTop w:val="0"/>
      <w:marBottom w:val="0"/>
      <w:divBdr>
        <w:top w:val="none" w:sz="0" w:space="0" w:color="auto"/>
        <w:left w:val="none" w:sz="0" w:space="0" w:color="auto"/>
        <w:bottom w:val="none" w:sz="0" w:space="0" w:color="auto"/>
        <w:right w:val="none" w:sz="0" w:space="0" w:color="auto"/>
      </w:divBdr>
    </w:div>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202989200">
      <w:bodyDiv w:val="1"/>
      <w:marLeft w:val="0"/>
      <w:marRight w:val="0"/>
      <w:marTop w:val="0"/>
      <w:marBottom w:val="0"/>
      <w:divBdr>
        <w:top w:val="none" w:sz="0" w:space="0" w:color="auto"/>
        <w:left w:val="none" w:sz="0" w:space="0" w:color="auto"/>
        <w:bottom w:val="none" w:sz="0" w:space="0" w:color="auto"/>
        <w:right w:val="none" w:sz="0" w:space="0" w:color="auto"/>
      </w:divBdr>
    </w:div>
    <w:div w:id="214439721">
      <w:bodyDiv w:val="1"/>
      <w:marLeft w:val="0"/>
      <w:marRight w:val="0"/>
      <w:marTop w:val="0"/>
      <w:marBottom w:val="0"/>
      <w:divBdr>
        <w:top w:val="none" w:sz="0" w:space="0" w:color="auto"/>
        <w:left w:val="none" w:sz="0" w:space="0" w:color="auto"/>
        <w:bottom w:val="none" w:sz="0" w:space="0" w:color="auto"/>
        <w:right w:val="none" w:sz="0" w:space="0" w:color="auto"/>
      </w:divBdr>
    </w:div>
    <w:div w:id="220219556">
      <w:bodyDiv w:val="1"/>
      <w:marLeft w:val="0"/>
      <w:marRight w:val="0"/>
      <w:marTop w:val="0"/>
      <w:marBottom w:val="0"/>
      <w:divBdr>
        <w:top w:val="none" w:sz="0" w:space="0" w:color="auto"/>
        <w:left w:val="none" w:sz="0" w:space="0" w:color="auto"/>
        <w:bottom w:val="none" w:sz="0" w:space="0" w:color="auto"/>
        <w:right w:val="none" w:sz="0" w:space="0" w:color="auto"/>
      </w:divBdr>
    </w:div>
    <w:div w:id="231425720">
      <w:bodyDiv w:val="1"/>
      <w:marLeft w:val="0"/>
      <w:marRight w:val="0"/>
      <w:marTop w:val="0"/>
      <w:marBottom w:val="0"/>
      <w:divBdr>
        <w:top w:val="none" w:sz="0" w:space="0" w:color="auto"/>
        <w:left w:val="none" w:sz="0" w:space="0" w:color="auto"/>
        <w:bottom w:val="none" w:sz="0" w:space="0" w:color="auto"/>
        <w:right w:val="none" w:sz="0" w:space="0" w:color="auto"/>
      </w:divBdr>
    </w:div>
    <w:div w:id="339161722">
      <w:bodyDiv w:val="1"/>
      <w:marLeft w:val="0"/>
      <w:marRight w:val="0"/>
      <w:marTop w:val="0"/>
      <w:marBottom w:val="0"/>
      <w:divBdr>
        <w:top w:val="none" w:sz="0" w:space="0" w:color="auto"/>
        <w:left w:val="none" w:sz="0" w:space="0" w:color="auto"/>
        <w:bottom w:val="none" w:sz="0" w:space="0" w:color="auto"/>
        <w:right w:val="none" w:sz="0" w:space="0" w:color="auto"/>
      </w:divBdr>
    </w:div>
    <w:div w:id="351959066">
      <w:bodyDiv w:val="1"/>
      <w:marLeft w:val="0"/>
      <w:marRight w:val="0"/>
      <w:marTop w:val="0"/>
      <w:marBottom w:val="0"/>
      <w:divBdr>
        <w:top w:val="none" w:sz="0" w:space="0" w:color="auto"/>
        <w:left w:val="none" w:sz="0" w:space="0" w:color="auto"/>
        <w:bottom w:val="none" w:sz="0" w:space="0" w:color="auto"/>
        <w:right w:val="none" w:sz="0" w:space="0" w:color="auto"/>
      </w:divBdr>
    </w:div>
    <w:div w:id="354961894">
      <w:bodyDiv w:val="1"/>
      <w:marLeft w:val="0"/>
      <w:marRight w:val="0"/>
      <w:marTop w:val="0"/>
      <w:marBottom w:val="0"/>
      <w:divBdr>
        <w:top w:val="none" w:sz="0" w:space="0" w:color="auto"/>
        <w:left w:val="none" w:sz="0" w:space="0" w:color="auto"/>
        <w:bottom w:val="none" w:sz="0" w:space="0" w:color="auto"/>
        <w:right w:val="none" w:sz="0" w:space="0" w:color="auto"/>
      </w:divBdr>
    </w:div>
    <w:div w:id="366220862">
      <w:bodyDiv w:val="1"/>
      <w:marLeft w:val="0"/>
      <w:marRight w:val="0"/>
      <w:marTop w:val="0"/>
      <w:marBottom w:val="0"/>
      <w:divBdr>
        <w:top w:val="none" w:sz="0" w:space="0" w:color="auto"/>
        <w:left w:val="none" w:sz="0" w:space="0" w:color="auto"/>
        <w:bottom w:val="none" w:sz="0" w:space="0" w:color="auto"/>
        <w:right w:val="none" w:sz="0" w:space="0" w:color="auto"/>
      </w:divBdr>
    </w:div>
    <w:div w:id="426266885">
      <w:bodyDiv w:val="1"/>
      <w:marLeft w:val="0"/>
      <w:marRight w:val="0"/>
      <w:marTop w:val="0"/>
      <w:marBottom w:val="0"/>
      <w:divBdr>
        <w:top w:val="none" w:sz="0" w:space="0" w:color="auto"/>
        <w:left w:val="none" w:sz="0" w:space="0" w:color="auto"/>
        <w:bottom w:val="none" w:sz="0" w:space="0" w:color="auto"/>
        <w:right w:val="none" w:sz="0" w:space="0" w:color="auto"/>
      </w:divBdr>
    </w:div>
    <w:div w:id="493421370">
      <w:bodyDiv w:val="1"/>
      <w:marLeft w:val="0"/>
      <w:marRight w:val="0"/>
      <w:marTop w:val="0"/>
      <w:marBottom w:val="0"/>
      <w:divBdr>
        <w:top w:val="none" w:sz="0" w:space="0" w:color="auto"/>
        <w:left w:val="none" w:sz="0" w:space="0" w:color="auto"/>
        <w:bottom w:val="none" w:sz="0" w:space="0" w:color="auto"/>
        <w:right w:val="none" w:sz="0" w:space="0" w:color="auto"/>
      </w:divBdr>
    </w:div>
    <w:div w:id="562788009">
      <w:bodyDiv w:val="1"/>
      <w:marLeft w:val="0"/>
      <w:marRight w:val="0"/>
      <w:marTop w:val="0"/>
      <w:marBottom w:val="0"/>
      <w:divBdr>
        <w:top w:val="none" w:sz="0" w:space="0" w:color="auto"/>
        <w:left w:val="none" w:sz="0" w:space="0" w:color="auto"/>
        <w:bottom w:val="none" w:sz="0" w:space="0" w:color="auto"/>
        <w:right w:val="none" w:sz="0" w:space="0" w:color="auto"/>
      </w:divBdr>
    </w:div>
    <w:div w:id="643391670">
      <w:bodyDiv w:val="1"/>
      <w:marLeft w:val="0"/>
      <w:marRight w:val="0"/>
      <w:marTop w:val="0"/>
      <w:marBottom w:val="0"/>
      <w:divBdr>
        <w:top w:val="none" w:sz="0" w:space="0" w:color="auto"/>
        <w:left w:val="none" w:sz="0" w:space="0" w:color="auto"/>
        <w:bottom w:val="none" w:sz="0" w:space="0" w:color="auto"/>
        <w:right w:val="none" w:sz="0" w:space="0" w:color="auto"/>
      </w:divBdr>
    </w:div>
    <w:div w:id="643437079">
      <w:bodyDiv w:val="1"/>
      <w:marLeft w:val="0"/>
      <w:marRight w:val="0"/>
      <w:marTop w:val="0"/>
      <w:marBottom w:val="0"/>
      <w:divBdr>
        <w:top w:val="none" w:sz="0" w:space="0" w:color="auto"/>
        <w:left w:val="none" w:sz="0" w:space="0" w:color="auto"/>
        <w:bottom w:val="none" w:sz="0" w:space="0" w:color="auto"/>
        <w:right w:val="none" w:sz="0" w:space="0" w:color="auto"/>
      </w:divBdr>
    </w:div>
    <w:div w:id="70120151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726537952">
      <w:bodyDiv w:val="1"/>
      <w:marLeft w:val="0"/>
      <w:marRight w:val="0"/>
      <w:marTop w:val="0"/>
      <w:marBottom w:val="0"/>
      <w:divBdr>
        <w:top w:val="none" w:sz="0" w:space="0" w:color="auto"/>
        <w:left w:val="none" w:sz="0" w:space="0" w:color="auto"/>
        <w:bottom w:val="none" w:sz="0" w:space="0" w:color="auto"/>
        <w:right w:val="none" w:sz="0" w:space="0" w:color="auto"/>
      </w:divBdr>
    </w:div>
    <w:div w:id="800463608">
      <w:bodyDiv w:val="1"/>
      <w:marLeft w:val="0"/>
      <w:marRight w:val="0"/>
      <w:marTop w:val="0"/>
      <w:marBottom w:val="0"/>
      <w:divBdr>
        <w:top w:val="none" w:sz="0" w:space="0" w:color="auto"/>
        <w:left w:val="none" w:sz="0" w:space="0" w:color="auto"/>
        <w:bottom w:val="none" w:sz="0" w:space="0" w:color="auto"/>
        <w:right w:val="none" w:sz="0" w:space="0" w:color="auto"/>
      </w:divBdr>
    </w:div>
    <w:div w:id="816997265">
      <w:bodyDiv w:val="1"/>
      <w:marLeft w:val="0"/>
      <w:marRight w:val="0"/>
      <w:marTop w:val="0"/>
      <w:marBottom w:val="0"/>
      <w:divBdr>
        <w:top w:val="none" w:sz="0" w:space="0" w:color="auto"/>
        <w:left w:val="none" w:sz="0" w:space="0" w:color="auto"/>
        <w:bottom w:val="none" w:sz="0" w:space="0" w:color="auto"/>
        <w:right w:val="none" w:sz="0" w:space="0" w:color="auto"/>
      </w:divBdr>
    </w:div>
    <w:div w:id="830830462">
      <w:bodyDiv w:val="1"/>
      <w:marLeft w:val="0"/>
      <w:marRight w:val="0"/>
      <w:marTop w:val="0"/>
      <w:marBottom w:val="0"/>
      <w:divBdr>
        <w:top w:val="none" w:sz="0" w:space="0" w:color="auto"/>
        <w:left w:val="none" w:sz="0" w:space="0" w:color="auto"/>
        <w:bottom w:val="none" w:sz="0" w:space="0" w:color="auto"/>
        <w:right w:val="none" w:sz="0" w:space="0" w:color="auto"/>
      </w:divBdr>
    </w:div>
    <w:div w:id="873156602">
      <w:bodyDiv w:val="1"/>
      <w:marLeft w:val="0"/>
      <w:marRight w:val="0"/>
      <w:marTop w:val="0"/>
      <w:marBottom w:val="0"/>
      <w:divBdr>
        <w:top w:val="none" w:sz="0" w:space="0" w:color="auto"/>
        <w:left w:val="none" w:sz="0" w:space="0" w:color="auto"/>
        <w:bottom w:val="none" w:sz="0" w:space="0" w:color="auto"/>
        <w:right w:val="none" w:sz="0" w:space="0" w:color="auto"/>
      </w:divBdr>
    </w:div>
    <w:div w:id="877471418">
      <w:bodyDiv w:val="1"/>
      <w:marLeft w:val="0"/>
      <w:marRight w:val="0"/>
      <w:marTop w:val="0"/>
      <w:marBottom w:val="0"/>
      <w:divBdr>
        <w:top w:val="none" w:sz="0" w:space="0" w:color="auto"/>
        <w:left w:val="none" w:sz="0" w:space="0" w:color="auto"/>
        <w:bottom w:val="none" w:sz="0" w:space="0" w:color="auto"/>
        <w:right w:val="none" w:sz="0" w:space="0" w:color="auto"/>
      </w:divBdr>
    </w:div>
    <w:div w:id="909534514">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3002914">
      <w:bodyDiv w:val="1"/>
      <w:marLeft w:val="0"/>
      <w:marRight w:val="0"/>
      <w:marTop w:val="0"/>
      <w:marBottom w:val="0"/>
      <w:divBdr>
        <w:top w:val="none" w:sz="0" w:space="0" w:color="auto"/>
        <w:left w:val="none" w:sz="0" w:space="0" w:color="auto"/>
        <w:bottom w:val="none" w:sz="0" w:space="0" w:color="auto"/>
        <w:right w:val="none" w:sz="0" w:space="0" w:color="auto"/>
      </w:divBdr>
    </w:div>
    <w:div w:id="968826502">
      <w:bodyDiv w:val="1"/>
      <w:marLeft w:val="0"/>
      <w:marRight w:val="0"/>
      <w:marTop w:val="0"/>
      <w:marBottom w:val="0"/>
      <w:divBdr>
        <w:top w:val="none" w:sz="0" w:space="0" w:color="auto"/>
        <w:left w:val="none" w:sz="0" w:space="0" w:color="auto"/>
        <w:bottom w:val="none" w:sz="0" w:space="0" w:color="auto"/>
        <w:right w:val="none" w:sz="0" w:space="0" w:color="auto"/>
      </w:divBdr>
    </w:div>
    <w:div w:id="1008826326">
      <w:bodyDiv w:val="1"/>
      <w:marLeft w:val="0"/>
      <w:marRight w:val="0"/>
      <w:marTop w:val="0"/>
      <w:marBottom w:val="0"/>
      <w:divBdr>
        <w:top w:val="none" w:sz="0" w:space="0" w:color="auto"/>
        <w:left w:val="none" w:sz="0" w:space="0" w:color="auto"/>
        <w:bottom w:val="none" w:sz="0" w:space="0" w:color="auto"/>
        <w:right w:val="none" w:sz="0" w:space="0" w:color="auto"/>
      </w:divBdr>
    </w:div>
    <w:div w:id="1017467502">
      <w:bodyDiv w:val="1"/>
      <w:marLeft w:val="0"/>
      <w:marRight w:val="0"/>
      <w:marTop w:val="0"/>
      <w:marBottom w:val="0"/>
      <w:divBdr>
        <w:top w:val="none" w:sz="0" w:space="0" w:color="auto"/>
        <w:left w:val="none" w:sz="0" w:space="0" w:color="auto"/>
        <w:bottom w:val="none" w:sz="0" w:space="0" w:color="auto"/>
        <w:right w:val="none" w:sz="0" w:space="0" w:color="auto"/>
      </w:divBdr>
    </w:div>
    <w:div w:id="1196235981">
      <w:bodyDiv w:val="1"/>
      <w:marLeft w:val="0"/>
      <w:marRight w:val="0"/>
      <w:marTop w:val="0"/>
      <w:marBottom w:val="0"/>
      <w:divBdr>
        <w:top w:val="none" w:sz="0" w:space="0" w:color="auto"/>
        <w:left w:val="none" w:sz="0" w:space="0" w:color="auto"/>
        <w:bottom w:val="none" w:sz="0" w:space="0" w:color="auto"/>
        <w:right w:val="none" w:sz="0" w:space="0" w:color="auto"/>
      </w:divBdr>
    </w:div>
    <w:div w:id="1261913736">
      <w:bodyDiv w:val="1"/>
      <w:marLeft w:val="0"/>
      <w:marRight w:val="0"/>
      <w:marTop w:val="0"/>
      <w:marBottom w:val="0"/>
      <w:divBdr>
        <w:top w:val="none" w:sz="0" w:space="0" w:color="auto"/>
        <w:left w:val="none" w:sz="0" w:space="0" w:color="auto"/>
        <w:bottom w:val="none" w:sz="0" w:space="0" w:color="auto"/>
        <w:right w:val="none" w:sz="0" w:space="0" w:color="auto"/>
      </w:divBdr>
    </w:div>
    <w:div w:id="1451122618">
      <w:bodyDiv w:val="1"/>
      <w:marLeft w:val="0"/>
      <w:marRight w:val="0"/>
      <w:marTop w:val="0"/>
      <w:marBottom w:val="0"/>
      <w:divBdr>
        <w:top w:val="none" w:sz="0" w:space="0" w:color="auto"/>
        <w:left w:val="none" w:sz="0" w:space="0" w:color="auto"/>
        <w:bottom w:val="none" w:sz="0" w:space="0" w:color="auto"/>
        <w:right w:val="none" w:sz="0" w:space="0" w:color="auto"/>
      </w:divBdr>
    </w:div>
    <w:div w:id="1486891882">
      <w:bodyDiv w:val="1"/>
      <w:marLeft w:val="0"/>
      <w:marRight w:val="0"/>
      <w:marTop w:val="0"/>
      <w:marBottom w:val="0"/>
      <w:divBdr>
        <w:top w:val="none" w:sz="0" w:space="0" w:color="auto"/>
        <w:left w:val="none" w:sz="0" w:space="0" w:color="auto"/>
        <w:bottom w:val="none" w:sz="0" w:space="0" w:color="auto"/>
        <w:right w:val="none" w:sz="0" w:space="0" w:color="auto"/>
      </w:divBdr>
    </w:div>
    <w:div w:id="1644770265">
      <w:bodyDiv w:val="1"/>
      <w:marLeft w:val="0"/>
      <w:marRight w:val="0"/>
      <w:marTop w:val="0"/>
      <w:marBottom w:val="0"/>
      <w:divBdr>
        <w:top w:val="none" w:sz="0" w:space="0" w:color="auto"/>
        <w:left w:val="none" w:sz="0" w:space="0" w:color="auto"/>
        <w:bottom w:val="none" w:sz="0" w:space="0" w:color="auto"/>
        <w:right w:val="none" w:sz="0" w:space="0" w:color="auto"/>
      </w:divBdr>
    </w:div>
    <w:div w:id="1664965335">
      <w:bodyDiv w:val="1"/>
      <w:marLeft w:val="0"/>
      <w:marRight w:val="0"/>
      <w:marTop w:val="0"/>
      <w:marBottom w:val="0"/>
      <w:divBdr>
        <w:top w:val="none" w:sz="0" w:space="0" w:color="auto"/>
        <w:left w:val="none" w:sz="0" w:space="0" w:color="auto"/>
        <w:bottom w:val="none" w:sz="0" w:space="0" w:color="auto"/>
        <w:right w:val="none" w:sz="0" w:space="0" w:color="auto"/>
      </w:divBdr>
    </w:div>
    <w:div w:id="1795830372">
      <w:bodyDiv w:val="1"/>
      <w:marLeft w:val="0"/>
      <w:marRight w:val="0"/>
      <w:marTop w:val="0"/>
      <w:marBottom w:val="0"/>
      <w:divBdr>
        <w:top w:val="none" w:sz="0" w:space="0" w:color="auto"/>
        <w:left w:val="none" w:sz="0" w:space="0" w:color="auto"/>
        <w:bottom w:val="none" w:sz="0" w:space="0" w:color="auto"/>
        <w:right w:val="none" w:sz="0" w:space="0" w:color="auto"/>
      </w:divBdr>
    </w:div>
    <w:div w:id="1796832643">
      <w:bodyDiv w:val="1"/>
      <w:marLeft w:val="0"/>
      <w:marRight w:val="0"/>
      <w:marTop w:val="0"/>
      <w:marBottom w:val="0"/>
      <w:divBdr>
        <w:top w:val="none" w:sz="0" w:space="0" w:color="auto"/>
        <w:left w:val="none" w:sz="0" w:space="0" w:color="auto"/>
        <w:bottom w:val="none" w:sz="0" w:space="0" w:color="auto"/>
        <w:right w:val="none" w:sz="0" w:space="0" w:color="auto"/>
      </w:divBdr>
    </w:div>
    <w:div w:id="1907261345">
      <w:bodyDiv w:val="1"/>
      <w:marLeft w:val="0"/>
      <w:marRight w:val="0"/>
      <w:marTop w:val="0"/>
      <w:marBottom w:val="0"/>
      <w:divBdr>
        <w:top w:val="none" w:sz="0" w:space="0" w:color="auto"/>
        <w:left w:val="none" w:sz="0" w:space="0" w:color="auto"/>
        <w:bottom w:val="none" w:sz="0" w:space="0" w:color="auto"/>
        <w:right w:val="none" w:sz="0" w:space="0" w:color="auto"/>
      </w:divBdr>
    </w:div>
    <w:div w:id="1925141209">
      <w:bodyDiv w:val="1"/>
      <w:marLeft w:val="0"/>
      <w:marRight w:val="0"/>
      <w:marTop w:val="0"/>
      <w:marBottom w:val="0"/>
      <w:divBdr>
        <w:top w:val="none" w:sz="0" w:space="0" w:color="auto"/>
        <w:left w:val="none" w:sz="0" w:space="0" w:color="auto"/>
        <w:bottom w:val="none" w:sz="0" w:space="0" w:color="auto"/>
        <w:right w:val="none" w:sz="0" w:space="0" w:color="auto"/>
      </w:divBdr>
    </w:div>
    <w:div w:id="1940984034">
      <w:bodyDiv w:val="1"/>
      <w:marLeft w:val="0"/>
      <w:marRight w:val="0"/>
      <w:marTop w:val="0"/>
      <w:marBottom w:val="0"/>
      <w:divBdr>
        <w:top w:val="none" w:sz="0" w:space="0" w:color="auto"/>
        <w:left w:val="none" w:sz="0" w:space="0" w:color="auto"/>
        <w:bottom w:val="none" w:sz="0" w:space="0" w:color="auto"/>
        <w:right w:val="none" w:sz="0" w:space="0" w:color="auto"/>
      </w:divBdr>
    </w:div>
    <w:div w:id="2101833582">
      <w:bodyDiv w:val="1"/>
      <w:marLeft w:val="0"/>
      <w:marRight w:val="0"/>
      <w:marTop w:val="0"/>
      <w:marBottom w:val="0"/>
      <w:divBdr>
        <w:top w:val="none" w:sz="0" w:space="0" w:color="auto"/>
        <w:left w:val="none" w:sz="0" w:space="0" w:color="auto"/>
        <w:bottom w:val="none" w:sz="0" w:space="0" w:color="auto"/>
        <w:right w:val="none" w:sz="0" w:space="0" w:color="auto"/>
      </w:divBdr>
    </w:div>
    <w:div w:id="21105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esreit.i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iresrei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2019-05-28T09:57:59+00:00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5CC50-B943-4AFE-910D-0A78CD70E216}"/>
</file>

<file path=customXml/itemProps2.xml><?xml version="1.0" encoding="utf-8"?>
<ds:datastoreItem xmlns:ds="http://schemas.openxmlformats.org/officeDocument/2006/customXml" ds:itemID="{52D7D01B-1C11-4A9C-8BB7-B44CB85F5F0C}"/>
</file>

<file path=customXml/itemProps3.xml><?xml version="1.0" encoding="utf-8"?>
<ds:datastoreItem xmlns:ds="http://schemas.openxmlformats.org/officeDocument/2006/customXml" ds:itemID="{E4428DCB-E8FF-4865-9F35-AEE8D3F93CF6}"/>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4203</Characters>
  <Application>Microsoft Office Word</Application>
  <DocSecurity>0</DocSecurity>
  <PresentationFormat>
  </PresentationFormat>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2019-05-28T09:53:00Z</dcterms:created>
  <dcterms:modified xsi:type="dcterms:W3CDTF">2019-05-28T10:05:00Z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4894 V1</vt:lpwstr>
  </property>
  <property fmtid="{D5CDD505-2E9C-101B-9397-08002B2CF9AE}" pid="6" name="MSIP_Label_9c9e5fda-ca58-49ea-ac34-961b11badfe3_Enabled">
    <vt:lpwstr>True</vt:lpwstr>
  </property>
  <property fmtid="{D5CDD505-2E9C-101B-9397-08002B2CF9AE}" pid="7" name="MSIP_Label_9c9e5fda-ca58-49ea-ac34-961b11badfe3_SiteId">
    <vt:lpwstr>6d6a11bc-469a-48df-a548-d3f353ac1be8</vt:lpwstr>
  </property>
  <property fmtid="{D5CDD505-2E9C-101B-9397-08002B2CF9AE}" pid="8" name="MSIP_Label_9c9e5fda-ca58-49ea-ac34-961b11badfe3_Owner">
    <vt:lpwstr>Jennifer.Porter@investec.ie</vt:lpwstr>
  </property>
  <property fmtid="{D5CDD505-2E9C-101B-9397-08002B2CF9AE}" pid="9" name="MSIP_Label_9c9e5fda-ca58-49ea-ac34-961b11badfe3_SetDate">
    <vt:lpwstr>2019-05-28T09:53:47.3044074Z</vt:lpwstr>
  </property>
  <property fmtid="{D5CDD505-2E9C-101B-9397-08002B2CF9AE}" pid="10" name="MSIP_Label_9c9e5fda-ca58-49ea-ac34-961b11badfe3_Name">
    <vt:lpwstr>Investec General</vt:lpwstr>
  </property>
  <property fmtid="{D5CDD505-2E9C-101B-9397-08002B2CF9AE}" pid="11" name="MSIP_Label_9c9e5fda-ca58-49ea-ac34-961b11badfe3_Application">
    <vt:lpwstr>Microsoft Azure Information Protection</vt:lpwstr>
  </property>
  <property fmtid="{D5CDD505-2E9C-101B-9397-08002B2CF9AE}" pid="12" name="MSIP_Label_9c9e5fda-ca58-49ea-ac34-961b11badfe3_Extended_MSFT_Method">
    <vt:lpwstr>Manual</vt:lpwstr>
  </property>
  <property fmtid="{D5CDD505-2E9C-101B-9397-08002B2CF9AE}" pid="13" name="Sensitivity">
    <vt:lpwstr>Investec General</vt:lpwstr>
  </property>
  <property fmtid="{D5CDD505-2E9C-101B-9397-08002B2CF9AE}" pid="14" name="ContentTypeId">
    <vt:lpwstr>0x010100BE156B1CF39149A8843C57AB06C49AFE0011B886BEF4CCD94F85F46E94360FD412</vt:lpwstr>
  </property>
  <property fmtid="{D5CDD505-2E9C-101B-9397-08002B2CF9AE}" pid="15" name="IssuerID">
    <vt:lpwstr/>
  </property>
  <property fmtid="{D5CDD505-2E9C-101B-9397-08002B2CF9AE}" pid="16" name="JobContentType">
    <vt:lpwstr/>
  </property>
  <property fmtid="{D5CDD505-2E9C-101B-9397-08002B2CF9AE}" pid="17" name="MediaServiceImageTags">
    <vt:lpwstr/>
  </property>
  <property fmtid="{D5CDD505-2E9C-101B-9397-08002B2CF9AE}" pid="18" name="JobType">
    <vt:lpwstr/>
  </property>
  <property fmtid="{D5CDD505-2E9C-101B-9397-08002B2CF9AE}" pid="19" name="Contact">
    <vt:lpwstr/>
  </property>
  <property fmtid="{D5CDD505-2E9C-101B-9397-08002B2CF9AE}" pid="20" name="IssuerName">
    <vt:lpwstr/>
  </property>
  <property fmtid="{D5CDD505-2E9C-101B-9397-08002B2CF9AE}" pid="21" name="Organisation">
    <vt:lpwstr/>
  </property>
</Properties>
</file>