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3BB50" w14:textId="77777777" w:rsidR="00D8722B" w:rsidRDefault="00D8722B">
      <w:pPr>
        <w:jc w:val="both"/>
      </w:pPr>
    </w:p>
    <w:p w14:paraId="05A5C814" w14:textId="77777777" w:rsidR="00D8722B" w:rsidRDefault="000A36B9">
      <w:pPr>
        <w:jc w:val="both"/>
      </w:pPr>
      <w:r>
        <w:t>27</w:t>
      </w:r>
      <w:r w:rsidR="002C792F" w:rsidRPr="000F3CF2">
        <w:t xml:space="preserve"> </w:t>
      </w:r>
      <w:r w:rsidR="00A253D2">
        <w:t>May</w:t>
      </w:r>
      <w:r>
        <w:t xml:space="preserve"> 2020</w:t>
      </w:r>
    </w:p>
    <w:p w14:paraId="43F95CD7" w14:textId="77777777" w:rsidR="00D8722B" w:rsidRDefault="00D8722B">
      <w:pPr>
        <w:jc w:val="both"/>
      </w:pPr>
    </w:p>
    <w:p w14:paraId="506B7913" w14:textId="77777777" w:rsidR="00D8722B" w:rsidRDefault="00A253D2">
      <w:pPr>
        <w:rPr>
          <w:b/>
          <w:sz w:val="32"/>
        </w:rPr>
      </w:pPr>
      <w:r>
        <w:rPr>
          <w:b/>
          <w:sz w:val="32"/>
        </w:rPr>
        <w:t>Result of Annual General Meeting</w:t>
      </w:r>
    </w:p>
    <w:p w14:paraId="4610A6FE" w14:textId="77777777" w:rsidR="00D8722B" w:rsidRDefault="00D8722B">
      <w:pPr>
        <w:jc w:val="both"/>
      </w:pPr>
    </w:p>
    <w:p w14:paraId="07E336FE" w14:textId="54817E91" w:rsidR="003F49C0" w:rsidRDefault="004E7FDC" w:rsidP="00EB1154">
      <w:pPr>
        <w:shd w:val="clear" w:color="auto" w:fill="FFFFFF"/>
        <w:spacing w:before="200" w:line="264" w:lineRule="auto"/>
        <w:ind w:right="-46"/>
        <w:jc w:val="both"/>
      </w:pPr>
      <w:r>
        <w:t>Irish Residential Properties REIT plc (“</w:t>
      </w:r>
      <w:r w:rsidRPr="004E7FDC">
        <w:rPr>
          <w:b/>
        </w:rPr>
        <w:t>I•RES</w:t>
      </w:r>
      <w:r>
        <w:t>” or the “</w:t>
      </w:r>
      <w:r w:rsidRPr="004E7FDC">
        <w:rPr>
          <w:b/>
        </w:rPr>
        <w:t>Company</w:t>
      </w:r>
      <w:r>
        <w:t>”</w:t>
      </w:r>
      <w:r w:rsidR="00621654">
        <w:t>)</w:t>
      </w:r>
      <w:r w:rsidR="00587841">
        <w:t xml:space="preserve"> </w:t>
      </w:r>
      <w:r w:rsidR="003F78A1">
        <w:t>announces that at its</w:t>
      </w:r>
      <w:r w:rsidR="00A253D2">
        <w:t xml:space="preserve"> </w:t>
      </w:r>
      <w:r w:rsidR="002B4FD4">
        <w:t>A</w:t>
      </w:r>
      <w:r w:rsidR="003F78A1">
        <w:t>nnual General Meeting held today,</w:t>
      </w:r>
      <w:r w:rsidR="000A36B9">
        <w:t xml:space="preserve"> 27 May 2020</w:t>
      </w:r>
      <w:r w:rsidR="003F78A1">
        <w:t>,</w:t>
      </w:r>
      <w:r w:rsidR="00B45B16">
        <w:t xml:space="preserve"> at</w:t>
      </w:r>
      <w:r w:rsidR="000A36B9">
        <w:t xml:space="preserve"> the Company’s registered office at South Dock House, Hanover Quay, Dublin 2, I</w:t>
      </w:r>
      <w:r w:rsidR="008122E3">
        <w:t>reland</w:t>
      </w:r>
      <w:r w:rsidR="00B45B16">
        <w:t>,</w:t>
      </w:r>
      <w:r w:rsidR="00A253D2">
        <w:t xml:space="preserve"> </w:t>
      </w:r>
      <w:r w:rsidR="00A253D2" w:rsidRPr="004B5638">
        <w:t>all of the resolutions</w:t>
      </w:r>
      <w:r w:rsidR="003F49C0">
        <w:t xml:space="preserve"> put to the shareholders at the </w:t>
      </w:r>
      <w:r w:rsidR="00B87077" w:rsidRPr="004B5638">
        <w:t xml:space="preserve">Annual General </w:t>
      </w:r>
      <w:r w:rsidR="00B87077" w:rsidRPr="00FA2A71">
        <w:t>Meeting</w:t>
      </w:r>
      <w:r w:rsidR="00A253D2" w:rsidRPr="00FA2A71">
        <w:t xml:space="preserve"> were passed.</w:t>
      </w:r>
      <w:r w:rsidR="00A253D2">
        <w:t xml:space="preserve"> </w:t>
      </w:r>
      <w:r w:rsidR="000A36B9">
        <w:t xml:space="preserve">  Voting on all resolutions was conducted by poll and the results are set out below.</w:t>
      </w:r>
    </w:p>
    <w:p w14:paraId="32C16426" w14:textId="5B7F5456" w:rsidR="00B45B16" w:rsidRDefault="00B45B16" w:rsidP="00EB1154">
      <w:pPr>
        <w:shd w:val="clear" w:color="auto" w:fill="FFFFFF"/>
        <w:spacing w:before="200" w:line="264" w:lineRule="auto"/>
        <w:ind w:right="-46"/>
        <w:jc w:val="both"/>
      </w:pPr>
      <w:r>
        <w:t>The full text of each resolution</w:t>
      </w:r>
      <w:r w:rsidR="003F78A1">
        <w:t>, together with explanatory notes,</w:t>
      </w:r>
      <w:r>
        <w:t xml:space="preserve"> was included in the Notice of Annual General Meeting circulat</w:t>
      </w:r>
      <w:r w:rsidR="000A36B9">
        <w:t>ed to shareholders on 16</w:t>
      </w:r>
      <w:r w:rsidR="005B667B">
        <w:t xml:space="preserve"> </w:t>
      </w:r>
      <w:r w:rsidR="000A36B9">
        <w:t>April 2020</w:t>
      </w:r>
      <w:r w:rsidR="003F78A1">
        <w:t xml:space="preserve"> and made available on the Company’s website at </w:t>
      </w:r>
      <w:hyperlink r:id="rId7" w:history="1">
        <w:r w:rsidR="003F78A1" w:rsidRPr="00591750">
          <w:rPr>
            <w:rStyle w:val="Hyperlink"/>
          </w:rPr>
          <w:t>www.iresreit.ie</w:t>
        </w:r>
      </w:hyperlink>
      <w:r w:rsidR="003F78A1">
        <w:t>.</w:t>
      </w:r>
    </w:p>
    <w:tbl>
      <w:tblPr>
        <w:tblpPr w:leftFromText="180" w:rightFromText="180" w:vertAnchor="page" w:horzAnchor="margin" w:tblpXSpec="center" w:tblpY="6431"/>
        <w:tblW w:w="8740" w:type="dxa"/>
        <w:tblCellMar>
          <w:left w:w="0" w:type="dxa"/>
          <w:right w:w="0" w:type="dxa"/>
        </w:tblCellMar>
        <w:tblLook w:val="04A0" w:firstRow="1" w:lastRow="0" w:firstColumn="1" w:lastColumn="0" w:noHBand="0" w:noVBand="1"/>
      </w:tblPr>
      <w:tblGrid>
        <w:gridCol w:w="1160"/>
        <w:gridCol w:w="2540"/>
        <w:gridCol w:w="1620"/>
        <w:gridCol w:w="1690"/>
        <w:gridCol w:w="1730"/>
      </w:tblGrid>
      <w:tr w:rsidR="002B31C4" w:rsidRPr="002B31C4" w14:paraId="53051724" w14:textId="77777777" w:rsidTr="002B31C4">
        <w:trPr>
          <w:trHeight w:val="510"/>
        </w:trPr>
        <w:tc>
          <w:tcPr>
            <w:tcW w:w="1160" w:type="dxa"/>
            <w:tcBorders>
              <w:top w:val="single" w:sz="8" w:space="0" w:color="auto"/>
              <w:left w:val="single" w:sz="8" w:space="0" w:color="auto"/>
              <w:bottom w:val="single" w:sz="8" w:space="0" w:color="auto"/>
              <w:right w:val="single" w:sz="8" w:space="0" w:color="auto"/>
            </w:tcBorders>
          </w:tcPr>
          <w:p w14:paraId="12B90995" w14:textId="26170443" w:rsidR="002B31C4" w:rsidRPr="002B31C4" w:rsidRDefault="002B31C4" w:rsidP="002B31C4">
            <w:pPr>
              <w:rPr>
                <w:rFonts w:cstheme="minorHAnsi"/>
                <w:b/>
                <w:bCs/>
                <w:lang w:eastAsia="en-GB"/>
              </w:rPr>
            </w:pPr>
            <w:r w:rsidRPr="002B31C4">
              <w:rPr>
                <w:rFonts w:cstheme="minorHAnsi"/>
                <w:b/>
                <w:bCs/>
                <w:lang w:eastAsia="en-GB"/>
              </w:rPr>
              <w:t>No</w:t>
            </w:r>
          </w:p>
        </w:tc>
        <w:tc>
          <w:tcPr>
            <w:tcW w:w="2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B16627" w14:textId="413F627C" w:rsidR="002B31C4" w:rsidRPr="002B31C4" w:rsidRDefault="002B31C4" w:rsidP="002B31C4">
            <w:pPr>
              <w:rPr>
                <w:rFonts w:cstheme="minorHAnsi"/>
                <w:b/>
                <w:bCs/>
                <w:lang w:eastAsia="en-GB"/>
              </w:rPr>
            </w:pPr>
            <w:r w:rsidRPr="002B31C4">
              <w:rPr>
                <w:rFonts w:cstheme="minorHAnsi"/>
                <w:b/>
                <w:bCs/>
                <w:lang w:eastAsia="en-GB"/>
              </w:rPr>
              <w:t>Resolution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A8DBE2" w14:textId="52108B00" w:rsidR="002B31C4" w:rsidRPr="002B31C4" w:rsidRDefault="002C7606" w:rsidP="002B31C4">
            <w:pPr>
              <w:rPr>
                <w:rFonts w:cstheme="minorHAnsi"/>
                <w:b/>
                <w:bCs/>
                <w:lang w:eastAsia="en-GB"/>
              </w:rPr>
            </w:pPr>
            <w:r>
              <w:rPr>
                <w:rFonts w:cstheme="minorHAnsi"/>
                <w:b/>
                <w:bCs/>
                <w:lang w:eastAsia="en-GB"/>
              </w:rPr>
              <w:t>Votes For</w:t>
            </w:r>
          </w:p>
        </w:tc>
        <w:tc>
          <w:tcPr>
            <w:tcW w:w="1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082E49" w14:textId="355373CE" w:rsidR="002B31C4" w:rsidRPr="002B31C4" w:rsidRDefault="002C7606" w:rsidP="002B31C4">
            <w:pPr>
              <w:rPr>
                <w:rFonts w:cstheme="minorHAnsi"/>
                <w:b/>
                <w:bCs/>
                <w:lang w:eastAsia="en-GB"/>
              </w:rPr>
            </w:pPr>
            <w:r>
              <w:rPr>
                <w:rFonts w:cstheme="minorHAnsi"/>
                <w:b/>
                <w:bCs/>
                <w:lang w:eastAsia="en-GB"/>
              </w:rPr>
              <w:t>Votes Against</w:t>
            </w:r>
          </w:p>
        </w:tc>
        <w:tc>
          <w:tcPr>
            <w:tcW w:w="17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E4A7C6" w14:textId="3F150C83" w:rsidR="002B31C4" w:rsidRPr="002B31C4" w:rsidRDefault="002C7606" w:rsidP="002B31C4">
            <w:pPr>
              <w:rPr>
                <w:rFonts w:cstheme="minorHAnsi"/>
                <w:b/>
                <w:bCs/>
                <w:lang w:eastAsia="en-GB"/>
              </w:rPr>
            </w:pPr>
            <w:r>
              <w:rPr>
                <w:rFonts w:cstheme="minorHAnsi"/>
                <w:b/>
                <w:bCs/>
                <w:lang w:eastAsia="en-GB"/>
              </w:rPr>
              <w:t>Votes Withh</w:t>
            </w:r>
            <w:bookmarkStart w:id="0" w:name="_GoBack"/>
            <w:bookmarkEnd w:id="0"/>
            <w:r>
              <w:rPr>
                <w:rFonts w:cstheme="minorHAnsi"/>
                <w:b/>
                <w:bCs/>
                <w:lang w:eastAsia="en-GB"/>
              </w:rPr>
              <w:t>eld</w:t>
            </w:r>
            <w:r w:rsidR="002B31C4" w:rsidRPr="002B31C4">
              <w:rPr>
                <w:rFonts w:cstheme="minorHAnsi"/>
                <w:b/>
                <w:bCs/>
                <w:lang w:eastAsia="en-GB"/>
              </w:rPr>
              <w:t>*</w:t>
            </w:r>
          </w:p>
        </w:tc>
      </w:tr>
      <w:tr w:rsidR="002B31C4" w:rsidRPr="002B31C4" w14:paraId="639526A8" w14:textId="77777777" w:rsidTr="002B31C4">
        <w:trPr>
          <w:trHeight w:val="255"/>
        </w:trPr>
        <w:tc>
          <w:tcPr>
            <w:tcW w:w="1160" w:type="dxa"/>
            <w:tcBorders>
              <w:top w:val="nil"/>
              <w:left w:val="single" w:sz="8" w:space="0" w:color="auto"/>
              <w:bottom w:val="single" w:sz="8" w:space="0" w:color="auto"/>
              <w:right w:val="single" w:sz="8" w:space="0" w:color="auto"/>
            </w:tcBorders>
          </w:tcPr>
          <w:p w14:paraId="0555B379" w14:textId="1C7A0E7C" w:rsidR="002B31C4" w:rsidRPr="002B31C4" w:rsidRDefault="002B31C4" w:rsidP="002B31C4">
            <w:pPr>
              <w:rPr>
                <w:rFonts w:cstheme="minorHAnsi"/>
                <w:lang w:eastAsia="en-GB"/>
              </w:rPr>
            </w:pPr>
            <w:r w:rsidRPr="002B31C4">
              <w:rPr>
                <w:rFonts w:cstheme="minorHAnsi"/>
              </w:rPr>
              <w:t xml:space="preserve">1 </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3D2D1F1" w14:textId="70262CB7" w:rsidR="002B31C4" w:rsidRPr="002B31C4" w:rsidRDefault="002B31C4" w:rsidP="002B31C4">
            <w:pPr>
              <w:jc w:val="left"/>
              <w:rPr>
                <w:rFonts w:cstheme="minorHAnsi"/>
                <w:lang w:eastAsia="en-GB"/>
              </w:rPr>
            </w:pPr>
            <w:r w:rsidRPr="002B31C4">
              <w:rPr>
                <w:rFonts w:cstheme="minorHAnsi"/>
              </w:rPr>
              <w:t>To receive and consider the financial statements for the year ended 31 December 2019 and the</w:t>
            </w:r>
            <w:r w:rsidR="00A326CE">
              <w:rPr>
                <w:rFonts w:cstheme="minorHAnsi"/>
              </w:rPr>
              <w:t xml:space="preserve"> reports of the </w:t>
            </w:r>
            <w:r w:rsidRPr="002B31C4">
              <w:rPr>
                <w:rFonts w:cstheme="minorHAnsi"/>
              </w:rPr>
              <w:t>Directors and the Auditors thereon</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CCF21B" w14:textId="77777777" w:rsidR="002B31C4" w:rsidRPr="002B31C4" w:rsidRDefault="002B31C4" w:rsidP="002B31C4">
            <w:pPr>
              <w:jc w:val="right"/>
              <w:rPr>
                <w:rFonts w:cstheme="minorHAnsi"/>
                <w:lang w:eastAsia="en-GB"/>
              </w:rPr>
            </w:pPr>
            <w:r w:rsidRPr="002B31C4">
              <w:rPr>
                <w:rFonts w:cstheme="minorHAnsi"/>
                <w:lang w:eastAsia="en-GB"/>
              </w:rPr>
              <w:t>309,305,597</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70AA56" w14:textId="77777777" w:rsidR="002B31C4" w:rsidRPr="002B31C4" w:rsidRDefault="002B31C4" w:rsidP="002B31C4">
            <w:pPr>
              <w:jc w:val="right"/>
              <w:rPr>
                <w:rFonts w:cstheme="minorHAnsi"/>
                <w:lang w:eastAsia="en-GB"/>
              </w:rPr>
            </w:pPr>
            <w:r w:rsidRPr="002B31C4">
              <w:rPr>
                <w:rFonts w:cstheme="minorHAnsi"/>
                <w:lang w:eastAsia="en-GB"/>
              </w:rPr>
              <w:t>46,690,284</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436561" w14:textId="77777777" w:rsidR="002B31C4" w:rsidRPr="002B31C4" w:rsidRDefault="002B31C4" w:rsidP="002B31C4">
            <w:pPr>
              <w:jc w:val="right"/>
              <w:rPr>
                <w:rFonts w:cstheme="minorHAnsi"/>
                <w:lang w:eastAsia="en-GB"/>
              </w:rPr>
            </w:pPr>
            <w:r w:rsidRPr="002B31C4">
              <w:rPr>
                <w:rFonts w:cstheme="minorHAnsi"/>
                <w:lang w:eastAsia="en-GB"/>
              </w:rPr>
              <w:t>406,721</w:t>
            </w:r>
          </w:p>
        </w:tc>
      </w:tr>
      <w:tr w:rsidR="002B31C4" w:rsidRPr="002B31C4" w14:paraId="6F2F47D0" w14:textId="77777777" w:rsidTr="002B31C4">
        <w:trPr>
          <w:trHeight w:val="255"/>
        </w:trPr>
        <w:tc>
          <w:tcPr>
            <w:tcW w:w="1160" w:type="dxa"/>
            <w:tcBorders>
              <w:top w:val="nil"/>
              <w:left w:val="single" w:sz="8" w:space="0" w:color="auto"/>
              <w:bottom w:val="single" w:sz="8" w:space="0" w:color="auto"/>
              <w:right w:val="single" w:sz="8" w:space="0" w:color="auto"/>
            </w:tcBorders>
          </w:tcPr>
          <w:p w14:paraId="6BF8F4F0" w14:textId="08585E51" w:rsidR="002B31C4" w:rsidRPr="002B31C4" w:rsidRDefault="002B31C4" w:rsidP="002B31C4">
            <w:pPr>
              <w:rPr>
                <w:rFonts w:cstheme="minorHAnsi"/>
                <w:lang w:eastAsia="en-GB"/>
              </w:rPr>
            </w:pPr>
            <w:r w:rsidRPr="002B31C4">
              <w:rPr>
                <w:rFonts w:cstheme="minorHAnsi"/>
              </w:rPr>
              <w:t>2 (a)</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8D98955" w14:textId="4126F329" w:rsidR="002B31C4" w:rsidRPr="002B31C4" w:rsidRDefault="002B31C4" w:rsidP="002B31C4">
            <w:pPr>
              <w:jc w:val="left"/>
              <w:rPr>
                <w:rFonts w:cstheme="minorHAnsi"/>
                <w:lang w:eastAsia="en-GB"/>
              </w:rPr>
            </w:pPr>
            <w:r w:rsidRPr="002B31C4">
              <w:rPr>
                <w:rFonts w:cstheme="minorHAnsi"/>
              </w:rPr>
              <w:t>To re-elect Phillip Burns as a Director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765C51" w14:textId="77777777" w:rsidR="002B31C4" w:rsidRPr="002B31C4" w:rsidRDefault="002B31C4" w:rsidP="002B31C4">
            <w:pPr>
              <w:jc w:val="right"/>
              <w:rPr>
                <w:rFonts w:cstheme="minorHAnsi"/>
                <w:lang w:eastAsia="en-GB"/>
              </w:rPr>
            </w:pPr>
            <w:r w:rsidRPr="002B31C4">
              <w:rPr>
                <w:rFonts w:cstheme="minorHAnsi"/>
                <w:lang w:eastAsia="en-GB"/>
              </w:rPr>
              <w:t>343,103,782</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C0727B" w14:textId="77777777" w:rsidR="002B31C4" w:rsidRPr="002B31C4" w:rsidRDefault="002B31C4" w:rsidP="002B31C4">
            <w:pPr>
              <w:jc w:val="right"/>
              <w:rPr>
                <w:rFonts w:cstheme="minorHAnsi"/>
                <w:lang w:eastAsia="en-GB"/>
              </w:rPr>
            </w:pPr>
            <w:r w:rsidRPr="002B31C4">
              <w:rPr>
                <w:rFonts w:cstheme="minorHAnsi"/>
                <w:lang w:eastAsia="en-GB"/>
              </w:rPr>
              <w:t>13,199,758</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F4B778" w14:textId="77777777" w:rsidR="002B31C4" w:rsidRPr="002B31C4" w:rsidRDefault="002B31C4" w:rsidP="002B31C4">
            <w:pPr>
              <w:jc w:val="right"/>
              <w:rPr>
                <w:rFonts w:cstheme="minorHAnsi"/>
                <w:lang w:eastAsia="en-GB"/>
              </w:rPr>
            </w:pPr>
            <w:r w:rsidRPr="002B31C4">
              <w:rPr>
                <w:rFonts w:cstheme="minorHAnsi"/>
                <w:lang w:eastAsia="en-GB"/>
              </w:rPr>
              <w:t>99,062</w:t>
            </w:r>
          </w:p>
        </w:tc>
      </w:tr>
      <w:tr w:rsidR="002B31C4" w:rsidRPr="002B31C4" w14:paraId="72C8788F" w14:textId="77777777" w:rsidTr="002B31C4">
        <w:trPr>
          <w:trHeight w:val="255"/>
        </w:trPr>
        <w:tc>
          <w:tcPr>
            <w:tcW w:w="1160" w:type="dxa"/>
            <w:tcBorders>
              <w:top w:val="nil"/>
              <w:left w:val="single" w:sz="8" w:space="0" w:color="auto"/>
              <w:bottom w:val="single" w:sz="8" w:space="0" w:color="auto"/>
              <w:right w:val="single" w:sz="8" w:space="0" w:color="auto"/>
            </w:tcBorders>
          </w:tcPr>
          <w:p w14:paraId="03E2F2DF" w14:textId="0E4B4C68" w:rsidR="002B31C4" w:rsidRPr="002B31C4" w:rsidRDefault="002B31C4" w:rsidP="002B31C4">
            <w:pPr>
              <w:rPr>
                <w:rFonts w:cstheme="minorHAnsi"/>
                <w:lang w:eastAsia="en-GB"/>
              </w:rPr>
            </w:pPr>
            <w:r w:rsidRPr="002B31C4">
              <w:rPr>
                <w:rFonts w:cstheme="minorHAnsi"/>
              </w:rPr>
              <w:t>2 (b)</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48C15AD" w14:textId="79BEE375" w:rsidR="002B31C4" w:rsidRPr="002B31C4" w:rsidRDefault="002B31C4" w:rsidP="002B31C4">
            <w:pPr>
              <w:jc w:val="left"/>
              <w:rPr>
                <w:rFonts w:cstheme="minorHAnsi"/>
                <w:lang w:eastAsia="en-GB"/>
              </w:rPr>
            </w:pPr>
            <w:r w:rsidRPr="002B31C4">
              <w:rPr>
                <w:rFonts w:cstheme="minorHAnsi"/>
              </w:rPr>
              <w:t xml:space="preserve">To re-elect Joan </w:t>
            </w:r>
            <w:proofErr w:type="spellStart"/>
            <w:r w:rsidRPr="002B31C4">
              <w:rPr>
                <w:rFonts w:cstheme="minorHAnsi"/>
              </w:rPr>
              <w:t>Garahy</w:t>
            </w:r>
            <w:proofErr w:type="spellEnd"/>
            <w:r w:rsidRPr="002B31C4">
              <w:rPr>
                <w:rFonts w:cstheme="minorHAnsi"/>
              </w:rPr>
              <w:t xml:space="preserve"> as a Director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285E51" w14:textId="77777777" w:rsidR="002B31C4" w:rsidRPr="002B31C4" w:rsidRDefault="002B31C4" w:rsidP="002B31C4">
            <w:pPr>
              <w:jc w:val="right"/>
              <w:rPr>
                <w:rFonts w:cstheme="minorHAnsi"/>
                <w:lang w:eastAsia="en-GB"/>
              </w:rPr>
            </w:pPr>
            <w:r w:rsidRPr="002B31C4">
              <w:rPr>
                <w:rFonts w:cstheme="minorHAnsi"/>
                <w:lang w:eastAsia="en-GB"/>
              </w:rPr>
              <w:t>352,510,323</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B74CC7" w14:textId="77777777" w:rsidR="002B31C4" w:rsidRPr="002B31C4" w:rsidRDefault="002B31C4" w:rsidP="002B31C4">
            <w:pPr>
              <w:jc w:val="right"/>
              <w:rPr>
                <w:rFonts w:cstheme="minorHAnsi"/>
                <w:lang w:eastAsia="en-GB"/>
              </w:rPr>
            </w:pPr>
            <w:r w:rsidRPr="002B31C4">
              <w:rPr>
                <w:rFonts w:cstheme="minorHAnsi"/>
                <w:lang w:eastAsia="en-GB"/>
              </w:rPr>
              <w:t>3,793,217</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0931CD" w14:textId="77777777" w:rsidR="002B31C4" w:rsidRPr="002B31C4" w:rsidRDefault="002B31C4" w:rsidP="002B31C4">
            <w:pPr>
              <w:jc w:val="right"/>
              <w:rPr>
                <w:rFonts w:cstheme="minorHAnsi"/>
                <w:lang w:eastAsia="en-GB"/>
              </w:rPr>
            </w:pPr>
            <w:r w:rsidRPr="002B31C4">
              <w:rPr>
                <w:rFonts w:cstheme="minorHAnsi"/>
                <w:lang w:eastAsia="en-GB"/>
              </w:rPr>
              <w:t>99,062</w:t>
            </w:r>
          </w:p>
        </w:tc>
      </w:tr>
      <w:tr w:rsidR="002B31C4" w:rsidRPr="002B31C4" w14:paraId="0057227C" w14:textId="77777777" w:rsidTr="002B31C4">
        <w:trPr>
          <w:trHeight w:val="255"/>
        </w:trPr>
        <w:tc>
          <w:tcPr>
            <w:tcW w:w="1160" w:type="dxa"/>
            <w:tcBorders>
              <w:top w:val="nil"/>
              <w:left w:val="single" w:sz="8" w:space="0" w:color="auto"/>
              <w:bottom w:val="single" w:sz="8" w:space="0" w:color="auto"/>
              <w:right w:val="single" w:sz="8" w:space="0" w:color="auto"/>
            </w:tcBorders>
          </w:tcPr>
          <w:p w14:paraId="0FC60628" w14:textId="2B28E9C1" w:rsidR="002B31C4" w:rsidRPr="002B31C4" w:rsidRDefault="002B31C4" w:rsidP="002B31C4">
            <w:pPr>
              <w:rPr>
                <w:rFonts w:cstheme="minorHAnsi"/>
                <w:lang w:eastAsia="en-GB"/>
              </w:rPr>
            </w:pPr>
            <w:r w:rsidRPr="002B31C4">
              <w:rPr>
                <w:rFonts w:cstheme="minorHAnsi"/>
              </w:rPr>
              <w:t>2 (c)</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AE6D7EA" w14:textId="5B9C5A77" w:rsidR="002B31C4" w:rsidRPr="002B31C4" w:rsidRDefault="002B31C4" w:rsidP="002B31C4">
            <w:pPr>
              <w:jc w:val="left"/>
              <w:rPr>
                <w:rFonts w:cstheme="minorHAnsi"/>
                <w:lang w:eastAsia="en-GB"/>
              </w:rPr>
            </w:pPr>
            <w:r w:rsidRPr="002B31C4">
              <w:rPr>
                <w:rFonts w:cstheme="minorHAnsi"/>
              </w:rPr>
              <w:t>To re-elect Tom Kavanagh as a Director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F60C5E" w14:textId="77777777" w:rsidR="002B31C4" w:rsidRPr="002B31C4" w:rsidRDefault="002B31C4" w:rsidP="002B31C4">
            <w:pPr>
              <w:jc w:val="right"/>
              <w:rPr>
                <w:rFonts w:cstheme="minorHAnsi"/>
                <w:lang w:eastAsia="en-GB"/>
              </w:rPr>
            </w:pPr>
            <w:r w:rsidRPr="002B31C4">
              <w:rPr>
                <w:rFonts w:cstheme="minorHAnsi"/>
                <w:lang w:eastAsia="en-GB"/>
              </w:rPr>
              <w:t>354,053,854</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453C41" w14:textId="77777777" w:rsidR="002B31C4" w:rsidRPr="002B31C4" w:rsidRDefault="002B31C4" w:rsidP="002B31C4">
            <w:pPr>
              <w:jc w:val="right"/>
              <w:rPr>
                <w:rFonts w:cstheme="minorHAnsi"/>
                <w:lang w:eastAsia="en-GB"/>
              </w:rPr>
            </w:pPr>
            <w:r w:rsidRPr="002B31C4">
              <w:rPr>
                <w:rFonts w:cstheme="minorHAnsi"/>
                <w:lang w:eastAsia="en-GB"/>
              </w:rPr>
              <w:t>2,249,686</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2555BE" w14:textId="77777777" w:rsidR="002B31C4" w:rsidRPr="002B31C4" w:rsidRDefault="002B31C4" w:rsidP="002B31C4">
            <w:pPr>
              <w:jc w:val="right"/>
              <w:rPr>
                <w:rFonts w:cstheme="minorHAnsi"/>
                <w:lang w:eastAsia="en-GB"/>
              </w:rPr>
            </w:pPr>
            <w:r w:rsidRPr="002B31C4">
              <w:rPr>
                <w:rFonts w:cstheme="minorHAnsi"/>
                <w:lang w:eastAsia="en-GB"/>
              </w:rPr>
              <w:t>99,062</w:t>
            </w:r>
          </w:p>
        </w:tc>
      </w:tr>
      <w:tr w:rsidR="002B31C4" w:rsidRPr="002B31C4" w14:paraId="0AB9ABEE" w14:textId="77777777" w:rsidTr="002B31C4">
        <w:trPr>
          <w:trHeight w:val="255"/>
        </w:trPr>
        <w:tc>
          <w:tcPr>
            <w:tcW w:w="1160" w:type="dxa"/>
            <w:tcBorders>
              <w:top w:val="nil"/>
              <w:left w:val="single" w:sz="8" w:space="0" w:color="auto"/>
              <w:bottom w:val="single" w:sz="8" w:space="0" w:color="auto"/>
              <w:right w:val="single" w:sz="8" w:space="0" w:color="auto"/>
            </w:tcBorders>
          </w:tcPr>
          <w:p w14:paraId="29D294F6" w14:textId="184780C4" w:rsidR="002B31C4" w:rsidRPr="002B31C4" w:rsidRDefault="002B31C4" w:rsidP="002B31C4">
            <w:pPr>
              <w:rPr>
                <w:rFonts w:cstheme="minorHAnsi"/>
                <w:lang w:eastAsia="en-GB"/>
              </w:rPr>
            </w:pPr>
            <w:r w:rsidRPr="002B31C4">
              <w:rPr>
                <w:rFonts w:cstheme="minorHAnsi"/>
              </w:rPr>
              <w:t>2 (d)</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EA977C4" w14:textId="0A23AA82" w:rsidR="002B31C4" w:rsidRPr="002B31C4" w:rsidRDefault="002B31C4" w:rsidP="002B31C4">
            <w:pPr>
              <w:jc w:val="left"/>
              <w:rPr>
                <w:rFonts w:cstheme="minorHAnsi"/>
                <w:lang w:eastAsia="en-GB"/>
              </w:rPr>
            </w:pPr>
            <w:r w:rsidRPr="002B31C4">
              <w:rPr>
                <w:rFonts w:cstheme="minorHAnsi"/>
              </w:rPr>
              <w:t>To re-elect Mark Kenney as a Director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644644" w14:textId="77777777" w:rsidR="002B31C4" w:rsidRPr="002B31C4" w:rsidRDefault="002B31C4" w:rsidP="002B31C4">
            <w:pPr>
              <w:jc w:val="right"/>
              <w:rPr>
                <w:rFonts w:cstheme="minorHAnsi"/>
                <w:lang w:eastAsia="en-GB"/>
              </w:rPr>
            </w:pPr>
            <w:r w:rsidRPr="002B31C4">
              <w:rPr>
                <w:rFonts w:cstheme="minorHAnsi"/>
                <w:lang w:eastAsia="en-GB"/>
              </w:rPr>
              <w:t>347,071,621</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E84AB0" w14:textId="77777777" w:rsidR="002B31C4" w:rsidRPr="002B31C4" w:rsidRDefault="002B31C4" w:rsidP="002B31C4">
            <w:pPr>
              <w:jc w:val="right"/>
              <w:rPr>
                <w:rFonts w:cstheme="minorHAnsi"/>
                <w:lang w:eastAsia="en-GB"/>
              </w:rPr>
            </w:pPr>
            <w:r w:rsidRPr="002B31C4">
              <w:rPr>
                <w:rFonts w:cstheme="minorHAnsi"/>
                <w:lang w:eastAsia="en-GB"/>
              </w:rPr>
              <w:t>9,231,919</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860D51" w14:textId="77777777" w:rsidR="002B31C4" w:rsidRPr="002B31C4" w:rsidRDefault="002B31C4" w:rsidP="002B31C4">
            <w:pPr>
              <w:jc w:val="right"/>
              <w:rPr>
                <w:rFonts w:cstheme="minorHAnsi"/>
                <w:lang w:eastAsia="en-GB"/>
              </w:rPr>
            </w:pPr>
            <w:r w:rsidRPr="002B31C4">
              <w:rPr>
                <w:rFonts w:cstheme="minorHAnsi"/>
                <w:lang w:eastAsia="en-GB"/>
              </w:rPr>
              <w:t>99,062</w:t>
            </w:r>
          </w:p>
        </w:tc>
      </w:tr>
      <w:tr w:rsidR="002B31C4" w:rsidRPr="002B31C4" w14:paraId="24317F93" w14:textId="77777777" w:rsidTr="002B31C4">
        <w:trPr>
          <w:trHeight w:val="255"/>
        </w:trPr>
        <w:tc>
          <w:tcPr>
            <w:tcW w:w="1160" w:type="dxa"/>
            <w:tcBorders>
              <w:top w:val="nil"/>
              <w:left w:val="single" w:sz="8" w:space="0" w:color="auto"/>
              <w:bottom w:val="single" w:sz="8" w:space="0" w:color="auto"/>
              <w:right w:val="single" w:sz="8" w:space="0" w:color="auto"/>
            </w:tcBorders>
          </w:tcPr>
          <w:p w14:paraId="1005723A" w14:textId="155105C3" w:rsidR="002B31C4" w:rsidRPr="002B31C4" w:rsidRDefault="002B31C4" w:rsidP="002B31C4">
            <w:pPr>
              <w:rPr>
                <w:rFonts w:cstheme="minorHAnsi"/>
                <w:lang w:eastAsia="en-GB"/>
              </w:rPr>
            </w:pPr>
            <w:r w:rsidRPr="002B31C4">
              <w:rPr>
                <w:rFonts w:cstheme="minorHAnsi"/>
              </w:rPr>
              <w:t>2 (e)</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BFBC75A" w14:textId="6056B6B8" w:rsidR="002B31C4" w:rsidRPr="002B31C4" w:rsidRDefault="002B31C4" w:rsidP="002B31C4">
            <w:pPr>
              <w:jc w:val="left"/>
              <w:rPr>
                <w:rFonts w:cstheme="minorHAnsi"/>
                <w:lang w:eastAsia="en-GB"/>
              </w:rPr>
            </w:pPr>
            <w:r w:rsidRPr="002B31C4">
              <w:rPr>
                <w:rFonts w:cstheme="minorHAnsi"/>
              </w:rPr>
              <w:t>To re-elect Declan Moylan as a Director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1BAEF2" w14:textId="77777777" w:rsidR="002B31C4" w:rsidRPr="002B31C4" w:rsidRDefault="002B31C4" w:rsidP="002B31C4">
            <w:pPr>
              <w:jc w:val="right"/>
              <w:rPr>
                <w:rFonts w:cstheme="minorHAnsi"/>
                <w:lang w:eastAsia="en-GB"/>
              </w:rPr>
            </w:pPr>
            <w:r w:rsidRPr="002B31C4">
              <w:rPr>
                <w:rFonts w:cstheme="minorHAnsi"/>
                <w:lang w:eastAsia="en-GB"/>
              </w:rPr>
              <w:t>344,145,014</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135F4B" w14:textId="77777777" w:rsidR="002B31C4" w:rsidRPr="002B31C4" w:rsidRDefault="002B31C4" w:rsidP="002B31C4">
            <w:pPr>
              <w:jc w:val="right"/>
              <w:rPr>
                <w:rFonts w:cstheme="minorHAnsi"/>
                <w:lang w:eastAsia="en-GB"/>
              </w:rPr>
            </w:pPr>
            <w:r w:rsidRPr="002B31C4">
              <w:rPr>
                <w:rFonts w:cstheme="minorHAnsi"/>
                <w:lang w:eastAsia="en-GB"/>
              </w:rPr>
              <w:t>12,158,526</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3B90DE" w14:textId="77777777" w:rsidR="002B31C4" w:rsidRPr="002B31C4" w:rsidRDefault="002B31C4" w:rsidP="002B31C4">
            <w:pPr>
              <w:jc w:val="right"/>
              <w:rPr>
                <w:rFonts w:cstheme="minorHAnsi"/>
                <w:lang w:eastAsia="en-GB"/>
              </w:rPr>
            </w:pPr>
            <w:r w:rsidRPr="002B31C4">
              <w:rPr>
                <w:rFonts w:cstheme="minorHAnsi"/>
                <w:lang w:eastAsia="en-GB"/>
              </w:rPr>
              <w:t>99,062</w:t>
            </w:r>
          </w:p>
        </w:tc>
      </w:tr>
      <w:tr w:rsidR="002B31C4" w:rsidRPr="002B31C4" w14:paraId="7FD885AA" w14:textId="77777777" w:rsidTr="002B31C4">
        <w:trPr>
          <w:trHeight w:val="255"/>
        </w:trPr>
        <w:tc>
          <w:tcPr>
            <w:tcW w:w="1160" w:type="dxa"/>
            <w:tcBorders>
              <w:top w:val="nil"/>
              <w:left w:val="single" w:sz="8" w:space="0" w:color="auto"/>
              <w:bottom w:val="single" w:sz="8" w:space="0" w:color="auto"/>
              <w:right w:val="single" w:sz="8" w:space="0" w:color="auto"/>
            </w:tcBorders>
          </w:tcPr>
          <w:p w14:paraId="19F7E599" w14:textId="79ACA97A" w:rsidR="002B31C4" w:rsidRPr="002B31C4" w:rsidRDefault="002B31C4" w:rsidP="002B31C4">
            <w:pPr>
              <w:rPr>
                <w:rFonts w:cstheme="minorHAnsi"/>
                <w:lang w:eastAsia="en-GB"/>
              </w:rPr>
            </w:pPr>
            <w:r w:rsidRPr="002B31C4">
              <w:rPr>
                <w:rFonts w:cstheme="minorHAnsi"/>
              </w:rPr>
              <w:t>2 (f)</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562FE517" w14:textId="6FEE9817" w:rsidR="002B31C4" w:rsidRPr="002B31C4" w:rsidRDefault="002B31C4" w:rsidP="002B31C4">
            <w:pPr>
              <w:jc w:val="left"/>
              <w:rPr>
                <w:rFonts w:cstheme="minorHAnsi"/>
                <w:lang w:eastAsia="en-GB"/>
              </w:rPr>
            </w:pPr>
            <w:r w:rsidRPr="002B31C4">
              <w:rPr>
                <w:rFonts w:cstheme="minorHAnsi"/>
              </w:rPr>
              <w:t xml:space="preserve">To re-elect Aidan </w:t>
            </w:r>
            <w:proofErr w:type="spellStart"/>
            <w:r w:rsidRPr="002B31C4">
              <w:rPr>
                <w:rFonts w:cstheme="minorHAnsi"/>
              </w:rPr>
              <w:t>O’Hogan</w:t>
            </w:r>
            <w:proofErr w:type="spellEnd"/>
            <w:r w:rsidRPr="002B31C4">
              <w:rPr>
                <w:rFonts w:cstheme="minorHAnsi"/>
              </w:rPr>
              <w:t xml:space="preserve"> as a Director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747A47" w14:textId="77777777" w:rsidR="002B31C4" w:rsidRPr="002B31C4" w:rsidRDefault="002B31C4" w:rsidP="002B31C4">
            <w:pPr>
              <w:jc w:val="right"/>
              <w:rPr>
                <w:rFonts w:cstheme="minorHAnsi"/>
                <w:lang w:eastAsia="en-GB"/>
              </w:rPr>
            </w:pPr>
            <w:r w:rsidRPr="002B31C4">
              <w:rPr>
                <w:rFonts w:cstheme="minorHAnsi"/>
                <w:lang w:eastAsia="en-GB"/>
              </w:rPr>
              <w:t>315,735,653</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839DE1" w14:textId="77777777" w:rsidR="002B31C4" w:rsidRPr="002B31C4" w:rsidRDefault="002B31C4" w:rsidP="002B31C4">
            <w:pPr>
              <w:jc w:val="right"/>
              <w:rPr>
                <w:rFonts w:cstheme="minorHAnsi"/>
                <w:lang w:eastAsia="en-GB"/>
              </w:rPr>
            </w:pPr>
            <w:r w:rsidRPr="002B31C4">
              <w:rPr>
                <w:rFonts w:cstheme="minorHAnsi"/>
                <w:lang w:eastAsia="en-GB"/>
              </w:rPr>
              <w:t>40,567,887</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4CA164" w14:textId="77777777" w:rsidR="002B31C4" w:rsidRPr="002B31C4" w:rsidRDefault="002B31C4" w:rsidP="002B31C4">
            <w:pPr>
              <w:jc w:val="right"/>
              <w:rPr>
                <w:rFonts w:cstheme="minorHAnsi"/>
                <w:lang w:eastAsia="en-GB"/>
              </w:rPr>
            </w:pPr>
            <w:r w:rsidRPr="002B31C4">
              <w:rPr>
                <w:rFonts w:cstheme="minorHAnsi"/>
                <w:lang w:eastAsia="en-GB"/>
              </w:rPr>
              <w:t>99,062</w:t>
            </w:r>
          </w:p>
        </w:tc>
      </w:tr>
      <w:tr w:rsidR="002B31C4" w:rsidRPr="002B31C4" w14:paraId="408619F9" w14:textId="77777777" w:rsidTr="002B31C4">
        <w:trPr>
          <w:trHeight w:val="255"/>
        </w:trPr>
        <w:tc>
          <w:tcPr>
            <w:tcW w:w="1160" w:type="dxa"/>
            <w:tcBorders>
              <w:top w:val="nil"/>
              <w:left w:val="single" w:sz="8" w:space="0" w:color="auto"/>
              <w:bottom w:val="single" w:sz="8" w:space="0" w:color="auto"/>
              <w:right w:val="single" w:sz="8" w:space="0" w:color="auto"/>
            </w:tcBorders>
          </w:tcPr>
          <w:p w14:paraId="308CD334" w14:textId="2F4DA46A" w:rsidR="002B31C4" w:rsidRPr="002B31C4" w:rsidRDefault="002B31C4" w:rsidP="002B31C4">
            <w:pPr>
              <w:rPr>
                <w:rFonts w:cstheme="minorHAnsi"/>
                <w:lang w:eastAsia="en-GB"/>
              </w:rPr>
            </w:pPr>
            <w:r w:rsidRPr="002B31C4">
              <w:rPr>
                <w:rFonts w:cstheme="minorHAnsi"/>
              </w:rPr>
              <w:t>2 (g)</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58F42E4" w14:textId="50A94C4D" w:rsidR="002B31C4" w:rsidRPr="002B31C4" w:rsidRDefault="002B31C4" w:rsidP="002B31C4">
            <w:pPr>
              <w:jc w:val="left"/>
              <w:rPr>
                <w:rFonts w:cstheme="minorHAnsi"/>
                <w:lang w:eastAsia="en-GB"/>
              </w:rPr>
            </w:pPr>
            <w:r w:rsidRPr="002B31C4">
              <w:rPr>
                <w:rFonts w:cstheme="minorHAnsi"/>
              </w:rPr>
              <w:t>To re-elect Margaret Sweeney as a Director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05E5DF" w14:textId="77777777" w:rsidR="002B31C4" w:rsidRPr="002B31C4" w:rsidRDefault="002B31C4" w:rsidP="002B31C4">
            <w:pPr>
              <w:jc w:val="right"/>
              <w:rPr>
                <w:rFonts w:cstheme="minorHAnsi"/>
                <w:lang w:eastAsia="en-GB"/>
              </w:rPr>
            </w:pPr>
            <w:r w:rsidRPr="002B31C4">
              <w:rPr>
                <w:rFonts w:cstheme="minorHAnsi"/>
                <w:lang w:eastAsia="en-GB"/>
              </w:rPr>
              <w:t>353,661,401</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504299" w14:textId="77777777" w:rsidR="002B31C4" w:rsidRPr="002B31C4" w:rsidRDefault="002B31C4" w:rsidP="002B31C4">
            <w:pPr>
              <w:jc w:val="right"/>
              <w:rPr>
                <w:rFonts w:cstheme="minorHAnsi"/>
                <w:lang w:eastAsia="en-GB"/>
              </w:rPr>
            </w:pPr>
            <w:r w:rsidRPr="002B31C4">
              <w:rPr>
                <w:rFonts w:cstheme="minorHAnsi"/>
                <w:lang w:eastAsia="en-GB"/>
              </w:rPr>
              <w:t>2,642,139</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17D654" w14:textId="77777777" w:rsidR="002B31C4" w:rsidRPr="002B31C4" w:rsidRDefault="002B31C4" w:rsidP="002B31C4">
            <w:pPr>
              <w:jc w:val="right"/>
              <w:rPr>
                <w:rFonts w:cstheme="minorHAnsi"/>
                <w:lang w:eastAsia="en-GB"/>
              </w:rPr>
            </w:pPr>
            <w:r w:rsidRPr="002B31C4">
              <w:rPr>
                <w:rFonts w:cstheme="minorHAnsi"/>
                <w:lang w:eastAsia="en-GB"/>
              </w:rPr>
              <w:t>99,062</w:t>
            </w:r>
          </w:p>
        </w:tc>
      </w:tr>
      <w:tr w:rsidR="002B31C4" w:rsidRPr="002B31C4" w14:paraId="551EA552" w14:textId="77777777" w:rsidTr="002B31C4">
        <w:trPr>
          <w:trHeight w:val="255"/>
        </w:trPr>
        <w:tc>
          <w:tcPr>
            <w:tcW w:w="1160" w:type="dxa"/>
            <w:tcBorders>
              <w:top w:val="nil"/>
              <w:left w:val="single" w:sz="8" w:space="0" w:color="auto"/>
              <w:bottom w:val="single" w:sz="8" w:space="0" w:color="auto"/>
              <w:right w:val="single" w:sz="8" w:space="0" w:color="auto"/>
            </w:tcBorders>
          </w:tcPr>
          <w:p w14:paraId="739F4DE7" w14:textId="09E0FEFE" w:rsidR="002B31C4" w:rsidRPr="002B31C4" w:rsidRDefault="002B31C4" w:rsidP="002B31C4">
            <w:pPr>
              <w:rPr>
                <w:rFonts w:cstheme="minorHAnsi"/>
                <w:lang w:eastAsia="en-GB"/>
              </w:rPr>
            </w:pPr>
            <w:r w:rsidRPr="002B31C4">
              <w:rPr>
                <w:rFonts w:cstheme="minorHAnsi"/>
              </w:rPr>
              <w:t>3</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17C9F10" w14:textId="17A301A9" w:rsidR="002B31C4" w:rsidRPr="002B31C4" w:rsidRDefault="002B31C4" w:rsidP="002B31C4">
            <w:pPr>
              <w:jc w:val="left"/>
              <w:rPr>
                <w:rFonts w:cstheme="minorHAnsi"/>
                <w:lang w:eastAsia="en-GB"/>
              </w:rPr>
            </w:pPr>
            <w:r w:rsidRPr="002B31C4">
              <w:rPr>
                <w:rFonts w:cstheme="minorHAnsi"/>
              </w:rPr>
              <w:t>Authority to call a general meeting on 14 clear days’ notice</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EF044C" w14:textId="77777777" w:rsidR="002B31C4" w:rsidRPr="002B31C4" w:rsidRDefault="002B31C4" w:rsidP="002B31C4">
            <w:pPr>
              <w:jc w:val="right"/>
              <w:rPr>
                <w:rFonts w:cstheme="minorHAnsi"/>
                <w:lang w:eastAsia="en-GB"/>
              </w:rPr>
            </w:pPr>
            <w:r w:rsidRPr="002B31C4">
              <w:rPr>
                <w:rFonts w:cstheme="minorHAnsi"/>
                <w:lang w:eastAsia="en-GB"/>
              </w:rPr>
              <w:t>319,448,907</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84CF7F" w14:textId="77777777" w:rsidR="002B31C4" w:rsidRPr="002B31C4" w:rsidRDefault="002B31C4" w:rsidP="002B31C4">
            <w:pPr>
              <w:jc w:val="right"/>
              <w:rPr>
                <w:rFonts w:cstheme="minorHAnsi"/>
                <w:lang w:eastAsia="en-GB"/>
              </w:rPr>
            </w:pPr>
            <w:r w:rsidRPr="002B31C4">
              <w:rPr>
                <w:rFonts w:cstheme="minorHAnsi"/>
                <w:lang w:eastAsia="en-GB"/>
              </w:rPr>
              <w:t>36,854,633</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190697" w14:textId="77777777" w:rsidR="002B31C4" w:rsidRPr="002B31C4" w:rsidRDefault="002B31C4" w:rsidP="002B31C4">
            <w:pPr>
              <w:jc w:val="right"/>
              <w:rPr>
                <w:rFonts w:cstheme="minorHAnsi"/>
                <w:lang w:eastAsia="en-GB"/>
              </w:rPr>
            </w:pPr>
            <w:r w:rsidRPr="002B31C4">
              <w:rPr>
                <w:rFonts w:cstheme="minorHAnsi"/>
                <w:lang w:eastAsia="en-GB"/>
              </w:rPr>
              <w:t>99,062</w:t>
            </w:r>
          </w:p>
        </w:tc>
      </w:tr>
      <w:tr w:rsidR="002B31C4" w:rsidRPr="002B31C4" w14:paraId="3EB65AAE" w14:textId="77777777" w:rsidTr="002B31C4">
        <w:trPr>
          <w:trHeight w:val="255"/>
        </w:trPr>
        <w:tc>
          <w:tcPr>
            <w:tcW w:w="1160" w:type="dxa"/>
            <w:tcBorders>
              <w:top w:val="nil"/>
              <w:left w:val="single" w:sz="8" w:space="0" w:color="auto"/>
              <w:bottom w:val="single" w:sz="8" w:space="0" w:color="auto"/>
              <w:right w:val="single" w:sz="8" w:space="0" w:color="auto"/>
            </w:tcBorders>
          </w:tcPr>
          <w:p w14:paraId="13B92C29" w14:textId="63836A63" w:rsidR="002B31C4" w:rsidRPr="002B31C4" w:rsidRDefault="002B31C4" w:rsidP="002B31C4">
            <w:pPr>
              <w:rPr>
                <w:rFonts w:cstheme="minorHAnsi"/>
                <w:lang w:eastAsia="en-GB"/>
              </w:rPr>
            </w:pPr>
            <w:r w:rsidRPr="002B31C4">
              <w:rPr>
                <w:rFonts w:cstheme="minorHAnsi"/>
              </w:rPr>
              <w:t>4</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1DFCD8D" w14:textId="4395486F" w:rsidR="002B31C4" w:rsidRPr="002B31C4" w:rsidRDefault="002B31C4" w:rsidP="002B31C4">
            <w:pPr>
              <w:jc w:val="left"/>
              <w:rPr>
                <w:rFonts w:cstheme="minorHAnsi"/>
                <w:lang w:eastAsia="en-GB"/>
              </w:rPr>
            </w:pPr>
            <w:r w:rsidRPr="002B31C4">
              <w:rPr>
                <w:rFonts w:cstheme="minorHAnsi"/>
              </w:rPr>
              <w:t xml:space="preserve">Authority to fix the remuneration of the Auditors in respect of the </w:t>
            </w:r>
            <w:r w:rsidRPr="002B31C4">
              <w:rPr>
                <w:rFonts w:cstheme="minorHAnsi"/>
              </w:rPr>
              <w:lastRenderedPageBreak/>
              <w:t>period expiring at the next Annual General Meeting of the Company</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DD7DF4" w14:textId="77777777" w:rsidR="002B31C4" w:rsidRPr="002B31C4" w:rsidRDefault="002B31C4" w:rsidP="002B31C4">
            <w:pPr>
              <w:jc w:val="right"/>
              <w:rPr>
                <w:rFonts w:cstheme="minorHAnsi"/>
                <w:lang w:eastAsia="en-GB"/>
              </w:rPr>
            </w:pPr>
            <w:r w:rsidRPr="002B31C4">
              <w:rPr>
                <w:rFonts w:cstheme="minorHAnsi"/>
                <w:lang w:eastAsia="en-GB"/>
              </w:rPr>
              <w:lastRenderedPageBreak/>
              <w:t>356,303,540</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35CA69" w14:textId="77777777" w:rsidR="002B31C4" w:rsidRPr="002B31C4" w:rsidRDefault="002B31C4" w:rsidP="002B31C4">
            <w:pPr>
              <w:jc w:val="right"/>
              <w:rPr>
                <w:rFonts w:cstheme="minorHAnsi"/>
                <w:lang w:eastAsia="en-GB"/>
              </w:rPr>
            </w:pPr>
            <w:r w:rsidRPr="002B31C4">
              <w:rPr>
                <w:rFonts w:cstheme="minorHAnsi"/>
                <w:lang w:eastAsia="en-GB"/>
              </w:rPr>
              <w:t>0</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A31701" w14:textId="77777777" w:rsidR="002B31C4" w:rsidRPr="002B31C4" w:rsidRDefault="002B31C4" w:rsidP="002B31C4">
            <w:pPr>
              <w:jc w:val="right"/>
              <w:rPr>
                <w:rFonts w:cstheme="minorHAnsi"/>
                <w:lang w:eastAsia="en-GB"/>
              </w:rPr>
            </w:pPr>
            <w:r w:rsidRPr="002B31C4">
              <w:rPr>
                <w:rFonts w:cstheme="minorHAnsi"/>
                <w:lang w:eastAsia="en-GB"/>
              </w:rPr>
              <w:t>99,062</w:t>
            </w:r>
          </w:p>
        </w:tc>
      </w:tr>
      <w:tr w:rsidR="002B31C4" w:rsidRPr="002B31C4" w14:paraId="70C78FA5" w14:textId="77777777" w:rsidTr="002B31C4">
        <w:trPr>
          <w:trHeight w:val="255"/>
        </w:trPr>
        <w:tc>
          <w:tcPr>
            <w:tcW w:w="1160" w:type="dxa"/>
            <w:tcBorders>
              <w:top w:val="nil"/>
              <w:left w:val="single" w:sz="8" w:space="0" w:color="auto"/>
              <w:bottom w:val="single" w:sz="8" w:space="0" w:color="auto"/>
              <w:right w:val="single" w:sz="8" w:space="0" w:color="auto"/>
            </w:tcBorders>
          </w:tcPr>
          <w:p w14:paraId="74C18C77" w14:textId="51089673" w:rsidR="002B31C4" w:rsidRPr="002B31C4" w:rsidRDefault="002B31C4" w:rsidP="002B31C4">
            <w:pPr>
              <w:rPr>
                <w:rFonts w:cstheme="minorHAnsi"/>
                <w:lang w:eastAsia="en-GB"/>
              </w:rPr>
            </w:pPr>
            <w:r w:rsidRPr="002B31C4">
              <w:rPr>
                <w:rFonts w:cstheme="minorHAnsi"/>
              </w:rPr>
              <w:t>5</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036A778" w14:textId="5180A898" w:rsidR="002B31C4" w:rsidRPr="002B31C4" w:rsidRDefault="002B31C4" w:rsidP="002B31C4">
            <w:pPr>
              <w:jc w:val="left"/>
              <w:rPr>
                <w:rFonts w:cstheme="minorHAnsi"/>
                <w:lang w:eastAsia="en-GB"/>
              </w:rPr>
            </w:pPr>
            <w:r w:rsidRPr="002B31C4">
              <w:rPr>
                <w:rFonts w:cstheme="minorHAnsi"/>
              </w:rPr>
              <w:t xml:space="preserve">To receive and consider the Remuneration Policy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C3725A" w14:textId="77777777" w:rsidR="002B31C4" w:rsidRPr="002B31C4" w:rsidRDefault="002B31C4" w:rsidP="002B31C4">
            <w:pPr>
              <w:jc w:val="right"/>
              <w:rPr>
                <w:rFonts w:cstheme="minorHAnsi"/>
                <w:lang w:eastAsia="en-GB"/>
              </w:rPr>
            </w:pPr>
            <w:r w:rsidRPr="002B31C4">
              <w:rPr>
                <w:rFonts w:cstheme="minorHAnsi"/>
                <w:lang w:eastAsia="en-GB"/>
              </w:rPr>
              <w:t>353,535,440</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068C4F" w14:textId="77777777" w:rsidR="002B31C4" w:rsidRPr="002B31C4" w:rsidRDefault="002B31C4" w:rsidP="002B31C4">
            <w:pPr>
              <w:jc w:val="right"/>
              <w:rPr>
                <w:rFonts w:cstheme="minorHAnsi"/>
                <w:lang w:eastAsia="en-GB"/>
              </w:rPr>
            </w:pPr>
            <w:r w:rsidRPr="002B31C4">
              <w:rPr>
                <w:rFonts w:cstheme="minorHAnsi"/>
                <w:lang w:eastAsia="en-GB"/>
              </w:rPr>
              <w:t>2,768,100</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419394" w14:textId="77777777" w:rsidR="002B31C4" w:rsidRPr="002B31C4" w:rsidRDefault="002B31C4" w:rsidP="002B31C4">
            <w:pPr>
              <w:jc w:val="right"/>
              <w:rPr>
                <w:rFonts w:cstheme="minorHAnsi"/>
                <w:lang w:eastAsia="en-GB"/>
              </w:rPr>
            </w:pPr>
            <w:r w:rsidRPr="002B31C4">
              <w:rPr>
                <w:rFonts w:cstheme="minorHAnsi"/>
                <w:lang w:eastAsia="en-GB"/>
              </w:rPr>
              <w:t>99,062</w:t>
            </w:r>
          </w:p>
        </w:tc>
      </w:tr>
      <w:tr w:rsidR="002B31C4" w:rsidRPr="002B31C4" w14:paraId="411480D0" w14:textId="77777777" w:rsidTr="002B31C4">
        <w:trPr>
          <w:trHeight w:val="255"/>
        </w:trPr>
        <w:tc>
          <w:tcPr>
            <w:tcW w:w="1160" w:type="dxa"/>
            <w:tcBorders>
              <w:top w:val="nil"/>
              <w:left w:val="single" w:sz="8" w:space="0" w:color="auto"/>
              <w:bottom w:val="single" w:sz="8" w:space="0" w:color="auto"/>
              <w:right w:val="single" w:sz="8" w:space="0" w:color="auto"/>
            </w:tcBorders>
          </w:tcPr>
          <w:p w14:paraId="32DEA8F3" w14:textId="4FD0C1DC" w:rsidR="002B31C4" w:rsidRPr="002B31C4" w:rsidRDefault="002B31C4" w:rsidP="002B31C4">
            <w:pPr>
              <w:rPr>
                <w:rFonts w:cstheme="minorHAnsi"/>
                <w:lang w:eastAsia="en-GB"/>
              </w:rPr>
            </w:pPr>
            <w:r w:rsidRPr="002B31C4">
              <w:rPr>
                <w:rFonts w:cstheme="minorHAnsi"/>
              </w:rPr>
              <w:t xml:space="preserve">6 </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3043D6F" w14:textId="16A9EB51" w:rsidR="002B31C4" w:rsidRPr="002B31C4" w:rsidRDefault="002B31C4" w:rsidP="002B31C4">
            <w:pPr>
              <w:jc w:val="left"/>
              <w:rPr>
                <w:rFonts w:cstheme="minorHAnsi"/>
                <w:lang w:eastAsia="en-GB"/>
              </w:rPr>
            </w:pPr>
            <w:r w:rsidRPr="002B31C4">
              <w:rPr>
                <w:rFonts w:cstheme="minorHAnsi"/>
              </w:rPr>
              <w:t>Authority to allot relevant securities up to specified limits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B585EA" w14:textId="77777777" w:rsidR="002B31C4" w:rsidRPr="002B31C4" w:rsidRDefault="002B31C4" w:rsidP="002B31C4">
            <w:pPr>
              <w:jc w:val="right"/>
              <w:rPr>
                <w:rFonts w:cstheme="minorHAnsi"/>
                <w:lang w:eastAsia="en-GB"/>
              </w:rPr>
            </w:pPr>
            <w:r w:rsidRPr="002B31C4">
              <w:rPr>
                <w:rFonts w:cstheme="minorHAnsi"/>
                <w:lang w:eastAsia="en-GB"/>
              </w:rPr>
              <w:t>330,009,910</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DF63DB" w14:textId="77777777" w:rsidR="002B31C4" w:rsidRPr="002B31C4" w:rsidRDefault="002B31C4" w:rsidP="002B31C4">
            <w:pPr>
              <w:jc w:val="right"/>
              <w:rPr>
                <w:rFonts w:cstheme="minorHAnsi"/>
                <w:lang w:eastAsia="en-GB"/>
              </w:rPr>
            </w:pPr>
            <w:r w:rsidRPr="002B31C4">
              <w:rPr>
                <w:rFonts w:cstheme="minorHAnsi"/>
                <w:lang w:eastAsia="en-GB"/>
              </w:rPr>
              <w:t>26,293,630</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06C084" w14:textId="77777777" w:rsidR="002B31C4" w:rsidRPr="002B31C4" w:rsidRDefault="002B31C4" w:rsidP="002B31C4">
            <w:pPr>
              <w:jc w:val="right"/>
              <w:rPr>
                <w:rFonts w:cstheme="minorHAnsi"/>
                <w:lang w:eastAsia="en-GB"/>
              </w:rPr>
            </w:pPr>
            <w:r w:rsidRPr="002B31C4">
              <w:rPr>
                <w:rFonts w:cstheme="minorHAnsi"/>
                <w:lang w:eastAsia="en-GB"/>
              </w:rPr>
              <w:t>99,062</w:t>
            </w:r>
          </w:p>
        </w:tc>
      </w:tr>
      <w:tr w:rsidR="002B31C4" w:rsidRPr="002B31C4" w14:paraId="7CB187EB" w14:textId="77777777" w:rsidTr="002B31C4">
        <w:trPr>
          <w:trHeight w:val="255"/>
        </w:trPr>
        <w:tc>
          <w:tcPr>
            <w:tcW w:w="1160" w:type="dxa"/>
            <w:tcBorders>
              <w:top w:val="nil"/>
              <w:left w:val="single" w:sz="8" w:space="0" w:color="auto"/>
              <w:bottom w:val="single" w:sz="8" w:space="0" w:color="auto"/>
              <w:right w:val="single" w:sz="8" w:space="0" w:color="auto"/>
            </w:tcBorders>
          </w:tcPr>
          <w:p w14:paraId="4A9E84F4" w14:textId="0FB54677" w:rsidR="002B31C4" w:rsidRPr="002B31C4" w:rsidRDefault="002B31C4" w:rsidP="002B31C4">
            <w:pPr>
              <w:rPr>
                <w:rFonts w:cstheme="minorHAnsi"/>
                <w:lang w:eastAsia="en-GB"/>
              </w:rPr>
            </w:pPr>
            <w:r w:rsidRPr="002B31C4">
              <w:rPr>
                <w:rFonts w:cstheme="minorHAnsi"/>
              </w:rPr>
              <w:t>7(a)</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E5F52DE" w14:textId="385CF402" w:rsidR="002B31C4" w:rsidRPr="002B31C4" w:rsidRDefault="002B31C4" w:rsidP="002B31C4">
            <w:pPr>
              <w:jc w:val="left"/>
              <w:rPr>
                <w:rFonts w:cstheme="minorHAnsi"/>
                <w:lang w:eastAsia="en-GB"/>
              </w:rPr>
            </w:pPr>
            <w:r w:rsidRPr="002B31C4">
              <w:rPr>
                <w:rFonts w:cstheme="minorHAnsi"/>
              </w:rPr>
              <w:t>Authority to disapply pre-emption rights in specified circumstances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FADA66" w14:textId="77777777" w:rsidR="002B31C4" w:rsidRPr="002B31C4" w:rsidRDefault="002B31C4" w:rsidP="002B31C4">
            <w:pPr>
              <w:jc w:val="right"/>
              <w:rPr>
                <w:rFonts w:cstheme="minorHAnsi"/>
                <w:lang w:eastAsia="en-GB"/>
              </w:rPr>
            </w:pPr>
            <w:r w:rsidRPr="002B31C4">
              <w:rPr>
                <w:rFonts w:cstheme="minorHAnsi"/>
                <w:lang w:eastAsia="en-GB"/>
              </w:rPr>
              <w:t>319,841,063</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996D65" w14:textId="77777777" w:rsidR="002B31C4" w:rsidRPr="002B31C4" w:rsidRDefault="002B31C4" w:rsidP="002B31C4">
            <w:pPr>
              <w:jc w:val="right"/>
              <w:rPr>
                <w:rFonts w:cstheme="minorHAnsi"/>
                <w:lang w:eastAsia="en-GB"/>
              </w:rPr>
            </w:pPr>
            <w:r w:rsidRPr="002B31C4">
              <w:rPr>
                <w:rFonts w:cstheme="minorHAnsi"/>
                <w:lang w:eastAsia="en-GB"/>
              </w:rPr>
              <w:t>36,462,477</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069C93" w14:textId="77777777" w:rsidR="002B31C4" w:rsidRPr="002B31C4" w:rsidRDefault="002B31C4" w:rsidP="002B31C4">
            <w:pPr>
              <w:jc w:val="right"/>
              <w:rPr>
                <w:rFonts w:cstheme="minorHAnsi"/>
                <w:lang w:eastAsia="en-GB"/>
              </w:rPr>
            </w:pPr>
            <w:r w:rsidRPr="002B31C4">
              <w:rPr>
                <w:rFonts w:cstheme="minorHAnsi"/>
                <w:lang w:eastAsia="en-GB"/>
              </w:rPr>
              <w:t>99,062</w:t>
            </w:r>
          </w:p>
        </w:tc>
      </w:tr>
      <w:tr w:rsidR="002B31C4" w:rsidRPr="002B31C4" w14:paraId="4901BFB4" w14:textId="77777777" w:rsidTr="002B31C4">
        <w:trPr>
          <w:trHeight w:val="255"/>
        </w:trPr>
        <w:tc>
          <w:tcPr>
            <w:tcW w:w="1160" w:type="dxa"/>
            <w:tcBorders>
              <w:top w:val="nil"/>
              <w:left w:val="single" w:sz="8" w:space="0" w:color="auto"/>
              <w:bottom w:val="single" w:sz="8" w:space="0" w:color="auto"/>
              <w:right w:val="single" w:sz="8" w:space="0" w:color="auto"/>
            </w:tcBorders>
          </w:tcPr>
          <w:p w14:paraId="41B83E61" w14:textId="6109D414" w:rsidR="002B31C4" w:rsidRPr="002B31C4" w:rsidRDefault="002B31C4" w:rsidP="002B31C4">
            <w:pPr>
              <w:rPr>
                <w:rFonts w:cstheme="minorHAnsi"/>
                <w:lang w:eastAsia="en-GB"/>
              </w:rPr>
            </w:pPr>
            <w:r w:rsidRPr="002B31C4">
              <w:rPr>
                <w:rFonts w:cstheme="minorHAnsi"/>
              </w:rPr>
              <w:t>7(b)</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543DDA64" w14:textId="5119FDEC" w:rsidR="002B31C4" w:rsidRPr="002B31C4" w:rsidRDefault="002B31C4" w:rsidP="002B31C4">
            <w:pPr>
              <w:jc w:val="left"/>
              <w:rPr>
                <w:rFonts w:cstheme="minorHAnsi"/>
                <w:lang w:eastAsia="en-GB"/>
              </w:rPr>
            </w:pPr>
            <w:r w:rsidRPr="002B31C4">
              <w:rPr>
                <w:rFonts w:cstheme="minorHAnsi"/>
              </w:rPr>
              <w:t>Additional authority to disapply pre-emption rights for an acquisition or other specified capital investment</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F00F49" w14:textId="77777777" w:rsidR="002B31C4" w:rsidRPr="002B31C4" w:rsidRDefault="002B31C4" w:rsidP="002B31C4">
            <w:pPr>
              <w:jc w:val="right"/>
              <w:rPr>
                <w:rFonts w:cstheme="minorHAnsi"/>
                <w:lang w:eastAsia="en-GB"/>
              </w:rPr>
            </w:pPr>
            <w:r w:rsidRPr="002B31C4">
              <w:rPr>
                <w:rFonts w:cstheme="minorHAnsi"/>
                <w:lang w:eastAsia="en-GB"/>
              </w:rPr>
              <w:t>317,846,310</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873F03" w14:textId="77777777" w:rsidR="002B31C4" w:rsidRPr="002B31C4" w:rsidRDefault="002B31C4" w:rsidP="002B31C4">
            <w:pPr>
              <w:jc w:val="right"/>
              <w:rPr>
                <w:rFonts w:cstheme="minorHAnsi"/>
                <w:lang w:eastAsia="en-GB"/>
              </w:rPr>
            </w:pPr>
            <w:r w:rsidRPr="002B31C4">
              <w:rPr>
                <w:rFonts w:cstheme="minorHAnsi"/>
                <w:lang w:eastAsia="en-GB"/>
              </w:rPr>
              <w:t>38,457,230</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89013F" w14:textId="77777777" w:rsidR="002B31C4" w:rsidRPr="002B31C4" w:rsidRDefault="002B31C4" w:rsidP="002B31C4">
            <w:pPr>
              <w:jc w:val="right"/>
              <w:rPr>
                <w:rFonts w:cstheme="minorHAnsi"/>
                <w:lang w:eastAsia="en-GB"/>
              </w:rPr>
            </w:pPr>
            <w:r w:rsidRPr="002B31C4">
              <w:rPr>
                <w:rFonts w:cstheme="minorHAnsi"/>
                <w:lang w:eastAsia="en-GB"/>
              </w:rPr>
              <w:t>99,062</w:t>
            </w:r>
          </w:p>
        </w:tc>
      </w:tr>
      <w:tr w:rsidR="002B31C4" w:rsidRPr="002B31C4" w14:paraId="5AD5BAFC" w14:textId="77777777" w:rsidTr="002B31C4">
        <w:trPr>
          <w:trHeight w:val="255"/>
        </w:trPr>
        <w:tc>
          <w:tcPr>
            <w:tcW w:w="1160" w:type="dxa"/>
            <w:tcBorders>
              <w:top w:val="nil"/>
              <w:left w:val="single" w:sz="8" w:space="0" w:color="auto"/>
              <w:bottom w:val="single" w:sz="8" w:space="0" w:color="auto"/>
              <w:right w:val="single" w:sz="8" w:space="0" w:color="auto"/>
            </w:tcBorders>
          </w:tcPr>
          <w:p w14:paraId="632432DB" w14:textId="6D2F2DD5" w:rsidR="002B31C4" w:rsidRPr="002B31C4" w:rsidRDefault="002B31C4" w:rsidP="002B31C4">
            <w:pPr>
              <w:rPr>
                <w:rFonts w:cstheme="minorHAnsi"/>
                <w:lang w:eastAsia="en-GB"/>
              </w:rPr>
            </w:pPr>
            <w:r w:rsidRPr="002B31C4">
              <w:rPr>
                <w:rFonts w:cstheme="minorHAnsi"/>
              </w:rPr>
              <w:t>8</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EBFECEC" w14:textId="45FE422F" w:rsidR="002B31C4" w:rsidRPr="002B31C4" w:rsidRDefault="002B31C4" w:rsidP="002B31C4">
            <w:pPr>
              <w:jc w:val="left"/>
              <w:rPr>
                <w:rFonts w:cstheme="minorHAnsi"/>
                <w:lang w:eastAsia="en-GB"/>
              </w:rPr>
            </w:pPr>
            <w:r w:rsidRPr="002B31C4">
              <w:rPr>
                <w:rFonts w:cstheme="minorHAnsi"/>
              </w:rPr>
              <w:t>Authority to make market purchases of the Company’s own shares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F1131F" w14:textId="77777777" w:rsidR="002B31C4" w:rsidRPr="002B31C4" w:rsidRDefault="002B31C4" w:rsidP="002B31C4">
            <w:pPr>
              <w:jc w:val="right"/>
              <w:rPr>
                <w:rFonts w:cstheme="minorHAnsi"/>
                <w:lang w:eastAsia="en-GB"/>
              </w:rPr>
            </w:pPr>
            <w:r w:rsidRPr="002B31C4">
              <w:rPr>
                <w:rFonts w:cstheme="minorHAnsi"/>
                <w:lang w:eastAsia="en-GB"/>
              </w:rPr>
              <w:t>354,505,980</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7749A0" w14:textId="77777777" w:rsidR="002B31C4" w:rsidRPr="002B31C4" w:rsidRDefault="002B31C4" w:rsidP="002B31C4">
            <w:pPr>
              <w:jc w:val="right"/>
              <w:rPr>
                <w:rFonts w:cstheme="minorHAnsi"/>
                <w:lang w:eastAsia="en-GB"/>
              </w:rPr>
            </w:pPr>
            <w:r w:rsidRPr="002B31C4">
              <w:rPr>
                <w:rFonts w:cstheme="minorHAnsi"/>
                <w:lang w:eastAsia="en-GB"/>
              </w:rPr>
              <w:t>1,733,265</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507642" w14:textId="77777777" w:rsidR="002B31C4" w:rsidRPr="002B31C4" w:rsidRDefault="002B31C4" w:rsidP="002B31C4">
            <w:pPr>
              <w:jc w:val="right"/>
              <w:rPr>
                <w:rFonts w:cstheme="minorHAnsi"/>
                <w:lang w:eastAsia="en-GB"/>
              </w:rPr>
            </w:pPr>
            <w:r w:rsidRPr="002B31C4">
              <w:rPr>
                <w:rFonts w:cstheme="minorHAnsi"/>
                <w:lang w:eastAsia="en-GB"/>
              </w:rPr>
              <w:t>163,357</w:t>
            </w:r>
          </w:p>
        </w:tc>
      </w:tr>
      <w:tr w:rsidR="002B31C4" w:rsidRPr="002B31C4" w14:paraId="1A965010" w14:textId="77777777" w:rsidTr="002B31C4">
        <w:trPr>
          <w:trHeight w:val="255"/>
        </w:trPr>
        <w:tc>
          <w:tcPr>
            <w:tcW w:w="1160" w:type="dxa"/>
            <w:tcBorders>
              <w:top w:val="nil"/>
              <w:left w:val="single" w:sz="8" w:space="0" w:color="auto"/>
              <w:bottom w:val="single" w:sz="8" w:space="0" w:color="auto"/>
              <w:right w:val="single" w:sz="8" w:space="0" w:color="auto"/>
            </w:tcBorders>
          </w:tcPr>
          <w:p w14:paraId="54733CCC" w14:textId="463DDE04" w:rsidR="002B31C4" w:rsidRPr="002B31C4" w:rsidRDefault="002B31C4" w:rsidP="002B31C4">
            <w:pPr>
              <w:rPr>
                <w:rFonts w:cstheme="minorHAnsi"/>
                <w:lang w:eastAsia="en-GB"/>
              </w:rPr>
            </w:pPr>
            <w:r w:rsidRPr="002B31C4">
              <w:rPr>
                <w:rFonts w:cstheme="minorHAnsi"/>
              </w:rPr>
              <w:t>9</w:t>
            </w:r>
          </w:p>
        </w:tc>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3F0437C" w14:textId="4E7B0A3B" w:rsidR="002B31C4" w:rsidRPr="002B31C4" w:rsidRDefault="002B31C4" w:rsidP="002B31C4">
            <w:pPr>
              <w:jc w:val="left"/>
              <w:rPr>
                <w:rFonts w:cstheme="minorHAnsi"/>
                <w:lang w:eastAsia="en-GB"/>
              </w:rPr>
            </w:pPr>
            <w:r w:rsidRPr="002B31C4">
              <w:rPr>
                <w:rFonts w:cstheme="minorHAnsi"/>
              </w:rPr>
              <w:t>Authority to re-allot treasury shares at a specified price range</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59E309" w14:textId="77777777" w:rsidR="002B31C4" w:rsidRPr="002B31C4" w:rsidRDefault="002B31C4" w:rsidP="002B31C4">
            <w:pPr>
              <w:jc w:val="right"/>
              <w:rPr>
                <w:rFonts w:cstheme="minorHAnsi"/>
                <w:lang w:eastAsia="en-GB"/>
              </w:rPr>
            </w:pPr>
            <w:r w:rsidRPr="002B31C4">
              <w:rPr>
                <w:rFonts w:cstheme="minorHAnsi"/>
                <w:lang w:eastAsia="en-GB"/>
              </w:rPr>
              <w:t>356,239,245</w:t>
            </w: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6794D3" w14:textId="77777777" w:rsidR="002B31C4" w:rsidRPr="002B31C4" w:rsidRDefault="002B31C4" w:rsidP="002B31C4">
            <w:pPr>
              <w:jc w:val="right"/>
              <w:rPr>
                <w:rFonts w:cstheme="minorHAnsi"/>
                <w:lang w:eastAsia="en-GB"/>
              </w:rPr>
            </w:pPr>
            <w:r w:rsidRPr="002B31C4">
              <w:rPr>
                <w:rFonts w:cstheme="minorHAnsi"/>
                <w:lang w:eastAsia="en-GB"/>
              </w:rPr>
              <w:t>64,295</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C56A92" w14:textId="77777777" w:rsidR="002B31C4" w:rsidRPr="002B31C4" w:rsidRDefault="002B31C4" w:rsidP="002B31C4">
            <w:pPr>
              <w:jc w:val="right"/>
              <w:rPr>
                <w:rFonts w:cstheme="minorHAnsi"/>
                <w:lang w:eastAsia="en-GB"/>
              </w:rPr>
            </w:pPr>
            <w:r w:rsidRPr="002B31C4">
              <w:rPr>
                <w:rFonts w:cstheme="minorHAnsi"/>
                <w:lang w:eastAsia="en-GB"/>
              </w:rPr>
              <w:t>99,062</w:t>
            </w:r>
          </w:p>
        </w:tc>
      </w:tr>
    </w:tbl>
    <w:p w14:paraId="1A428EDE" w14:textId="77777777" w:rsidR="002B31C4" w:rsidRDefault="002B31C4" w:rsidP="002B31C4">
      <w:pPr>
        <w:rPr>
          <w:rFonts w:ascii="Tahoma" w:hAnsi="Tahoma" w:cs="Tahoma"/>
          <w:sz w:val="20"/>
          <w:szCs w:val="20"/>
          <w:lang w:val="en-GB"/>
        </w:rPr>
      </w:pPr>
    </w:p>
    <w:p w14:paraId="371199A0" w14:textId="0BC803F1" w:rsidR="00A253D2" w:rsidRDefault="00B45B16" w:rsidP="00B45B16">
      <w:pPr>
        <w:shd w:val="clear" w:color="auto" w:fill="FFFFFF"/>
        <w:spacing w:before="200" w:line="264" w:lineRule="auto"/>
        <w:ind w:right="-46"/>
        <w:jc w:val="both"/>
        <w:rPr>
          <w:rFonts w:ascii="Arial" w:eastAsia="Times New Roman" w:hAnsi="Arial" w:cs="Arial"/>
          <w:b/>
          <w:color w:val="000000"/>
          <w:spacing w:val="-1"/>
          <w:sz w:val="20"/>
          <w:szCs w:val="20"/>
          <w:lang w:eastAsia="en-GB"/>
        </w:rPr>
      </w:pPr>
      <w:r>
        <w:rPr>
          <w:rFonts w:ascii="Arial" w:eastAsia="Times New Roman" w:hAnsi="Arial" w:cs="Arial"/>
          <w:b/>
          <w:color w:val="000000"/>
          <w:spacing w:val="-1"/>
          <w:sz w:val="20"/>
          <w:szCs w:val="20"/>
          <w:lang w:eastAsia="en-GB"/>
        </w:rPr>
        <w:t xml:space="preserve">* </w:t>
      </w:r>
      <w:r w:rsidRPr="00656AB4">
        <w:t>A vote withheld is not a vote in law and is not counted in the proportion of votes for or against a resolution</w:t>
      </w:r>
      <w:r>
        <w:rPr>
          <w:rFonts w:ascii="Arial" w:eastAsia="Times New Roman" w:hAnsi="Arial" w:cs="Arial"/>
          <w:b/>
          <w:color w:val="000000"/>
          <w:spacing w:val="-1"/>
          <w:sz w:val="20"/>
          <w:szCs w:val="20"/>
          <w:lang w:eastAsia="en-GB"/>
        </w:rPr>
        <w:t>.</w:t>
      </w:r>
    </w:p>
    <w:p w14:paraId="134BF285" w14:textId="4BFD772E" w:rsidR="00E31F1A" w:rsidRPr="00E31F1A" w:rsidRDefault="00E31F1A" w:rsidP="00B45B16">
      <w:pPr>
        <w:shd w:val="clear" w:color="auto" w:fill="FFFFFF"/>
        <w:spacing w:before="200" w:line="264" w:lineRule="auto"/>
        <w:ind w:right="-46"/>
        <w:jc w:val="both"/>
        <w:rPr>
          <w:rFonts w:eastAsia="Times New Roman" w:cstheme="minorHAnsi"/>
          <w:spacing w:val="-1"/>
          <w:lang w:eastAsia="en-GB"/>
        </w:rPr>
      </w:pPr>
      <w:r w:rsidRPr="00E31F1A">
        <w:rPr>
          <w:rFonts w:eastAsia="Times New Roman" w:cstheme="minorHAnsi"/>
          <w:spacing w:val="-1"/>
          <w:lang w:eastAsia="en-GB"/>
        </w:rPr>
        <w:t>The total number of ordinary shares in issue as at 6 p.m. on Tuesday, 26 M</w:t>
      </w:r>
      <w:r>
        <w:rPr>
          <w:rFonts w:eastAsia="Times New Roman" w:cstheme="minorHAnsi"/>
          <w:spacing w:val="-1"/>
          <w:lang w:eastAsia="en-GB"/>
        </w:rPr>
        <w:t xml:space="preserve">ay 2020 was </w:t>
      </w:r>
      <w:r>
        <w:t>521,678,946.</w:t>
      </w:r>
    </w:p>
    <w:p w14:paraId="393F6C43" w14:textId="77777777" w:rsidR="00D043AB" w:rsidRPr="00C61AC4" w:rsidRDefault="00EB7416" w:rsidP="00B45B16">
      <w:pPr>
        <w:shd w:val="clear" w:color="auto" w:fill="FFFFFF"/>
        <w:spacing w:before="200" w:line="264" w:lineRule="auto"/>
        <w:ind w:right="-46"/>
        <w:jc w:val="both"/>
      </w:pPr>
      <w:r>
        <w:t>In accordance with the Listing R</w:t>
      </w:r>
      <w:r w:rsidR="00D043AB" w:rsidRPr="004B5638">
        <w:t>ules</w:t>
      </w:r>
      <w:r w:rsidR="000F3078">
        <w:t xml:space="preserve"> of Euronext Dublin</w:t>
      </w:r>
      <w:r w:rsidR="00D043AB" w:rsidRPr="004B5638">
        <w:t xml:space="preserve">, copies of the resolutions passed at the </w:t>
      </w:r>
      <w:r>
        <w:t>Annual General Meeting</w:t>
      </w:r>
      <w:r w:rsidR="00D043AB" w:rsidRPr="004B5638">
        <w:t xml:space="preserve"> relating to </w:t>
      </w:r>
      <w:r w:rsidR="00D043AB" w:rsidRPr="005A39FD">
        <w:t>special business of the</w:t>
      </w:r>
      <w:r w:rsidR="00D043AB" w:rsidRPr="004B5638">
        <w:t xml:space="preserve"> Com</w:t>
      </w:r>
      <w:r>
        <w:t xml:space="preserve">pany have been forwarded to </w:t>
      </w:r>
      <w:r w:rsidR="005B667B" w:rsidRPr="004B5638">
        <w:t>Euronext Dublin</w:t>
      </w:r>
      <w:r w:rsidR="00D043AB" w:rsidRPr="004B5638">
        <w:t xml:space="preserve"> </w:t>
      </w:r>
      <w:r w:rsidR="002671F4" w:rsidRPr="004B5638">
        <w:t>and will shortly be available for inspection at the following address</w:t>
      </w:r>
      <w:r w:rsidR="00D043AB" w:rsidRPr="004B5638">
        <w:t>:</w:t>
      </w:r>
      <w:r w:rsidR="004B5638">
        <w:br/>
      </w:r>
      <w:r w:rsidR="007A51CE">
        <w:t xml:space="preserve">  </w:t>
      </w:r>
    </w:p>
    <w:p w14:paraId="5AC57115" w14:textId="0AAD9806" w:rsidR="008122E3" w:rsidRDefault="008122E3" w:rsidP="008122E3">
      <w:pPr>
        <w:jc w:val="both"/>
      </w:pPr>
      <w:r>
        <w:t>Company Announcements Office</w:t>
      </w:r>
    </w:p>
    <w:p w14:paraId="639019F4" w14:textId="77777777" w:rsidR="008122E3" w:rsidRPr="00DD1B6A" w:rsidRDefault="008122E3" w:rsidP="008122E3">
      <w:pPr>
        <w:jc w:val="both"/>
      </w:pPr>
      <w:r w:rsidRPr="00DD1B6A">
        <w:rPr>
          <w:rFonts w:cs="Arial"/>
          <w:lang w:val="en-IE"/>
        </w:rPr>
        <w:t>Euronext Dublin</w:t>
      </w:r>
    </w:p>
    <w:p w14:paraId="2A4091FD" w14:textId="77777777" w:rsidR="008122E3" w:rsidRPr="00095219" w:rsidRDefault="008122E3" w:rsidP="008122E3">
      <w:pPr>
        <w:jc w:val="both"/>
        <w:rPr>
          <w:rFonts w:cs="Arial"/>
          <w:lang w:val="en-IE"/>
        </w:rPr>
      </w:pPr>
      <w:r w:rsidRPr="002C1627">
        <w:rPr>
          <w:rFonts w:cs="Arial"/>
          <w:lang w:val="en-IE"/>
        </w:rPr>
        <w:t>The Exchange, Foster Pl</w:t>
      </w:r>
      <w:r>
        <w:rPr>
          <w:rFonts w:cs="Arial"/>
          <w:lang w:val="en-IE"/>
        </w:rPr>
        <w:t>ace</w:t>
      </w:r>
      <w:r w:rsidRPr="002C1627">
        <w:rPr>
          <w:rFonts w:cs="Arial"/>
          <w:lang w:val="en-IE"/>
        </w:rPr>
        <w:t>, Temple Bar, Dublin 2, Ireland</w:t>
      </w:r>
    </w:p>
    <w:p w14:paraId="0A2D636A" w14:textId="77777777" w:rsidR="008122E3" w:rsidRDefault="008122E3" w:rsidP="008122E3">
      <w:pPr>
        <w:jc w:val="both"/>
      </w:pPr>
      <w:r>
        <w:t>Tel:  +353 (0) 1 617 4200</w:t>
      </w:r>
    </w:p>
    <w:p w14:paraId="6DBA43B8" w14:textId="77777777" w:rsidR="008122E3" w:rsidRDefault="008122E3" w:rsidP="00185352">
      <w:pPr>
        <w:shd w:val="clear" w:color="auto" w:fill="FFFFFF"/>
        <w:spacing w:line="264" w:lineRule="auto"/>
        <w:ind w:right="-45"/>
        <w:jc w:val="both"/>
      </w:pPr>
    </w:p>
    <w:p w14:paraId="06558EBE" w14:textId="77777777" w:rsidR="000F3078" w:rsidRDefault="000F3078" w:rsidP="000F3078">
      <w:pPr>
        <w:jc w:val="both"/>
        <w:rPr>
          <w:b/>
        </w:rPr>
      </w:pPr>
      <w:r>
        <w:rPr>
          <w:b/>
        </w:rPr>
        <w:t>For further information please contact:</w:t>
      </w:r>
    </w:p>
    <w:p w14:paraId="1B51CC18" w14:textId="77777777" w:rsidR="000F3078" w:rsidRDefault="000F3078" w:rsidP="000F3078">
      <w:pPr>
        <w:jc w:val="both"/>
      </w:pPr>
      <w:r>
        <w:t>For Investor Relations:</w:t>
      </w:r>
    </w:p>
    <w:p w14:paraId="2C0F699F" w14:textId="77777777" w:rsidR="000F3078" w:rsidRDefault="000F3078" w:rsidP="000F3078">
      <w:pPr>
        <w:jc w:val="both"/>
      </w:pPr>
      <w:r>
        <w:t>Irish Residential Properties REIT plc</w:t>
      </w:r>
    </w:p>
    <w:p w14:paraId="6653B560" w14:textId="77777777" w:rsidR="000F3078" w:rsidRDefault="000F3078" w:rsidP="000F3078">
      <w:pPr>
        <w:jc w:val="both"/>
      </w:pPr>
      <w:r>
        <w:t>Margaret Sweeney, Chief Executive Officer</w:t>
      </w:r>
    </w:p>
    <w:p w14:paraId="3462220E" w14:textId="77777777" w:rsidR="000F3078" w:rsidRDefault="000F3078" w:rsidP="000F3078">
      <w:pPr>
        <w:jc w:val="both"/>
      </w:pPr>
      <w:r>
        <w:t>+ 353 (0) 1 557 0974</w:t>
      </w:r>
    </w:p>
    <w:p w14:paraId="33C1486E" w14:textId="77777777" w:rsidR="000F3078" w:rsidRDefault="000F3078" w:rsidP="000F3078">
      <w:pPr>
        <w:jc w:val="both"/>
      </w:pPr>
    </w:p>
    <w:p w14:paraId="19047988" w14:textId="77777777" w:rsidR="000F3078" w:rsidRDefault="000F3078" w:rsidP="000F3078">
      <w:pPr>
        <w:jc w:val="both"/>
      </w:pPr>
      <w:r>
        <w:t>For Media Requests:</w:t>
      </w:r>
    </w:p>
    <w:p w14:paraId="5BB71A84" w14:textId="77777777" w:rsidR="000F3078" w:rsidRDefault="000F3078" w:rsidP="000F3078">
      <w:pPr>
        <w:jc w:val="both"/>
      </w:pPr>
      <w:r>
        <w:t>Q4PR</w:t>
      </w:r>
    </w:p>
    <w:p w14:paraId="1A811811" w14:textId="77777777" w:rsidR="000F3078" w:rsidRDefault="000F3078" w:rsidP="000F3078">
      <w:pPr>
        <w:jc w:val="both"/>
      </w:pPr>
      <w:r>
        <w:t>Gerry O’Sullivan</w:t>
      </w:r>
    </w:p>
    <w:p w14:paraId="6584FD0B" w14:textId="77777777" w:rsidR="000F3078" w:rsidRDefault="000F3078" w:rsidP="000F3078">
      <w:pPr>
        <w:jc w:val="both"/>
      </w:pPr>
      <w:r>
        <w:lastRenderedPageBreak/>
        <w:t>+ 353 87 2597644</w:t>
      </w:r>
    </w:p>
    <w:p w14:paraId="39EC8A07" w14:textId="7DB9C2E7" w:rsidR="000F3078" w:rsidRDefault="000F3078" w:rsidP="000F3078">
      <w:pPr>
        <w:jc w:val="both"/>
      </w:pPr>
    </w:p>
    <w:p w14:paraId="7EB652BB" w14:textId="77777777" w:rsidR="008122E3" w:rsidRDefault="008122E3" w:rsidP="008122E3">
      <w:pPr>
        <w:jc w:val="both"/>
        <w:rPr>
          <w:b/>
        </w:rPr>
      </w:pPr>
      <w:r>
        <w:rPr>
          <w:b/>
        </w:rPr>
        <w:t>About Irish Residential Properties REIT plc</w:t>
      </w:r>
    </w:p>
    <w:p w14:paraId="3390C160" w14:textId="77777777" w:rsidR="008122E3" w:rsidRDefault="008122E3" w:rsidP="008122E3">
      <w:pPr>
        <w:jc w:val="both"/>
      </w:pPr>
    </w:p>
    <w:p w14:paraId="53575A03" w14:textId="325C6D17" w:rsidR="008122E3" w:rsidRPr="007A153B" w:rsidRDefault="00C744C6" w:rsidP="008122E3">
      <w:pPr>
        <w:jc w:val="both"/>
      </w:pPr>
      <w:r>
        <w:t>Irish Residential Properties REIT plc (together with IRES Residential Properties Limited, the “</w:t>
      </w:r>
      <w:r w:rsidRPr="00C744C6">
        <w:rPr>
          <w:b/>
        </w:rPr>
        <w:t>Group</w:t>
      </w:r>
      <w:r>
        <w:t>”) is a growth oriented Real Estate Investment Trust that is focused on acquiring, holding, managing and developing investments primarily focused on private residential rental accommodations in Ireland. The Group</w:t>
      </w:r>
      <w:r w:rsidRPr="007A153B">
        <w:t xml:space="preserve"> current</w:t>
      </w:r>
      <w:r>
        <w:t xml:space="preserve">ly owns 3,739 apartments and houses for private rental in Dublin and Cork </w:t>
      </w:r>
      <w:r w:rsidRPr="007A153B">
        <w:t xml:space="preserve">with an additional 164 units due for delivery between now and </w:t>
      </w:r>
      <w:r>
        <w:t xml:space="preserve">the end of </w:t>
      </w:r>
      <w:r w:rsidRPr="007A153B">
        <w:t>2021 under pre-purchase contracts. The Company also has planning appro</w:t>
      </w:r>
      <w:r w:rsidR="00174E5C">
        <w:t>val to develop an additional 609</w:t>
      </w:r>
      <w:r w:rsidRPr="007A153B">
        <w:t xml:space="preserve"> residential units on its existing sites. </w:t>
      </w:r>
      <w:r>
        <w:t xml:space="preserve">The Company’s shares are listed on Euronext Dublin.  </w:t>
      </w:r>
      <w:r w:rsidR="008122E3" w:rsidRPr="007A153B">
        <w:t>Further information in respect of the Company can be obtained from the Company’s website at</w:t>
      </w:r>
      <w:r w:rsidR="008122E3">
        <w:t xml:space="preserve"> </w:t>
      </w:r>
      <w:hyperlink r:id="rId8" w:history="1">
        <w:r w:rsidR="008122E3" w:rsidRPr="00FF0D9C">
          <w:rPr>
            <w:rStyle w:val="Hyperlink"/>
          </w:rPr>
          <w:t>www.iresreit.ie</w:t>
        </w:r>
      </w:hyperlink>
      <w:r w:rsidR="008122E3">
        <w:t>.</w:t>
      </w:r>
    </w:p>
    <w:p w14:paraId="592512A2" w14:textId="77777777" w:rsidR="008122E3" w:rsidRDefault="008122E3" w:rsidP="008122E3">
      <w:pPr>
        <w:jc w:val="both"/>
      </w:pPr>
    </w:p>
    <w:p w14:paraId="7E48C01E" w14:textId="77777777" w:rsidR="008122E3" w:rsidRDefault="008122E3" w:rsidP="008122E3">
      <w:pPr>
        <w:jc w:val="both"/>
        <w:rPr>
          <w:b/>
        </w:rPr>
      </w:pPr>
      <w:r>
        <w:rPr>
          <w:b/>
        </w:rPr>
        <w:t xml:space="preserve">Note on forward-looking information </w:t>
      </w:r>
    </w:p>
    <w:p w14:paraId="47FF34FC" w14:textId="77777777" w:rsidR="008122E3" w:rsidRDefault="008122E3" w:rsidP="008122E3">
      <w:pPr>
        <w:jc w:val="both"/>
        <w:rPr>
          <w:b/>
        </w:rPr>
      </w:pPr>
    </w:p>
    <w:p w14:paraId="24A08B94" w14:textId="77777777" w:rsidR="008122E3" w:rsidRDefault="008122E3" w:rsidP="008122E3">
      <w:pPr>
        <w:jc w:val="both"/>
        <w:rPr>
          <w:b/>
        </w:rPr>
      </w:pPr>
      <w:r>
        <w:rPr>
          <w:b/>
        </w:rPr>
        <w:t>This note applies if and to the extent that there are forward-looking statements in this Announcement.</w:t>
      </w:r>
    </w:p>
    <w:p w14:paraId="3E17730C" w14:textId="77777777" w:rsidR="008122E3" w:rsidRDefault="008122E3" w:rsidP="008122E3">
      <w:pPr>
        <w:jc w:val="both"/>
      </w:pPr>
    </w:p>
    <w:p w14:paraId="24A57BBD" w14:textId="77777777" w:rsidR="008122E3" w:rsidRDefault="008122E3" w:rsidP="008122E3">
      <w:pPr>
        <w:jc w:val="both"/>
      </w:pPr>
      <w:r>
        <w:t xml:space="preserve">This Announcement may contain forward-looking statements, which are subject to risks and uncertainties because they relate to expectations, beliefs, projections, </w:t>
      </w:r>
      <w:proofErr w:type="gramStart"/>
      <w:r>
        <w:t>future plans</w:t>
      </w:r>
      <w:proofErr w:type="gramEnd"/>
      <w:r>
        <w:t xml:space="preserve">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7B88B61B" w14:textId="77777777" w:rsidR="008122E3" w:rsidRDefault="008122E3" w:rsidP="008122E3">
      <w:pPr>
        <w:tabs>
          <w:tab w:val="left" w:pos="5700"/>
        </w:tabs>
        <w:jc w:val="left"/>
      </w:pPr>
    </w:p>
    <w:p w14:paraId="5A770FF4" w14:textId="77777777" w:rsidR="008122E3" w:rsidRDefault="008122E3" w:rsidP="000F3078">
      <w:pPr>
        <w:jc w:val="both"/>
      </w:pPr>
    </w:p>
    <w:sectPr w:rsidR="008122E3">
      <w:headerReference w:type="default" r:id="rId9"/>
      <w:footerReference w:type="even" r:id="rId10"/>
      <w:footerReference w:type="default" r:id="rId11"/>
      <w:headerReference w:type="first" r:id="rId12"/>
      <w:pgSz w:w="12240" w:h="15840" w:code="1"/>
      <w:pgMar w:top="1440" w:right="1440" w:bottom="1440" w:left="1440" w:header="432"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6B061" w14:textId="77777777" w:rsidR="002F4DA2" w:rsidRDefault="002F4DA2">
      <w:r>
        <w:separator/>
      </w:r>
    </w:p>
  </w:endnote>
  <w:endnote w:type="continuationSeparator" w:id="0">
    <w:p w14:paraId="7B32A93F" w14:textId="77777777" w:rsidR="002F4DA2" w:rsidRDefault="002F4DA2">
      <w:r>
        <w:continuationSeparator/>
      </w:r>
    </w:p>
  </w:endnote>
  <w:endnote w:type="continuationNotice" w:id="1">
    <w:p w14:paraId="00BC9458" w14:textId="77777777" w:rsidR="002F4DA2" w:rsidRDefault="002F4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7E3C" w14:textId="77777777" w:rsidR="00D8722B" w:rsidRDefault="00D8722B">
    <w:pPr>
      <w:pStyle w:val="Footer"/>
    </w:pPr>
  </w:p>
  <w:p w14:paraId="49B6C01A" w14:textId="77777777" w:rsidR="00D8722B" w:rsidRDefault="00185352">
    <w:pPr>
      <w:pStyle w:val="Footer"/>
      <w:jc w:val="right"/>
      <w:rPr>
        <w:b/>
        <w:bCs/>
        <w:sz w:val="16"/>
      </w:rPr>
    </w:pPr>
    <w:r w:rsidRPr="00185352">
      <w:rPr>
        <w:b/>
        <w:bCs/>
        <w:sz w:val="16"/>
      </w:rPr>
      <w:t>MHC-13753170-1</w:t>
    </w:r>
  </w:p>
  <w:p w14:paraId="02F48C7A" w14:textId="0A466456" w:rsidR="001E244A" w:rsidRDefault="001E244A" w:rsidP="00895C1D">
    <w:pPr>
      <w:pStyle w:val="Footer"/>
      <w:jc w:val="left"/>
      <w:rPr>
        <w:sz w:val="16"/>
      </w:rPr>
    </w:pPr>
    <w:r>
      <w:rPr>
        <w:sz w:val="16"/>
      </w:rPr>
      <w:fldChar w:fldCharType="begin"/>
    </w:r>
    <w:r>
      <w:rPr>
        <w:sz w:val="16"/>
      </w:rPr>
      <w:instrText xml:space="preserve"> DOCVARIABLE RBRO_EASYID_VALUE \* MERGEFORMAT </w:instrText>
    </w:r>
    <w:r>
      <w:rPr>
        <w:sz w:val="16"/>
      </w:rPr>
      <w:fldChar w:fldCharType="separate"/>
    </w:r>
    <w:r w:rsidR="00A326CE" w:rsidRPr="00A326CE">
      <w:rPr>
        <w:rStyle w:val="EasyID"/>
        <w:rFonts w:eastAsiaTheme="minorHAnsi"/>
      </w:rPr>
      <w:t>4894 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896240"/>
      <w:docPartObj>
        <w:docPartGallery w:val="Page Numbers (Bottom of Page)"/>
        <w:docPartUnique/>
      </w:docPartObj>
    </w:sdtPr>
    <w:sdtEndPr>
      <w:rPr>
        <w:noProof/>
      </w:rPr>
    </w:sdtEndPr>
    <w:sdtContent>
      <w:p w14:paraId="5EA52EF3" w14:textId="291BD426" w:rsidR="00587841" w:rsidRDefault="00587841">
        <w:pPr>
          <w:pStyle w:val="Footer"/>
        </w:pPr>
        <w:r>
          <w:fldChar w:fldCharType="begin"/>
        </w:r>
        <w:r>
          <w:instrText xml:space="preserve"> PAGE   \* MERGEFORMAT </w:instrText>
        </w:r>
        <w:r>
          <w:fldChar w:fldCharType="separate"/>
        </w:r>
        <w:r w:rsidR="00D96B65">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119F0" w14:textId="77777777" w:rsidR="002F4DA2" w:rsidRDefault="002F4DA2">
      <w:r>
        <w:separator/>
      </w:r>
    </w:p>
  </w:footnote>
  <w:footnote w:type="continuationSeparator" w:id="0">
    <w:p w14:paraId="78176804" w14:textId="77777777" w:rsidR="002F4DA2" w:rsidRDefault="002F4DA2">
      <w:r>
        <w:continuationSeparator/>
      </w:r>
    </w:p>
  </w:footnote>
  <w:footnote w:type="continuationNotice" w:id="1">
    <w:p w14:paraId="1E70D64B" w14:textId="77777777" w:rsidR="002F4DA2" w:rsidRDefault="002F4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9BB88" w14:textId="77777777" w:rsidR="00D8722B" w:rsidRDefault="002C792F">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2189" w14:textId="3B72D4C1" w:rsidR="00D8722B" w:rsidRDefault="002C792F">
    <w:pPr>
      <w:pStyle w:val="Header"/>
      <w:tabs>
        <w:tab w:val="clear" w:pos="4680"/>
      </w:tabs>
      <w:jc w:val="both"/>
      <w:rPr>
        <w:lang w:val="en-CA"/>
      </w:rPr>
    </w:pPr>
    <w:r>
      <w:rPr>
        <w:lang w:val="en-CA"/>
      </w:rPr>
      <w:tab/>
    </w:r>
  </w:p>
  <w:p w14:paraId="388C638F" w14:textId="77777777" w:rsidR="00D8722B" w:rsidRDefault="00D87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9443C6"/>
    <w:multiLevelType w:val="hybridMultilevel"/>
    <w:tmpl w:val="014277BE"/>
    <w:lvl w:ilvl="0" w:tplc="46D6CBFC">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18421F7"/>
    <w:multiLevelType w:val="hybridMultilevel"/>
    <w:tmpl w:val="047A3522"/>
    <w:lvl w:ilvl="0" w:tplc="355C651A">
      <w:start w:val="1"/>
      <w:numFmt w:val="bullet"/>
      <w:lvlText w:val=""/>
      <w:lvlJc w:val="left"/>
      <w:pPr>
        <w:ind w:left="420" w:hanging="360"/>
      </w:pPr>
      <w:rPr>
        <w:rFonts w:ascii="Symbol" w:eastAsia="Times New Roman" w:hAnsi="Symbo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3" w15:restartNumberingAfterBreak="0">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4" w15:restartNumberingAfterBreak="0">
    <w:nsid w:val="25A154D5"/>
    <w:multiLevelType w:val="hybridMultilevel"/>
    <w:tmpl w:val="53402F58"/>
    <w:lvl w:ilvl="0" w:tplc="AFBC4220">
      <w:start w:val="1"/>
      <w:numFmt w:val="bullet"/>
      <w:lvlText w:val=""/>
      <w:lvlJc w:val="left"/>
      <w:pPr>
        <w:ind w:left="420" w:hanging="360"/>
      </w:pPr>
      <w:rPr>
        <w:rFonts w:ascii="Symbol" w:eastAsia="Times New Roman" w:hAnsi="Symbo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5" w15:restartNumberingAfterBreak="0">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35414"/>
    <w:multiLevelType w:val="hybridMultilevel"/>
    <w:tmpl w:val="92C06268"/>
    <w:lvl w:ilvl="0" w:tplc="4AEE1964">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7E53889"/>
    <w:multiLevelType w:val="hybridMultilevel"/>
    <w:tmpl w:val="6AB408C0"/>
    <w:lvl w:ilvl="0" w:tplc="028E7F92">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2" w15:restartNumberingAfterBreak="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3" w15:restartNumberingAfterBreak="0">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4" w15:restartNumberingAfterBreak="0">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3"/>
  </w:num>
  <w:num w:numId="4">
    <w:abstractNumId w:val="22"/>
  </w:num>
  <w:num w:numId="5">
    <w:abstractNumId w:val="17"/>
  </w:num>
  <w:num w:numId="6">
    <w:abstractNumId w:val="18"/>
  </w:num>
  <w:num w:numId="7">
    <w:abstractNumId w:val="21"/>
  </w:num>
  <w:num w:numId="8">
    <w:abstractNumId w:val="15"/>
  </w:num>
  <w:num w:numId="9">
    <w:abstractNumId w:val="10"/>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19"/>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7372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BRO_EasyID_Font" w:val="Book Antiqua|8"/>
    <w:docVar w:name="RBRO_EasyID_ID" w:val="%1% V%2%"/>
    <w:docVar w:name="RBRO_EasyID_Location" w:val="Footer|wdAlignParagraphLeft|All"/>
    <w:docVar w:name="RBRO_EASYID_VALUE" w:val="4894 V1"/>
  </w:docVars>
  <w:rsids>
    <w:rsidRoot w:val="00D8722B"/>
    <w:rsid w:val="000235C1"/>
    <w:rsid w:val="00023F86"/>
    <w:rsid w:val="00036131"/>
    <w:rsid w:val="00046BAB"/>
    <w:rsid w:val="000564BD"/>
    <w:rsid w:val="0007714C"/>
    <w:rsid w:val="00084970"/>
    <w:rsid w:val="00085EFD"/>
    <w:rsid w:val="000A2F12"/>
    <w:rsid w:val="000A36B9"/>
    <w:rsid w:val="000B00A7"/>
    <w:rsid w:val="000B0C6D"/>
    <w:rsid w:val="000B4263"/>
    <w:rsid w:val="000B76F7"/>
    <w:rsid w:val="000C542C"/>
    <w:rsid w:val="000C7405"/>
    <w:rsid w:val="000D28D9"/>
    <w:rsid w:val="000E2AA9"/>
    <w:rsid w:val="000E4A9D"/>
    <w:rsid w:val="000F3078"/>
    <w:rsid w:val="000F37F6"/>
    <w:rsid w:val="000F3CF2"/>
    <w:rsid w:val="0010379D"/>
    <w:rsid w:val="00117955"/>
    <w:rsid w:val="00174E5C"/>
    <w:rsid w:val="00175247"/>
    <w:rsid w:val="001831AD"/>
    <w:rsid w:val="00185352"/>
    <w:rsid w:val="00186F9B"/>
    <w:rsid w:val="00191060"/>
    <w:rsid w:val="001A6E31"/>
    <w:rsid w:val="001B4C18"/>
    <w:rsid w:val="001D5610"/>
    <w:rsid w:val="001E244A"/>
    <w:rsid w:val="001E31DC"/>
    <w:rsid w:val="001E6544"/>
    <w:rsid w:val="00211C5F"/>
    <w:rsid w:val="00231184"/>
    <w:rsid w:val="002433EC"/>
    <w:rsid w:val="00265EF4"/>
    <w:rsid w:val="002671F4"/>
    <w:rsid w:val="00284F80"/>
    <w:rsid w:val="00297F71"/>
    <w:rsid w:val="002B31C4"/>
    <w:rsid w:val="002B42FB"/>
    <w:rsid w:val="002B4FD4"/>
    <w:rsid w:val="002C4E36"/>
    <w:rsid w:val="002C7606"/>
    <w:rsid w:val="002C792F"/>
    <w:rsid w:val="002F4DA2"/>
    <w:rsid w:val="003067D2"/>
    <w:rsid w:val="0031084C"/>
    <w:rsid w:val="00337811"/>
    <w:rsid w:val="0034703F"/>
    <w:rsid w:val="00347BEB"/>
    <w:rsid w:val="00371844"/>
    <w:rsid w:val="00392ED8"/>
    <w:rsid w:val="003A06EB"/>
    <w:rsid w:val="003A311B"/>
    <w:rsid w:val="003D0E32"/>
    <w:rsid w:val="003D2026"/>
    <w:rsid w:val="003E49E6"/>
    <w:rsid w:val="003F49C0"/>
    <w:rsid w:val="003F78A1"/>
    <w:rsid w:val="00403F5D"/>
    <w:rsid w:val="0041375D"/>
    <w:rsid w:val="00414A0A"/>
    <w:rsid w:val="0042167C"/>
    <w:rsid w:val="00422DDA"/>
    <w:rsid w:val="00423622"/>
    <w:rsid w:val="00444864"/>
    <w:rsid w:val="00465818"/>
    <w:rsid w:val="004672E3"/>
    <w:rsid w:val="00475865"/>
    <w:rsid w:val="00484B75"/>
    <w:rsid w:val="00492A9F"/>
    <w:rsid w:val="00493B21"/>
    <w:rsid w:val="004B5638"/>
    <w:rsid w:val="004C2430"/>
    <w:rsid w:val="004E7FDC"/>
    <w:rsid w:val="004F4719"/>
    <w:rsid w:val="00501509"/>
    <w:rsid w:val="00507A11"/>
    <w:rsid w:val="00522A05"/>
    <w:rsid w:val="00522DF8"/>
    <w:rsid w:val="00557D63"/>
    <w:rsid w:val="00567801"/>
    <w:rsid w:val="00570190"/>
    <w:rsid w:val="00587841"/>
    <w:rsid w:val="005A27FE"/>
    <w:rsid w:val="005A39FD"/>
    <w:rsid w:val="005B667B"/>
    <w:rsid w:val="005C46F5"/>
    <w:rsid w:val="005E3CC2"/>
    <w:rsid w:val="005F2E64"/>
    <w:rsid w:val="005F3584"/>
    <w:rsid w:val="00600F0F"/>
    <w:rsid w:val="00606095"/>
    <w:rsid w:val="006159B4"/>
    <w:rsid w:val="00620094"/>
    <w:rsid w:val="00621654"/>
    <w:rsid w:val="00622A07"/>
    <w:rsid w:val="00623306"/>
    <w:rsid w:val="00631616"/>
    <w:rsid w:val="006331D8"/>
    <w:rsid w:val="00642772"/>
    <w:rsid w:val="00653F15"/>
    <w:rsid w:val="00656AB4"/>
    <w:rsid w:val="006772CC"/>
    <w:rsid w:val="0068098C"/>
    <w:rsid w:val="00694BF4"/>
    <w:rsid w:val="006A2F0F"/>
    <w:rsid w:val="006B0541"/>
    <w:rsid w:val="006D6A07"/>
    <w:rsid w:val="00716B06"/>
    <w:rsid w:val="007202F5"/>
    <w:rsid w:val="00722931"/>
    <w:rsid w:val="00753CDA"/>
    <w:rsid w:val="00772921"/>
    <w:rsid w:val="00787501"/>
    <w:rsid w:val="007A51CE"/>
    <w:rsid w:val="007A51CF"/>
    <w:rsid w:val="007B0821"/>
    <w:rsid w:val="007C3AA8"/>
    <w:rsid w:val="007C7F60"/>
    <w:rsid w:val="007D5236"/>
    <w:rsid w:val="007D5858"/>
    <w:rsid w:val="007E05BD"/>
    <w:rsid w:val="007E0830"/>
    <w:rsid w:val="00800609"/>
    <w:rsid w:val="00801AF3"/>
    <w:rsid w:val="00806920"/>
    <w:rsid w:val="00811E2D"/>
    <w:rsid w:val="008122E3"/>
    <w:rsid w:val="0082118A"/>
    <w:rsid w:val="0082357B"/>
    <w:rsid w:val="008450F6"/>
    <w:rsid w:val="00847754"/>
    <w:rsid w:val="0085091C"/>
    <w:rsid w:val="00850A10"/>
    <w:rsid w:val="00852D60"/>
    <w:rsid w:val="008569F6"/>
    <w:rsid w:val="00864C08"/>
    <w:rsid w:val="00867E95"/>
    <w:rsid w:val="00895C1D"/>
    <w:rsid w:val="008A1F92"/>
    <w:rsid w:val="008C0D16"/>
    <w:rsid w:val="008D15D7"/>
    <w:rsid w:val="008E6817"/>
    <w:rsid w:val="008F6872"/>
    <w:rsid w:val="00901DFC"/>
    <w:rsid w:val="00911CC6"/>
    <w:rsid w:val="00930396"/>
    <w:rsid w:val="009326CC"/>
    <w:rsid w:val="009430C0"/>
    <w:rsid w:val="00954C37"/>
    <w:rsid w:val="00967C07"/>
    <w:rsid w:val="00983184"/>
    <w:rsid w:val="00984A5E"/>
    <w:rsid w:val="00984F2D"/>
    <w:rsid w:val="00993AA7"/>
    <w:rsid w:val="009A0806"/>
    <w:rsid w:val="009B765D"/>
    <w:rsid w:val="009D3A5C"/>
    <w:rsid w:val="00A0143C"/>
    <w:rsid w:val="00A02809"/>
    <w:rsid w:val="00A03CEA"/>
    <w:rsid w:val="00A04811"/>
    <w:rsid w:val="00A13642"/>
    <w:rsid w:val="00A22AA9"/>
    <w:rsid w:val="00A253D2"/>
    <w:rsid w:val="00A326CE"/>
    <w:rsid w:val="00A36967"/>
    <w:rsid w:val="00A36CFC"/>
    <w:rsid w:val="00A449DD"/>
    <w:rsid w:val="00A46F17"/>
    <w:rsid w:val="00A478DB"/>
    <w:rsid w:val="00A7036B"/>
    <w:rsid w:val="00A91057"/>
    <w:rsid w:val="00A956E0"/>
    <w:rsid w:val="00AB050C"/>
    <w:rsid w:val="00AC0338"/>
    <w:rsid w:val="00AC1BD8"/>
    <w:rsid w:val="00AE22F8"/>
    <w:rsid w:val="00AF0063"/>
    <w:rsid w:val="00B033E1"/>
    <w:rsid w:val="00B05F62"/>
    <w:rsid w:val="00B118F7"/>
    <w:rsid w:val="00B160B6"/>
    <w:rsid w:val="00B340CA"/>
    <w:rsid w:val="00B441A2"/>
    <w:rsid w:val="00B45B16"/>
    <w:rsid w:val="00B64C48"/>
    <w:rsid w:val="00B72765"/>
    <w:rsid w:val="00B80F83"/>
    <w:rsid w:val="00B87077"/>
    <w:rsid w:val="00B87AB2"/>
    <w:rsid w:val="00B904E6"/>
    <w:rsid w:val="00BC1920"/>
    <w:rsid w:val="00BC5DB8"/>
    <w:rsid w:val="00BE311F"/>
    <w:rsid w:val="00BF3F0E"/>
    <w:rsid w:val="00C21C12"/>
    <w:rsid w:val="00C25D20"/>
    <w:rsid w:val="00C26FF8"/>
    <w:rsid w:val="00C61AC4"/>
    <w:rsid w:val="00C65F40"/>
    <w:rsid w:val="00C67B15"/>
    <w:rsid w:val="00C744C6"/>
    <w:rsid w:val="00C74F40"/>
    <w:rsid w:val="00C84ED1"/>
    <w:rsid w:val="00C85C85"/>
    <w:rsid w:val="00C91B08"/>
    <w:rsid w:val="00CD6FA1"/>
    <w:rsid w:val="00D043AB"/>
    <w:rsid w:val="00D04785"/>
    <w:rsid w:val="00D179B1"/>
    <w:rsid w:val="00D21396"/>
    <w:rsid w:val="00D21F30"/>
    <w:rsid w:val="00D26842"/>
    <w:rsid w:val="00D27DC8"/>
    <w:rsid w:val="00D33F29"/>
    <w:rsid w:val="00D373AF"/>
    <w:rsid w:val="00D411BF"/>
    <w:rsid w:val="00D63B46"/>
    <w:rsid w:val="00D7399B"/>
    <w:rsid w:val="00D8722B"/>
    <w:rsid w:val="00D875A8"/>
    <w:rsid w:val="00D92E41"/>
    <w:rsid w:val="00D96B65"/>
    <w:rsid w:val="00D97885"/>
    <w:rsid w:val="00DA73C7"/>
    <w:rsid w:val="00DB0148"/>
    <w:rsid w:val="00DB0E66"/>
    <w:rsid w:val="00DB0F76"/>
    <w:rsid w:val="00DD4890"/>
    <w:rsid w:val="00DD5B24"/>
    <w:rsid w:val="00E00E46"/>
    <w:rsid w:val="00E021ED"/>
    <w:rsid w:val="00E06B13"/>
    <w:rsid w:val="00E26B91"/>
    <w:rsid w:val="00E31F1A"/>
    <w:rsid w:val="00E31FA4"/>
    <w:rsid w:val="00E53347"/>
    <w:rsid w:val="00E5342E"/>
    <w:rsid w:val="00E6005A"/>
    <w:rsid w:val="00E875C3"/>
    <w:rsid w:val="00E87F2C"/>
    <w:rsid w:val="00EB1154"/>
    <w:rsid w:val="00EB21D2"/>
    <w:rsid w:val="00EB29A0"/>
    <w:rsid w:val="00EB59D7"/>
    <w:rsid w:val="00EB7416"/>
    <w:rsid w:val="00EC4E12"/>
    <w:rsid w:val="00EE7A4F"/>
    <w:rsid w:val="00EF500B"/>
    <w:rsid w:val="00F033A3"/>
    <w:rsid w:val="00F04B42"/>
    <w:rsid w:val="00F340DF"/>
    <w:rsid w:val="00F37A4C"/>
    <w:rsid w:val="00F415D4"/>
    <w:rsid w:val="00F435CE"/>
    <w:rsid w:val="00F43671"/>
    <w:rsid w:val="00FA0B0C"/>
    <w:rsid w:val="00FA1605"/>
    <w:rsid w:val="00FA2A71"/>
    <w:rsid w:val="00FB1A9F"/>
    <w:rsid w:val="00FB720C"/>
    <w:rsid w:val="00FD640C"/>
    <w:rsid w:val="00FE4F76"/>
    <w:rsid w:val="00FF0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850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7">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99"/>
    <w:unhideWhenUsed/>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character" w:customStyle="1" w:styleId="EasyID">
    <w:name w:val="EasyID"/>
    <w:basedOn w:val="DefaultParagraphFont"/>
    <w:rsid w:val="001E244A"/>
    <w:rPr>
      <w:rFonts w:ascii="Book Antiqua" w:eastAsia="Times New Roman" w:hAnsi="Book Antiqua"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5906">
      <w:bodyDiv w:val="1"/>
      <w:marLeft w:val="0"/>
      <w:marRight w:val="0"/>
      <w:marTop w:val="0"/>
      <w:marBottom w:val="0"/>
      <w:divBdr>
        <w:top w:val="none" w:sz="0" w:space="0" w:color="auto"/>
        <w:left w:val="none" w:sz="0" w:space="0" w:color="auto"/>
        <w:bottom w:val="none" w:sz="0" w:space="0" w:color="auto"/>
        <w:right w:val="none" w:sz="0" w:space="0" w:color="auto"/>
      </w:divBdr>
    </w:div>
    <w:div w:id="70395899">
      <w:bodyDiv w:val="1"/>
      <w:marLeft w:val="0"/>
      <w:marRight w:val="0"/>
      <w:marTop w:val="0"/>
      <w:marBottom w:val="0"/>
      <w:divBdr>
        <w:top w:val="none" w:sz="0" w:space="0" w:color="auto"/>
        <w:left w:val="none" w:sz="0" w:space="0" w:color="auto"/>
        <w:bottom w:val="none" w:sz="0" w:space="0" w:color="auto"/>
        <w:right w:val="none" w:sz="0" w:space="0" w:color="auto"/>
      </w:divBdr>
    </w:div>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202989200">
      <w:bodyDiv w:val="1"/>
      <w:marLeft w:val="0"/>
      <w:marRight w:val="0"/>
      <w:marTop w:val="0"/>
      <w:marBottom w:val="0"/>
      <w:divBdr>
        <w:top w:val="none" w:sz="0" w:space="0" w:color="auto"/>
        <w:left w:val="none" w:sz="0" w:space="0" w:color="auto"/>
        <w:bottom w:val="none" w:sz="0" w:space="0" w:color="auto"/>
        <w:right w:val="none" w:sz="0" w:space="0" w:color="auto"/>
      </w:divBdr>
    </w:div>
    <w:div w:id="214439721">
      <w:bodyDiv w:val="1"/>
      <w:marLeft w:val="0"/>
      <w:marRight w:val="0"/>
      <w:marTop w:val="0"/>
      <w:marBottom w:val="0"/>
      <w:divBdr>
        <w:top w:val="none" w:sz="0" w:space="0" w:color="auto"/>
        <w:left w:val="none" w:sz="0" w:space="0" w:color="auto"/>
        <w:bottom w:val="none" w:sz="0" w:space="0" w:color="auto"/>
        <w:right w:val="none" w:sz="0" w:space="0" w:color="auto"/>
      </w:divBdr>
    </w:div>
    <w:div w:id="220219556">
      <w:bodyDiv w:val="1"/>
      <w:marLeft w:val="0"/>
      <w:marRight w:val="0"/>
      <w:marTop w:val="0"/>
      <w:marBottom w:val="0"/>
      <w:divBdr>
        <w:top w:val="none" w:sz="0" w:space="0" w:color="auto"/>
        <w:left w:val="none" w:sz="0" w:space="0" w:color="auto"/>
        <w:bottom w:val="none" w:sz="0" w:space="0" w:color="auto"/>
        <w:right w:val="none" w:sz="0" w:space="0" w:color="auto"/>
      </w:divBdr>
    </w:div>
    <w:div w:id="231425720">
      <w:bodyDiv w:val="1"/>
      <w:marLeft w:val="0"/>
      <w:marRight w:val="0"/>
      <w:marTop w:val="0"/>
      <w:marBottom w:val="0"/>
      <w:divBdr>
        <w:top w:val="none" w:sz="0" w:space="0" w:color="auto"/>
        <w:left w:val="none" w:sz="0" w:space="0" w:color="auto"/>
        <w:bottom w:val="none" w:sz="0" w:space="0" w:color="auto"/>
        <w:right w:val="none" w:sz="0" w:space="0" w:color="auto"/>
      </w:divBdr>
    </w:div>
    <w:div w:id="339161722">
      <w:bodyDiv w:val="1"/>
      <w:marLeft w:val="0"/>
      <w:marRight w:val="0"/>
      <w:marTop w:val="0"/>
      <w:marBottom w:val="0"/>
      <w:divBdr>
        <w:top w:val="none" w:sz="0" w:space="0" w:color="auto"/>
        <w:left w:val="none" w:sz="0" w:space="0" w:color="auto"/>
        <w:bottom w:val="none" w:sz="0" w:space="0" w:color="auto"/>
        <w:right w:val="none" w:sz="0" w:space="0" w:color="auto"/>
      </w:divBdr>
    </w:div>
    <w:div w:id="351959066">
      <w:bodyDiv w:val="1"/>
      <w:marLeft w:val="0"/>
      <w:marRight w:val="0"/>
      <w:marTop w:val="0"/>
      <w:marBottom w:val="0"/>
      <w:divBdr>
        <w:top w:val="none" w:sz="0" w:space="0" w:color="auto"/>
        <w:left w:val="none" w:sz="0" w:space="0" w:color="auto"/>
        <w:bottom w:val="none" w:sz="0" w:space="0" w:color="auto"/>
        <w:right w:val="none" w:sz="0" w:space="0" w:color="auto"/>
      </w:divBdr>
    </w:div>
    <w:div w:id="354961894">
      <w:bodyDiv w:val="1"/>
      <w:marLeft w:val="0"/>
      <w:marRight w:val="0"/>
      <w:marTop w:val="0"/>
      <w:marBottom w:val="0"/>
      <w:divBdr>
        <w:top w:val="none" w:sz="0" w:space="0" w:color="auto"/>
        <w:left w:val="none" w:sz="0" w:space="0" w:color="auto"/>
        <w:bottom w:val="none" w:sz="0" w:space="0" w:color="auto"/>
        <w:right w:val="none" w:sz="0" w:space="0" w:color="auto"/>
      </w:divBdr>
    </w:div>
    <w:div w:id="366220862">
      <w:bodyDiv w:val="1"/>
      <w:marLeft w:val="0"/>
      <w:marRight w:val="0"/>
      <w:marTop w:val="0"/>
      <w:marBottom w:val="0"/>
      <w:divBdr>
        <w:top w:val="none" w:sz="0" w:space="0" w:color="auto"/>
        <w:left w:val="none" w:sz="0" w:space="0" w:color="auto"/>
        <w:bottom w:val="none" w:sz="0" w:space="0" w:color="auto"/>
        <w:right w:val="none" w:sz="0" w:space="0" w:color="auto"/>
      </w:divBdr>
    </w:div>
    <w:div w:id="426266885">
      <w:bodyDiv w:val="1"/>
      <w:marLeft w:val="0"/>
      <w:marRight w:val="0"/>
      <w:marTop w:val="0"/>
      <w:marBottom w:val="0"/>
      <w:divBdr>
        <w:top w:val="none" w:sz="0" w:space="0" w:color="auto"/>
        <w:left w:val="none" w:sz="0" w:space="0" w:color="auto"/>
        <w:bottom w:val="none" w:sz="0" w:space="0" w:color="auto"/>
        <w:right w:val="none" w:sz="0" w:space="0" w:color="auto"/>
      </w:divBdr>
    </w:div>
    <w:div w:id="493421370">
      <w:bodyDiv w:val="1"/>
      <w:marLeft w:val="0"/>
      <w:marRight w:val="0"/>
      <w:marTop w:val="0"/>
      <w:marBottom w:val="0"/>
      <w:divBdr>
        <w:top w:val="none" w:sz="0" w:space="0" w:color="auto"/>
        <w:left w:val="none" w:sz="0" w:space="0" w:color="auto"/>
        <w:bottom w:val="none" w:sz="0" w:space="0" w:color="auto"/>
        <w:right w:val="none" w:sz="0" w:space="0" w:color="auto"/>
      </w:divBdr>
    </w:div>
    <w:div w:id="562788009">
      <w:bodyDiv w:val="1"/>
      <w:marLeft w:val="0"/>
      <w:marRight w:val="0"/>
      <w:marTop w:val="0"/>
      <w:marBottom w:val="0"/>
      <w:divBdr>
        <w:top w:val="none" w:sz="0" w:space="0" w:color="auto"/>
        <w:left w:val="none" w:sz="0" w:space="0" w:color="auto"/>
        <w:bottom w:val="none" w:sz="0" w:space="0" w:color="auto"/>
        <w:right w:val="none" w:sz="0" w:space="0" w:color="auto"/>
      </w:divBdr>
    </w:div>
    <w:div w:id="643391670">
      <w:bodyDiv w:val="1"/>
      <w:marLeft w:val="0"/>
      <w:marRight w:val="0"/>
      <w:marTop w:val="0"/>
      <w:marBottom w:val="0"/>
      <w:divBdr>
        <w:top w:val="none" w:sz="0" w:space="0" w:color="auto"/>
        <w:left w:val="none" w:sz="0" w:space="0" w:color="auto"/>
        <w:bottom w:val="none" w:sz="0" w:space="0" w:color="auto"/>
        <w:right w:val="none" w:sz="0" w:space="0" w:color="auto"/>
      </w:divBdr>
    </w:div>
    <w:div w:id="643437079">
      <w:bodyDiv w:val="1"/>
      <w:marLeft w:val="0"/>
      <w:marRight w:val="0"/>
      <w:marTop w:val="0"/>
      <w:marBottom w:val="0"/>
      <w:divBdr>
        <w:top w:val="none" w:sz="0" w:space="0" w:color="auto"/>
        <w:left w:val="none" w:sz="0" w:space="0" w:color="auto"/>
        <w:bottom w:val="none" w:sz="0" w:space="0" w:color="auto"/>
        <w:right w:val="none" w:sz="0" w:space="0" w:color="auto"/>
      </w:divBdr>
    </w:div>
    <w:div w:id="70120151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726537952">
      <w:bodyDiv w:val="1"/>
      <w:marLeft w:val="0"/>
      <w:marRight w:val="0"/>
      <w:marTop w:val="0"/>
      <w:marBottom w:val="0"/>
      <w:divBdr>
        <w:top w:val="none" w:sz="0" w:space="0" w:color="auto"/>
        <w:left w:val="none" w:sz="0" w:space="0" w:color="auto"/>
        <w:bottom w:val="none" w:sz="0" w:space="0" w:color="auto"/>
        <w:right w:val="none" w:sz="0" w:space="0" w:color="auto"/>
      </w:divBdr>
    </w:div>
    <w:div w:id="800463608">
      <w:bodyDiv w:val="1"/>
      <w:marLeft w:val="0"/>
      <w:marRight w:val="0"/>
      <w:marTop w:val="0"/>
      <w:marBottom w:val="0"/>
      <w:divBdr>
        <w:top w:val="none" w:sz="0" w:space="0" w:color="auto"/>
        <w:left w:val="none" w:sz="0" w:space="0" w:color="auto"/>
        <w:bottom w:val="none" w:sz="0" w:space="0" w:color="auto"/>
        <w:right w:val="none" w:sz="0" w:space="0" w:color="auto"/>
      </w:divBdr>
    </w:div>
    <w:div w:id="816997265">
      <w:bodyDiv w:val="1"/>
      <w:marLeft w:val="0"/>
      <w:marRight w:val="0"/>
      <w:marTop w:val="0"/>
      <w:marBottom w:val="0"/>
      <w:divBdr>
        <w:top w:val="none" w:sz="0" w:space="0" w:color="auto"/>
        <w:left w:val="none" w:sz="0" w:space="0" w:color="auto"/>
        <w:bottom w:val="none" w:sz="0" w:space="0" w:color="auto"/>
        <w:right w:val="none" w:sz="0" w:space="0" w:color="auto"/>
      </w:divBdr>
    </w:div>
    <w:div w:id="830830462">
      <w:bodyDiv w:val="1"/>
      <w:marLeft w:val="0"/>
      <w:marRight w:val="0"/>
      <w:marTop w:val="0"/>
      <w:marBottom w:val="0"/>
      <w:divBdr>
        <w:top w:val="none" w:sz="0" w:space="0" w:color="auto"/>
        <w:left w:val="none" w:sz="0" w:space="0" w:color="auto"/>
        <w:bottom w:val="none" w:sz="0" w:space="0" w:color="auto"/>
        <w:right w:val="none" w:sz="0" w:space="0" w:color="auto"/>
      </w:divBdr>
    </w:div>
    <w:div w:id="873156602">
      <w:bodyDiv w:val="1"/>
      <w:marLeft w:val="0"/>
      <w:marRight w:val="0"/>
      <w:marTop w:val="0"/>
      <w:marBottom w:val="0"/>
      <w:divBdr>
        <w:top w:val="none" w:sz="0" w:space="0" w:color="auto"/>
        <w:left w:val="none" w:sz="0" w:space="0" w:color="auto"/>
        <w:bottom w:val="none" w:sz="0" w:space="0" w:color="auto"/>
        <w:right w:val="none" w:sz="0" w:space="0" w:color="auto"/>
      </w:divBdr>
    </w:div>
    <w:div w:id="877471418">
      <w:bodyDiv w:val="1"/>
      <w:marLeft w:val="0"/>
      <w:marRight w:val="0"/>
      <w:marTop w:val="0"/>
      <w:marBottom w:val="0"/>
      <w:divBdr>
        <w:top w:val="none" w:sz="0" w:space="0" w:color="auto"/>
        <w:left w:val="none" w:sz="0" w:space="0" w:color="auto"/>
        <w:bottom w:val="none" w:sz="0" w:space="0" w:color="auto"/>
        <w:right w:val="none" w:sz="0" w:space="0" w:color="auto"/>
      </w:divBdr>
    </w:div>
    <w:div w:id="909534514">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943002914">
      <w:bodyDiv w:val="1"/>
      <w:marLeft w:val="0"/>
      <w:marRight w:val="0"/>
      <w:marTop w:val="0"/>
      <w:marBottom w:val="0"/>
      <w:divBdr>
        <w:top w:val="none" w:sz="0" w:space="0" w:color="auto"/>
        <w:left w:val="none" w:sz="0" w:space="0" w:color="auto"/>
        <w:bottom w:val="none" w:sz="0" w:space="0" w:color="auto"/>
        <w:right w:val="none" w:sz="0" w:space="0" w:color="auto"/>
      </w:divBdr>
    </w:div>
    <w:div w:id="968826502">
      <w:bodyDiv w:val="1"/>
      <w:marLeft w:val="0"/>
      <w:marRight w:val="0"/>
      <w:marTop w:val="0"/>
      <w:marBottom w:val="0"/>
      <w:divBdr>
        <w:top w:val="none" w:sz="0" w:space="0" w:color="auto"/>
        <w:left w:val="none" w:sz="0" w:space="0" w:color="auto"/>
        <w:bottom w:val="none" w:sz="0" w:space="0" w:color="auto"/>
        <w:right w:val="none" w:sz="0" w:space="0" w:color="auto"/>
      </w:divBdr>
    </w:div>
    <w:div w:id="1008293218">
      <w:bodyDiv w:val="1"/>
      <w:marLeft w:val="0"/>
      <w:marRight w:val="0"/>
      <w:marTop w:val="0"/>
      <w:marBottom w:val="0"/>
      <w:divBdr>
        <w:top w:val="none" w:sz="0" w:space="0" w:color="auto"/>
        <w:left w:val="none" w:sz="0" w:space="0" w:color="auto"/>
        <w:bottom w:val="none" w:sz="0" w:space="0" w:color="auto"/>
        <w:right w:val="none" w:sz="0" w:space="0" w:color="auto"/>
      </w:divBdr>
    </w:div>
    <w:div w:id="1008826326">
      <w:bodyDiv w:val="1"/>
      <w:marLeft w:val="0"/>
      <w:marRight w:val="0"/>
      <w:marTop w:val="0"/>
      <w:marBottom w:val="0"/>
      <w:divBdr>
        <w:top w:val="none" w:sz="0" w:space="0" w:color="auto"/>
        <w:left w:val="none" w:sz="0" w:space="0" w:color="auto"/>
        <w:bottom w:val="none" w:sz="0" w:space="0" w:color="auto"/>
        <w:right w:val="none" w:sz="0" w:space="0" w:color="auto"/>
      </w:divBdr>
    </w:div>
    <w:div w:id="1017467502">
      <w:bodyDiv w:val="1"/>
      <w:marLeft w:val="0"/>
      <w:marRight w:val="0"/>
      <w:marTop w:val="0"/>
      <w:marBottom w:val="0"/>
      <w:divBdr>
        <w:top w:val="none" w:sz="0" w:space="0" w:color="auto"/>
        <w:left w:val="none" w:sz="0" w:space="0" w:color="auto"/>
        <w:bottom w:val="none" w:sz="0" w:space="0" w:color="auto"/>
        <w:right w:val="none" w:sz="0" w:space="0" w:color="auto"/>
      </w:divBdr>
    </w:div>
    <w:div w:id="1053698742">
      <w:bodyDiv w:val="1"/>
      <w:marLeft w:val="0"/>
      <w:marRight w:val="0"/>
      <w:marTop w:val="0"/>
      <w:marBottom w:val="0"/>
      <w:divBdr>
        <w:top w:val="none" w:sz="0" w:space="0" w:color="auto"/>
        <w:left w:val="none" w:sz="0" w:space="0" w:color="auto"/>
        <w:bottom w:val="none" w:sz="0" w:space="0" w:color="auto"/>
        <w:right w:val="none" w:sz="0" w:space="0" w:color="auto"/>
      </w:divBdr>
    </w:div>
    <w:div w:id="1261913736">
      <w:bodyDiv w:val="1"/>
      <w:marLeft w:val="0"/>
      <w:marRight w:val="0"/>
      <w:marTop w:val="0"/>
      <w:marBottom w:val="0"/>
      <w:divBdr>
        <w:top w:val="none" w:sz="0" w:space="0" w:color="auto"/>
        <w:left w:val="none" w:sz="0" w:space="0" w:color="auto"/>
        <w:bottom w:val="none" w:sz="0" w:space="0" w:color="auto"/>
        <w:right w:val="none" w:sz="0" w:space="0" w:color="auto"/>
      </w:divBdr>
    </w:div>
    <w:div w:id="1333220357">
      <w:bodyDiv w:val="1"/>
      <w:marLeft w:val="0"/>
      <w:marRight w:val="0"/>
      <w:marTop w:val="0"/>
      <w:marBottom w:val="0"/>
      <w:divBdr>
        <w:top w:val="none" w:sz="0" w:space="0" w:color="auto"/>
        <w:left w:val="none" w:sz="0" w:space="0" w:color="auto"/>
        <w:bottom w:val="none" w:sz="0" w:space="0" w:color="auto"/>
        <w:right w:val="none" w:sz="0" w:space="0" w:color="auto"/>
      </w:divBdr>
    </w:div>
    <w:div w:id="1422796388">
      <w:bodyDiv w:val="1"/>
      <w:marLeft w:val="0"/>
      <w:marRight w:val="0"/>
      <w:marTop w:val="0"/>
      <w:marBottom w:val="0"/>
      <w:divBdr>
        <w:top w:val="none" w:sz="0" w:space="0" w:color="auto"/>
        <w:left w:val="none" w:sz="0" w:space="0" w:color="auto"/>
        <w:bottom w:val="none" w:sz="0" w:space="0" w:color="auto"/>
        <w:right w:val="none" w:sz="0" w:space="0" w:color="auto"/>
      </w:divBdr>
    </w:div>
    <w:div w:id="1451122618">
      <w:bodyDiv w:val="1"/>
      <w:marLeft w:val="0"/>
      <w:marRight w:val="0"/>
      <w:marTop w:val="0"/>
      <w:marBottom w:val="0"/>
      <w:divBdr>
        <w:top w:val="none" w:sz="0" w:space="0" w:color="auto"/>
        <w:left w:val="none" w:sz="0" w:space="0" w:color="auto"/>
        <w:bottom w:val="none" w:sz="0" w:space="0" w:color="auto"/>
        <w:right w:val="none" w:sz="0" w:space="0" w:color="auto"/>
      </w:divBdr>
    </w:div>
    <w:div w:id="1486891882">
      <w:bodyDiv w:val="1"/>
      <w:marLeft w:val="0"/>
      <w:marRight w:val="0"/>
      <w:marTop w:val="0"/>
      <w:marBottom w:val="0"/>
      <w:divBdr>
        <w:top w:val="none" w:sz="0" w:space="0" w:color="auto"/>
        <w:left w:val="none" w:sz="0" w:space="0" w:color="auto"/>
        <w:bottom w:val="none" w:sz="0" w:space="0" w:color="auto"/>
        <w:right w:val="none" w:sz="0" w:space="0" w:color="auto"/>
      </w:divBdr>
    </w:div>
    <w:div w:id="1644770265">
      <w:bodyDiv w:val="1"/>
      <w:marLeft w:val="0"/>
      <w:marRight w:val="0"/>
      <w:marTop w:val="0"/>
      <w:marBottom w:val="0"/>
      <w:divBdr>
        <w:top w:val="none" w:sz="0" w:space="0" w:color="auto"/>
        <w:left w:val="none" w:sz="0" w:space="0" w:color="auto"/>
        <w:bottom w:val="none" w:sz="0" w:space="0" w:color="auto"/>
        <w:right w:val="none" w:sz="0" w:space="0" w:color="auto"/>
      </w:divBdr>
    </w:div>
    <w:div w:id="1664965335">
      <w:bodyDiv w:val="1"/>
      <w:marLeft w:val="0"/>
      <w:marRight w:val="0"/>
      <w:marTop w:val="0"/>
      <w:marBottom w:val="0"/>
      <w:divBdr>
        <w:top w:val="none" w:sz="0" w:space="0" w:color="auto"/>
        <w:left w:val="none" w:sz="0" w:space="0" w:color="auto"/>
        <w:bottom w:val="none" w:sz="0" w:space="0" w:color="auto"/>
        <w:right w:val="none" w:sz="0" w:space="0" w:color="auto"/>
      </w:divBdr>
    </w:div>
    <w:div w:id="1795830372">
      <w:bodyDiv w:val="1"/>
      <w:marLeft w:val="0"/>
      <w:marRight w:val="0"/>
      <w:marTop w:val="0"/>
      <w:marBottom w:val="0"/>
      <w:divBdr>
        <w:top w:val="none" w:sz="0" w:space="0" w:color="auto"/>
        <w:left w:val="none" w:sz="0" w:space="0" w:color="auto"/>
        <w:bottom w:val="none" w:sz="0" w:space="0" w:color="auto"/>
        <w:right w:val="none" w:sz="0" w:space="0" w:color="auto"/>
      </w:divBdr>
    </w:div>
    <w:div w:id="1796832643">
      <w:bodyDiv w:val="1"/>
      <w:marLeft w:val="0"/>
      <w:marRight w:val="0"/>
      <w:marTop w:val="0"/>
      <w:marBottom w:val="0"/>
      <w:divBdr>
        <w:top w:val="none" w:sz="0" w:space="0" w:color="auto"/>
        <w:left w:val="none" w:sz="0" w:space="0" w:color="auto"/>
        <w:bottom w:val="none" w:sz="0" w:space="0" w:color="auto"/>
        <w:right w:val="none" w:sz="0" w:space="0" w:color="auto"/>
      </w:divBdr>
    </w:div>
    <w:div w:id="1907261345">
      <w:bodyDiv w:val="1"/>
      <w:marLeft w:val="0"/>
      <w:marRight w:val="0"/>
      <w:marTop w:val="0"/>
      <w:marBottom w:val="0"/>
      <w:divBdr>
        <w:top w:val="none" w:sz="0" w:space="0" w:color="auto"/>
        <w:left w:val="none" w:sz="0" w:space="0" w:color="auto"/>
        <w:bottom w:val="none" w:sz="0" w:space="0" w:color="auto"/>
        <w:right w:val="none" w:sz="0" w:space="0" w:color="auto"/>
      </w:divBdr>
    </w:div>
    <w:div w:id="1925141209">
      <w:bodyDiv w:val="1"/>
      <w:marLeft w:val="0"/>
      <w:marRight w:val="0"/>
      <w:marTop w:val="0"/>
      <w:marBottom w:val="0"/>
      <w:divBdr>
        <w:top w:val="none" w:sz="0" w:space="0" w:color="auto"/>
        <w:left w:val="none" w:sz="0" w:space="0" w:color="auto"/>
        <w:bottom w:val="none" w:sz="0" w:space="0" w:color="auto"/>
        <w:right w:val="none" w:sz="0" w:space="0" w:color="auto"/>
      </w:divBdr>
    </w:div>
    <w:div w:id="1940984034">
      <w:bodyDiv w:val="1"/>
      <w:marLeft w:val="0"/>
      <w:marRight w:val="0"/>
      <w:marTop w:val="0"/>
      <w:marBottom w:val="0"/>
      <w:divBdr>
        <w:top w:val="none" w:sz="0" w:space="0" w:color="auto"/>
        <w:left w:val="none" w:sz="0" w:space="0" w:color="auto"/>
        <w:bottom w:val="none" w:sz="0" w:space="0" w:color="auto"/>
        <w:right w:val="none" w:sz="0" w:space="0" w:color="auto"/>
      </w:divBdr>
    </w:div>
    <w:div w:id="2101833582">
      <w:bodyDiv w:val="1"/>
      <w:marLeft w:val="0"/>
      <w:marRight w:val="0"/>
      <w:marTop w:val="0"/>
      <w:marBottom w:val="0"/>
      <w:divBdr>
        <w:top w:val="none" w:sz="0" w:space="0" w:color="auto"/>
        <w:left w:val="none" w:sz="0" w:space="0" w:color="auto"/>
        <w:bottom w:val="none" w:sz="0" w:space="0" w:color="auto"/>
        <w:right w:val="none" w:sz="0" w:space="0" w:color="auto"/>
      </w:divBdr>
    </w:div>
    <w:div w:id="21105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esreit.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esreit.ie/" TargetMode="Externa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2020-05-27T11:55:45+00:00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BAAE6CE2-7004-4105-8A5A-61C51E919EDB}"/>
</file>

<file path=customXml/itemProps2.xml><?xml version="1.0" encoding="utf-8"?>
<ds:datastoreItem xmlns:ds="http://schemas.openxmlformats.org/officeDocument/2006/customXml" ds:itemID="{6CA00DCC-CFC3-42D3-97B3-B62216C5568E}"/>
</file>

<file path=customXml/itemProps3.xml><?xml version="1.0" encoding="utf-8"?>
<ds:datastoreItem xmlns:ds="http://schemas.openxmlformats.org/officeDocument/2006/customXml" ds:itemID="{02FCF1A9-F91B-4EB2-8F5C-4A6D8200E153}"/>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4469</Characters>
  <Application>Microsoft Office Word</Application>
  <DocSecurity>0</DocSecurity>
  <PresentationFormat>
  </PresentationFormat>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5236</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2020-05-27T10:58:00Z</dcterms:created>
  <dcterms:modified xsi:type="dcterms:W3CDTF">2020-05-27T11:42:00Z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RO_EasyID_ID">
    <vt:lpwstr>%1% V%2%</vt:lpwstr>
  </property>
  <property fmtid="{D5CDD505-2E9C-101B-9397-08002B2CF9AE}" pid="3" name="RBRO_EasyID_Location">
    <vt:lpwstr>Footer|wdAlignParagraphLeft|All</vt:lpwstr>
  </property>
  <property fmtid="{D5CDD505-2E9C-101B-9397-08002B2CF9AE}" pid="4" name="RBRO_EasyID_Font">
    <vt:lpwstr>Book Antiqua|8</vt:lpwstr>
  </property>
  <property fmtid="{D5CDD505-2E9C-101B-9397-08002B2CF9AE}" pid="5" name="RBRO_EASYID_VALUE">
    <vt:lpwstr>4894 V1</vt:lpwstr>
  </property>
  <property fmtid="{D5CDD505-2E9C-101B-9397-08002B2CF9AE}" pid="6" name="ContentTypeId">
    <vt:lpwstr>0x010100BE156B1CF39149A8843C57AB06C49AFE0011B886BEF4CCD94F85F46E94360FD412</vt:lpwstr>
  </property>
  <property fmtid="{D5CDD505-2E9C-101B-9397-08002B2CF9AE}" pid="8" name="IssuerID">
    <vt:lpwstr/>
  </property>
  <property fmtid="{D5CDD505-2E9C-101B-9397-08002B2CF9AE}" pid="9" name="JobContentType">
    <vt:lpwstr/>
  </property>
  <property fmtid="{D5CDD505-2E9C-101B-9397-08002B2CF9AE}" pid="10" name="Organisation">
    <vt:lpwstr/>
  </property>
  <property fmtid="{D5CDD505-2E9C-101B-9397-08002B2CF9AE}" pid="11" name="MediaServiceImageTags">
    <vt:lpwstr/>
  </property>
  <property fmtid="{D5CDD505-2E9C-101B-9397-08002B2CF9AE}" pid="12" name="JobType">
    <vt:lpwstr/>
  </property>
  <property fmtid="{D5CDD505-2E9C-101B-9397-08002B2CF9AE}" pid="13" name="Contact">
    <vt:lpwstr/>
  </property>
  <property fmtid="{D5CDD505-2E9C-101B-9397-08002B2CF9AE}" pid="15" name="IssuerName">
    <vt:lpwstr/>
  </property>
</Properties>
</file>