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0275" w14:textId="6F5A98B3" w:rsidR="00AD571F" w:rsidRPr="00B24F2F" w:rsidRDefault="00AD571F" w:rsidP="00B24F2F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B24F2F">
        <w:rPr>
          <w:rFonts w:ascii="Arial" w:hAnsi="Arial" w:cs="Arial"/>
          <w:b/>
          <w:bCs/>
          <w:sz w:val="20"/>
          <w:szCs w:val="20"/>
        </w:rPr>
        <w:t>Notification and public disclosure of transactions by persons discharging managerial responsibilities and persons closely associated with them</w:t>
      </w:r>
    </w:p>
    <w:p w14:paraId="3C369DCD" w14:textId="4519A649" w:rsidR="00037A30" w:rsidRDefault="001352F9" w:rsidP="00A43DDA">
      <w:pPr>
        <w:pStyle w:val="v"/>
        <w:jc w:val="both"/>
        <w:rPr>
          <w:rFonts w:ascii="Arial" w:hAnsi="Arial" w:cs="Arial"/>
          <w:sz w:val="20"/>
          <w:szCs w:val="20"/>
        </w:rPr>
      </w:pPr>
      <w:r w:rsidRPr="001352F9">
        <w:rPr>
          <w:rFonts w:ascii="Arial" w:hAnsi="Arial" w:cs="Arial"/>
          <w:sz w:val="20"/>
          <w:szCs w:val="20"/>
        </w:rPr>
        <w:t>This form is required for disclosure of transactions</w:t>
      </w:r>
      <w:r>
        <w:rPr>
          <w:rFonts w:ascii="Arial" w:hAnsi="Arial" w:cs="Arial"/>
          <w:sz w:val="20"/>
          <w:szCs w:val="20"/>
        </w:rPr>
        <w:t xml:space="preserve"> under</w:t>
      </w:r>
      <w:r w:rsidRPr="001352F9">
        <w:rPr>
          <w:rFonts w:ascii="Arial" w:hAnsi="Arial" w:cs="Arial"/>
          <w:sz w:val="20"/>
          <w:szCs w:val="20"/>
        </w:rPr>
        <w:t xml:space="preserve"> </w:t>
      </w:r>
      <w:r w:rsidR="00037A30" w:rsidRPr="00037A30">
        <w:rPr>
          <w:rFonts w:ascii="Arial" w:hAnsi="Arial" w:cs="Arial"/>
          <w:sz w:val="20"/>
          <w:szCs w:val="20"/>
        </w:rPr>
        <w:t>Article 19 of Regulation (EU) No 596/2014 of the European Parliament and of the Council of 16 April 2014 on market abuse (“Market Abuse Regulation”)</w:t>
      </w:r>
    </w:p>
    <w:p w14:paraId="446CA196" w14:textId="77777777" w:rsidR="00B24F2F" w:rsidRPr="00B24F2F" w:rsidRDefault="00B24F2F" w:rsidP="00B24F2F">
      <w:pPr>
        <w:pStyle w:val="v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W w:w="9029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2051"/>
        <w:gridCol w:w="6584"/>
      </w:tblGrid>
      <w:tr w:rsidR="00037A30" w:rsidRPr="00037A30" w14:paraId="46D4592D" w14:textId="77777777" w:rsidTr="00037A30"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08B6E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1</w:t>
            </w:r>
          </w:p>
        </w:tc>
        <w:tc>
          <w:tcPr>
            <w:tcW w:w="8635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1B927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Details of the person discharging managerial responsibilities/person closely associated</w:t>
            </w:r>
          </w:p>
          <w:p w14:paraId="7C28DDDD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 </w:t>
            </w:r>
          </w:p>
        </w:tc>
      </w:tr>
      <w:tr w:rsidR="00037A30" w:rsidRPr="00037A30" w14:paraId="7BA9A498" w14:textId="77777777" w:rsidTr="00F44194">
        <w:tc>
          <w:tcPr>
            <w:tcW w:w="39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F0C8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a)</w:t>
            </w:r>
          </w:p>
        </w:tc>
        <w:tc>
          <w:tcPr>
            <w:tcW w:w="205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B15E7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Name</w:t>
            </w:r>
          </w:p>
        </w:tc>
        <w:tc>
          <w:tcPr>
            <w:tcW w:w="6584" w:type="dxa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F6745" w14:textId="3D0432B5" w:rsidR="00037A30" w:rsidRPr="00294342" w:rsidRDefault="00037A30" w:rsidP="00037A30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Mark Kenney</w:t>
            </w:r>
          </w:p>
        </w:tc>
      </w:tr>
      <w:tr w:rsidR="00037A30" w:rsidRPr="00037A30" w14:paraId="61F559D6" w14:textId="77777777" w:rsidTr="00037A30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C55F4" w14:textId="77777777" w:rsidR="00037A30" w:rsidRPr="00037A30" w:rsidRDefault="00037A30" w:rsidP="00037A30">
            <w:pPr>
              <w:spacing w:after="0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1A397E" w14:textId="77777777" w:rsidR="00037A30" w:rsidRPr="00037A30" w:rsidRDefault="00037A30" w:rsidP="00037A30">
            <w:pPr>
              <w:spacing w:after="0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9E65" w14:textId="77777777" w:rsidR="00037A30" w:rsidRPr="00294342" w:rsidRDefault="00037A30" w:rsidP="00037A30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 </w:t>
            </w:r>
          </w:p>
        </w:tc>
      </w:tr>
      <w:tr w:rsidR="00037A30" w:rsidRPr="00037A30" w14:paraId="286CE0ED" w14:textId="77777777" w:rsidTr="00037A30"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5C15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2</w:t>
            </w:r>
          </w:p>
        </w:tc>
        <w:tc>
          <w:tcPr>
            <w:tcW w:w="8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610BD" w14:textId="359DDDDC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Reason for the notification</w:t>
            </w:r>
          </w:p>
        </w:tc>
      </w:tr>
      <w:tr w:rsidR="00037A30" w:rsidRPr="00037A30" w14:paraId="43B33B47" w14:textId="77777777" w:rsidTr="00037A30"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DBBC3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a)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159C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Position/status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B52BE" w14:textId="77777777" w:rsidR="00037A30" w:rsidRPr="00294342" w:rsidRDefault="00037A30" w:rsidP="00037A30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Non-Executive Director</w:t>
            </w:r>
          </w:p>
          <w:p w14:paraId="255EDF8F" w14:textId="67F2D17B" w:rsidR="00616B9F" w:rsidRPr="00202FC9" w:rsidRDefault="00616B9F" w:rsidP="00037A30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212721"/>
                <w:sz w:val="20"/>
                <w:szCs w:val="20"/>
              </w:rPr>
            </w:pPr>
          </w:p>
        </w:tc>
      </w:tr>
      <w:tr w:rsidR="00037A30" w:rsidRPr="00037A30" w14:paraId="308A7FE4" w14:textId="77777777" w:rsidTr="00037A30"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5F3D3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b)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7C81B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Initial Notification Amendment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D7E4E" w14:textId="4785F252" w:rsidR="00037A30" w:rsidRPr="00294342" w:rsidRDefault="00037A30" w:rsidP="00037A30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Initial Notification</w:t>
            </w:r>
          </w:p>
          <w:p w14:paraId="49E35040" w14:textId="77777777" w:rsidR="00037A30" w:rsidRPr="00202FC9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721"/>
                <w:sz w:val="20"/>
                <w:szCs w:val="20"/>
              </w:rPr>
            </w:pPr>
            <w:r w:rsidRPr="00202FC9">
              <w:rPr>
                <w:rFonts w:ascii="Arial" w:eastAsia="Times New Roman" w:hAnsi="Arial" w:cs="Arial"/>
                <w:b/>
                <w:bCs/>
                <w:color w:val="212721"/>
                <w:sz w:val="20"/>
                <w:szCs w:val="20"/>
              </w:rPr>
              <w:t> </w:t>
            </w:r>
          </w:p>
        </w:tc>
      </w:tr>
      <w:tr w:rsidR="00037A30" w:rsidRPr="00037A30" w14:paraId="42EBB5CE" w14:textId="77777777" w:rsidTr="00037A30"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92319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3</w:t>
            </w:r>
          </w:p>
        </w:tc>
        <w:tc>
          <w:tcPr>
            <w:tcW w:w="8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444AF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Details of the issuer, emission allowance market participant, auction platform, auctioneer or auction monitor</w:t>
            </w:r>
          </w:p>
        </w:tc>
      </w:tr>
      <w:tr w:rsidR="00037A30" w:rsidRPr="00037A30" w14:paraId="7641FF1F" w14:textId="77777777" w:rsidTr="00037A30"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A7D92" w14:textId="77777777" w:rsidR="00037A30" w:rsidRPr="00037A30" w:rsidRDefault="00037A30" w:rsidP="00294342">
            <w:pPr>
              <w:spacing w:after="120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a)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2CCC" w14:textId="77777777" w:rsidR="00037A30" w:rsidRPr="00037A30" w:rsidRDefault="00037A30" w:rsidP="00294342">
            <w:pPr>
              <w:spacing w:after="120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Name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0DBF3" w14:textId="086356B2" w:rsidR="00037A30" w:rsidRPr="00294342" w:rsidRDefault="00037A30" w:rsidP="00294342">
            <w:pPr>
              <w:spacing w:after="120" w:line="240" w:lineRule="auto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Irish Residential Properties REIT plc</w:t>
            </w:r>
            <w:r w:rsidR="00FD029D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 (“IRES”)</w:t>
            </w:r>
          </w:p>
          <w:p w14:paraId="1CA80E86" w14:textId="003CEF31" w:rsidR="00616B9F" w:rsidRPr="00294342" w:rsidRDefault="00616B9F" w:rsidP="00294342">
            <w:pPr>
              <w:spacing w:after="120" w:line="240" w:lineRule="auto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</w:p>
        </w:tc>
      </w:tr>
      <w:tr w:rsidR="00037A30" w:rsidRPr="00037A30" w14:paraId="55079F46" w14:textId="77777777" w:rsidTr="00037A30"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53D4C" w14:textId="77777777" w:rsidR="00037A30" w:rsidRPr="00037A30" w:rsidRDefault="00037A30" w:rsidP="00294342">
            <w:pPr>
              <w:spacing w:after="120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b)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D8252" w14:textId="77777777" w:rsidR="00037A30" w:rsidRPr="00037A30" w:rsidRDefault="00037A30" w:rsidP="00294342">
            <w:pPr>
              <w:spacing w:after="120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LEI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6BD68" w14:textId="77777777" w:rsidR="00037A30" w:rsidRPr="00294342" w:rsidRDefault="00037A30" w:rsidP="00294342">
            <w:pPr>
              <w:spacing w:after="120" w:line="240" w:lineRule="auto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635400EOPACLULRENY18</w:t>
            </w:r>
          </w:p>
          <w:p w14:paraId="067BC37F" w14:textId="02EE184C" w:rsidR="00616B9F" w:rsidRPr="00294342" w:rsidRDefault="00616B9F" w:rsidP="00294342">
            <w:pPr>
              <w:spacing w:after="120" w:line="240" w:lineRule="auto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</w:p>
        </w:tc>
      </w:tr>
      <w:tr w:rsidR="00037A30" w:rsidRPr="00037A30" w14:paraId="4AA5B2EF" w14:textId="77777777" w:rsidTr="00037A30">
        <w:trPr>
          <w:trHeight w:val="644"/>
        </w:trPr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62CDA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4</w:t>
            </w:r>
          </w:p>
        </w:tc>
        <w:tc>
          <w:tcPr>
            <w:tcW w:w="86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37AAA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Details of the transaction(s): section to be repeated for (i) each type of instrument; (ii) each type of transaction; (iii) each date; and (iv) each place where transactions have been conducted</w:t>
            </w:r>
          </w:p>
        </w:tc>
      </w:tr>
      <w:tr w:rsidR="00037A30" w:rsidRPr="00037A30" w14:paraId="4940E177" w14:textId="77777777" w:rsidTr="00037A30"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594F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a)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31F91" w14:textId="5D64AA61" w:rsidR="00037A30" w:rsidRPr="00037A30" w:rsidRDefault="0052268F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Description of the financial</w:t>
            </w:r>
            <w:r w:rsidR="00037A30"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 xml:space="preserve"> instrument,</w:t>
            </w:r>
            <w:r w:rsidR="00AD571F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 xml:space="preserve"> </w:t>
            </w:r>
            <w:r w:rsidR="007D66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type</w:t>
            </w:r>
            <w:r w:rsidR="00037A30"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 xml:space="preserve"> of</w:t>
            </w:r>
            <w:r w:rsidR="00AD571F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 xml:space="preserve"> </w:t>
            </w:r>
            <w:r w:rsidR="00037A30"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instrument</w:t>
            </w:r>
          </w:p>
          <w:p w14:paraId="630EDC3C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Identification code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3CC7A" w14:textId="440A6A70" w:rsidR="00037A30" w:rsidRPr="00294342" w:rsidRDefault="00037A30" w:rsidP="00037A30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Options </w:t>
            </w:r>
            <w:r w:rsidR="00202FC9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to subscribe for</w:t>
            </w: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 Ordinary Shares of €0.10 each</w:t>
            </w:r>
            <w:r w:rsidR="008C2720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 </w:t>
            </w:r>
            <w:r w:rsid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(“Ordinary Shares</w:t>
            </w:r>
            <w:r w:rsidR="00EF0018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”</w:t>
            </w:r>
            <w:r w:rsid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)</w:t>
            </w:r>
            <w:r w:rsidR="00EF0018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, </w:t>
            </w:r>
            <w:r w:rsidR="008C2720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(</w:t>
            </w:r>
            <w:r w:rsid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the </w:t>
            </w:r>
            <w:r w:rsidR="008C2720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“Options”)</w:t>
            </w:r>
          </w:p>
          <w:p w14:paraId="36E72225" w14:textId="77777777" w:rsidR="00C61BBC" w:rsidRPr="00294342" w:rsidRDefault="00C61BBC" w:rsidP="00037A30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</w:p>
          <w:p w14:paraId="2C3D5DB6" w14:textId="40A7CF0A" w:rsidR="00037A30" w:rsidRPr="00294342" w:rsidRDefault="00037A30" w:rsidP="00037A30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IE00BJ34P519 </w:t>
            </w:r>
          </w:p>
        </w:tc>
      </w:tr>
      <w:tr w:rsidR="00037A30" w:rsidRPr="00037A30" w14:paraId="3F9EC8BA" w14:textId="77777777" w:rsidTr="00037A30"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65D9B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b)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1F92C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Nature of the transaction  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692E" w14:textId="66AFA9E4" w:rsidR="00037A30" w:rsidRPr="00294342" w:rsidRDefault="00B24F2F" w:rsidP="00037A30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Assignment of Options</w:t>
            </w:r>
          </w:p>
        </w:tc>
      </w:tr>
      <w:tr w:rsidR="00037A30" w:rsidRPr="00037A30" w14:paraId="0134A794" w14:textId="77777777" w:rsidTr="00037A30">
        <w:trPr>
          <w:trHeight w:val="1340"/>
        </w:trPr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75831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c)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F3AB9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Price(s) and volume(s)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CA1B6" w14:textId="7393AFA6" w:rsidR="00037A30" w:rsidRPr="00AC5B83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b/>
                <w:bCs/>
                <w:color w:val="212721"/>
                <w:sz w:val="20"/>
                <w:szCs w:val="20"/>
              </w:rPr>
              <w:t>     </w:t>
            </w:r>
          </w:p>
          <w:tbl>
            <w:tblPr>
              <w:tblW w:w="40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49"/>
              <w:gridCol w:w="2071"/>
            </w:tblGrid>
            <w:tr w:rsidR="00037A30" w:rsidRPr="00AC5B83" w14:paraId="7DC5887F" w14:textId="77777777" w:rsidTr="0052268F">
              <w:tc>
                <w:tcPr>
                  <w:tcW w:w="19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A649A09" w14:textId="77777777" w:rsidR="00037A30" w:rsidRPr="00AC5B83" w:rsidRDefault="00037A30" w:rsidP="00037A30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AC5B8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Price(s)</w:t>
                  </w:r>
                </w:p>
              </w:tc>
              <w:tc>
                <w:tcPr>
                  <w:tcW w:w="2071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07619B8" w14:textId="77777777" w:rsidR="00037A30" w:rsidRPr="00AC5B83" w:rsidRDefault="00037A30" w:rsidP="00037A30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AC5B8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Volume(s)</w:t>
                  </w:r>
                </w:p>
              </w:tc>
            </w:tr>
            <w:tr w:rsidR="00037A30" w:rsidRPr="00AC5B83" w14:paraId="3846B21F" w14:textId="77777777" w:rsidTr="0052268F">
              <w:tblPrEx>
                <w:tblCellMar>
                  <w:left w:w="108" w:type="dxa"/>
                  <w:right w:w="108" w:type="dxa"/>
                </w:tblCellMar>
              </w:tblPrEx>
              <w:tc>
                <w:tcPr>
                  <w:tcW w:w="19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1E127CA1" w14:textId="6F59C867" w:rsidR="00037A30" w:rsidRPr="00AC5B83" w:rsidRDefault="00037A30" w:rsidP="00037A30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AC5B8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€</w:t>
                  </w:r>
                  <w:r w:rsidR="0052268F">
                    <w:rPr>
                      <w:rFonts w:ascii="Calibri" w:hAnsi="Calibri" w:cs="Calibri"/>
                      <w:color w:val="000000"/>
                      <w:lang w:val="en-US"/>
                    </w:rPr>
                    <w:t>0.4770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643F625" w14:textId="499E9F5A" w:rsidR="00037A30" w:rsidRPr="00AC5B83" w:rsidRDefault="00B24F2F" w:rsidP="00037A30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AC5B8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1,000,000 Options</w:t>
                  </w:r>
                </w:p>
              </w:tc>
            </w:tr>
            <w:tr w:rsidR="00037A30" w:rsidRPr="00AC5B83" w14:paraId="19338D93" w14:textId="77777777" w:rsidTr="0052268F">
              <w:tc>
                <w:tcPr>
                  <w:tcW w:w="194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2C3072" w14:textId="77777777" w:rsidR="00037A30" w:rsidRPr="00AC5B83" w:rsidRDefault="00037A30" w:rsidP="00037A30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AC5B8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071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94B4F72" w14:textId="77777777" w:rsidR="00037A30" w:rsidRPr="00AC5B83" w:rsidRDefault="00037A30" w:rsidP="00037A30">
                  <w:pPr>
                    <w:spacing w:after="100" w:afterAutospacing="1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 w:rsidRPr="00AC5B83"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6C5B2F5B" w14:textId="6BD087F1" w:rsidR="00FD029D" w:rsidRPr="00037A30" w:rsidRDefault="00FD029D" w:rsidP="00FD029D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212721"/>
                <w:sz w:val="20"/>
                <w:szCs w:val="20"/>
              </w:rPr>
            </w:pPr>
          </w:p>
        </w:tc>
      </w:tr>
      <w:tr w:rsidR="00037A30" w:rsidRPr="00037A30" w14:paraId="7DF5A5D2" w14:textId="77777777" w:rsidTr="00037A30"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D936F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d)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DEBC9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Aggregated information</w:t>
            </w:r>
          </w:p>
          <w:p w14:paraId="4FAB3085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- Aggregated volume</w:t>
            </w:r>
          </w:p>
          <w:p w14:paraId="7571487D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- Price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A2B62" w14:textId="32D77F7E" w:rsidR="00037A30" w:rsidRDefault="00D11A3B" w:rsidP="00B24F2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N/A</w:t>
            </w:r>
            <w:r w:rsidR="0082268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 xml:space="preserve"> – Single Transaction</w:t>
            </w:r>
          </w:p>
          <w:p w14:paraId="36AF4BA4" w14:textId="54C777B4" w:rsidR="00B24F2F" w:rsidRPr="00037A30" w:rsidRDefault="00B24F2F" w:rsidP="00B24F2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</w:p>
        </w:tc>
      </w:tr>
      <w:tr w:rsidR="00037A30" w:rsidRPr="00037A30" w14:paraId="072B43A0" w14:textId="77777777" w:rsidTr="00037A30"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61EC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e)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85A8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Date of the transaction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C8871" w14:textId="64074E9A" w:rsidR="00037A30" w:rsidRPr="00294342" w:rsidRDefault="00616B9F" w:rsidP="00616B9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20</w:t>
            </w:r>
            <w:r w:rsidR="00037A30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 </w:t>
            </w:r>
            <w:r w:rsidR="00B24F2F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November </w:t>
            </w:r>
            <w:r w:rsidR="00037A30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2020</w:t>
            </w:r>
          </w:p>
        </w:tc>
      </w:tr>
      <w:tr w:rsidR="00037A30" w:rsidRPr="00037A30" w14:paraId="7CBF752D" w14:textId="77777777" w:rsidTr="00037A30"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0C2C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f)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5AC8D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Place of the transaction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B68C8" w14:textId="4BB0C094" w:rsidR="00037A30" w:rsidRPr="00294342" w:rsidRDefault="00037A30" w:rsidP="00AD571F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Outside of a Trading Venue </w:t>
            </w:r>
          </w:p>
        </w:tc>
      </w:tr>
      <w:tr w:rsidR="00037A30" w:rsidRPr="00037A30" w14:paraId="6E3A5582" w14:textId="77777777" w:rsidTr="0052268F">
        <w:tblPrEx>
          <w:tblCellMar>
            <w:left w:w="108" w:type="dxa"/>
            <w:right w:w="108" w:type="dxa"/>
          </w:tblCellMar>
        </w:tblPrEx>
        <w:tc>
          <w:tcPr>
            <w:tcW w:w="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F4C36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lastRenderedPageBreak/>
              <w:t>g)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81BA009" w14:textId="77777777" w:rsidR="00037A30" w:rsidRPr="00037A30" w:rsidRDefault="00037A30" w:rsidP="00037A30">
            <w:pPr>
              <w:spacing w:after="100" w:afterAutospacing="1" w:line="240" w:lineRule="auto"/>
              <w:rPr>
                <w:rFonts w:ascii="Arial" w:eastAsia="Times New Roman" w:hAnsi="Arial" w:cs="Arial"/>
                <w:color w:val="212721"/>
                <w:sz w:val="20"/>
                <w:szCs w:val="20"/>
              </w:rPr>
            </w:pPr>
            <w:r w:rsidRPr="00037A30">
              <w:rPr>
                <w:rFonts w:ascii="Arial" w:eastAsia="Times New Roman" w:hAnsi="Arial" w:cs="Arial"/>
                <w:color w:val="212721"/>
                <w:sz w:val="20"/>
                <w:szCs w:val="20"/>
              </w:rPr>
              <w:t>Additional Information</w:t>
            </w:r>
          </w:p>
        </w:tc>
        <w:tc>
          <w:tcPr>
            <w:tcW w:w="65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F88FA9" w14:textId="159B88DB" w:rsidR="008C2720" w:rsidRPr="00294342" w:rsidRDefault="008C2720" w:rsidP="008C2720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As disclosed in the IRES </w:t>
            </w:r>
            <w:r w:rsidR="00616B9F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announcement</w:t>
            </w:r>
            <w:r w:rsid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 dated </w:t>
            </w:r>
            <w:r w:rsidR="00FD029D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o</w:t>
            </w:r>
            <w:r w:rsidR="00967A3C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n </w:t>
            </w:r>
            <w:r w:rsidR="00FD029D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20</w:t>
            </w:r>
            <w:r w:rsidR="00616B9F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 November 2020, Mark Kenney </w:t>
            </w: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has </w:t>
            </w:r>
            <w:r w:rsidR="00616B9F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assigned </w:t>
            </w: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1,000,000 O</w:t>
            </w:r>
            <w:r w:rsidR="00FD029D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ptions granted </w:t>
            </w: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to him pursuant to the IRES 2014 Long Term Incentive Plan </w:t>
            </w:r>
            <w:r w:rsidR="00294342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on 16 April 2014 </w:t>
            </w: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to CAPREIT</w:t>
            </w:r>
            <w:r w:rsidR="00EF0018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,</w:t>
            </w: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 through CAPREIT’s qualifying investor alternative investment fund, Irish Residenti</w:t>
            </w:r>
            <w:r w:rsidR="00967A3C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al Properties Fund</w:t>
            </w: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. </w:t>
            </w:r>
          </w:p>
          <w:p w14:paraId="7A9CD8E9" w14:textId="1D78337E" w:rsidR="008C2720" w:rsidRPr="00037A30" w:rsidRDefault="008C2720" w:rsidP="00294342">
            <w:pPr>
              <w:spacing w:after="100" w:afterAutospacing="1" w:line="240" w:lineRule="auto"/>
              <w:jc w:val="both"/>
              <w:rPr>
                <w:rFonts w:ascii="Arial" w:eastAsia="Times New Roman" w:hAnsi="Arial" w:cs="Arial"/>
                <w:b/>
                <w:bCs/>
                <w:color w:val="212721"/>
                <w:sz w:val="20"/>
                <w:szCs w:val="20"/>
              </w:rPr>
            </w:pP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The price noted in section (c) above </w:t>
            </w:r>
            <w:r w:rsidR="00294342" w:rsidRPr="0052268F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of </w:t>
            </w:r>
            <w:r w:rsidR="0052268F" w:rsidRPr="0052268F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€</w:t>
            </w:r>
            <w:r w:rsidR="0052268F" w:rsidRPr="0052268F">
              <w:rPr>
                <w:rFonts w:ascii="Calibri" w:hAnsi="Calibri" w:cs="Calibri"/>
                <w:color w:val="000000"/>
                <w:lang w:val="en-US"/>
              </w:rPr>
              <w:t>0</w:t>
            </w:r>
            <w:r w:rsidR="0052268F">
              <w:rPr>
                <w:rFonts w:ascii="Calibri" w:hAnsi="Calibri" w:cs="Calibri"/>
                <w:color w:val="000000"/>
                <w:lang w:val="en-US"/>
              </w:rPr>
              <w:t>.4770</w:t>
            </w:r>
            <w:r w:rsidR="00294342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 per Option, represents </w:t>
            </w: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the difference between the </w:t>
            </w:r>
            <w:r w:rsidR="00294342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exercise price of €1.04 </w:t>
            </w:r>
            <w:r w:rsid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payable under e</w:t>
            </w:r>
            <w:r w:rsidR="00294342"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ach Option, </w:t>
            </w: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and the volume weighted average price of the underlyi</w:t>
            </w:r>
            <w:r w:rsidR="0052268F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ng Ordinary Shares for the </w:t>
            </w:r>
            <w:proofErr w:type="gramStart"/>
            <w:r w:rsidR="0052268F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five </w:t>
            </w:r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>business</w:t>
            </w:r>
            <w:proofErr w:type="gramEnd"/>
            <w:r w:rsidRPr="00294342">
              <w:rPr>
                <w:rFonts w:ascii="Arial" w:eastAsia="Times New Roman" w:hAnsi="Arial" w:cs="Arial"/>
                <w:bCs/>
                <w:color w:val="212721"/>
                <w:sz w:val="20"/>
                <w:szCs w:val="20"/>
              </w:rPr>
              <w:t xml:space="preserve"> day period to close of business on 19 November 2020, being the business day immediately prior to the date of assignment.</w:t>
            </w:r>
          </w:p>
        </w:tc>
      </w:tr>
    </w:tbl>
    <w:p w14:paraId="03CF5BF9" w14:textId="77777777" w:rsidR="00D87F27" w:rsidRDefault="00D87F27" w:rsidP="00AF14F5">
      <w:pPr>
        <w:spacing w:after="0" w:line="240" w:lineRule="auto"/>
      </w:pPr>
    </w:p>
    <w:sectPr w:rsidR="00D8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E6B10" w14:textId="77777777" w:rsidR="000230C2" w:rsidRDefault="000230C2" w:rsidP="00570F35">
      <w:pPr>
        <w:spacing w:after="0" w:line="240" w:lineRule="auto"/>
      </w:pPr>
      <w:r>
        <w:separator/>
      </w:r>
    </w:p>
  </w:endnote>
  <w:endnote w:type="continuationSeparator" w:id="0">
    <w:p w14:paraId="262275C0" w14:textId="77777777" w:rsidR="000230C2" w:rsidRDefault="000230C2" w:rsidP="0057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45 Light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2AF59" w14:textId="77777777" w:rsidR="00435738" w:rsidRPr="00EF0018" w:rsidRDefault="00435738" w:rsidP="00EF00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C8A57" w14:textId="77777777" w:rsidR="00435738" w:rsidRDefault="004357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BB972" w14:textId="77777777" w:rsidR="00435738" w:rsidRPr="00EF0018" w:rsidRDefault="00435738" w:rsidP="00EF00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1E16F" w14:textId="77777777" w:rsidR="000230C2" w:rsidRDefault="000230C2" w:rsidP="00570F35">
      <w:pPr>
        <w:spacing w:after="0" w:line="240" w:lineRule="auto"/>
      </w:pPr>
      <w:r>
        <w:separator/>
      </w:r>
    </w:p>
  </w:footnote>
  <w:footnote w:type="continuationSeparator" w:id="0">
    <w:p w14:paraId="6BC1E6AD" w14:textId="77777777" w:rsidR="000230C2" w:rsidRDefault="000230C2" w:rsidP="0057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A93C3" w14:textId="77777777" w:rsidR="00435738" w:rsidRPr="00EF0018" w:rsidRDefault="00435738" w:rsidP="00EF00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E3069" w14:textId="13D01203" w:rsidR="00570F35" w:rsidRDefault="00570F35" w:rsidP="00570F35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4009F" w14:textId="77777777" w:rsidR="00435738" w:rsidRPr="00EF0018" w:rsidRDefault="00435738" w:rsidP="00EF0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87B63"/>
    <w:multiLevelType w:val="hybridMultilevel"/>
    <w:tmpl w:val="9D0089F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1793"/>
    <w:multiLevelType w:val="hybridMultilevel"/>
    <w:tmpl w:val="2E307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D51F0"/>
    <w:multiLevelType w:val="hybridMultilevel"/>
    <w:tmpl w:val="92B804B4"/>
    <w:lvl w:ilvl="0" w:tplc="1D525B64">
      <w:start w:val="1"/>
      <w:numFmt w:val="decimal"/>
      <w:lvlText w:val="(%1)"/>
      <w:lvlJc w:val="left"/>
      <w:pPr>
        <w:ind w:left="720" w:hanging="360"/>
      </w:pPr>
      <w:rPr>
        <w:rFonts w:eastAsiaTheme="minorEastAsia" w:hint="default"/>
        <w:b w:val="0"/>
        <w:color w:val="auto"/>
        <w:sz w:val="18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AC"/>
    <w:rsid w:val="000230C2"/>
    <w:rsid w:val="00032118"/>
    <w:rsid w:val="00037A30"/>
    <w:rsid w:val="001352F9"/>
    <w:rsid w:val="001563AC"/>
    <w:rsid w:val="001644E3"/>
    <w:rsid w:val="002016E8"/>
    <w:rsid w:val="00202FC9"/>
    <w:rsid w:val="00217F7B"/>
    <w:rsid w:val="0022204B"/>
    <w:rsid w:val="002550E7"/>
    <w:rsid w:val="00294342"/>
    <w:rsid w:val="002B3A0A"/>
    <w:rsid w:val="002E23E4"/>
    <w:rsid w:val="002E2A27"/>
    <w:rsid w:val="002E5873"/>
    <w:rsid w:val="0033045A"/>
    <w:rsid w:val="00343302"/>
    <w:rsid w:val="0035144F"/>
    <w:rsid w:val="003D26A8"/>
    <w:rsid w:val="0042022C"/>
    <w:rsid w:val="00435738"/>
    <w:rsid w:val="00464B39"/>
    <w:rsid w:val="004F1E45"/>
    <w:rsid w:val="0052268F"/>
    <w:rsid w:val="00570F35"/>
    <w:rsid w:val="005D540E"/>
    <w:rsid w:val="00616B9F"/>
    <w:rsid w:val="007445B9"/>
    <w:rsid w:val="007B6D1B"/>
    <w:rsid w:val="007C3F74"/>
    <w:rsid w:val="007D6630"/>
    <w:rsid w:val="007E6D9B"/>
    <w:rsid w:val="00812F73"/>
    <w:rsid w:val="00822680"/>
    <w:rsid w:val="008C2720"/>
    <w:rsid w:val="00967A3C"/>
    <w:rsid w:val="00996D2D"/>
    <w:rsid w:val="009B425E"/>
    <w:rsid w:val="00A00C52"/>
    <w:rsid w:val="00A43DDA"/>
    <w:rsid w:val="00AA049C"/>
    <w:rsid w:val="00AB642F"/>
    <w:rsid w:val="00AC5B83"/>
    <w:rsid w:val="00AC7EC6"/>
    <w:rsid w:val="00AD571F"/>
    <w:rsid w:val="00AF14F5"/>
    <w:rsid w:val="00B217B0"/>
    <w:rsid w:val="00B24F2F"/>
    <w:rsid w:val="00B25F23"/>
    <w:rsid w:val="00BB4F1E"/>
    <w:rsid w:val="00C2448C"/>
    <w:rsid w:val="00C525D7"/>
    <w:rsid w:val="00C61BBC"/>
    <w:rsid w:val="00CA68F7"/>
    <w:rsid w:val="00CC07F0"/>
    <w:rsid w:val="00CC49BA"/>
    <w:rsid w:val="00CD6425"/>
    <w:rsid w:val="00CE6657"/>
    <w:rsid w:val="00D11A3B"/>
    <w:rsid w:val="00D14516"/>
    <w:rsid w:val="00D87F27"/>
    <w:rsid w:val="00E24521"/>
    <w:rsid w:val="00EC418C"/>
    <w:rsid w:val="00EE27C1"/>
    <w:rsid w:val="00EF0018"/>
    <w:rsid w:val="00F409E9"/>
    <w:rsid w:val="00F44194"/>
    <w:rsid w:val="00F55CEF"/>
    <w:rsid w:val="00FD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5130B"/>
  <w15:chartTrackingRefBased/>
  <w15:docId w15:val="{CCD7C45E-E48D-4879-87DF-A98D2EC1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">
    <w:name w:val="v"/>
    <w:basedOn w:val="Normal"/>
    <w:rsid w:val="0015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">
    <w:name w:val="r"/>
    <w:basedOn w:val="DefaultParagraphFont"/>
    <w:rsid w:val="001563AC"/>
  </w:style>
  <w:style w:type="paragraph" w:customStyle="1" w:styleId="w">
    <w:name w:val="w"/>
    <w:basedOn w:val="Normal"/>
    <w:rsid w:val="0015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">
    <w:name w:val="x"/>
    <w:basedOn w:val="Normal"/>
    <w:rsid w:val="00156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">
    <w:name w:val="bc"/>
    <w:basedOn w:val="Normal"/>
    <w:rsid w:val="0003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w">
    <w:name w:val="aw"/>
    <w:basedOn w:val="DefaultParagraphFont"/>
    <w:rsid w:val="00037A30"/>
  </w:style>
  <w:style w:type="paragraph" w:customStyle="1" w:styleId="be">
    <w:name w:val="be"/>
    <w:basedOn w:val="Normal"/>
    <w:rsid w:val="0003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">
    <w:name w:val="bf"/>
    <w:basedOn w:val="Normal"/>
    <w:rsid w:val="0003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">
    <w:name w:val="bg"/>
    <w:basedOn w:val="Normal"/>
    <w:rsid w:val="0003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h">
    <w:name w:val="ah"/>
    <w:basedOn w:val="DefaultParagraphFont"/>
    <w:rsid w:val="00037A30"/>
  </w:style>
  <w:style w:type="paragraph" w:customStyle="1" w:styleId="bh">
    <w:name w:val="bh"/>
    <w:basedOn w:val="Normal"/>
    <w:rsid w:val="0003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i">
    <w:name w:val="bi"/>
    <w:basedOn w:val="Normal"/>
    <w:rsid w:val="0003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j">
    <w:name w:val="bj"/>
    <w:basedOn w:val="Normal"/>
    <w:rsid w:val="0003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k">
    <w:name w:val="bk"/>
    <w:basedOn w:val="Normal"/>
    <w:rsid w:val="0003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">
    <w:name w:val="bl"/>
    <w:basedOn w:val="Normal"/>
    <w:rsid w:val="0003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n">
    <w:name w:val="bn"/>
    <w:basedOn w:val="Normal"/>
    <w:rsid w:val="0003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">
    <w:name w:val="bo"/>
    <w:basedOn w:val="Normal"/>
    <w:rsid w:val="0003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p">
    <w:name w:val="bp"/>
    <w:basedOn w:val="Normal"/>
    <w:rsid w:val="00037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570F35"/>
    <w:pPr>
      <w:spacing w:after="0" w:line="240" w:lineRule="auto"/>
      <w:ind w:left="990"/>
    </w:pPr>
    <w:rPr>
      <w:rFonts w:ascii="Frutiger 45 Light" w:eastAsia="Times New Roman" w:hAnsi="Frutiger 45 Light" w:cs="Times New Roman"/>
      <w:i/>
      <w:sz w:val="16"/>
      <w:szCs w:val="20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570F35"/>
    <w:rPr>
      <w:rFonts w:ascii="Frutiger 45 Light" w:eastAsia="Times New Roman" w:hAnsi="Frutiger 45 Light" w:cs="Times New Roman"/>
      <w:i/>
      <w:sz w:val="16"/>
      <w:szCs w:val="20"/>
      <w:lang w:val="en-GB" w:eastAsia="en-US"/>
    </w:rPr>
  </w:style>
  <w:style w:type="paragraph" w:customStyle="1" w:styleId="Ruledtext">
    <w:name w:val="Ruled_text"/>
    <w:basedOn w:val="Normal"/>
    <w:rsid w:val="00570F35"/>
    <w:pPr>
      <w:spacing w:before="160" w:after="0" w:line="160" w:lineRule="atLeast"/>
      <w:ind w:left="-57"/>
    </w:pPr>
    <w:rPr>
      <w:rFonts w:ascii="Georgia" w:eastAsia="Times New Roman" w:hAnsi="Georgia" w:cs="Times New Roman"/>
      <w:sz w:val="18"/>
      <w:szCs w:val="20"/>
      <w:lang w:val="en-GB" w:eastAsia="en-US"/>
    </w:rPr>
  </w:style>
  <w:style w:type="paragraph" w:customStyle="1" w:styleId="Memobody">
    <w:name w:val="Memo_body"/>
    <w:basedOn w:val="Normal"/>
    <w:rsid w:val="00570F35"/>
    <w:pPr>
      <w:spacing w:before="120" w:after="0" w:line="240" w:lineRule="auto"/>
      <w:ind w:left="-57"/>
    </w:pPr>
    <w:rPr>
      <w:rFonts w:ascii="Georgia" w:eastAsia="Times New Roman" w:hAnsi="Georgia" w:cs="Times New Roman"/>
      <w:sz w:val="18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70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F35"/>
  </w:style>
  <w:style w:type="paragraph" w:styleId="Footer">
    <w:name w:val="footer"/>
    <w:basedOn w:val="Normal"/>
    <w:link w:val="FooterChar"/>
    <w:uiPriority w:val="99"/>
    <w:unhideWhenUsed/>
    <w:rsid w:val="00570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F35"/>
  </w:style>
  <w:style w:type="paragraph" w:styleId="ListParagraph">
    <w:name w:val="List Paragraph"/>
    <w:basedOn w:val="Normal"/>
    <w:uiPriority w:val="34"/>
    <w:qFormat/>
    <w:rsid w:val="00EE27C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C07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7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C07F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24F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F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F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F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F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2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54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2020-11-23T09:04:47+00:00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595ED6F7-6986-47C0-B1A6-D2A026521483}"/>
</file>

<file path=customXml/itemProps2.xml><?xml version="1.0" encoding="utf-8"?>
<ds:datastoreItem xmlns:ds="http://schemas.openxmlformats.org/officeDocument/2006/customXml" ds:itemID="{438D50D4-20F3-466B-89D7-FB1E62721CE1}"/>
</file>

<file path=customXml/itemProps3.xml><?xml version="1.0" encoding="utf-8"?>
<ds:datastoreItem xmlns:ds="http://schemas.openxmlformats.org/officeDocument/2006/customXml" ds:itemID="{B1C972FD-D2A1-46B9-A25E-DD0A33D21789}"/>
</file>

<file path=customXml/itemProps4.xml><?xml version="1.0" encoding="utf-8"?>
<ds:datastoreItem xmlns:ds="http://schemas.openxmlformats.org/officeDocument/2006/customXml" ds:itemID="{5A4E0B9C-2489-4568-ACCB-43390778F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Lenser</dc:creator>
  <cp:keywords/>
  <dc:description/>
  <cp:lastModifiedBy>Elise Lenser</cp:lastModifiedBy>
  <cp:revision>2</cp:revision>
  <dcterms:created xsi:type="dcterms:W3CDTF">2020-11-19T20:56:00Z</dcterms:created>
  <dcterms:modified xsi:type="dcterms:W3CDTF">2020-11-19T20:56:00Z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4" name="IssuerName">
    <vt:lpwstr/>
  </property>
  <property fmtid="{D5CDD505-2E9C-101B-9397-08002B2CF9AE}" pid="5" name="MigrateFolderIssueDetected">
    <vt:bool>false</vt:bool>
  </property>
  <property fmtid="{D5CDD505-2E9C-101B-9397-08002B2CF9AE}" pid="6" name="Order">
    <vt:r8>169286200</vt:r8>
  </property>
  <property fmtid="{D5CDD505-2E9C-101B-9397-08002B2CF9AE}" pid="7" name="JobType">
    <vt:lpwstr/>
  </property>
  <property fmtid="{D5CDD505-2E9C-101B-9397-08002B2CF9AE}" pid="8" name="IssuerID">
    <vt:lpwstr/>
  </property>
  <property fmtid="{D5CDD505-2E9C-101B-9397-08002B2CF9AE}" pid="9" name="SendToWeb">
    <vt:bool>false</vt:bool>
  </property>
  <property fmtid="{D5CDD505-2E9C-101B-9397-08002B2CF9AE}" pid="10" name="JobContentType">
    <vt:lpwstr/>
  </property>
  <property fmtid="{D5CDD505-2E9C-101B-9397-08002B2CF9AE}" pid="11" name="Organisation">
    <vt:lpwstr/>
  </property>
  <property fmtid="{D5CDD505-2E9C-101B-9397-08002B2CF9AE}" pid="12" name="Contact">
    <vt:lpwstr/>
  </property>
  <property fmtid="{D5CDD505-2E9C-101B-9397-08002B2CF9AE}" pid="13" name="MigrateFolderIssueDetected0">
    <vt:bool>false</vt:bool>
  </property>
</Properties>
</file>