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065F2" w14:textId="7B360FB4" w:rsidR="00E21737" w:rsidRPr="002A7DF6" w:rsidRDefault="00E21737" w:rsidP="00A201A5">
      <w:pPr>
        <w:rPr>
          <w:b/>
          <w:bCs/>
          <w:color w:val="FF0000"/>
          <w:sz w:val="20"/>
          <w:szCs w:val="20"/>
        </w:rPr>
      </w:pPr>
      <w:r w:rsidRPr="002A7DF6">
        <w:rPr>
          <w:rStyle w:val="ao"/>
          <w:color w:val="000000"/>
          <w:sz w:val="20"/>
          <w:szCs w:val="20"/>
          <w:lang w:val="en-GB"/>
        </w:rPr>
        <w:t>This announcement contains inside information under Article 17 of Regulation (EU) 596/2014.</w:t>
      </w:r>
      <w:r w:rsidR="002A7DF6" w:rsidRPr="002A7DF6">
        <w:rPr>
          <w:rStyle w:val="ao"/>
          <w:color w:val="000000"/>
          <w:sz w:val="20"/>
          <w:szCs w:val="20"/>
          <w:lang w:val="en-GB"/>
        </w:rPr>
        <w:t xml:space="preserve"> </w:t>
      </w:r>
      <w:r w:rsidR="002A7DF6" w:rsidRPr="002A7DF6">
        <w:rPr>
          <w:rFonts w:cstheme="minorHAnsi"/>
          <w:sz w:val="20"/>
          <w:szCs w:val="20"/>
          <w:lang w:val="en-GB"/>
        </w:rPr>
        <w:t>Upon the publication of this announcement, this inside information is now considered to be in the public domain</w:t>
      </w:r>
    </w:p>
    <w:p w14:paraId="64057030" w14:textId="77777777" w:rsidR="002A7DF6" w:rsidRDefault="002A7DF6" w:rsidP="0087567B">
      <w:pPr>
        <w:spacing w:after="0"/>
        <w:rPr>
          <w:rFonts w:eastAsia="Calibri" w:cs="Times New Roman"/>
          <w:b/>
          <w:color w:val="000000" w:themeColor="text1"/>
          <w:sz w:val="32"/>
          <w:szCs w:val="32"/>
          <w:lang w:eastAsia="en-IE"/>
        </w:rPr>
      </w:pPr>
    </w:p>
    <w:p w14:paraId="5D8910CA" w14:textId="2FCF39FF" w:rsidR="00C24C6C" w:rsidRPr="00794BC4" w:rsidRDefault="00C24C6C" w:rsidP="0087567B">
      <w:pPr>
        <w:spacing w:after="0"/>
        <w:rPr>
          <w:rFonts w:eastAsia="Calibri" w:cs="Times New Roman"/>
          <w:b/>
          <w:color w:val="000000" w:themeColor="text1"/>
          <w:sz w:val="32"/>
          <w:szCs w:val="32"/>
          <w:lang w:eastAsia="en-IE"/>
        </w:rPr>
      </w:pPr>
      <w:r w:rsidRPr="00794BC4">
        <w:rPr>
          <w:rFonts w:eastAsia="Calibri" w:cs="Times New Roman"/>
          <w:b/>
          <w:color w:val="000000" w:themeColor="text1"/>
          <w:sz w:val="32"/>
          <w:szCs w:val="32"/>
          <w:lang w:eastAsia="en-IE"/>
        </w:rPr>
        <w:t xml:space="preserve">Statement by </w:t>
      </w:r>
      <w:r w:rsidR="00833616">
        <w:rPr>
          <w:rFonts w:eastAsia="Calibri" w:cs="Times New Roman"/>
          <w:b/>
          <w:color w:val="000000" w:themeColor="text1"/>
          <w:sz w:val="32"/>
          <w:szCs w:val="32"/>
          <w:lang w:eastAsia="en-IE"/>
        </w:rPr>
        <w:t xml:space="preserve">Permanent TSB Group Holdings </w:t>
      </w:r>
      <w:r w:rsidR="00991DBB">
        <w:rPr>
          <w:rFonts w:eastAsia="Calibri" w:cs="Times New Roman"/>
          <w:b/>
          <w:color w:val="000000" w:themeColor="text1"/>
          <w:sz w:val="32"/>
          <w:szCs w:val="32"/>
          <w:lang w:eastAsia="en-IE"/>
        </w:rPr>
        <w:t>p</w:t>
      </w:r>
      <w:r w:rsidR="00833616">
        <w:rPr>
          <w:rFonts w:eastAsia="Calibri" w:cs="Times New Roman"/>
          <w:b/>
          <w:color w:val="000000" w:themeColor="text1"/>
          <w:sz w:val="32"/>
          <w:szCs w:val="32"/>
          <w:lang w:eastAsia="en-IE"/>
        </w:rPr>
        <w:t xml:space="preserve">lc </w:t>
      </w:r>
    </w:p>
    <w:p w14:paraId="25EA0005" w14:textId="77777777" w:rsidR="00C24C6C" w:rsidRDefault="00C24C6C" w:rsidP="0087567B">
      <w:pPr>
        <w:spacing w:after="0"/>
        <w:rPr>
          <w:rFonts w:eastAsia="Calibri" w:cs="Times New Roman"/>
          <w:b/>
          <w:color w:val="E36C0A" w:themeColor="accent6" w:themeShade="BF"/>
          <w:sz w:val="24"/>
          <w:szCs w:val="24"/>
          <w:lang w:eastAsia="en-IE"/>
        </w:rPr>
      </w:pPr>
    </w:p>
    <w:p w14:paraId="3EBEEFA4" w14:textId="20CEE762" w:rsidR="00C24C6C" w:rsidRPr="00C24C6C" w:rsidRDefault="002A7DF6" w:rsidP="0087567B">
      <w:pPr>
        <w:spacing w:after="0"/>
        <w:rPr>
          <w:rFonts w:eastAsia="Calibri" w:cs="Times New Roman"/>
          <w:b/>
          <w:color w:val="000000" w:themeColor="text1"/>
          <w:sz w:val="24"/>
          <w:szCs w:val="24"/>
          <w:lang w:eastAsia="en-IE"/>
        </w:rPr>
      </w:pPr>
      <w:r>
        <w:rPr>
          <w:rFonts w:eastAsia="Calibri" w:cs="Times New Roman"/>
          <w:b/>
          <w:color w:val="000000" w:themeColor="text1"/>
          <w:sz w:val="24"/>
          <w:szCs w:val="24"/>
          <w:lang w:eastAsia="en-IE"/>
        </w:rPr>
        <w:t>23 July 2021</w:t>
      </w:r>
    </w:p>
    <w:p w14:paraId="759B8C58" w14:textId="77777777" w:rsidR="00C24C6C" w:rsidRDefault="00C24C6C" w:rsidP="0087567B">
      <w:pPr>
        <w:spacing w:after="0"/>
        <w:rPr>
          <w:rFonts w:eastAsia="Calibri" w:cs="Times New Roman"/>
          <w:b/>
          <w:color w:val="E36C0A" w:themeColor="accent6" w:themeShade="BF"/>
          <w:sz w:val="24"/>
          <w:szCs w:val="24"/>
          <w:lang w:eastAsia="en-IE"/>
        </w:rPr>
      </w:pPr>
    </w:p>
    <w:p w14:paraId="7CF679EC" w14:textId="09CA990B" w:rsidR="000373AA" w:rsidRPr="00A201A5" w:rsidRDefault="000373AA" w:rsidP="00A201A5">
      <w:pPr>
        <w:spacing w:after="0"/>
        <w:rPr>
          <w:color w:val="000000" w:themeColor="text1"/>
          <w:sz w:val="32"/>
          <w:szCs w:val="32"/>
        </w:rPr>
      </w:pPr>
      <w:r w:rsidRPr="00A201A5">
        <w:rPr>
          <w:rFonts w:eastAsia="Calibri" w:cs="Times New Roman"/>
          <w:b/>
          <w:color w:val="000000" w:themeColor="text1"/>
          <w:sz w:val="32"/>
          <w:szCs w:val="32"/>
          <w:lang w:eastAsia="en-IE"/>
        </w:rPr>
        <w:t>Memorandum of Understanding</w:t>
      </w:r>
      <w:r w:rsidR="00035DC4" w:rsidRPr="00A201A5">
        <w:rPr>
          <w:rFonts w:eastAsia="Calibri" w:cs="Times New Roman"/>
          <w:b/>
          <w:color w:val="000000" w:themeColor="text1"/>
          <w:sz w:val="32"/>
          <w:szCs w:val="32"/>
          <w:lang w:eastAsia="en-IE"/>
        </w:rPr>
        <w:t xml:space="preserve"> signed between Pe</w:t>
      </w:r>
      <w:r w:rsidR="00833616" w:rsidRPr="00A201A5">
        <w:rPr>
          <w:rFonts w:eastAsia="Calibri" w:cs="Times New Roman"/>
          <w:b/>
          <w:color w:val="000000" w:themeColor="text1"/>
          <w:sz w:val="32"/>
          <w:szCs w:val="32"/>
          <w:lang w:eastAsia="en-IE"/>
        </w:rPr>
        <w:t xml:space="preserve">rmanent TSB </w:t>
      </w:r>
      <w:r w:rsidR="00991DBB" w:rsidRPr="00A201A5">
        <w:rPr>
          <w:rFonts w:eastAsia="Calibri" w:cs="Times New Roman"/>
          <w:b/>
          <w:color w:val="000000" w:themeColor="text1"/>
          <w:sz w:val="32"/>
          <w:szCs w:val="32"/>
          <w:lang w:eastAsia="en-IE"/>
        </w:rPr>
        <w:t>p</w:t>
      </w:r>
      <w:r w:rsidR="00B6699F" w:rsidRPr="00A201A5">
        <w:rPr>
          <w:rFonts w:eastAsia="Calibri" w:cs="Times New Roman"/>
          <w:b/>
          <w:color w:val="000000" w:themeColor="text1"/>
          <w:sz w:val="32"/>
          <w:szCs w:val="32"/>
          <w:lang w:eastAsia="en-IE"/>
        </w:rPr>
        <w:t>lc</w:t>
      </w:r>
      <w:r w:rsidR="00904BD2" w:rsidRPr="00A201A5">
        <w:rPr>
          <w:rFonts w:eastAsia="Calibri" w:cs="Times New Roman"/>
          <w:b/>
          <w:color w:val="000000" w:themeColor="text1"/>
          <w:sz w:val="32"/>
          <w:szCs w:val="32"/>
          <w:lang w:eastAsia="en-IE"/>
        </w:rPr>
        <w:t>,</w:t>
      </w:r>
      <w:r w:rsidR="00833616" w:rsidRPr="00A201A5">
        <w:rPr>
          <w:b/>
          <w:bCs/>
          <w:color w:val="000000" w:themeColor="text1"/>
          <w:sz w:val="32"/>
          <w:szCs w:val="32"/>
        </w:rPr>
        <w:t xml:space="preserve"> NatWest Group </w:t>
      </w:r>
      <w:r w:rsidR="00991DBB" w:rsidRPr="00A201A5">
        <w:rPr>
          <w:b/>
          <w:bCs/>
          <w:color w:val="000000" w:themeColor="text1"/>
          <w:sz w:val="32"/>
          <w:szCs w:val="32"/>
        </w:rPr>
        <w:t>p</w:t>
      </w:r>
      <w:r w:rsidR="00833616" w:rsidRPr="00A201A5">
        <w:rPr>
          <w:b/>
          <w:bCs/>
          <w:color w:val="000000" w:themeColor="text1"/>
          <w:sz w:val="32"/>
          <w:szCs w:val="32"/>
        </w:rPr>
        <w:t>lc</w:t>
      </w:r>
      <w:r w:rsidR="00833616" w:rsidRPr="00A201A5">
        <w:rPr>
          <w:color w:val="000000" w:themeColor="text1"/>
          <w:sz w:val="32"/>
          <w:szCs w:val="32"/>
        </w:rPr>
        <w:t xml:space="preserve"> </w:t>
      </w:r>
      <w:r w:rsidR="00904BD2" w:rsidRPr="00A201A5">
        <w:rPr>
          <w:rFonts w:eastAsia="Calibri" w:cs="Times New Roman"/>
          <w:b/>
          <w:color w:val="000000" w:themeColor="text1"/>
          <w:sz w:val="32"/>
          <w:szCs w:val="32"/>
          <w:lang w:eastAsia="en-IE"/>
        </w:rPr>
        <w:t xml:space="preserve">and </w:t>
      </w:r>
      <w:r w:rsidR="00833616" w:rsidRPr="00A201A5">
        <w:rPr>
          <w:b/>
          <w:bCs/>
          <w:color w:val="000000" w:themeColor="text1"/>
          <w:sz w:val="32"/>
          <w:szCs w:val="32"/>
        </w:rPr>
        <w:t>Ulster Bank Ireland DAC</w:t>
      </w:r>
      <w:r w:rsidR="00833616" w:rsidRPr="00A201A5">
        <w:rPr>
          <w:color w:val="000000" w:themeColor="text1"/>
          <w:sz w:val="32"/>
          <w:szCs w:val="32"/>
        </w:rPr>
        <w:t xml:space="preserve"> </w:t>
      </w:r>
    </w:p>
    <w:p w14:paraId="3C5DE050" w14:textId="78732211" w:rsidR="00014C0E" w:rsidRDefault="00014C0E" w:rsidP="0087567B">
      <w:pPr>
        <w:spacing w:after="0"/>
        <w:rPr>
          <w:color w:val="000000" w:themeColor="text1"/>
          <w:sz w:val="32"/>
          <w:szCs w:val="32"/>
        </w:rPr>
      </w:pPr>
    </w:p>
    <w:p w14:paraId="73EEF18A" w14:textId="28466B48" w:rsidR="00014C0E" w:rsidRPr="002A7DF6" w:rsidRDefault="00FE0954" w:rsidP="002A7DF6">
      <w:pPr>
        <w:spacing w:after="0"/>
        <w:rPr>
          <w:color w:val="000000" w:themeColor="text1"/>
        </w:rPr>
      </w:pPr>
      <w:r w:rsidRPr="002A7DF6">
        <w:rPr>
          <w:color w:val="000000" w:themeColor="text1"/>
        </w:rPr>
        <w:t xml:space="preserve">Potential Transaction </w:t>
      </w:r>
      <w:r w:rsidR="00014C0E" w:rsidRPr="002A7DF6">
        <w:rPr>
          <w:color w:val="000000" w:themeColor="text1"/>
        </w:rPr>
        <w:t xml:space="preserve">envisages Permanent TSB acquiring </w:t>
      </w:r>
      <w:r w:rsidR="00B502DE" w:rsidRPr="002A7DF6">
        <w:rPr>
          <w:color w:val="000000" w:themeColor="text1"/>
        </w:rPr>
        <w:t>c.</w:t>
      </w:r>
      <w:r w:rsidR="002A7DF6" w:rsidRPr="002A7DF6">
        <w:rPr>
          <w:color w:val="000000" w:themeColor="text1"/>
        </w:rPr>
        <w:t xml:space="preserve"> </w:t>
      </w:r>
      <w:r w:rsidR="00913224" w:rsidRPr="002A7DF6">
        <w:rPr>
          <w:color w:val="000000" w:themeColor="text1"/>
        </w:rPr>
        <w:t>€</w:t>
      </w:r>
      <w:r w:rsidR="00FE7BCA" w:rsidRPr="002A7DF6">
        <w:rPr>
          <w:color w:val="000000" w:themeColor="text1"/>
        </w:rPr>
        <w:t>7</w:t>
      </w:r>
      <w:r w:rsidR="00913224" w:rsidRPr="002A7DF6">
        <w:rPr>
          <w:color w:val="000000" w:themeColor="text1"/>
        </w:rPr>
        <w:t>.</w:t>
      </w:r>
      <w:r w:rsidR="00FE7BCA" w:rsidRPr="002A7DF6">
        <w:rPr>
          <w:color w:val="000000" w:themeColor="text1"/>
        </w:rPr>
        <w:t>6</w:t>
      </w:r>
      <w:r w:rsidR="00014C0E" w:rsidRPr="002A7DF6">
        <w:rPr>
          <w:color w:val="000000" w:themeColor="text1"/>
        </w:rPr>
        <w:t xml:space="preserve"> billion of </w:t>
      </w:r>
      <w:r w:rsidRPr="002A7DF6">
        <w:rPr>
          <w:color w:val="000000" w:themeColor="text1"/>
        </w:rPr>
        <w:t xml:space="preserve">assets </w:t>
      </w:r>
      <w:r w:rsidR="00014C0E" w:rsidRPr="002A7DF6">
        <w:rPr>
          <w:color w:val="000000" w:themeColor="text1"/>
        </w:rPr>
        <w:t>from Ulster Bank</w:t>
      </w:r>
      <w:r w:rsidR="002A7DF6">
        <w:rPr>
          <w:color w:val="000000" w:themeColor="text1"/>
        </w:rPr>
        <w:t>.</w:t>
      </w:r>
    </w:p>
    <w:p w14:paraId="69D910B9" w14:textId="476378ED" w:rsidR="00014C0E" w:rsidRPr="00A201A5" w:rsidRDefault="00014C0E" w:rsidP="0087567B">
      <w:pPr>
        <w:spacing w:after="0"/>
        <w:rPr>
          <w:color w:val="000000" w:themeColor="text1"/>
          <w:sz w:val="28"/>
          <w:szCs w:val="28"/>
        </w:rPr>
      </w:pPr>
    </w:p>
    <w:p w14:paraId="0913CA41" w14:textId="7888CDA3" w:rsidR="00035DC4" w:rsidRPr="00991DBB" w:rsidRDefault="00991DBB" w:rsidP="00EF3C63">
      <w:pPr>
        <w:spacing w:after="0"/>
        <w:jc w:val="both"/>
        <w:rPr>
          <w:rFonts w:eastAsia="Calibri" w:cstheme="minorHAnsi"/>
          <w:color w:val="000000" w:themeColor="text1"/>
          <w:lang w:eastAsia="en-IE"/>
        </w:rPr>
      </w:pPr>
      <w:r w:rsidRPr="00991DBB">
        <w:rPr>
          <w:iCs/>
        </w:rPr>
        <w:t>Permanent TSB Group Holdings plc</w:t>
      </w:r>
      <w:r w:rsidR="009E4E1D">
        <w:rPr>
          <w:iCs/>
        </w:rPr>
        <w:t xml:space="preserve"> (“</w:t>
      </w:r>
      <w:bookmarkStart w:id="0" w:name="_Hlk76995836"/>
      <w:r w:rsidR="009E4E1D">
        <w:rPr>
          <w:iCs/>
        </w:rPr>
        <w:t>PTSB Holdings</w:t>
      </w:r>
      <w:bookmarkEnd w:id="0"/>
      <w:r w:rsidR="009E4E1D">
        <w:rPr>
          <w:iCs/>
        </w:rPr>
        <w:t>”)</w:t>
      </w:r>
      <w:r w:rsidRPr="00991DBB">
        <w:rPr>
          <w:iCs/>
        </w:rPr>
        <w:t xml:space="preserve"> announces that </w:t>
      </w:r>
      <w:r w:rsidR="00AE6D46" w:rsidRPr="00991DBB">
        <w:rPr>
          <w:iCs/>
        </w:rPr>
        <w:t>Permanent TSB plc (“Permanent TSB” or the “Bank”), a wholly owned subsidiary</w:t>
      </w:r>
      <w:r w:rsidR="00AE6D46">
        <w:rPr>
          <w:iCs/>
        </w:rPr>
        <w:t>,</w:t>
      </w:r>
      <w:r w:rsidR="00AE6D46" w:rsidRPr="00991DBB">
        <w:rPr>
          <w:iCs/>
        </w:rPr>
        <w:t xml:space="preserve"> </w:t>
      </w:r>
      <w:r w:rsidRPr="00991DBB">
        <w:rPr>
          <w:iCs/>
        </w:rPr>
        <w:t>has entered into</w:t>
      </w:r>
      <w:r w:rsidRPr="00991DBB">
        <w:rPr>
          <w:i/>
          <w:iCs/>
        </w:rPr>
        <w:t xml:space="preserve"> </w:t>
      </w:r>
      <w:r w:rsidR="00035DC4" w:rsidRPr="00991DBB">
        <w:rPr>
          <w:rFonts w:eastAsia="Calibri" w:cstheme="minorHAnsi"/>
          <w:color w:val="000000" w:themeColor="text1"/>
          <w:lang w:eastAsia="en-IE"/>
        </w:rPr>
        <w:t xml:space="preserve">a </w:t>
      </w:r>
      <w:r w:rsidR="001C715A" w:rsidRPr="00991DBB">
        <w:rPr>
          <w:rFonts w:eastAsia="Calibri" w:cstheme="minorHAnsi"/>
          <w:color w:val="000000" w:themeColor="text1"/>
          <w:lang w:eastAsia="en-IE"/>
        </w:rPr>
        <w:t xml:space="preserve">non-binding </w:t>
      </w:r>
      <w:r w:rsidR="00035DC4" w:rsidRPr="00991DBB">
        <w:rPr>
          <w:rFonts w:eastAsia="Calibri" w:cstheme="minorHAnsi"/>
          <w:color w:val="000000" w:themeColor="text1"/>
          <w:lang w:eastAsia="en-IE"/>
        </w:rPr>
        <w:t>Memorandum of Understanding (</w:t>
      </w:r>
      <w:r w:rsidR="00E9751B" w:rsidRPr="00991DBB">
        <w:rPr>
          <w:rFonts w:eastAsia="Calibri" w:cstheme="minorHAnsi"/>
          <w:color w:val="000000" w:themeColor="text1"/>
          <w:lang w:eastAsia="en-IE"/>
        </w:rPr>
        <w:t>the “</w:t>
      </w:r>
      <w:r w:rsidR="00035DC4" w:rsidRPr="00991DBB">
        <w:rPr>
          <w:rFonts w:eastAsia="Calibri" w:cstheme="minorHAnsi"/>
          <w:color w:val="000000" w:themeColor="text1"/>
          <w:lang w:eastAsia="en-IE"/>
        </w:rPr>
        <w:t>MOU</w:t>
      </w:r>
      <w:r w:rsidR="00E9751B" w:rsidRPr="00991DBB">
        <w:rPr>
          <w:rFonts w:eastAsia="Calibri" w:cstheme="minorHAnsi"/>
          <w:color w:val="000000" w:themeColor="text1"/>
          <w:lang w:eastAsia="en-IE"/>
        </w:rPr>
        <w:t>”</w:t>
      </w:r>
      <w:r w:rsidR="00035DC4" w:rsidRPr="00991DBB">
        <w:rPr>
          <w:rFonts w:eastAsia="Calibri" w:cstheme="minorHAnsi"/>
          <w:color w:val="000000" w:themeColor="text1"/>
          <w:lang w:eastAsia="en-IE"/>
        </w:rPr>
        <w:t>)</w:t>
      </w:r>
      <w:r w:rsidR="001125DE" w:rsidRPr="00991DBB">
        <w:rPr>
          <w:rFonts w:eastAsia="Calibri" w:cstheme="minorHAnsi"/>
          <w:color w:val="000000" w:themeColor="text1"/>
          <w:lang w:eastAsia="en-IE"/>
        </w:rPr>
        <w:t xml:space="preserve"> with</w:t>
      </w:r>
      <w:r w:rsidR="00833616" w:rsidRPr="00991DBB">
        <w:rPr>
          <w:rFonts w:eastAsia="Calibri" w:cstheme="minorHAnsi"/>
          <w:color w:val="000000" w:themeColor="text1"/>
          <w:lang w:eastAsia="en-IE"/>
        </w:rPr>
        <w:t xml:space="preserve"> NatWest Group Plc</w:t>
      </w:r>
      <w:r w:rsidR="001125DE" w:rsidRPr="00991DBB">
        <w:rPr>
          <w:rFonts w:eastAsia="Calibri" w:cstheme="minorHAnsi"/>
          <w:color w:val="000000" w:themeColor="text1"/>
          <w:lang w:eastAsia="en-IE"/>
        </w:rPr>
        <w:t xml:space="preserve"> </w:t>
      </w:r>
      <w:r>
        <w:rPr>
          <w:color w:val="000000" w:themeColor="text1"/>
        </w:rPr>
        <w:t>(“NatWest” or “</w:t>
      </w:r>
      <w:proofErr w:type="spellStart"/>
      <w:r>
        <w:rPr>
          <w:color w:val="000000" w:themeColor="text1"/>
        </w:rPr>
        <w:t>NWG</w:t>
      </w:r>
      <w:proofErr w:type="spellEnd"/>
      <w:r>
        <w:rPr>
          <w:color w:val="000000" w:themeColor="text1"/>
        </w:rPr>
        <w:t xml:space="preserve">”) </w:t>
      </w:r>
      <w:r w:rsidR="00833616" w:rsidRPr="00991DBB">
        <w:rPr>
          <w:rFonts w:eastAsia="Calibri" w:cstheme="minorHAnsi"/>
          <w:color w:val="000000" w:themeColor="text1"/>
          <w:lang w:eastAsia="en-IE"/>
        </w:rPr>
        <w:t>and</w:t>
      </w:r>
      <w:r w:rsidR="00B6699F" w:rsidRPr="00991DBB">
        <w:rPr>
          <w:rFonts w:eastAsia="Calibri" w:cstheme="minorHAnsi"/>
          <w:color w:val="000000" w:themeColor="text1"/>
          <w:lang w:eastAsia="en-IE"/>
        </w:rPr>
        <w:t xml:space="preserve"> </w:t>
      </w:r>
      <w:r w:rsidR="00B6699F" w:rsidRPr="00991DBB">
        <w:rPr>
          <w:bCs/>
          <w:color w:val="000000" w:themeColor="text1"/>
        </w:rPr>
        <w:t>Ulster Bank Ireland DAC</w:t>
      </w:r>
      <w:r w:rsidR="00B6699F" w:rsidRPr="00991DBB">
        <w:rPr>
          <w:color w:val="000000" w:themeColor="text1"/>
        </w:rPr>
        <w:t xml:space="preserve"> (“Ulster Bank” or “UB”)</w:t>
      </w:r>
      <w:r w:rsidR="001A6C6F" w:rsidRPr="00991DBB">
        <w:rPr>
          <w:rFonts w:eastAsia="Calibri" w:cstheme="minorHAnsi"/>
          <w:color w:val="000000" w:themeColor="text1"/>
          <w:lang w:eastAsia="en-IE"/>
        </w:rPr>
        <w:t xml:space="preserve"> regarding a potential </w:t>
      </w:r>
      <w:r w:rsidR="005F4A3F" w:rsidRPr="00991DBB">
        <w:rPr>
          <w:rFonts w:eastAsia="Calibri" w:cstheme="minorHAnsi"/>
          <w:color w:val="000000" w:themeColor="text1"/>
          <w:lang w:eastAsia="en-IE"/>
        </w:rPr>
        <w:t xml:space="preserve">acquisition involving </w:t>
      </w:r>
      <w:r w:rsidR="00847735" w:rsidRPr="00991DBB">
        <w:rPr>
          <w:rFonts w:eastAsia="Calibri" w:cstheme="minorHAnsi"/>
          <w:color w:val="000000" w:themeColor="text1"/>
          <w:lang w:eastAsia="en-IE"/>
        </w:rPr>
        <w:t>certain</w:t>
      </w:r>
      <w:r w:rsidR="007B6D67" w:rsidRPr="00991DBB">
        <w:rPr>
          <w:rFonts w:eastAsia="Calibri" w:cstheme="minorHAnsi"/>
          <w:color w:val="000000" w:themeColor="text1"/>
          <w:lang w:eastAsia="en-IE"/>
        </w:rPr>
        <w:t xml:space="preserve"> elements </w:t>
      </w:r>
      <w:r w:rsidR="00847735" w:rsidRPr="00991DBB">
        <w:rPr>
          <w:rFonts w:eastAsia="Calibri" w:cstheme="minorHAnsi"/>
          <w:color w:val="000000" w:themeColor="text1"/>
          <w:lang w:eastAsia="en-IE"/>
        </w:rPr>
        <w:t xml:space="preserve">of </w:t>
      </w:r>
      <w:r w:rsidR="00B6699F" w:rsidRPr="00991DBB">
        <w:rPr>
          <w:rFonts w:eastAsia="Calibri" w:cstheme="minorHAnsi"/>
          <w:color w:val="000000" w:themeColor="text1"/>
          <w:lang w:eastAsia="en-IE"/>
        </w:rPr>
        <w:t xml:space="preserve">the Ulster Bank </w:t>
      </w:r>
      <w:r w:rsidR="001C715A" w:rsidRPr="00991DBB">
        <w:rPr>
          <w:rFonts w:eastAsia="Calibri" w:cstheme="minorHAnsi"/>
          <w:color w:val="000000" w:themeColor="text1"/>
          <w:lang w:eastAsia="en-IE"/>
        </w:rPr>
        <w:t>R</w:t>
      </w:r>
      <w:r w:rsidR="00847735" w:rsidRPr="00991DBB">
        <w:rPr>
          <w:rFonts w:eastAsia="Calibri" w:cstheme="minorHAnsi"/>
          <w:color w:val="000000" w:themeColor="text1"/>
          <w:lang w:eastAsia="en-IE"/>
        </w:rPr>
        <w:t>etail and SME business in the Republic of Ireland</w:t>
      </w:r>
      <w:r w:rsidR="00335239">
        <w:rPr>
          <w:rFonts w:eastAsia="Calibri" w:cstheme="minorHAnsi"/>
          <w:color w:val="000000" w:themeColor="text1"/>
          <w:lang w:eastAsia="en-IE"/>
        </w:rPr>
        <w:t xml:space="preserve"> (the “</w:t>
      </w:r>
      <w:r w:rsidR="00FE0954">
        <w:rPr>
          <w:rFonts w:eastAsia="Calibri" w:cstheme="minorHAnsi"/>
          <w:color w:val="000000" w:themeColor="text1"/>
          <w:lang w:eastAsia="en-IE"/>
        </w:rPr>
        <w:t>P</w:t>
      </w:r>
      <w:r w:rsidR="00335239">
        <w:rPr>
          <w:rFonts w:eastAsia="Calibri" w:cstheme="minorHAnsi"/>
          <w:color w:val="000000" w:themeColor="text1"/>
          <w:lang w:eastAsia="en-IE"/>
        </w:rPr>
        <w:t xml:space="preserve">otential </w:t>
      </w:r>
      <w:r w:rsidR="00FE0954">
        <w:rPr>
          <w:rFonts w:eastAsia="Calibri" w:cstheme="minorHAnsi"/>
          <w:color w:val="000000" w:themeColor="text1"/>
          <w:lang w:eastAsia="en-IE"/>
        </w:rPr>
        <w:t>T</w:t>
      </w:r>
      <w:r w:rsidR="0000580E" w:rsidRPr="00991DBB">
        <w:rPr>
          <w:rFonts w:eastAsia="Calibri" w:cstheme="minorHAnsi"/>
          <w:color w:val="000000" w:themeColor="text1"/>
          <w:lang w:eastAsia="en-IE"/>
        </w:rPr>
        <w:t>ransaction”)</w:t>
      </w:r>
      <w:r w:rsidR="00847735" w:rsidRPr="00991DBB">
        <w:rPr>
          <w:rFonts w:eastAsia="Calibri" w:cstheme="minorHAnsi"/>
          <w:color w:val="000000" w:themeColor="text1"/>
          <w:lang w:eastAsia="en-IE"/>
        </w:rPr>
        <w:t xml:space="preserve">. </w:t>
      </w:r>
    </w:p>
    <w:p w14:paraId="1FA2B2E4" w14:textId="3C2B16AE" w:rsidR="00035DC4" w:rsidRPr="00812963" w:rsidRDefault="00035DC4" w:rsidP="00EF3C63">
      <w:pPr>
        <w:pStyle w:val="ListParagraph"/>
        <w:spacing w:after="0"/>
        <w:jc w:val="both"/>
        <w:rPr>
          <w:rFonts w:eastAsia="Calibri" w:cstheme="minorHAnsi"/>
          <w:sz w:val="20"/>
          <w:szCs w:val="20"/>
          <w:lang w:eastAsia="en-IE"/>
        </w:rPr>
      </w:pPr>
    </w:p>
    <w:p w14:paraId="3077B54A" w14:textId="543D6935" w:rsidR="006453A6" w:rsidRPr="006453A6" w:rsidRDefault="006453A6" w:rsidP="00EF3C63">
      <w:pPr>
        <w:spacing w:after="0"/>
        <w:jc w:val="both"/>
        <w:rPr>
          <w:rFonts w:eastAsia="Calibri" w:cstheme="minorHAnsi"/>
          <w:b/>
          <w:lang w:eastAsia="en-IE"/>
        </w:rPr>
      </w:pPr>
      <w:r w:rsidRPr="006453A6">
        <w:rPr>
          <w:rFonts w:eastAsia="Calibri" w:cstheme="minorHAnsi"/>
          <w:b/>
          <w:lang w:eastAsia="en-IE"/>
        </w:rPr>
        <w:t>MOU Perimeter</w:t>
      </w:r>
    </w:p>
    <w:p w14:paraId="124DCF29" w14:textId="70A7938D" w:rsidR="00847735" w:rsidRPr="00335239" w:rsidRDefault="00035DC4" w:rsidP="00EF3C63">
      <w:pPr>
        <w:spacing w:after="0"/>
        <w:jc w:val="both"/>
        <w:rPr>
          <w:rFonts w:eastAsia="Calibri" w:cstheme="minorHAnsi"/>
          <w:lang w:eastAsia="en-IE"/>
        </w:rPr>
      </w:pPr>
      <w:r w:rsidRPr="00335239">
        <w:rPr>
          <w:rFonts w:eastAsia="Calibri" w:cstheme="minorHAnsi"/>
          <w:lang w:eastAsia="en-IE"/>
        </w:rPr>
        <w:t xml:space="preserve">The MOU details the </w:t>
      </w:r>
      <w:r w:rsidR="0021773D" w:rsidRPr="00335239">
        <w:rPr>
          <w:rFonts w:eastAsia="Calibri" w:cstheme="minorHAnsi"/>
          <w:lang w:eastAsia="en-IE"/>
        </w:rPr>
        <w:t xml:space="preserve">parties’ intention to work together </w:t>
      </w:r>
      <w:r w:rsidRPr="00335239">
        <w:rPr>
          <w:rFonts w:eastAsia="Calibri" w:cstheme="minorHAnsi"/>
          <w:lang w:eastAsia="en-IE"/>
        </w:rPr>
        <w:t>on the potential acquisition by Pe</w:t>
      </w:r>
      <w:r w:rsidR="00B6699F" w:rsidRPr="00335239">
        <w:rPr>
          <w:rFonts w:eastAsia="Calibri" w:cstheme="minorHAnsi"/>
          <w:lang w:eastAsia="en-IE"/>
        </w:rPr>
        <w:t>rmanent TSB</w:t>
      </w:r>
      <w:r w:rsidR="006E6563" w:rsidRPr="00335239">
        <w:rPr>
          <w:rFonts w:eastAsia="Calibri" w:cstheme="minorHAnsi"/>
          <w:lang w:eastAsia="en-IE"/>
        </w:rPr>
        <w:t xml:space="preserve"> of </w:t>
      </w:r>
      <w:r w:rsidR="000440CE">
        <w:rPr>
          <w:rFonts w:eastAsia="Calibri" w:cstheme="minorHAnsi"/>
          <w:lang w:eastAsia="en-IE"/>
        </w:rPr>
        <w:t xml:space="preserve">circa €7.6 billion of assets from </w:t>
      </w:r>
      <w:r w:rsidR="00847735" w:rsidRPr="00335239">
        <w:rPr>
          <w:rFonts w:eastAsia="Calibri" w:cstheme="minorHAnsi"/>
          <w:lang w:eastAsia="en-IE"/>
        </w:rPr>
        <w:t xml:space="preserve">the following </w:t>
      </w:r>
      <w:r w:rsidR="00904BD2" w:rsidRPr="00335239">
        <w:rPr>
          <w:rFonts w:eastAsia="Calibri" w:cstheme="minorHAnsi"/>
          <w:lang w:eastAsia="en-IE"/>
        </w:rPr>
        <w:t>parts of the U</w:t>
      </w:r>
      <w:r w:rsidR="00B6699F" w:rsidRPr="00335239">
        <w:rPr>
          <w:rFonts w:eastAsia="Calibri" w:cstheme="minorHAnsi"/>
          <w:lang w:eastAsia="en-IE"/>
        </w:rPr>
        <w:t>lster Bank</w:t>
      </w:r>
      <w:r w:rsidR="00904BD2" w:rsidRPr="00335239">
        <w:rPr>
          <w:rFonts w:eastAsia="Calibri" w:cstheme="minorHAnsi"/>
          <w:lang w:eastAsia="en-IE"/>
        </w:rPr>
        <w:t xml:space="preserve"> business</w:t>
      </w:r>
      <w:r w:rsidR="00847735" w:rsidRPr="00335239">
        <w:rPr>
          <w:rFonts w:eastAsia="Calibri" w:cstheme="minorHAnsi"/>
          <w:lang w:eastAsia="en-IE"/>
        </w:rPr>
        <w:t xml:space="preserve">; </w:t>
      </w:r>
    </w:p>
    <w:p w14:paraId="7303A9A2" w14:textId="77777777" w:rsidR="00014C0E" w:rsidRPr="00335239" w:rsidRDefault="00014C0E" w:rsidP="00EF3C63">
      <w:pPr>
        <w:spacing w:after="0"/>
        <w:jc w:val="both"/>
        <w:rPr>
          <w:rFonts w:eastAsia="Calibri" w:cstheme="minorHAnsi"/>
          <w:lang w:eastAsia="en-IE"/>
        </w:rPr>
      </w:pPr>
    </w:p>
    <w:p w14:paraId="1E0BA729" w14:textId="7CD06DC0" w:rsidR="00847735" w:rsidRPr="00335239" w:rsidRDefault="00335239" w:rsidP="00EF3C63">
      <w:pPr>
        <w:pStyle w:val="ACLevel1"/>
        <w:numPr>
          <w:ilvl w:val="0"/>
          <w:numId w:val="4"/>
        </w:numPr>
        <w:jc w:val="both"/>
        <w:rPr>
          <w:rFonts w:cstheme="minorHAnsi"/>
          <w:color w:val="000000" w:themeColor="text1"/>
        </w:rPr>
      </w:pPr>
      <w:r>
        <w:rPr>
          <w:rFonts w:cstheme="minorHAnsi"/>
        </w:rPr>
        <w:t>The performing non-</w:t>
      </w:r>
      <w:r w:rsidR="00847735" w:rsidRPr="00335239">
        <w:rPr>
          <w:rFonts w:cstheme="minorHAnsi"/>
        </w:rPr>
        <w:t xml:space="preserve">tracker </w:t>
      </w:r>
      <w:r w:rsidR="001C715A" w:rsidRPr="00335239">
        <w:rPr>
          <w:rFonts w:cstheme="minorHAnsi"/>
        </w:rPr>
        <w:t>M</w:t>
      </w:r>
      <w:r w:rsidR="00847735" w:rsidRPr="00335239">
        <w:rPr>
          <w:rFonts w:cstheme="minorHAnsi"/>
        </w:rPr>
        <w:t xml:space="preserve">ortgage book of </w:t>
      </w:r>
      <w:r w:rsidR="00B6699F" w:rsidRPr="00335239">
        <w:rPr>
          <w:rFonts w:cstheme="minorHAnsi"/>
        </w:rPr>
        <w:t>Ulster Bank</w:t>
      </w:r>
      <w:r w:rsidR="00847735" w:rsidRPr="00335239">
        <w:rPr>
          <w:rFonts w:cstheme="minorHAnsi"/>
          <w:color w:val="000000" w:themeColor="text1"/>
        </w:rPr>
        <w:t>;</w:t>
      </w:r>
    </w:p>
    <w:p w14:paraId="40188FF5" w14:textId="11D1CC36" w:rsidR="00847735" w:rsidRPr="00335239" w:rsidRDefault="00847735" w:rsidP="00EF3C63">
      <w:pPr>
        <w:pStyle w:val="ACLevel1"/>
        <w:numPr>
          <w:ilvl w:val="0"/>
          <w:numId w:val="4"/>
        </w:numPr>
        <w:jc w:val="both"/>
        <w:rPr>
          <w:rFonts w:cstheme="minorHAnsi"/>
        </w:rPr>
      </w:pPr>
      <w:r w:rsidRPr="00335239">
        <w:rPr>
          <w:rFonts w:cstheme="minorHAnsi"/>
        </w:rPr>
        <w:t xml:space="preserve">The performing </w:t>
      </w:r>
      <w:r w:rsidR="001C715A" w:rsidRPr="00335239">
        <w:rPr>
          <w:rFonts w:cstheme="minorHAnsi"/>
        </w:rPr>
        <w:t>M</w:t>
      </w:r>
      <w:r w:rsidRPr="00335239">
        <w:rPr>
          <w:rFonts w:cstheme="minorHAnsi"/>
        </w:rPr>
        <w:t>icro-SME/</w:t>
      </w:r>
      <w:r w:rsidR="001C715A" w:rsidRPr="00335239">
        <w:rPr>
          <w:rFonts w:cstheme="minorHAnsi"/>
        </w:rPr>
        <w:t>B</w:t>
      </w:r>
      <w:r w:rsidR="002D4589">
        <w:rPr>
          <w:rFonts w:cstheme="minorHAnsi"/>
        </w:rPr>
        <w:t>usiness D</w:t>
      </w:r>
      <w:r w:rsidRPr="00335239">
        <w:rPr>
          <w:rFonts w:cstheme="minorHAnsi"/>
        </w:rPr>
        <w:t>irect (“Business Direct”)</w:t>
      </w:r>
      <w:r w:rsidR="00305D95">
        <w:rPr>
          <w:rFonts w:cstheme="minorHAnsi"/>
        </w:rPr>
        <w:t xml:space="preserve"> loan book of Ulster Bank</w:t>
      </w:r>
      <w:r w:rsidRPr="00335239">
        <w:rPr>
          <w:rFonts w:cstheme="minorHAnsi"/>
          <w:color w:val="000000" w:themeColor="text1"/>
        </w:rPr>
        <w:t xml:space="preserve">; </w:t>
      </w:r>
    </w:p>
    <w:p w14:paraId="5B4BB136" w14:textId="135704FE" w:rsidR="006703D4" w:rsidRPr="00335239" w:rsidRDefault="006703D4" w:rsidP="006703D4">
      <w:pPr>
        <w:pStyle w:val="ACLevel1"/>
        <w:numPr>
          <w:ilvl w:val="0"/>
          <w:numId w:val="4"/>
        </w:numPr>
        <w:jc w:val="both"/>
        <w:rPr>
          <w:rFonts w:cstheme="minorHAnsi"/>
        </w:rPr>
      </w:pPr>
      <w:r w:rsidRPr="00335239">
        <w:rPr>
          <w:rFonts w:cstheme="minorHAnsi"/>
        </w:rPr>
        <w:t xml:space="preserve">The </w:t>
      </w:r>
      <w:r w:rsidR="008936B4">
        <w:rPr>
          <w:rFonts w:cstheme="minorHAnsi"/>
        </w:rPr>
        <w:t xml:space="preserve">Lombard </w:t>
      </w:r>
      <w:r w:rsidRPr="00335239">
        <w:rPr>
          <w:rFonts w:cstheme="minorHAnsi"/>
        </w:rPr>
        <w:t xml:space="preserve">Asset Finance loan business of </w:t>
      </w:r>
      <w:r w:rsidR="00B6699F" w:rsidRPr="00335239">
        <w:rPr>
          <w:rFonts w:cstheme="minorHAnsi"/>
        </w:rPr>
        <w:t>Ulster Bank;</w:t>
      </w:r>
      <w:r w:rsidR="00FE0954" w:rsidRPr="00FE0954">
        <w:rPr>
          <w:rFonts w:ascii="Calibri" w:hAnsi="Calibri" w:cs="Times New Roman"/>
          <w:noProof/>
          <w:lang w:eastAsia="en-IE"/>
        </w:rPr>
        <w:t xml:space="preserve"> </w:t>
      </w:r>
    </w:p>
    <w:p w14:paraId="5EE88C18" w14:textId="6E6CD2FA" w:rsidR="006703D4" w:rsidRPr="00A201A5" w:rsidRDefault="00FD345D" w:rsidP="00EF3C63">
      <w:pPr>
        <w:pStyle w:val="ACLevel1"/>
        <w:numPr>
          <w:ilvl w:val="0"/>
          <w:numId w:val="4"/>
        </w:numPr>
        <w:jc w:val="both"/>
        <w:rPr>
          <w:rFonts w:cstheme="minorHAnsi"/>
          <w:color w:val="000000" w:themeColor="text1"/>
        </w:rPr>
      </w:pPr>
      <w:r w:rsidRPr="00335239">
        <w:rPr>
          <w:rFonts w:cstheme="minorHAnsi"/>
          <w:color w:val="000000" w:themeColor="text1"/>
        </w:rPr>
        <w:t>25</w:t>
      </w:r>
      <w:r w:rsidR="003E121B">
        <w:rPr>
          <w:rFonts w:cstheme="minorHAnsi"/>
          <w:color w:val="000000" w:themeColor="text1"/>
        </w:rPr>
        <w:t xml:space="preserve"> branch</w:t>
      </w:r>
      <w:r w:rsidR="000440CE">
        <w:rPr>
          <w:rFonts w:cstheme="minorHAnsi"/>
          <w:color w:val="000000" w:themeColor="text1"/>
        </w:rPr>
        <w:t xml:space="preserve"> locations</w:t>
      </w:r>
      <w:r w:rsidR="00B6699F" w:rsidRPr="00335239">
        <w:rPr>
          <w:rFonts w:cstheme="minorHAnsi"/>
          <w:color w:val="000000" w:themeColor="text1"/>
        </w:rPr>
        <w:t xml:space="preserve"> in Ulster Bank’s branch network</w:t>
      </w:r>
    </w:p>
    <w:p w14:paraId="3B155F4E" w14:textId="7F6B36A3" w:rsidR="00D66986" w:rsidRDefault="00D66986" w:rsidP="006453A6">
      <w:pPr>
        <w:pStyle w:val="ACLevel1"/>
        <w:numPr>
          <w:ilvl w:val="0"/>
          <w:numId w:val="0"/>
        </w:numPr>
        <w:spacing w:after="0"/>
        <w:jc w:val="both"/>
        <w:rPr>
          <w:b/>
        </w:rPr>
      </w:pPr>
    </w:p>
    <w:p w14:paraId="1EC53B03" w14:textId="7DE8CBC1" w:rsidR="006453A6" w:rsidRDefault="00913224" w:rsidP="006453A6">
      <w:pPr>
        <w:pStyle w:val="ACLevel1"/>
        <w:numPr>
          <w:ilvl w:val="0"/>
          <w:numId w:val="0"/>
        </w:numPr>
        <w:spacing w:after="0"/>
        <w:jc w:val="both"/>
        <w:rPr>
          <w:b/>
        </w:rPr>
      </w:pPr>
      <w:r>
        <w:rPr>
          <w:b/>
        </w:rPr>
        <w:t>Employees</w:t>
      </w:r>
    </w:p>
    <w:p w14:paraId="3A25808F" w14:textId="0BBDE963" w:rsidR="008936B4" w:rsidRPr="006453A6" w:rsidRDefault="008936B4" w:rsidP="008936B4">
      <w:pPr>
        <w:pStyle w:val="ACLevel1"/>
        <w:numPr>
          <w:ilvl w:val="0"/>
          <w:numId w:val="0"/>
        </w:numPr>
        <w:jc w:val="both"/>
        <w:rPr>
          <w:b/>
        </w:rPr>
      </w:pPr>
      <w:r w:rsidRPr="008936B4">
        <w:t xml:space="preserve">It is expected that circa 400 to 500 Ulster Bank employees, </w:t>
      </w:r>
      <w:r w:rsidRPr="00FA424A">
        <w:t>who</w:t>
      </w:r>
      <w:r w:rsidRPr="008936B4">
        <w:t xml:space="preserve"> are </w:t>
      </w:r>
      <w:r w:rsidR="00A00ED5">
        <w:rPr>
          <w:rFonts w:eastAsia="Times New Roman"/>
          <w:lang w:val="en-GB"/>
        </w:rPr>
        <w:t xml:space="preserve">wholly or mainly assigned </w:t>
      </w:r>
      <w:r w:rsidRPr="008936B4">
        <w:t xml:space="preserve">to the retail and SME perimeter that is being acquired, will transfer to Permanent TSB. The exact number of in scope employees </w:t>
      </w:r>
      <w:r w:rsidR="00807080">
        <w:t>that will have the right</w:t>
      </w:r>
      <w:r w:rsidR="00474475">
        <w:t xml:space="preserve"> to </w:t>
      </w:r>
      <w:r w:rsidRPr="008936B4">
        <w:t xml:space="preserve">transfer under the Transfer of Undertakings regulations will be agreed as part of the next stage of negotiations.  </w:t>
      </w:r>
    </w:p>
    <w:p w14:paraId="07821A24" w14:textId="74A9ACA8" w:rsidR="00474475" w:rsidRDefault="00474475" w:rsidP="006453A6">
      <w:pPr>
        <w:spacing w:after="0"/>
        <w:jc w:val="both"/>
        <w:rPr>
          <w:b/>
        </w:rPr>
      </w:pPr>
    </w:p>
    <w:p w14:paraId="293E4576" w14:textId="19BD8BC5" w:rsidR="006453A6" w:rsidRDefault="00913224" w:rsidP="006453A6">
      <w:pPr>
        <w:spacing w:after="0"/>
        <w:jc w:val="both"/>
        <w:rPr>
          <w:b/>
        </w:rPr>
      </w:pPr>
      <w:r>
        <w:rPr>
          <w:b/>
        </w:rPr>
        <w:t>Customers</w:t>
      </w:r>
    </w:p>
    <w:p w14:paraId="739C2E81" w14:textId="09E3C19B" w:rsidR="006453A6" w:rsidRDefault="00CF4983" w:rsidP="00B502DE">
      <w:pPr>
        <w:jc w:val="both"/>
        <w:rPr>
          <w:rFonts w:ascii="Calibri" w:hAnsi="Calibri" w:cs="Calibri"/>
          <w:color w:val="000000" w:themeColor="text1"/>
        </w:rPr>
      </w:pPr>
      <w:r w:rsidRPr="00335239">
        <w:t>Ulster Bank personal and business customers</w:t>
      </w:r>
      <w:r w:rsidR="006453A6">
        <w:t>,</w:t>
      </w:r>
      <w:r w:rsidRPr="00335239">
        <w:t xml:space="preserve"> whose loans are intended to transfer as part of this </w:t>
      </w:r>
      <w:r w:rsidR="00FE0954">
        <w:t>P</w:t>
      </w:r>
      <w:r w:rsidRPr="00335239">
        <w:t xml:space="preserve">otential </w:t>
      </w:r>
      <w:r w:rsidR="006453A6">
        <w:t>T</w:t>
      </w:r>
      <w:r w:rsidR="006453A6" w:rsidRPr="00335239">
        <w:t>ransaction,</w:t>
      </w:r>
      <w:r w:rsidRPr="00335239">
        <w:t xml:space="preserve"> do not need to take any action now. </w:t>
      </w:r>
      <w:r w:rsidR="005658DB" w:rsidRPr="00335239">
        <w:t>P</w:t>
      </w:r>
      <w:r w:rsidRPr="00335239">
        <w:t xml:space="preserve">ermanent TSB </w:t>
      </w:r>
      <w:r w:rsidR="005658DB" w:rsidRPr="00335239">
        <w:t xml:space="preserve">will </w:t>
      </w:r>
      <w:r w:rsidR="00BD7356">
        <w:t xml:space="preserve">also </w:t>
      </w:r>
      <w:r w:rsidR="005658DB" w:rsidRPr="00335239">
        <w:t>offer</w:t>
      </w:r>
      <w:r w:rsidR="00240DCB">
        <w:t xml:space="preserve"> all</w:t>
      </w:r>
      <w:r w:rsidR="005658DB" w:rsidRPr="00335239">
        <w:t xml:space="preserve"> </w:t>
      </w:r>
      <w:r w:rsidRPr="00335239">
        <w:t xml:space="preserve">Ulster Bank personal </w:t>
      </w:r>
      <w:r w:rsidR="005658DB" w:rsidRPr="00335239">
        <w:t>customers</w:t>
      </w:r>
      <w:r w:rsidR="00A00ED5">
        <w:t>,</w:t>
      </w:r>
      <w:r w:rsidR="005658DB" w:rsidRPr="00335239">
        <w:t xml:space="preserve"> an easy-to-use </w:t>
      </w:r>
      <w:r w:rsidRPr="00335239">
        <w:t xml:space="preserve">account opening </w:t>
      </w:r>
      <w:r w:rsidR="005658DB" w:rsidRPr="00335239">
        <w:t xml:space="preserve">process that will allow customers to apply for a </w:t>
      </w:r>
      <w:r w:rsidRPr="00335239">
        <w:t xml:space="preserve">Permanent TSB personal </w:t>
      </w:r>
      <w:r w:rsidR="005658DB" w:rsidRPr="00335239">
        <w:t>current account in less than</w:t>
      </w:r>
      <w:r w:rsidR="006453A6">
        <w:t xml:space="preserve"> </w:t>
      </w:r>
      <w:r w:rsidR="00240DCB">
        <w:t>15 minutes</w:t>
      </w:r>
      <w:r w:rsidR="005658DB" w:rsidRPr="00335239">
        <w:t xml:space="preserve">. This </w:t>
      </w:r>
      <w:r w:rsidR="005658DB" w:rsidRPr="000E5E1C">
        <w:rPr>
          <w:color w:val="000000" w:themeColor="text1"/>
        </w:rPr>
        <w:t xml:space="preserve">app-based process will </w:t>
      </w:r>
      <w:r w:rsidR="005658DB" w:rsidRPr="000E5E1C">
        <w:rPr>
          <w:color w:val="000000" w:themeColor="text1"/>
        </w:rPr>
        <w:lastRenderedPageBreak/>
        <w:t>allow U</w:t>
      </w:r>
      <w:r w:rsidRPr="000E5E1C">
        <w:rPr>
          <w:color w:val="000000" w:themeColor="text1"/>
        </w:rPr>
        <w:t>lster Bank current</w:t>
      </w:r>
      <w:r w:rsidR="005658DB" w:rsidRPr="000E5E1C">
        <w:rPr>
          <w:color w:val="000000" w:themeColor="text1"/>
        </w:rPr>
        <w:t xml:space="preserve"> account customers to migrate to Pe</w:t>
      </w:r>
      <w:r w:rsidRPr="000E5E1C">
        <w:rPr>
          <w:color w:val="000000" w:themeColor="text1"/>
        </w:rPr>
        <w:t>rmanent TSB’s</w:t>
      </w:r>
      <w:r w:rsidR="005658DB" w:rsidRPr="000E5E1C">
        <w:rPr>
          <w:color w:val="000000" w:themeColor="text1"/>
        </w:rPr>
        <w:t xml:space="preserve"> market-leading digital current account offering. </w:t>
      </w:r>
      <w:r w:rsidR="005658DB" w:rsidRPr="000E5E1C">
        <w:rPr>
          <w:rFonts w:ascii="Calibri" w:hAnsi="Calibri" w:cs="Calibri"/>
          <w:color w:val="000000" w:themeColor="text1"/>
        </w:rPr>
        <w:t>Pe</w:t>
      </w:r>
      <w:r w:rsidRPr="000E5E1C">
        <w:rPr>
          <w:rFonts w:ascii="Calibri" w:hAnsi="Calibri" w:cs="Calibri"/>
          <w:color w:val="000000" w:themeColor="text1"/>
        </w:rPr>
        <w:t xml:space="preserve">rmanent </w:t>
      </w:r>
      <w:r w:rsidR="005A2374" w:rsidRPr="000E5E1C">
        <w:rPr>
          <w:rFonts w:ascii="Calibri" w:hAnsi="Calibri" w:cs="Calibri"/>
          <w:color w:val="000000" w:themeColor="text1"/>
        </w:rPr>
        <w:t>TSB also</w:t>
      </w:r>
      <w:r w:rsidR="005658DB" w:rsidRPr="000E5E1C">
        <w:rPr>
          <w:rFonts w:ascii="Calibri" w:hAnsi="Calibri" w:cs="Calibri"/>
          <w:color w:val="000000" w:themeColor="text1"/>
        </w:rPr>
        <w:t xml:space="preserve"> welcomes all new deposit account customers who can contact the </w:t>
      </w:r>
      <w:r w:rsidRPr="000E5E1C">
        <w:rPr>
          <w:rFonts w:ascii="Calibri" w:hAnsi="Calibri" w:cs="Calibri"/>
          <w:color w:val="000000" w:themeColor="text1"/>
        </w:rPr>
        <w:t xml:space="preserve">Permanent TSB </w:t>
      </w:r>
      <w:r w:rsidR="005658DB" w:rsidRPr="000E5E1C">
        <w:rPr>
          <w:rFonts w:ascii="Calibri" w:hAnsi="Calibri" w:cs="Calibri"/>
          <w:color w:val="000000" w:themeColor="text1"/>
        </w:rPr>
        <w:t>team directly on</w:t>
      </w:r>
      <w:r w:rsidR="000E5E1C">
        <w:rPr>
          <w:rFonts w:ascii="Calibri" w:hAnsi="Calibri" w:cs="Calibri"/>
          <w:color w:val="000000" w:themeColor="text1"/>
        </w:rPr>
        <w:t xml:space="preserve"> our new customer line on</w:t>
      </w:r>
      <w:r w:rsidR="000E5E1C" w:rsidRPr="000E5E1C">
        <w:rPr>
          <w:rFonts w:ascii="Calibri" w:hAnsi="Calibri" w:cs="Calibri"/>
          <w:color w:val="000000" w:themeColor="text1"/>
        </w:rPr>
        <w:t xml:space="preserve"> </w:t>
      </w:r>
      <w:r w:rsidR="000E5E1C">
        <w:rPr>
          <w:bCs/>
          <w:color w:val="000000" w:themeColor="text1"/>
        </w:rPr>
        <w:t>0818 837 408 /</w:t>
      </w:r>
      <w:r w:rsidR="000E5E1C" w:rsidRPr="000E5E1C">
        <w:rPr>
          <w:bCs/>
          <w:color w:val="000000" w:themeColor="text1"/>
        </w:rPr>
        <w:t xml:space="preserve"> 01 212 4022</w:t>
      </w:r>
      <w:r w:rsidR="005658DB" w:rsidRPr="000E5E1C">
        <w:rPr>
          <w:rFonts w:ascii="Calibri" w:hAnsi="Calibri" w:cs="Calibri"/>
          <w:color w:val="000000" w:themeColor="text1"/>
        </w:rPr>
        <w:t xml:space="preserve"> </w:t>
      </w:r>
      <w:r w:rsidR="00A41032" w:rsidRPr="000E5E1C">
        <w:rPr>
          <w:rFonts w:ascii="Calibri" w:hAnsi="Calibri" w:cs="Calibri"/>
          <w:color w:val="000000" w:themeColor="text1"/>
        </w:rPr>
        <w:t xml:space="preserve">or </w:t>
      </w:r>
      <w:r w:rsidR="005658DB" w:rsidRPr="000E5E1C">
        <w:rPr>
          <w:rFonts w:ascii="Calibri" w:hAnsi="Calibri" w:cs="Calibri"/>
          <w:color w:val="000000" w:themeColor="text1"/>
        </w:rPr>
        <w:t xml:space="preserve">open an account in one of </w:t>
      </w:r>
      <w:r w:rsidRPr="000E5E1C">
        <w:rPr>
          <w:rFonts w:ascii="Calibri" w:hAnsi="Calibri" w:cs="Calibri"/>
          <w:color w:val="000000" w:themeColor="text1"/>
        </w:rPr>
        <w:t xml:space="preserve">the Bank’s </w:t>
      </w:r>
      <w:r w:rsidR="005658DB" w:rsidRPr="000E5E1C">
        <w:rPr>
          <w:rFonts w:ascii="Calibri" w:hAnsi="Calibri" w:cs="Calibri"/>
          <w:color w:val="000000" w:themeColor="text1"/>
        </w:rPr>
        <w:t xml:space="preserve">76 branches nationwide. </w:t>
      </w:r>
    </w:p>
    <w:p w14:paraId="15FBF48C" w14:textId="77777777" w:rsidR="000440CE" w:rsidRPr="006453A6" w:rsidRDefault="000440CE" w:rsidP="000440CE">
      <w:pPr>
        <w:jc w:val="both"/>
        <w:rPr>
          <w:b/>
        </w:rPr>
      </w:pPr>
      <w:r w:rsidRPr="00335239">
        <w:t>In addition to the above perimeter, Ulster Bank</w:t>
      </w:r>
      <w:r>
        <w:t>’s Business Direct</w:t>
      </w:r>
      <w:r w:rsidRPr="00335239">
        <w:t xml:space="preserve"> customers will be offered the same overdraft facilities with Permanent TSB subject to these customers opening a Permanent TSB current account and meeting credit policy requirements. </w:t>
      </w:r>
    </w:p>
    <w:p w14:paraId="5C391C35" w14:textId="77777777" w:rsidR="000440CE" w:rsidRPr="00B502DE" w:rsidRDefault="000440CE" w:rsidP="00B502DE">
      <w:pPr>
        <w:jc w:val="both"/>
      </w:pPr>
    </w:p>
    <w:p w14:paraId="669447E3" w14:textId="23F1F2A6" w:rsidR="006453A6" w:rsidRPr="006453A6" w:rsidRDefault="00913224" w:rsidP="004350FA">
      <w:pPr>
        <w:spacing w:after="0"/>
        <w:jc w:val="both"/>
        <w:rPr>
          <w:rFonts w:cstheme="minorHAnsi"/>
          <w:b/>
        </w:rPr>
      </w:pPr>
      <w:r>
        <w:rPr>
          <w:rFonts w:cstheme="minorHAnsi"/>
          <w:b/>
        </w:rPr>
        <w:t xml:space="preserve">Potential Transaction </w:t>
      </w:r>
      <w:r w:rsidR="006453A6" w:rsidRPr="006453A6">
        <w:rPr>
          <w:rFonts w:cstheme="minorHAnsi"/>
          <w:b/>
        </w:rPr>
        <w:t>Structure</w:t>
      </w:r>
      <w:r w:rsidR="006453A6">
        <w:rPr>
          <w:rFonts w:cstheme="minorHAnsi"/>
          <w:b/>
        </w:rPr>
        <w:t xml:space="preserve"> </w:t>
      </w:r>
    </w:p>
    <w:p w14:paraId="2BF88755" w14:textId="1D09DF62" w:rsidR="00FE7BCA" w:rsidRDefault="004350FA" w:rsidP="00474475">
      <w:pPr>
        <w:pStyle w:val="PlainText"/>
        <w:spacing w:line="276" w:lineRule="auto"/>
        <w:jc w:val="both"/>
      </w:pPr>
      <w:r w:rsidRPr="00335239">
        <w:rPr>
          <w:rFonts w:cstheme="minorHAnsi"/>
        </w:rPr>
        <w:t xml:space="preserve">As part of the consideration for the perimeter transferring to Permanent TSB, NatWest will become a shareholder with up to 20% </w:t>
      </w:r>
      <w:r>
        <w:rPr>
          <w:rFonts w:cstheme="minorHAnsi"/>
        </w:rPr>
        <w:t xml:space="preserve">of </w:t>
      </w:r>
      <w:r w:rsidRPr="00335239">
        <w:rPr>
          <w:rFonts w:cstheme="minorHAnsi"/>
        </w:rPr>
        <w:t xml:space="preserve">the enlarged </w:t>
      </w:r>
      <w:r>
        <w:rPr>
          <w:rFonts w:cstheme="minorHAnsi"/>
        </w:rPr>
        <w:t xml:space="preserve">share capital of </w:t>
      </w:r>
      <w:r>
        <w:rPr>
          <w:iCs/>
        </w:rPr>
        <w:t>PTSB Holdings</w:t>
      </w:r>
      <w:r w:rsidRPr="00335239">
        <w:rPr>
          <w:rFonts w:cstheme="minorHAnsi"/>
        </w:rPr>
        <w:t xml:space="preserve">, together with </w:t>
      </w:r>
      <w:r>
        <w:rPr>
          <w:iCs/>
        </w:rPr>
        <w:t>PTSB Holdings</w:t>
      </w:r>
      <w:r w:rsidRPr="00335239">
        <w:rPr>
          <w:rFonts w:cstheme="minorHAnsi"/>
        </w:rPr>
        <w:t xml:space="preserve"> paying NatWest an additional cash consideration.</w:t>
      </w:r>
      <w:r w:rsidRPr="00335239">
        <w:rPr>
          <w:rFonts w:cstheme="minorHAnsi"/>
          <w:lang w:val="en-GB"/>
        </w:rPr>
        <w:t xml:space="preserve"> </w:t>
      </w:r>
      <w:r w:rsidR="00FE7BCA">
        <w:t>The transaction is expected to be accretive to RoTE and PTSB Holdings would maintain a long-term pro forma Management CET1 Ratio of &gt;14%</w:t>
      </w:r>
      <w:r w:rsidR="00D66986">
        <w:t>.</w:t>
      </w:r>
    </w:p>
    <w:p w14:paraId="052E0813" w14:textId="77777777" w:rsidR="004350FA" w:rsidRPr="00335239" w:rsidRDefault="004350FA" w:rsidP="00474475">
      <w:pPr>
        <w:spacing w:after="0"/>
        <w:jc w:val="both"/>
        <w:rPr>
          <w:rFonts w:cstheme="minorHAnsi"/>
          <w:lang w:val="en-GB"/>
        </w:rPr>
      </w:pPr>
    </w:p>
    <w:p w14:paraId="1DC5C194" w14:textId="7CF6CEA1" w:rsidR="004350FA" w:rsidRDefault="004350FA" w:rsidP="006453A6">
      <w:pPr>
        <w:spacing w:after="0"/>
        <w:jc w:val="both"/>
        <w:rPr>
          <w:rFonts w:cstheme="minorHAnsi"/>
          <w:lang w:val="en-GB"/>
        </w:rPr>
      </w:pPr>
      <w:r w:rsidRPr="00335239">
        <w:rPr>
          <w:rFonts w:cstheme="minorHAnsi"/>
          <w:lang w:val="en-GB"/>
        </w:rPr>
        <w:t>At this stage</w:t>
      </w:r>
      <w:r w:rsidR="00933E1E">
        <w:rPr>
          <w:rFonts w:cstheme="minorHAnsi"/>
          <w:lang w:val="en-GB"/>
        </w:rPr>
        <w:t>,</w:t>
      </w:r>
      <w:r w:rsidRPr="00335239">
        <w:rPr>
          <w:rFonts w:cstheme="minorHAnsi"/>
          <w:lang w:val="en-GB"/>
        </w:rPr>
        <w:t xml:space="preserve"> </w:t>
      </w:r>
      <w:r w:rsidR="00933E1E">
        <w:rPr>
          <w:rFonts w:cstheme="minorHAnsi"/>
          <w:lang w:val="en-GB"/>
        </w:rPr>
        <w:t xml:space="preserve">and subject to regulatory engagement, </w:t>
      </w:r>
      <w:r>
        <w:rPr>
          <w:iCs/>
        </w:rPr>
        <w:t>PTSB Holdings</w:t>
      </w:r>
      <w:r w:rsidRPr="00335239">
        <w:rPr>
          <w:rFonts w:cstheme="minorHAnsi"/>
          <w:lang w:val="en-GB"/>
        </w:rPr>
        <w:t xml:space="preserve"> does not envisage that it will require additional new </w:t>
      </w:r>
      <w:r w:rsidR="00FE0954">
        <w:rPr>
          <w:rFonts w:cstheme="minorHAnsi"/>
          <w:lang w:val="en-GB"/>
        </w:rPr>
        <w:t>equity capital to complete the Potential T</w:t>
      </w:r>
      <w:r w:rsidRPr="00335239">
        <w:rPr>
          <w:rFonts w:cstheme="minorHAnsi"/>
          <w:lang w:val="en-GB"/>
        </w:rPr>
        <w:t xml:space="preserve">ransaction. </w:t>
      </w:r>
    </w:p>
    <w:p w14:paraId="408D8247" w14:textId="77777777" w:rsidR="00E21737" w:rsidRDefault="00E21737" w:rsidP="00A201A5">
      <w:pPr>
        <w:spacing w:after="0"/>
        <w:jc w:val="both"/>
        <w:rPr>
          <w:rFonts w:cstheme="minorHAnsi"/>
          <w:lang w:val="en-GB"/>
        </w:rPr>
      </w:pPr>
    </w:p>
    <w:p w14:paraId="52F9F93C" w14:textId="5ADB4A9D" w:rsidR="006453A6" w:rsidRPr="006453A6" w:rsidRDefault="006453A6" w:rsidP="00A201A5">
      <w:pPr>
        <w:spacing w:after="0"/>
        <w:jc w:val="both"/>
        <w:rPr>
          <w:rFonts w:cstheme="minorHAnsi"/>
          <w:b/>
          <w:lang w:val="en-GB"/>
        </w:rPr>
      </w:pPr>
      <w:r w:rsidRPr="006453A6">
        <w:rPr>
          <w:rFonts w:cstheme="minorHAnsi"/>
          <w:b/>
          <w:lang w:val="en-GB"/>
        </w:rPr>
        <w:t>CEO Comment</w:t>
      </w:r>
    </w:p>
    <w:p w14:paraId="5C7CB219" w14:textId="4E6FEB06" w:rsidR="00EF3C63" w:rsidRPr="00A201A5" w:rsidRDefault="00EF3C63" w:rsidP="00696814">
      <w:pPr>
        <w:jc w:val="both"/>
        <w:rPr>
          <w:rFonts w:cstheme="minorHAnsi"/>
          <w:b/>
          <w:bCs/>
        </w:rPr>
      </w:pPr>
      <w:r w:rsidRPr="00335239">
        <w:rPr>
          <w:rFonts w:cstheme="minorHAnsi"/>
        </w:rPr>
        <w:t xml:space="preserve">Speaking today, </w:t>
      </w:r>
      <w:r w:rsidR="005A2374" w:rsidRPr="00335239">
        <w:rPr>
          <w:rFonts w:cstheme="minorHAnsi"/>
        </w:rPr>
        <w:t xml:space="preserve">Eamonn Crowley </w:t>
      </w:r>
      <w:r w:rsidRPr="00335239">
        <w:rPr>
          <w:rFonts w:cstheme="minorHAnsi"/>
        </w:rPr>
        <w:t xml:space="preserve">CEO of </w:t>
      </w:r>
      <w:r w:rsidR="00AE6D46" w:rsidRPr="00AE6D46">
        <w:rPr>
          <w:rFonts w:cstheme="minorHAnsi"/>
        </w:rPr>
        <w:t>PTSB Holdings</w:t>
      </w:r>
      <w:r w:rsidR="007F18C6" w:rsidRPr="00335239">
        <w:rPr>
          <w:rFonts w:cstheme="minorHAnsi"/>
        </w:rPr>
        <w:t xml:space="preserve"> said</w:t>
      </w:r>
      <w:r w:rsidRPr="00335239">
        <w:rPr>
          <w:rFonts w:cstheme="minorHAnsi"/>
        </w:rPr>
        <w:t xml:space="preserve"> “</w:t>
      </w:r>
      <w:r w:rsidR="00335239">
        <w:rPr>
          <w:i/>
        </w:rPr>
        <w:t>This</w:t>
      </w:r>
      <w:r w:rsidR="00FE0954">
        <w:rPr>
          <w:i/>
        </w:rPr>
        <w:t xml:space="preserve"> Potential T</w:t>
      </w:r>
      <w:r w:rsidR="004350FA">
        <w:rPr>
          <w:i/>
        </w:rPr>
        <w:t>ransaction</w:t>
      </w:r>
      <w:r w:rsidR="001C715A" w:rsidRPr="00335239">
        <w:rPr>
          <w:i/>
        </w:rPr>
        <w:t xml:space="preserve"> complements our </w:t>
      </w:r>
      <w:r w:rsidR="00696814" w:rsidRPr="00335239">
        <w:rPr>
          <w:i/>
        </w:rPr>
        <w:t xml:space="preserve">growth </w:t>
      </w:r>
      <w:r w:rsidR="00692442" w:rsidRPr="00335239">
        <w:rPr>
          <w:i/>
        </w:rPr>
        <w:t xml:space="preserve">strategy </w:t>
      </w:r>
      <w:r w:rsidR="006B6350" w:rsidRPr="00335239">
        <w:rPr>
          <w:i/>
        </w:rPr>
        <w:t xml:space="preserve">and will </w:t>
      </w:r>
      <w:r w:rsidR="004350FA">
        <w:rPr>
          <w:i/>
        </w:rPr>
        <w:t xml:space="preserve">accelerate the delivery of </w:t>
      </w:r>
      <w:r w:rsidR="00692442" w:rsidRPr="00335239">
        <w:rPr>
          <w:rFonts w:cstheme="minorHAnsi"/>
          <w:i/>
        </w:rPr>
        <w:t>P</w:t>
      </w:r>
      <w:r w:rsidR="005A2374" w:rsidRPr="00335239">
        <w:rPr>
          <w:rFonts w:cstheme="minorHAnsi"/>
          <w:i/>
        </w:rPr>
        <w:t>ermanent TSB</w:t>
      </w:r>
      <w:r w:rsidR="004350FA">
        <w:rPr>
          <w:rFonts w:cstheme="minorHAnsi"/>
          <w:i/>
        </w:rPr>
        <w:t xml:space="preserve">’s </w:t>
      </w:r>
      <w:r w:rsidR="00C41A61" w:rsidRPr="00335239">
        <w:rPr>
          <w:rFonts w:cstheme="minorHAnsi"/>
          <w:i/>
        </w:rPr>
        <w:t xml:space="preserve">ambition </w:t>
      </w:r>
      <w:r w:rsidR="00692442" w:rsidRPr="00335239">
        <w:rPr>
          <w:rFonts w:cstheme="minorHAnsi"/>
          <w:i/>
        </w:rPr>
        <w:t xml:space="preserve">of becoming Ireland’s best personal and small business bank. </w:t>
      </w:r>
      <w:r w:rsidRPr="00335239">
        <w:rPr>
          <w:rFonts w:cstheme="minorHAnsi"/>
          <w:i/>
        </w:rPr>
        <w:t xml:space="preserve">We see this as a once in a generation opportunity to </w:t>
      </w:r>
      <w:r w:rsidR="00014C0E">
        <w:rPr>
          <w:rFonts w:cstheme="minorHAnsi"/>
          <w:i/>
        </w:rPr>
        <w:t>fast-track the growth of</w:t>
      </w:r>
      <w:r w:rsidRPr="00335239">
        <w:rPr>
          <w:rFonts w:cstheme="minorHAnsi"/>
          <w:i/>
        </w:rPr>
        <w:t xml:space="preserve"> an Irish bank with a strong community and customer service ethos that has evolved over its 200-year history. </w:t>
      </w:r>
      <w:r w:rsidR="00692442" w:rsidRPr="00335239">
        <w:rPr>
          <w:i/>
        </w:rPr>
        <w:t>It also supports the investments we are making in the transformation of our in-branch and digital banking services</w:t>
      </w:r>
      <w:r w:rsidR="00692442" w:rsidRPr="00335239">
        <w:rPr>
          <w:rFonts w:cstheme="minorHAnsi"/>
          <w:i/>
        </w:rPr>
        <w:t>.</w:t>
      </w:r>
    </w:p>
    <w:p w14:paraId="36C94A57" w14:textId="257748B6" w:rsidR="00EF3C63" w:rsidRPr="00335239" w:rsidRDefault="006B6350" w:rsidP="00696814">
      <w:pPr>
        <w:spacing w:after="0"/>
        <w:jc w:val="both"/>
        <w:rPr>
          <w:rFonts w:cstheme="minorHAnsi"/>
          <w:i/>
          <w:iCs/>
          <w:lang w:val="en-US" w:eastAsia="en-IE"/>
        </w:rPr>
      </w:pPr>
      <w:r w:rsidRPr="00335239">
        <w:rPr>
          <w:rFonts w:cstheme="minorHAnsi"/>
          <w:i/>
          <w:iCs/>
          <w:lang w:val="en-US" w:eastAsia="en-IE"/>
        </w:rPr>
        <w:t>As we grow the Bank, we are</w:t>
      </w:r>
      <w:r w:rsidR="00EF3C63" w:rsidRPr="00335239">
        <w:rPr>
          <w:rFonts w:cstheme="minorHAnsi"/>
          <w:i/>
          <w:iCs/>
          <w:lang w:val="en-US" w:eastAsia="en-IE"/>
        </w:rPr>
        <w:t xml:space="preserve"> committed to building on our </w:t>
      </w:r>
      <w:r w:rsidR="005E47C1" w:rsidRPr="00335239">
        <w:rPr>
          <w:rFonts w:cstheme="minorHAnsi"/>
          <w:i/>
          <w:iCs/>
          <w:lang w:val="en-US" w:eastAsia="en-IE"/>
        </w:rPr>
        <w:t xml:space="preserve">local </w:t>
      </w:r>
      <w:r w:rsidR="00EF3C63" w:rsidRPr="00335239">
        <w:rPr>
          <w:rFonts w:cstheme="minorHAnsi"/>
          <w:i/>
          <w:iCs/>
          <w:lang w:val="en-US" w:eastAsia="en-IE"/>
        </w:rPr>
        <w:t xml:space="preserve">community heritage, further building trust with customers and taking accountability for the critical role that banks play in wider society, particularly in the areas of Sustainability and Social Responsibility. </w:t>
      </w:r>
    </w:p>
    <w:p w14:paraId="6335BC9A" w14:textId="77777777" w:rsidR="00EF3C63" w:rsidRPr="00335239" w:rsidRDefault="00EF3C63" w:rsidP="00EF3C63">
      <w:pPr>
        <w:spacing w:after="0"/>
        <w:jc w:val="both"/>
        <w:rPr>
          <w:rFonts w:cstheme="minorHAnsi"/>
          <w:i/>
          <w:iCs/>
          <w:lang w:val="en-US" w:eastAsia="en-IE"/>
        </w:rPr>
      </w:pPr>
    </w:p>
    <w:p w14:paraId="04779C9F" w14:textId="2E6920F5" w:rsidR="00127ADD" w:rsidRPr="00335239" w:rsidRDefault="00EF3C63" w:rsidP="00127ADD">
      <w:pPr>
        <w:jc w:val="both"/>
        <w:rPr>
          <w:i/>
        </w:rPr>
      </w:pPr>
      <w:r w:rsidRPr="00335239">
        <w:rPr>
          <w:rFonts w:cstheme="minorHAnsi"/>
          <w:i/>
        </w:rPr>
        <w:t>We are conscious that there is still</w:t>
      </w:r>
      <w:r w:rsidR="00AD5B4C" w:rsidRPr="00335239">
        <w:rPr>
          <w:rFonts w:cstheme="minorHAnsi"/>
          <w:i/>
        </w:rPr>
        <w:t xml:space="preserve"> significant work to be done to </w:t>
      </w:r>
      <w:r w:rsidR="0021773D" w:rsidRPr="00335239">
        <w:rPr>
          <w:rFonts w:cstheme="minorHAnsi"/>
          <w:i/>
        </w:rPr>
        <w:t xml:space="preserve">agree </w:t>
      </w:r>
      <w:r w:rsidRPr="00335239">
        <w:rPr>
          <w:rFonts w:cstheme="minorHAnsi"/>
          <w:i/>
        </w:rPr>
        <w:t>legal</w:t>
      </w:r>
      <w:r w:rsidR="0021773D" w:rsidRPr="00335239">
        <w:rPr>
          <w:rFonts w:cstheme="minorHAnsi"/>
          <w:i/>
        </w:rPr>
        <w:t>ly binding</w:t>
      </w:r>
      <w:r w:rsidRPr="00335239">
        <w:rPr>
          <w:rFonts w:cstheme="minorHAnsi"/>
          <w:i/>
        </w:rPr>
        <w:t xml:space="preserve"> agreement</w:t>
      </w:r>
      <w:r w:rsidR="00C41A61" w:rsidRPr="00335239">
        <w:rPr>
          <w:rFonts w:cstheme="minorHAnsi"/>
          <w:i/>
        </w:rPr>
        <w:t>s</w:t>
      </w:r>
      <w:r w:rsidRPr="00335239">
        <w:rPr>
          <w:rFonts w:cstheme="minorHAnsi"/>
          <w:i/>
        </w:rPr>
        <w:t xml:space="preserve"> later this year, but we are optimistic that we can work with all parties to create a</w:t>
      </w:r>
      <w:r w:rsidR="0021773D" w:rsidRPr="00335239">
        <w:rPr>
          <w:rFonts w:cstheme="minorHAnsi"/>
          <w:i/>
        </w:rPr>
        <w:t>n enlarged</w:t>
      </w:r>
      <w:r w:rsidRPr="00335239">
        <w:rPr>
          <w:rFonts w:cstheme="minorHAnsi"/>
          <w:i/>
        </w:rPr>
        <w:t xml:space="preserve"> </w:t>
      </w:r>
      <w:r w:rsidR="005658DB" w:rsidRPr="00335239">
        <w:rPr>
          <w:rFonts w:cstheme="minorHAnsi"/>
          <w:i/>
        </w:rPr>
        <w:t>Pe</w:t>
      </w:r>
      <w:r w:rsidR="005A2374" w:rsidRPr="00335239">
        <w:rPr>
          <w:rFonts w:cstheme="minorHAnsi"/>
          <w:i/>
        </w:rPr>
        <w:t xml:space="preserve">rmanent TSB </w:t>
      </w:r>
      <w:r w:rsidR="005658DB" w:rsidRPr="00335239">
        <w:rPr>
          <w:rFonts w:cstheme="minorHAnsi"/>
          <w:i/>
        </w:rPr>
        <w:t>with an increased national footprint</w:t>
      </w:r>
      <w:r w:rsidRPr="00335239">
        <w:rPr>
          <w:rFonts w:cstheme="minorHAnsi"/>
          <w:i/>
        </w:rPr>
        <w:t xml:space="preserve"> that will provide </w:t>
      </w:r>
      <w:r w:rsidR="001C715A" w:rsidRPr="00335239">
        <w:rPr>
          <w:rFonts w:cstheme="minorHAnsi"/>
          <w:i/>
        </w:rPr>
        <w:t xml:space="preserve">enhanced </w:t>
      </w:r>
      <w:r w:rsidRPr="00335239">
        <w:rPr>
          <w:rFonts w:cstheme="minorHAnsi"/>
          <w:i/>
        </w:rPr>
        <w:t>products and service</w:t>
      </w:r>
      <w:r w:rsidR="008E33D8" w:rsidRPr="00335239">
        <w:rPr>
          <w:rFonts w:cstheme="minorHAnsi"/>
          <w:i/>
        </w:rPr>
        <w:t>s</w:t>
      </w:r>
      <w:r w:rsidR="001C715A" w:rsidRPr="00335239">
        <w:rPr>
          <w:rFonts w:cstheme="minorHAnsi"/>
          <w:i/>
        </w:rPr>
        <w:t xml:space="preserve"> </w:t>
      </w:r>
      <w:r w:rsidRPr="00335239">
        <w:rPr>
          <w:rFonts w:cstheme="minorHAnsi"/>
          <w:i/>
        </w:rPr>
        <w:t>to our present and future customers.</w:t>
      </w:r>
      <w:r w:rsidR="001C715A" w:rsidRPr="00335239">
        <w:rPr>
          <w:rFonts w:cstheme="minorHAnsi"/>
          <w:i/>
        </w:rPr>
        <w:t xml:space="preserve"> </w:t>
      </w:r>
      <w:r w:rsidR="001C715A" w:rsidRPr="00335239">
        <w:rPr>
          <w:i/>
        </w:rPr>
        <w:t>We</w:t>
      </w:r>
      <w:r w:rsidR="006703D4" w:rsidRPr="00335239">
        <w:rPr>
          <w:i/>
        </w:rPr>
        <w:t xml:space="preserve"> </w:t>
      </w:r>
      <w:r w:rsidR="00696814" w:rsidRPr="00335239">
        <w:rPr>
          <w:i/>
        </w:rPr>
        <w:t>welcome all U</w:t>
      </w:r>
      <w:r w:rsidR="005A2374" w:rsidRPr="00335239">
        <w:rPr>
          <w:i/>
        </w:rPr>
        <w:t>lster Bank</w:t>
      </w:r>
      <w:r w:rsidR="00696814" w:rsidRPr="00335239">
        <w:rPr>
          <w:i/>
        </w:rPr>
        <w:t xml:space="preserve"> customers</w:t>
      </w:r>
      <w:r w:rsidR="00C41A61" w:rsidRPr="00335239">
        <w:rPr>
          <w:i/>
        </w:rPr>
        <w:t xml:space="preserve"> </w:t>
      </w:r>
      <w:r w:rsidR="00696814" w:rsidRPr="00335239">
        <w:rPr>
          <w:i/>
        </w:rPr>
        <w:t>to Pe</w:t>
      </w:r>
      <w:r w:rsidR="005A2374" w:rsidRPr="00335239">
        <w:rPr>
          <w:i/>
        </w:rPr>
        <w:t>rmanent TSB</w:t>
      </w:r>
      <w:r w:rsidR="00270997" w:rsidRPr="00335239">
        <w:rPr>
          <w:i/>
        </w:rPr>
        <w:t>, whether or not their loan is transferring as part of this potential transaction</w:t>
      </w:r>
      <w:r w:rsidR="006B268B" w:rsidRPr="00335239">
        <w:rPr>
          <w:i/>
        </w:rPr>
        <w:t xml:space="preserve">, </w:t>
      </w:r>
      <w:r w:rsidR="00270997" w:rsidRPr="00335239">
        <w:rPr>
          <w:i/>
        </w:rPr>
        <w:t xml:space="preserve">and we </w:t>
      </w:r>
      <w:r w:rsidR="00696814" w:rsidRPr="00335239">
        <w:rPr>
          <w:i/>
        </w:rPr>
        <w:t xml:space="preserve">look forward to supporting them with their banking needs.’ </w:t>
      </w:r>
    </w:p>
    <w:p w14:paraId="00AFBBF1" w14:textId="70C9B3D0" w:rsidR="00FA424A" w:rsidRPr="00FA424A" w:rsidRDefault="00FA424A" w:rsidP="00FA424A">
      <w:pPr>
        <w:pStyle w:val="Default"/>
        <w:spacing w:line="276" w:lineRule="auto"/>
        <w:jc w:val="both"/>
        <w:rPr>
          <w:rFonts w:asciiTheme="minorHAnsi" w:hAnsiTheme="minorHAnsi" w:cstheme="minorHAnsi"/>
          <w:b/>
          <w:sz w:val="22"/>
          <w:szCs w:val="22"/>
        </w:rPr>
      </w:pPr>
      <w:r w:rsidRPr="00FA424A">
        <w:rPr>
          <w:rFonts w:asciiTheme="minorHAnsi" w:hAnsiTheme="minorHAnsi" w:cstheme="minorHAnsi"/>
          <w:b/>
          <w:sz w:val="22"/>
          <w:szCs w:val="22"/>
        </w:rPr>
        <w:t>Strategic Rationale</w:t>
      </w:r>
    </w:p>
    <w:p w14:paraId="3ED9D2FA" w14:textId="1E5B6CAB" w:rsidR="00FA424A" w:rsidRPr="00335239" w:rsidRDefault="00FA424A" w:rsidP="00FA424A">
      <w:pPr>
        <w:pStyle w:val="Default"/>
        <w:spacing w:line="276" w:lineRule="auto"/>
        <w:jc w:val="both"/>
        <w:rPr>
          <w:rFonts w:asciiTheme="minorHAnsi" w:hAnsiTheme="minorHAnsi" w:cstheme="minorHAnsi"/>
          <w:sz w:val="22"/>
          <w:szCs w:val="22"/>
        </w:rPr>
      </w:pPr>
      <w:r w:rsidRPr="00335239">
        <w:rPr>
          <w:rFonts w:asciiTheme="minorHAnsi" w:hAnsiTheme="minorHAnsi" w:cstheme="minorHAnsi"/>
          <w:sz w:val="22"/>
          <w:szCs w:val="22"/>
        </w:rPr>
        <w:t xml:space="preserve">This </w:t>
      </w:r>
      <w:r>
        <w:rPr>
          <w:rFonts w:asciiTheme="minorHAnsi" w:hAnsiTheme="minorHAnsi" w:cstheme="minorHAnsi"/>
          <w:sz w:val="22"/>
          <w:szCs w:val="22"/>
        </w:rPr>
        <w:t>P</w:t>
      </w:r>
      <w:r w:rsidRPr="00335239">
        <w:rPr>
          <w:rFonts w:asciiTheme="minorHAnsi" w:hAnsiTheme="minorHAnsi" w:cstheme="minorHAnsi"/>
          <w:sz w:val="22"/>
          <w:szCs w:val="22"/>
        </w:rPr>
        <w:t xml:space="preserve">otential </w:t>
      </w:r>
      <w:r>
        <w:rPr>
          <w:rFonts w:asciiTheme="minorHAnsi" w:hAnsiTheme="minorHAnsi" w:cstheme="minorHAnsi"/>
          <w:sz w:val="22"/>
          <w:szCs w:val="22"/>
        </w:rPr>
        <w:t>T</w:t>
      </w:r>
      <w:r w:rsidRPr="00335239">
        <w:rPr>
          <w:rFonts w:asciiTheme="minorHAnsi" w:hAnsiTheme="minorHAnsi" w:cstheme="minorHAnsi"/>
          <w:sz w:val="22"/>
          <w:szCs w:val="22"/>
        </w:rPr>
        <w:t xml:space="preserve">ransaction would position Permanent TSB for significant future growth in the </w:t>
      </w:r>
      <w:r w:rsidR="00807080">
        <w:rPr>
          <w:rFonts w:asciiTheme="minorHAnsi" w:hAnsiTheme="minorHAnsi" w:cstheme="minorHAnsi"/>
          <w:sz w:val="22"/>
          <w:szCs w:val="22"/>
        </w:rPr>
        <w:t xml:space="preserve">personal and </w:t>
      </w:r>
      <w:r w:rsidRPr="00335239">
        <w:rPr>
          <w:rFonts w:asciiTheme="minorHAnsi" w:hAnsiTheme="minorHAnsi" w:cstheme="minorHAnsi"/>
          <w:sz w:val="22"/>
          <w:szCs w:val="22"/>
        </w:rPr>
        <w:t>SME banking business in the Irish market and support customers as the country exits the COVID-19 pandemic.</w:t>
      </w:r>
      <w:r w:rsidRPr="00335239">
        <w:rPr>
          <w:rFonts w:cstheme="minorHAnsi"/>
          <w:sz w:val="22"/>
          <w:szCs w:val="22"/>
        </w:rPr>
        <w:t xml:space="preserve"> </w:t>
      </w:r>
      <w:r w:rsidRPr="00335239">
        <w:rPr>
          <w:rFonts w:asciiTheme="minorHAnsi" w:hAnsiTheme="minorHAnsi" w:cstheme="minorHAnsi"/>
          <w:sz w:val="22"/>
          <w:szCs w:val="22"/>
        </w:rPr>
        <w:t xml:space="preserve">It </w:t>
      </w:r>
      <w:r w:rsidRPr="00335239">
        <w:rPr>
          <w:rFonts w:asciiTheme="minorHAnsi" w:hAnsiTheme="minorHAnsi" w:cstheme="minorHAnsi"/>
          <w:color w:val="000000" w:themeColor="text1"/>
          <w:sz w:val="22"/>
          <w:szCs w:val="22"/>
        </w:rPr>
        <w:t>will</w:t>
      </w:r>
      <w:r w:rsidRPr="00335239">
        <w:rPr>
          <w:rFonts w:asciiTheme="minorHAnsi" w:hAnsiTheme="minorHAnsi" w:cstheme="minorHAnsi"/>
          <w:sz w:val="22"/>
          <w:szCs w:val="22"/>
        </w:rPr>
        <w:t xml:space="preserve"> also provide certainty and continuity to the mortgage and SME customers of Ulster Bank associated with this acquisition, along with the employees of Ulster Bank </w:t>
      </w:r>
      <w:r>
        <w:rPr>
          <w:rFonts w:asciiTheme="minorHAnsi" w:hAnsiTheme="minorHAnsi" w:cstheme="minorHAnsi"/>
          <w:sz w:val="22"/>
          <w:szCs w:val="22"/>
        </w:rPr>
        <w:t xml:space="preserve">who are entitled to transfer to Permanent TSB under </w:t>
      </w:r>
      <w:proofErr w:type="spellStart"/>
      <w:r>
        <w:rPr>
          <w:rFonts w:asciiTheme="minorHAnsi" w:hAnsiTheme="minorHAnsi" w:cstheme="minorHAnsi"/>
          <w:sz w:val="22"/>
          <w:szCs w:val="22"/>
        </w:rPr>
        <w:t>TUPE</w:t>
      </w:r>
      <w:proofErr w:type="spellEnd"/>
      <w:r>
        <w:rPr>
          <w:rFonts w:asciiTheme="minorHAnsi" w:hAnsiTheme="minorHAnsi" w:cstheme="minorHAnsi"/>
          <w:sz w:val="22"/>
          <w:szCs w:val="22"/>
        </w:rPr>
        <w:t xml:space="preserve"> legislation. </w:t>
      </w:r>
    </w:p>
    <w:p w14:paraId="457F92DE" w14:textId="77777777" w:rsidR="00FA424A" w:rsidRPr="00335239" w:rsidRDefault="00FA424A" w:rsidP="00FA424A">
      <w:pPr>
        <w:pStyle w:val="Default"/>
        <w:spacing w:line="276" w:lineRule="auto"/>
        <w:jc w:val="both"/>
        <w:rPr>
          <w:rFonts w:asciiTheme="minorHAnsi" w:hAnsiTheme="minorHAnsi" w:cstheme="minorHAnsi"/>
          <w:sz w:val="22"/>
          <w:szCs w:val="22"/>
        </w:rPr>
      </w:pPr>
    </w:p>
    <w:p w14:paraId="4A322484" w14:textId="77777777" w:rsidR="00FA424A" w:rsidRPr="00335239" w:rsidRDefault="00FA424A" w:rsidP="00FA424A">
      <w:pPr>
        <w:pStyle w:val="Default"/>
        <w:spacing w:line="276" w:lineRule="auto"/>
        <w:jc w:val="both"/>
        <w:rPr>
          <w:rFonts w:asciiTheme="minorHAnsi" w:hAnsiTheme="minorHAnsi" w:cstheme="minorHAnsi"/>
          <w:sz w:val="22"/>
          <w:szCs w:val="22"/>
        </w:rPr>
      </w:pPr>
      <w:r w:rsidRPr="00335239">
        <w:rPr>
          <w:rFonts w:asciiTheme="minorHAnsi" w:hAnsiTheme="minorHAnsi" w:cstheme="minorHAnsi"/>
          <w:sz w:val="22"/>
          <w:szCs w:val="22"/>
        </w:rPr>
        <w:lastRenderedPageBreak/>
        <w:t>Permanent TSB has significant growth ambitions in the SME sector and this transaction will provide a new market opportunity with the potential acquisition of Ulster Bank’s Asset Finance loan business. Permanent TSB ha</w:t>
      </w:r>
      <w:r>
        <w:rPr>
          <w:rFonts w:asciiTheme="minorHAnsi" w:hAnsiTheme="minorHAnsi" w:cstheme="minorHAnsi"/>
          <w:sz w:val="22"/>
          <w:szCs w:val="22"/>
        </w:rPr>
        <w:t>s</w:t>
      </w:r>
      <w:r w:rsidRPr="00335239">
        <w:rPr>
          <w:rFonts w:asciiTheme="minorHAnsi" w:hAnsiTheme="minorHAnsi" w:cstheme="minorHAnsi"/>
          <w:sz w:val="22"/>
          <w:szCs w:val="22"/>
        </w:rPr>
        <w:t xml:space="preserve"> also recently invested in new business banking capability and is continuing to grow its team to ensure that it can provide the right specialist support to SME’s across the country. </w:t>
      </w:r>
    </w:p>
    <w:p w14:paraId="7DD5D592" w14:textId="7294AFB4" w:rsidR="006453A6" w:rsidRDefault="006453A6" w:rsidP="006453A6">
      <w:pPr>
        <w:spacing w:after="0"/>
        <w:jc w:val="both"/>
        <w:rPr>
          <w:rFonts w:cstheme="minorHAnsi"/>
        </w:rPr>
      </w:pPr>
    </w:p>
    <w:p w14:paraId="4D258BD8" w14:textId="3472B643" w:rsidR="00913224" w:rsidRPr="00913224" w:rsidRDefault="00913224" w:rsidP="006453A6">
      <w:pPr>
        <w:spacing w:after="0"/>
        <w:jc w:val="both"/>
        <w:rPr>
          <w:rFonts w:cstheme="minorHAnsi"/>
          <w:b/>
          <w:bCs/>
        </w:rPr>
      </w:pPr>
      <w:r w:rsidRPr="00913224">
        <w:rPr>
          <w:rFonts w:cstheme="minorHAnsi"/>
          <w:b/>
        </w:rPr>
        <w:t>Next Steps</w:t>
      </w:r>
    </w:p>
    <w:p w14:paraId="393F93E3" w14:textId="3E7BC98D" w:rsidR="00794BC4" w:rsidRPr="006453A6" w:rsidRDefault="003E121B" w:rsidP="00A201A5">
      <w:pPr>
        <w:jc w:val="both"/>
        <w:rPr>
          <w:rFonts w:cstheme="minorHAnsi"/>
          <w:b/>
          <w:bCs/>
        </w:rPr>
      </w:pPr>
      <w:r w:rsidRPr="00335239">
        <w:rPr>
          <w:rFonts w:cstheme="minorHAnsi"/>
        </w:rPr>
        <w:t xml:space="preserve">The parties will work together over the next number of months with a view to entering into legally binding agreements </w:t>
      </w:r>
      <w:r w:rsidRPr="00335239">
        <w:rPr>
          <w:rFonts w:cstheme="minorHAnsi"/>
          <w:color w:val="000000" w:themeColor="text1"/>
        </w:rPr>
        <w:t xml:space="preserve">in Quarter 4, 2021. </w:t>
      </w:r>
      <w:r w:rsidR="00EF3C63" w:rsidRPr="00335239">
        <w:rPr>
          <w:rFonts w:cstheme="minorHAnsi"/>
        </w:rPr>
        <w:t xml:space="preserve">Subject to </w:t>
      </w:r>
      <w:r w:rsidR="0021773D" w:rsidRPr="00335239">
        <w:rPr>
          <w:rFonts w:cstheme="minorHAnsi"/>
        </w:rPr>
        <w:t>legal</w:t>
      </w:r>
      <w:r w:rsidR="00CA683E">
        <w:rPr>
          <w:rFonts w:cstheme="minorHAnsi"/>
        </w:rPr>
        <w:t>ly</w:t>
      </w:r>
      <w:r w:rsidR="0021773D" w:rsidRPr="00335239">
        <w:rPr>
          <w:rFonts w:cstheme="minorHAnsi"/>
        </w:rPr>
        <w:t xml:space="preserve"> binding agreements being put in place</w:t>
      </w:r>
      <w:r w:rsidR="002578E4" w:rsidRPr="00335239">
        <w:rPr>
          <w:rFonts w:cstheme="minorHAnsi"/>
        </w:rPr>
        <w:t xml:space="preserve"> </w:t>
      </w:r>
      <w:r w:rsidR="002578E4" w:rsidRPr="00335239">
        <w:rPr>
          <w:rFonts w:cstheme="minorHAnsi"/>
          <w:color w:val="000000" w:themeColor="text1"/>
        </w:rPr>
        <w:t>and subject to receiving all required regulatory approvals</w:t>
      </w:r>
      <w:r w:rsidR="00EF3C63" w:rsidRPr="00335239">
        <w:rPr>
          <w:rFonts w:cstheme="minorHAnsi"/>
          <w:color w:val="000000" w:themeColor="text1"/>
        </w:rPr>
        <w:t xml:space="preserve">, </w:t>
      </w:r>
      <w:r w:rsidR="00EF3C63" w:rsidRPr="00335239">
        <w:rPr>
          <w:rFonts w:cstheme="minorHAnsi"/>
        </w:rPr>
        <w:t xml:space="preserve">it is envisaged that the transfer of </w:t>
      </w:r>
      <w:r w:rsidR="00505453" w:rsidRPr="00335239">
        <w:rPr>
          <w:rFonts w:cstheme="minorHAnsi"/>
        </w:rPr>
        <w:t xml:space="preserve">the business </w:t>
      </w:r>
      <w:r w:rsidR="00EF3C63" w:rsidRPr="00335239">
        <w:rPr>
          <w:rFonts w:cstheme="minorHAnsi"/>
        </w:rPr>
        <w:t>will take place within the next 12</w:t>
      </w:r>
      <w:r w:rsidR="00AD5B4C" w:rsidRPr="00335239">
        <w:rPr>
          <w:rFonts w:cstheme="minorHAnsi"/>
        </w:rPr>
        <w:t xml:space="preserve"> to 18</w:t>
      </w:r>
      <w:r w:rsidR="00EF3C63" w:rsidRPr="00335239">
        <w:rPr>
          <w:rFonts w:cstheme="minorHAnsi"/>
        </w:rPr>
        <w:t xml:space="preserve"> months</w:t>
      </w:r>
      <w:r w:rsidR="007F18C6" w:rsidRPr="00335239">
        <w:rPr>
          <w:rFonts w:cstheme="minorHAnsi"/>
          <w:color w:val="000000" w:themeColor="text1"/>
        </w:rPr>
        <w:t>.</w:t>
      </w:r>
      <w:r w:rsidR="00EF3C63" w:rsidRPr="00335239">
        <w:rPr>
          <w:rFonts w:cstheme="minorHAnsi"/>
          <w:color w:val="FF0000"/>
        </w:rPr>
        <w:t xml:space="preserve"> </w:t>
      </w:r>
    </w:p>
    <w:p w14:paraId="607620FE" w14:textId="11B8182D" w:rsidR="00406B3F" w:rsidRPr="00335239" w:rsidRDefault="0000580E" w:rsidP="00406B3F">
      <w:pPr>
        <w:jc w:val="both"/>
        <w:rPr>
          <w:rFonts w:cstheme="minorHAnsi"/>
          <w:color w:val="000000" w:themeColor="text1"/>
          <w:lang w:val="en-GB"/>
        </w:rPr>
      </w:pPr>
      <w:r w:rsidRPr="00335239">
        <w:rPr>
          <w:rFonts w:cstheme="minorHAnsi"/>
          <w:color w:val="000000" w:themeColor="text1"/>
          <w:lang w:val="en-GB"/>
        </w:rPr>
        <w:t xml:space="preserve">The </w:t>
      </w:r>
      <w:r w:rsidR="00FE0954">
        <w:rPr>
          <w:rFonts w:cstheme="minorHAnsi"/>
          <w:color w:val="000000" w:themeColor="text1"/>
          <w:lang w:val="en-GB"/>
        </w:rPr>
        <w:t>P</w:t>
      </w:r>
      <w:r w:rsidRPr="00335239">
        <w:rPr>
          <w:rFonts w:cstheme="minorHAnsi"/>
          <w:color w:val="000000" w:themeColor="text1"/>
          <w:lang w:val="en-GB"/>
        </w:rPr>
        <w:t xml:space="preserve">otential </w:t>
      </w:r>
      <w:r w:rsidR="00FE0954">
        <w:rPr>
          <w:rFonts w:cstheme="minorHAnsi"/>
          <w:color w:val="000000" w:themeColor="text1"/>
          <w:lang w:val="en-GB"/>
        </w:rPr>
        <w:t>T</w:t>
      </w:r>
      <w:r w:rsidRPr="00335239">
        <w:rPr>
          <w:rFonts w:cstheme="minorHAnsi"/>
          <w:color w:val="000000" w:themeColor="text1"/>
          <w:lang w:val="en-GB"/>
        </w:rPr>
        <w:t>ransaction remains subject to</w:t>
      </w:r>
      <w:r w:rsidR="007C147F">
        <w:rPr>
          <w:rFonts w:cstheme="minorHAnsi"/>
          <w:color w:val="000000" w:themeColor="text1"/>
          <w:lang w:val="en-GB"/>
        </w:rPr>
        <w:t xml:space="preserve"> </w:t>
      </w:r>
      <w:r w:rsidR="007C147F" w:rsidRPr="007C147F">
        <w:rPr>
          <w:rFonts w:cstheme="minorHAnsi"/>
          <w:color w:val="000000" w:themeColor="text1"/>
          <w:lang w:val="en-GB"/>
        </w:rPr>
        <w:t>customary</w:t>
      </w:r>
      <w:r w:rsidRPr="00335239">
        <w:rPr>
          <w:rFonts w:cstheme="minorHAnsi"/>
          <w:color w:val="000000" w:themeColor="text1"/>
          <w:lang w:val="en-GB"/>
        </w:rPr>
        <w:t xml:space="preserve"> due diligence, further negotiation and agreement of final terms and </w:t>
      </w:r>
      <w:r w:rsidR="004350FA">
        <w:rPr>
          <w:rFonts w:cstheme="minorHAnsi"/>
          <w:color w:val="000000" w:themeColor="text1"/>
          <w:lang w:val="en-GB"/>
        </w:rPr>
        <w:t xml:space="preserve">legally </w:t>
      </w:r>
      <w:r w:rsidR="00BE1C87" w:rsidRPr="00BE1C87">
        <w:rPr>
          <w:rFonts w:cstheme="minorHAnsi"/>
          <w:color w:val="000000" w:themeColor="text1"/>
          <w:lang w:val="en-GB"/>
        </w:rPr>
        <w:t>binding</w:t>
      </w:r>
      <w:r w:rsidRPr="00335239">
        <w:rPr>
          <w:rFonts w:cstheme="minorHAnsi"/>
          <w:color w:val="000000" w:themeColor="text1"/>
          <w:lang w:val="en-GB"/>
        </w:rPr>
        <w:t xml:space="preserve"> documentation, as well as obtaining appropriate internal and regulatory approvals. </w:t>
      </w:r>
      <w:r w:rsidR="007B6D67" w:rsidRPr="00335239">
        <w:rPr>
          <w:rFonts w:cstheme="minorHAnsi"/>
          <w:color w:val="000000" w:themeColor="text1"/>
          <w:lang w:val="en-GB"/>
        </w:rPr>
        <w:t xml:space="preserve">The </w:t>
      </w:r>
      <w:r w:rsidR="007F18C6" w:rsidRPr="00335239">
        <w:rPr>
          <w:rFonts w:cstheme="minorHAnsi"/>
          <w:color w:val="000000" w:themeColor="text1"/>
          <w:lang w:val="en-GB"/>
        </w:rPr>
        <w:t>p</w:t>
      </w:r>
      <w:r w:rsidR="00505453" w:rsidRPr="00335239">
        <w:rPr>
          <w:rFonts w:cstheme="minorHAnsi"/>
          <w:color w:val="000000" w:themeColor="text1"/>
          <w:lang w:val="en-GB"/>
        </w:rPr>
        <w:t xml:space="preserve">otential </w:t>
      </w:r>
      <w:r w:rsidR="007F18C6" w:rsidRPr="00335239">
        <w:rPr>
          <w:rFonts w:cstheme="minorHAnsi"/>
          <w:color w:val="000000" w:themeColor="text1"/>
          <w:lang w:val="en-GB"/>
        </w:rPr>
        <w:t>t</w:t>
      </w:r>
      <w:r w:rsidR="007B6D67" w:rsidRPr="00335239">
        <w:rPr>
          <w:rFonts w:cstheme="minorHAnsi"/>
          <w:color w:val="000000" w:themeColor="text1"/>
          <w:lang w:val="en-GB"/>
        </w:rPr>
        <w:t>ransaction</w:t>
      </w:r>
      <w:r w:rsidR="00505453" w:rsidRPr="00335239">
        <w:rPr>
          <w:rFonts w:cstheme="minorHAnsi"/>
          <w:color w:val="000000" w:themeColor="text1"/>
          <w:lang w:val="en-GB"/>
        </w:rPr>
        <w:t xml:space="preserve">, if agreed, would </w:t>
      </w:r>
      <w:r w:rsidR="00D32F3C" w:rsidRPr="00335239">
        <w:rPr>
          <w:rFonts w:cstheme="minorHAnsi"/>
          <w:color w:val="000000" w:themeColor="text1"/>
          <w:lang w:val="en-GB"/>
        </w:rPr>
        <w:t xml:space="preserve">constitute a Class 1 transaction for </w:t>
      </w:r>
      <w:r w:rsidR="009E4E1D">
        <w:rPr>
          <w:iCs/>
        </w:rPr>
        <w:t>PTSB Holdings</w:t>
      </w:r>
      <w:r w:rsidR="00D32F3C" w:rsidRPr="00335239">
        <w:t xml:space="preserve"> under the </w:t>
      </w:r>
      <w:r w:rsidR="001125DE" w:rsidRPr="00335239">
        <w:t>l</w:t>
      </w:r>
      <w:r w:rsidR="00D32F3C" w:rsidRPr="00335239">
        <w:t xml:space="preserve">isting </w:t>
      </w:r>
      <w:r w:rsidR="001125DE" w:rsidRPr="00335239">
        <w:t>r</w:t>
      </w:r>
      <w:r w:rsidR="00D32F3C" w:rsidRPr="00335239">
        <w:t>ules</w:t>
      </w:r>
      <w:r w:rsidR="007C147F">
        <w:t xml:space="preserve"> </w:t>
      </w:r>
      <w:r w:rsidR="007C147F" w:rsidRPr="007C147F">
        <w:t xml:space="preserve">and </w:t>
      </w:r>
      <w:r w:rsidR="007C147F">
        <w:t>therefore</w:t>
      </w:r>
      <w:r w:rsidR="004350FA">
        <w:t xml:space="preserve"> would be</w:t>
      </w:r>
      <w:r w:rsidR="007C147F">
        <w:t xml:space="preserve"> </w:t>
      </w:r>
      <w:r w:rsidR="007C147F" w:rsidRPr="007C147F">
        <w:t>subject to the approval of PTSB Holdings</w:t>
      </w:r>
      <w:r w:rsidR="007C147F">
        <w:t>’</w:t>
      </w:r>
      <w:r w:rsidR="007C147F" w:rsidRPr="007C147F">
        <w:t xml:space="preserve"> shareholders</w:t>
      </w:r>
      <w:r w:rsidR="00406B3F" w:rsidRPr="00335239">
        <w:rPr>
          <w:rFonts w:cstheme="minorHAnsi"/>
          <w:color w:val="000000" w:themeColor="text1"/>
          <w:lang w:val="en-GB"/>
        </w:rPr>
        <w:t>.</w:t>
      </w:r>
      <w:r w:rsidR="00335239">
        <w:rPr>
          <w:rFonts w:cstheme="minorHAnsi"/>
          <w:color w:val="000000" w:themeColor="text1"/>
          <w:lang w:val="en-GB"/>
        </w:rPr>
        <w:t xml:space="preserve"> </w:t>
      </w:r>
      <w:r w:rsidRPr="00335239">
        <w:rPr>
          <w:rFonts w:cstheme="minorHAnsi"/>
          <w:color w:val="000000" w:themeColor="text1"/>
          <w:lang w:val="en-GB"/>
        </w:rPr>
        <w:t>Until an acquisition is finally concluded there can be no certainty that an acquisition will occur or on what terms.</w:t>
      </w:r>
      <w:r w:rsidR="00E9751B" w:rsidRPr="00335239">
        <w:rPr>
          <w:rFonts w:cstheme="minorHAnsi"/>
          <w:color w:val="000000" w:themeColor="text1"/>
          <w:lang w:val="en-GB"/>
        </w:rPr>
        <w:t xml:space="preserve">  Further announcements will be made in due course.</w:t>
      </w:r>
    </w:p>
    <w:p w14:paraId="1086D686" w14:textId="77777777" w:rsidR="00D66986" w:rsidRDefault="00D66986" w:rsidP="000440CE">
      <w:pPr>
        <w:pStyle w:val="ACLevel1"/>
        <w:numPr>
          <w:ilvl w:val="0"/>
          <w:numId w:val="0"/>
        </w:numPr>
        <w:jc w:val="both"/>
        <w:rPr>
          <w:rFonts w:cstheme="minorHAnsi"/>
          <w:color w:val="000000" w:themeColor="text1"/>
        </w:rPr>
      </w:pPr>
    </w:p>
    <w:p w14:paraId="4830D344" w14:textId="77777777" w:rsidR="00EF3C63" w:rsidRPr="00335239" w:rsidRDefault="00EF3C63" w:rsidP="00EF3C63">
      <w:pPr>
        <w:spacing w:before="240" w:after="240"/>
        <w:ind w:right="284"/>
        <w:jc w:val="both"/>
        <w:rPr>
          <w:b/>
        </w:rPr>
      </w:pPr>
      <w:r w:rsidRPr="00335239">
        <w:rPr>
          <w:b/>
        </w:rPr>
        <w:t>For Further Information Please Contact:</w:t>
      </w:r>
    </w:p>
    <w:p w14:paraId="1425AB53" w14:textId="77777777" w:rsidR="00EF3C63" w:rsidRPr="00335239" w:rsidRDefault="00EF3C63" w:rsidP="00EF3C63">
      <w:pPr>
        <w:spacing w:before="120" w:after="120"/>
        <w:ind w:right="284"/>
        <w:jc w:val="both"/>
      </w:pPr>
      <w:r w:rsidRPr="00335239">
        <w:t>Nicola O Brien</w:t>
      </w:r>
      <w:r w:rsidRPr="00335239">
        <w:tab/>
      </w:r>
      <w:r w:rsidRPr="00335239">
        <w:tab/>
      </w:r>
      <w:r w:rsidRPr="00335239">
        <w:tab/>
      </w:r>
      <w:r w:rsidRPr="00335239">
        <w:tab/>
      </w:r>
      <w:r w:rsidRPr="00335239">
        <w:tab/>
        <w:t>Leontia Fannin</w:t>
      </w:r>
    </w:p>
    <w:p w14:paraId="042A5DE8" w14:textId="77777777" w:rsidR="00EF3C63" w:rsidRPr="00335239" w:rsidRDefault="00EF3C63" w:rsidP="00EF3C63">
      <w:pPr>
        <w:spacing w:before="120" w:after="120"/>
        <w:ind w:right="284"/>
        <w:jc w:val="both"/>
      </w:pPr>
      <w:r w:rsidRPr="00335239">
        <w:t>Head of Investor Relations</w:t>
      </w:r>
      <w:r w:rsidRPr="00335239">
        <w:tab/>
      </w:r>
      <w:r w:rsidRPr="00335239">
        <w:tab/>
      </w:r>
      <w:r w:rsidRPr="00335239">
        <w:tab/>
        <w:t>Head of Corporate Affairs and Communications</w:t>
      </w:r>
    </w:p>
    <w:p w14:paraId="68613D15" w14:textId="77777777" w:rsidR="00EF3C63" w:rsidRPr="00335239" w:rsidRDefault="00EF3C63" w:rsidP="00EF3C63">
      <w:pPr>
        <w:spacing w:before="120" w:after="120"/>
        <w:ind w:right="284"/>
        <w:jc w:val="both"/>
      </w:pPr>
      <w:r w:rsidRPr="00335239">
        <w:t xml:space="preserve">Email: </w:t>
      </w:r>
      <w:hyperlink r:id="rId7" w:history="1">
        <w:r w:rsidRPr="00335239">
          <w:rPr>
            <w:rStyle w:val="Hyperlink"/>
          </w:rPr>
          <w:t>Nicola.Obrien@Permanenttsb.ie</w:t>
        </w:r>
      </w:hyperlink>
      <w:r w:rsidRPr="00335239">
        <w:tab/>
      </w:r>
      <w:r w:rsidRPr="00335239">
        <w:tab/>
        <w:t xml:space="preserve">Email: </w:t>
      </w:r>
      <w:hyperlink r:id="rId8" w:history="1">
        <w:r w:rsidRPr="00335239">
          <w:rPr>
            <w:rStyle w:val="Hyperlink"/>
          </w:rPr>
          <w:t>Leontia.Fannin@Permanenttsb.ie</w:t>
        </w:r>
      </w:hyperlink>
      <w:r w:rsidRPr="00335239">
        <w:t xml:space="preserve"> </w:t>
      </w:r>
    </w:p>
    <w:p w14:paraId="75714A7C" w14:textId="77777777" w:rsidR="00EF3C63" w:rsidRPr="00335239" w:rsidRDefault="00EF3C63" w:rsidP="00EF3C63">
      <w:pPr>
        <w:spacing w:before="120" w:after="120"/>
        <w:ind w:right="284"/>
        <w:jc w:val="both"/>
      </w:pPr>
      <w:r w:rsidRPr="00335239">
        <w:t>Phone: +353 87 148 2275</w:t>
      </w:r>
      <w:r w:rsidRPr="00335239">
        <w:tab/>
      </w:r>
      <w:r w:rsidRPr="00335239">
        <w:tab/>
      </w:r>
      <w:r w:rsidRPr="00335239">
        <w:tab/>
        <w:t>Phone: +353 87 973 3143</w:t>
      </w:r>
    </w:p>
    <w:p w14:paraId="10783C2D" w14:textId="77777777" w:rsidR="002A7DF6" w:rsidRDefault="002A7DF6" w:rsidP="00EF3C63">
      <w:pPr>
        <w:spacing w:before="240" w:after="240"/>
        <w:ind w:right="284"/>
        <w:jc w:val="both"/>
        <w:rPr>
          <w:b/>
        </w:rPr>
      </w:pPr>
      <w:bookmarkStart w:id="1" w:name="_GoBack"/>
      <w:bookmarkEnd w:id="1"/>
    </w:p>
    <w:p w14:paraId="462195FA" w14:textId="3A3D8AFE" w:rsidR="002A7DF6" w:rsidRDefault="002A7DF6" w:rsidP="002A7DF6">
      <w:pPr>
        <w:spacing w:after="0"/>
        <w:jc w:val="both"/>
        <w:rPr>
          <w:rFonts w:cstheme="minorHAnsi"/>
          <w:b/>
        </w:rPr>
      </w:pPr>
      <w:r>
        <w:rPr>
          <w:rFonts w:cstheme="minorHAnsi"/>
          <w:b/>
        </w:rPr>
        <w:t>Locations of 25 branches</w:t>
      </w:r>
    </w:p>
    <w:p w14:paraId="3C7DE6B0" w14:textId="77777777" w:rsidR="00651F3A" w:rsidRPr="00913224" w:rsidRDefault="00651F3A" w:rsidP="002A7DF6">
      <w:pPr>
        <w:spacing w:after="0"/>
        <w:jc w:val="both"/>
        <w:rPr>
          <w:rFonts w:cstheme="minorHAnsi"/>
          <w:b/>
          <w:bCs/>
        </w:rPr>
      </w:pPr>
    </w:p>
    <w:tbl>
      <w:tblPr>
        <w:tblStyle w:val="TableGrid"/>
        <w:tblW w:w="0" w:type="auto"/>
        <w:tblLook w:val="04A0" w:firstRow="1" w:lastRow="0" w:firstColumn="1" w:lastColumn="0" w:noHBand="0" w:noVBand="1"/>
      </w:tblPr>
      <w:tblGrid>
        <w:gridCol w:w="2122"/>
        <w:gridCol w:w="6894"/>
      </w:tblGrid>
      <w:tr w:rsidR="002A7DF6" w:rsidRPr="009B4A42" w14:paraId="6B89FCF5" w14:textId="77777777" w:rsidTr="007A348E">
        <w:tc>
          <w:tcPr>
            <w:tcW w:w="2122" w:type="dxa"/>
          </w:tcPr>
          <w:p w14:paraId="1EEF66DD" w14:textId="77777777" w:rsidR="002A7DF6" w:rsidRPr="009B4A42" w:rsidRDefault="002A7DF6" w:rsidP="007A348E">
            <w:pPr>
              <w:rPr>
                <w:rFonts w:ascii="Calibri" w:hAnsi="Calibri" w:cs="Calibri"/>
                <w:b/>
                <w:bCs/>
              </w:rPr>
            </w:pPr>
            <w:r w:rsidRPr="009B4A42">
              <w:rPr>
                <w:rFonts w:ascii="Calibri" w:hAnsi="Calibri" w:cs="Calibri"/>
                <w:b/>
                <w:bCs/>
              </w:rPr>
              <w:t>COUNTY</w:t>
            </w:r>
          </w:p>
        </w:tc>
        <w:tc>
          <w:tcPr>
            <w:tcW w:w="6894" w:type="dxa"/>
          </w:tcPr>
          <w:p w14:paraId="6149E95A" w14:textId="77777777" w:rsidR="002A7DF6" w:rsidRPr="009B4A42" w:rsidRDefault="002A7DF6" w:rsidP="007A348E">
            <w:pPr>
              <w:rPr>
                <w:rFonts w:ascii="Calibri" w:hAnsi="Calibri" w:cs="Calibri"/>
                <w:b/>
                <w:bCs/>
              </w:rPr>
            </w:pPr>
            <w:r w:rsidRPr="009B4A42">
              <w:rPr>
                <w:rFonts w:ascii="Calibri" w:hAnsi="Calibri" w:cs="Calibri"/>
                <w:b/>
                <w:bCs/>
              </w:rPr>
              <w:t>BRANCH LOCATION</w:t>
            </w:r>
          </w:p>
        </w:tc>
      </w:tr>
      <w:tr w:rsidR="002A7DF6" w:rsidRPr="00CE09C8" w14:paraId="4C0402EE" w14:textId="77777777" w:rsidTr="007A348E">
        <w:tc>
          <w:tcPr>
            <w:tcW w:w="2122" w:type="dxa"/>
          </w:tcPr>
          <w:p w14:paraId="27BA25FC" w14:textId="77777777" w:rsidR="002A7DF6" w:rsidRPr="009B4A42" w:rsidRDefault="002A7DF6" w:rsidP="007A348E">
            <w:pPr>
              <w:rPr>
                <w:rFonts w:ascii="Calibri" w:hAnsi="Calibri" w:cs="Calibri"/>
              </w:rPr>
            </w:pPr>
            <w:r w:rsidRPr="009B4A42">
              <w:rPr>
                <w:rFonts w:ascii="Calibri" w:hAnsi="Calibri" w:cs="Calibri"/>
              </w:rPr>
              <w:t>CAVAN</w:t>
            </w:r>
          </w:p>
          <w:p w14:paraId="2B500C70" w14:textId="77777777" w:rsidR="002A7DF6" w:rsidRPr="00CE09C8" w:rsidRDefault="002A7DF6" w:rsidP="007A348E">
            <w:pPr>
              <w:rPr>
                <w:rFonts w:ascii="Calibri" w:hAnsi="Calibri" w:cs="Calibri"/>
              </w:rPr>
            </w:pPr>
          </w:p>
        </w:tc>
        <w:tc>
          <w:tcPr>
            <w:tcW w:w="6894" w:type="dxa"/>
          </w:tcPr>
          <w:p w14:paraId="38FA0100" w14:textId="77777777" w:rsidR="002A7DF6" w:rsidRPr="00CE09C8" w:rsidRDefault="002A7DF6" w:rsidP="007A348E">
            <w:pPr>
              <w:pStyle w:val="ListParagraph"/>
              <w:numPr>
                <w:ilvl w:val="0"/>
                <w:numId w:val="8"/>
              </w:numPr>
            </w:pPr>
            <w:r w:rsidRPr="00CE09C8">
              <w:t>Chapel Street, Ballyjamesduff</w:t>
            </w:r>
          </w:p>
          <w:p w14:paraId="6A052E72" w14:textId="77777777" w:rsidR="002A7DF6" w:rsidRPr="00CE09C8" w:rsidRDefault="002A7DF6" w:rsidP="007A348E">
            <w:pPr>
              <w:pStyle w:val="ListParagraph"/>
              <w:numPr>
                <w:ilvl w:val="0"/>
                <w:numId w:val="8"/>
              </w:numPr>
            </w:pPr>
            <w:r>
              <w:t>19 Main Street, Ballyconnell</w:t>
            </w:r>
          </w:p>
          <w:p w14:paraId="63D3B643" w14:textId="77777777" w:rsidR="002A7DF6" w:rsidRPr="00CE09C8" w:rsidRDefault="002A7DF6" w:rsidP="007A348E">
            <w:pPr>
              <w:rPr>
                <w:rFonts w:ascii="Calibri" w:hAnsi="Calibri" w:cs="Calibri"/>
              </w:rPr>
            </w:pPr>
          </w:p>
        </w:tc>
      </w:tr>
      <w:tr w:rsidR="002A7DF6" w:rsidRPr="00CE09C8" w14:paraId="2BEE5EA8" w14:textId="77777777" w:rsidTr="007A348E">
        <w:tc>
          <w:tcPr>
            <w:tcW w:w="2122" w:type="dxa"/>
          </w:tcPr>
          <w:p w14:paraId="50F12F17" w14:textId="77777777" w:rsidR="002A7DF6" w:rsidRPr="009B4A42" w:rsidRDefault="002A7DF6" w:rsidP="007A348E">
            <w:r w:rsidRPr="009B4A42">
              <w:t>CLARE</w:t>
            </w:r>
          </w:p>
          <w:p w14:paraId="4FA85BE6" w14:textId="77777777" w:rsidR="002A7DF6" w:rsidRPr="00CE09C8" w:rsidRDefault="002A7DF6" w:rsidP="007A348E">
            <w:pPr>
              <w:rPr>
                <w:rFonts w:ascii="Calibri" w:hAnsi="Calibri" w:cs="Calibri"/>
              </w:rPr>
            </w:pPr>
          </w:p>
        </w:tc>
        <w:tc>
          <w:tcPr>
            <w:tcW w:w="6894" w:type="dxa"/>
          </w:tcPr>
          <w:p w14:paraId="08DA5888" w14:textId="77777777" w:rsidR="002A7DF6" w:rsidRPr="00CE09C8" w:rsidRDefault="002A7DF6" w:rsidP="007A348E">
            <w:pPr>
              <w:pStyle w:val="ListParagraph"/>
              <w:numPr>
                <w:ilvl w:val="0"/>
                <w:numId w:val="9"/>
              </w:numPr>
            </w:pPr>
            <w:r w:rsidRPr="00CE09C8">
              <w:t>Skycourt Shopping Centre, Shannon</w:t>
            </w:r>
          </w:p>
          <w:p w14:paraId="3B8301F1" w14:textId="77777777" w:rsidR="002A7DF6" w:rsidRPr="00CE09C8" w:rsidRDefault="002A7DF6" w:rsidP="007A348E">
            <w:pPr>
              <w:rPr>
                <w:rFonts w:ascii="Calibri" w:hAnsi="Calibri" w:cs="Calibri"/>
              </w:rPr>
            </w:pPr>
          </w:p>
        </w:tc>
      </w:tr>
      <w:tr w:rsidR="002A7DF6" w:rsidRPr="00CE09C8" w14:paraId="6A38278B" w14:textId="77777777" w:rsidTr="007A348E">
        <w:tc>
          <w:tcPr>
            <w:tcW w:w="2122" w:type="dxa"/>
          </w:tcPr>
          <w:p w14:paraId="72B22048" w14:textId="77777777" w:rsidR="002A7DF6" w:rsidRPr="009B4A42" w:rsidRDefault="002A7DF6" w:rsidP="007A348E">
            <w:r w:rsidRPr="009B4A42">
              <w:t>CORK</w:t>
            </w:r>
          </w:p>
          <w:p w14:paraId="368D4E69" w14:textId="77777777" w:rsidR="002A7DF6" w:rsidRPr="00CE09C8" w:rsidRDefault="002A7DF6" w:rsidP="007A348E">
            <w:pPr>
              <w:rPr>
                <w:rFonts w:ascii="Calibri" w:hAnsi="Calibri" w:cs="Calibri"/>
              </w:rPr>
            </w:pPr>
          </w:p>
        </w:tc>
        <w:tc>
          <w:tcPr>
            <w:tcW w:w="6894" w:type="dxa"/>
          </w:tcPr>
          <w:p w14:paraId="6605ED7B" w14:textId="77777777" w:rsidR="002A7DF6" w:rsidRPr="00CE09C8" w:rsidRDefault="002A7DF6" w:rsidP="007A348E">
            <w:pPr>
              <w:pStyle w:val="ListParagraph"/>
              <w:numPr>
                <w:ilvl w:val="0"/>
                <w:numId w:val="9"/>
              </w:numPr>
            </w:pPr>
            <w:r w:rsidRPr="00CE09C8">
              <w:t>High Street, Wilton</w:t>
            </w:r>
          </w:p>
          <w:p w14:paraId="0C7471A3" w14:textId="77777777" w:rsidR="002A7DF6" w:rsidRPr="00CE09C8" w:rsidRDefault="002A7DF6" w:rsidP="007A348E">
            <w:pPr>
              <w:rPr>
                <w:rFonts w:ascii="Calibri" w:hAnsi="Calibri" w:cs="Calibri"/>
              </w:rPr>
            </w:pPr>
          </w:p>
        </w:tc>
      </w:tr>
      <w:tr w:rsidR="002A7DF6" w:rsidRPr="00CE09C8" w14:paraId="0F82BFD7" w14:textId="77777777" w:rsidTr="007A348E">
        <w:tc>
          <w:tcPr>
            <w:tcW w:w="2122" w:type="dxa"/>
          </w:tcPr>
          <w:p w14:paraId="0751FB95" w14:textId="77777777" w:rsidR="002A7DF6" w:rsidRPr="009B4A42" w:rsidRDefault="002A7DF6" w:rsidP="007A348E">
            <w:r w:rsidRPr="009B4A42">
              <w:t>DONEGAL</w:t>
            </w:r>
          </w:p>
          <w:p w14:paraId="6F2D2ECF" w14:textId="77777777" w:rsidR="002A7DF6" w:rsidRPr="00CE09C8" w:rsidRDefault="002A7DF6" w:rsidP="007A348E">
            <w:pPr>
              <w:rPr>
                <w:rFonts w:ascii="Calibri" w:hAnsi="Calibri" w:cs="Calibri"/>
              </w:rPr>
            </w:pPr>
          </w:p>
        </w:tc>
        <w:tc>
          <w:tcPr>
            <w:tcW w:w="6894" w:type="dxa"/>
          </w:tcPr>
          <w:p w14:paraId="3369B76E" w14:textId="77777777" w:rsidR="002A7DF6" w:rsidRPr="00CE09C8" w:rsidRDefault="002A7DF6" w:rsidP="007A348E">
            <w:pPr>
              <w:pStyle w:val="ListParagraph"/>
              <w:numPr>
                <w:ilvl w:val="0"/>
                <w:numId w:val="9"/>
              </w:numPr>
            </w:pPr>
            <w:r w:rsidRPr="00CE09C8">
              <w:t>Units G1 G2 F2, Butt Hall Centre, Main Street, Ballybofey</w:t>
            </w:r>
          </w:p>
          <w:p w14:paraId="79AED717" w14:textId="77777777" w:rsidR="002A7DF6" w:rsidRPr="00CE09C8" w:rsidRDefault="002A7DF6" w:rsidP="007A348E">
            <w:pPr>
              <w:pStyle w:val="ListParagraph"/>
              <w:numPr>
                <w:ilvl w:val="0"/>
                <w:numId w:val="9"/>
              </w:numPr>
            </w:pPr>
            <w:r w:rsidRPr="00CE09C8">
              <w:t>8 Ardaravan Square, Buncrana</w:t>
            </w:r>
          </w:p>
          <w:p w14:paraId="437E8F48" w14:textId="77777777" w:rsidR="002A7DF6" w:rsidRPr="00CE09C8" w:rsidRDefault="002A7DF6" w:rsidP="007A348E">
            <w:pPr>
              <w:pStyle w:val="ListParagraph"/>
              <w:numPr>
                <w:ilvl w:val="0"/>
                <w:numId w:val="9"/>
              </w:numPr>
            </w:pPr>
            <w:r w:rsidRPr="00CE09C8">
              <w:t xml:space="preserve">Gruagorm House, Main Street, Donegal </w:t>
            </w:r>
          </w:p>
          <w:p w14:paraId="694B95CB" w14:textId="77777777" w:rsidR="002A7DF6" w:rsidRPr="00CE09C8" w:rsidRDefault="002A7DF6" w:rsidP="007A348E">
            <w:pPr>
              <w:pStyle w:val="ListParagraph"/>
              <w:numPr>
                <w:ilvl w:val="0"/>
                <w:numId w:val="9"/>
              </w:numPr>
            </w:pPr>
            <w:r w:rsidRPr="00CE09C8">
              <w:t>Main Street, Killybegs</w:t>
            </w:r>
          </w:p>
          <w:p w14:paraId="13BE8861" w14:textId="77777777" w:rsidR="002A7DF6" w:rsidRPr="00CE09C8" w:rsidRDefault="002A7DF6" w:rsidP="007A348E">
            <w:pPr>
              <w:rPr>
                <w:rFonts w:ascii="Calibri" w:hAnsi="Calibri" w:cs="Calibri"/>
              </w:rPr>
            </w:pPr>
          </w:p>
        </w:tc>
      </w:tr>
      <w:tr w:rsidR="002A7DF6" w:rsidRPr="00CE09C8" w14:paraId="4B22BB52" w14:textId="77777777" w:rsidTr="007A348E">
        <w:tc>
          <w:tcPr>
            <w:tcW w:w="2122" w:type="dxa"/>
          </w:tcPr>
          <w:p w14:paraId="26066357" w14:textId="77777777" w:rsidR="002A7DF6" w:rsidRPr="009B4A42" w:rsidRDefault="002A7DF6" w:rsidP="007A348E">
            <w:r w:rsidRPr="009B4A42">
              <w:t>DUBLIN</w:t>
            </w:r>
          </w:p>
          <w:p w14:paraId="5E1DB7FA" w14:textId="77777777" w:rsidR="002A7DF6" w:rsidRPr="00CE09C8" w:rsidRDefault="002A7DF6" w:rsidP="007A348E">
            <w:pPr>
              <w:rPr>
                <w:rFonts w:ascii="Calibri" w:hAnsi="Calibri" w:cs="Calibri"/>
              </w:rPr>
            </w:pPr>
          </w:p>
        </w:tc>
        <w:tc>
          <w:tcPr>
            <w:tcW w:w="6894" w:type="dxa"/>
          </w:tcPr>
          <w:p w14:paraId="3527D494" w14:textId="77777777" w:rsidR="002A7DF6" w:rsidRPr="00CE09C8" w:rsidRDefault="002A7DF6" w:rsidP="007A348E">
            <w:pPr>
              <w:pStyle w:val="ListParagraph"/>
              <w:numPr>
                <w:ilvl w:val="0"/>
                <w:numId w:val="10"/>
              </w:numPr>
            </w:pPr>
            <w:r w:rsidRPr="00CE09C8">
              <w:t>27/35 Main Street, Blackrock</w:t>
            </w:r>
          </w:p>
          <w:p w14:paraId="5412F4AD" w14:textId="77777777" w:rsidR="002A7DF6" w:rsidRPr="00CE09C8" w:rsidRDefault="002A7DF6" w:rsidP="007A348E">
            <w:pPr>
              <w:pStyle w:val="ListParagraph"/>
              <w:numPr>
                <w:ilvl w:val="0"/>
                <w:numId w:val="10"/>
              </w:numPr>
            </w:pPr>
            <w:r w:rsidRPr="00CE09C8">
              <w:t>Main Street, Blanchardstown</w:t>
            </w:r>
          </w:p>
          <w:p w14:paraId="7641728D" w14:textId="77777777" w:rsidR="002A7DF6" w:rsidRPr="00CE09C8" w:rsidRDefault="002A7DF6" w:rsidP="007A348E">
            <w:pPr>
              <w:pStyle w:val="ListParagraph"/>
              <w:numPr>
                <w:ilvl w:val="0"/>
                <w:numId w:val="10"/>
              </w:numPr>
            </w:pPr>
            <w:r w:rsidRPr="00CE09C8">
              <w:t>The Mall, Main Street, Lucan</w:t>
            </w:r>
          </w:p>
          <w:p w14:paraId="47D48608" w14:textId="77777777" w:rsidR="002A7DF6" w:rsidRPr="00CE09C8" w:rsidRDefault="002A7DF6" w:rsidP="007A348E">
            <w:pPr>
              <w:pStyle w:val="ListParagraph"/>
              <w:numPr>
                <w:ilvl w:val="0"/>
                <w:numId w:val="10"/>
              </w:numPr>
            </w:pPr>
            <w:r w:rsidRPr="00CE09C8">
              <w:lastRenderedPageBreak/>
              <w:t>63 Ranelagh, Dublin 6</w:t>
            </w:r>
          </w:p>
          <w:p w14:paraId="3F26AFA8" w14:textId="77777777" w:rsidR="002A7DF6" w:rsidRPr="00CE09C8" w:rsidRDefault="002A7DF6" w:rsidP="007A348E">
            <w:pPr>
              <w:pStyle w:val="ListParagraph"/>
              <w:numPr>
                <w:ilvl w:val="0"/>
                <w:numId w:val="10"/>
              </w:numPr>
            </w:pPr>
            <w:r w:rsidRPr="00CE09C8">
              <w:t>237 Rochestown Avenue, Dun Laoghaire</w:t>
            </w:r>
          </w:p>
          <w:p w14:paraId="4A2D9633" w14:textId="77777777" w:rsidR="002A7DF6" w:rsidRPr="00CE09C8" w:rsidRDefault="002A7DF6" w:rsidP="007A348E">
            <w:pPr>
              <w:pStyle w:val="ListParagraph"/>
              <w:numPr>
                <w:ilvl w:val="0"/>
                <w:numId w:val="10"/>
              </w:numPr>
            </w:pPr>
            <w:r w:rsidRPr="00CE09C8">
              <w:t>Unit G 26, Pavilion Shopping Centre, Swords</w:t>
            </w:r>
          </w:p>
          <w:p w14:paraId="51E7F805" w14:textId="77777777" w:rsidR="002A7DF6" w:rsidRPr="00CE09C8" w:rsidRDefault="002A7DF6" w:rsidP="007A348E">
            <w:pPr>
              <w:rPr>
                <w:rFonts w:ascii="Calibri" w:hAnsi="Calibri" w:cs="Calibri"/>
              </w:rPr>
            </w:pPr>
          </w:p>
        </w:tc>
      </w:tr>
      <w:tr w:rsidR="002A7DF6" w:rsidRPr="00CE09C8" w14:paraId="4781BB44" w14:textId="77777777" w:rsidTr="007A348E">
        <w:tc>
          <w:tcPr>
            <w:tcW w:w="2122" w:type="dxa"/>
          </w:tcPr>
          <w:p w14:paraId="0E791B06" w14:textId="77777777" w:rsidR="002A7DF6" w:rsidRPr="009B4A42" w:rsidRDefault="002A7DF6" w:rsidP="007A348E">
            <w:r w:rsidRPr="009B4A42">
              <w:lastRenderedPageBreak/>
              <w:t>GALWAY</w:t>
            </w:r>
          </w:p>
          <w:p w14:paraId="570E6DAD" w14:textId="77777777" w:rsidR="002A7DF6" w:rsidRPr="00CE09C8" w:rsidRDefault="002A7DF6" w:rsidP="007A348E">
            <w:pPr>
              <w:rPr>
                <w:rFonts w:ascii="Calibri" w:hAnsi="Calibri" w:cs="Calibri"/>
              </w:rPr>
            </w:pPr>
          </w:p>
        </w:tc>
        <w:tc>
          <w:tcPr>
            <w:tcW w:w="6894" w:type="dxa"/>
          </w:tcPr>
          <w:p w14:paraId="5F925E09" w14:textId="77777777" w:rsidR="002A7DF6" w:rsidRPr="00CE09C8" w:rsidRDefault="002A7DF6" w:rsidP="007A348E">
            <w:pPr>
              <w:pStyle w:val="ListParagraph"/>
              <w:numPr>
                <w:ilvl w:val="0"/>
                <w:numId w:val="11"/>
              </w:numPr>
            </w:pPr>
            <w:r w:rsidRPr="00CE09C8">
              <w:t>The Square, Athenry</w:t>
            </w:r>
          </w:p>
          <w:p w14:paraId="0D2E7775" w14:textId="77777777" w:rsidR="002A7DF6" w:rsidRPr="00CE09C8" w:rsidRDefault="002A7DF6" w:rsidP="007A348E">
            <w:pPr>
              <w:pStyle w:val="ListParagraph"/>
              <w:numPr>
                <w:ilvl w:val="0"/>
                <w:numId w:val="11"/>
              </w:numPr>
            </w:pPr>
            <w:r w:rsidRPr="00CE09C8">
              <w:t>33 Eyre Square, Galway</w:t>
            </w:r>
          </w:p>
          <w:p w14:paraId="4AA98477" w14:textId="77777777" w:rsidR="002A7DF6" w:rsidRPr="00CE09C8" w:rsidRDefault="002A7DF6" w:rsidP="007A348E">
            <w:pPr>
              <w:pStyle w:val="ListParagraph"/>
              <w:numPr>
                <w:ilvl w:val="0"/>
                <w:numId w:val="11"/>
              </w:numPr>
            </w:pPr>
            <w:r w:rsidRPr="00CE09C8">
              <w:t>Shop Street, Tuam</w:t>
            </w:r>
          </w:p>
          <w:p w14:paraId="644BB593" w14:textId="77777777" w:rsidR="002A7DF6" w:rsidRPr="00CE09C8" w:rsidRDefault="002A7DF6" w:rsidP="007A348E">
            <w:pPr>
              <w:rPr>
                <w:rFonts w:ascii="Calibri" w:hAnsi="Calibri" w:cs="Calibri"/>
              </w:rPr>
            </w:pPr>
          </w:p>
        </w:tc>
      </w:tr>
      <w:tr w:rsidR="002A7DF6" w:rsidRPr="00CE09C8" w14:paraId="4299D3C2" w14:textId="77777777" w:rsidTr="007A348E">
        <w:tc>
          <w:tcPr>
            <w:tcW w:w="2122" w:type="dxa"/>
          </w:tcPr>
          <w:p w14:paraId="56FA0B00" w14:textId="77777777" w:rsidR="002A7DF6" w:rsidRPr="009B4A42" w:rsidRDefault="002A7DF6" w:rsidP="007A348E">
            <w:r w:rsidRPr="009B4A42">
              <w:t>KILDARE</w:t>
            </w:r>
          </w:p>
          <w:p w14:paraId="5184DD09" w14:textId="77777777" w:rsidR="002A7DF6" w:rsidRPr="00CE09C8" w:rsidRDefault="002A7DF6" w:rsidP="007A348E">
            <w:pPr>
              <w:rPr>
                <w:rFonts w:ascii="Calibri" w:hAnsi="Calibri" w:cs="Calibri"/>
              </w:rPr>
            </w:pPr>
          </w:p>
        </w:tc>
        <w:tc>
          <w:tcPr>
            <w:tcW w:w="6894" w:type="dxa"/>
          </w:tcPr>
          <w:p w14:paraId="71207A88" w14:textId="77777777" w:rsidR="002A7DF6" w:rsidRPr="00CE09C8" w:rsidRDefault="002A7DF6" w:rsidP="007A348E">
            <w:pPr>
              <w:pStyle w:val="ListParagraph"/>
              <w:numPr>
                <w:ilvl w:val="0"/>
                <w:numId w:val="12"/>
              </w:numPr>
            </w:pPr>
            <w:r w:rsidRPr="00CE09C8">
              <w:t xml:space="preserve">Main Street Donaghcumper, Celbridge </w:t>
            </w:r>
          </w:p>
          <w:p w14:paraId="0609B290" w14:textId="77777777" w:rsidR="002A7DF6" w:rsidRPr="00CE09C8" w:rsidRDefault="002A7DF6" w:rsidP="007A348E">
            <w:pPr>
              <w:pStyle w:val="ListParagraph"/>
              <w:numPr>
                <w:ilvl w:val="0"/>
                <w:numId w:val="12"/>
              </w:numPr>
            </w:pPr>
            <w:r w:rsidRPr="00CE09C8">
              <w:t>The Square, Kilcock</w:t>
            </w:r>
          </w:p>
          <w:p w14:paraId="3D13FB3B" w14:textId="77777777" w:rsidR="002A7DF6" w:rsidRPr="00CE09C8" w:rsidRDefault="002A7DF6" w:rsidP="007A348E">
            <w:pPr>
              <w:rPr>
                <w:rFonts w:ascii="Calibri" w:hAnsi="Calibri" w:cs="Calibri"/>
              </w:rPr>
            </w:pPr>
          </w:p>
        </w:tc>
      </w:tr>
      <w:tr w:rsidR="002A7DF6" w:rsidRPr="00CE09C8" w14:paraId="0165384F" w14:textId="77777777" w:rsidTr="007A348E">
        <w:tc>
          <w:tcPr>
            <w:tcW w:w="2122" w:type="dxa"/>
          </w:tcPr>
          <w:p w14:paraId="225DA4B3" w14:textId="77777777" w:rsidR="002A7DF6" w:rsidRPr="009B4A42" w:rsidRDefault="002A7DF6" w:rsidP="007A348E">
            <w:r w:rsidRPr="009B4A42">
              <w:t>LOUTH</w:t>
            </w:r>
          </w:p>
          <w:p w14:paraId="7D843E17" w14:textId="77777777" w:rsidR="002A7DF6" w:rsidRPr="009B4A42" w:rsidRDefault="002A7DF6" w:rsidP="007A348E"/>
        </w:tc>
        <w:tc>
          <w:tcPr>
            <w:tcW w:w="6894" w:type="dxa"/>
          </w:tcPr>
          <w:p w14:paraId="554EFB1B" w14:textId="77777777" w:rsidR="002A7DF6" w:rsidRPr="00CE09C8" w:rsidRDefault="002A7DF6" w:rsidP="007A348E">
            <w:pPr>
              <w:pStyle w:val="ListParagraph"/>
              <w:numPr>
                <w:ilvl w:val="0"/>
                <w:numId w:val="12"/>
              </w:numPr>
            </w:pPr>
            <w:r w:rsidRPr="00CE09C8">
              <w:t>Irish Street, Ardee</w:t>
            </w:r>
          </w:p>
          <w:p w14:paraId="5204134C" w14:textId="77777777" w:rsidR="002A7DF6" w:rsidRPr="00CE09C8" w:rsidRDefault="002A7DF6" w:rsidP="007A348E">
            <w:pPr>
              <w:pStyle w:val="ListParagraph"/>
            </w:pPr>
          </w:p>
        </w:tc>
      </w:tr>
      <w:tr w:rsidR="002A7DF6" w:rsidRPr="00CE09C8" w14:paraId="32CB9799" w14:textId="77777777" w:rsidTr="007A348E">
        <w:tc>
          <w:tcPr>
            <w:tcW w:w="2122" w:type="dxa"/>
          </w:tcPr>
          <w:p w14:paraId="232DDF2E" w14:textId="77777777" w:rsidR="002A7DF6" w:rsidRPr="009B4A42" w:rsidRDefault="002A7DF6" w:rsidP="007A348E">
            <w:r w:rsidRPr="009B4A42">
              <w:t>MAYO</w:t>
            </w:r>
          </w:p>
          <w:p w14:paraId="31D7AF32" w14:textId="77777777" w:rsidR="002A7DF6" w:rsidRPr="009B4A42" w:rsidRDefault="002A7DF6" w:rsidP="007A348E"/>
        </w:tc>
        <w:tc>
          <w:tcPr>
            <w:tcW w:w="6894" w:type="dxa"/>
          </w:tcPr>
          <w:p w14:paraId="3A68DB15" w14:textId="77777777" w:rsidR="002A7DF6" w:rsidRPr="00CE09C8" w:rsidRDefault="002A7DF6" w:rsidP="007A348E">
            <w:pPr>
              <w:pStyle w:val="ListParagraph"/>
              <w:numPr>
                <w:ilvl w:val="0"/>
                <w:numId w:val="12"/>
              </w:numPr>
            </w:pPr>
            <w:r w:rsidRPr="00CE09C8">
              <w:t>Main Street, Belmullet</w:t>
            </w:r>
          </w:p>
          <w:p w14:paraId="63A98284" w14:textId="77777777" w:rsidR="002A7DF6" w:rsidRPr="00CE09C8" w:rsidRDefault="002A7DF6" w:rsidP="007A348E">
            <w:pPr>
              <w:pStyle w:val="ListParagraph"/>
              <w:numPr>
                <w:ilvl w:val="0"/>
                <w:numId w:val="12"/>
              </w:numPr>
            </w:pPr>
            <w:r w:rsidRPr="00CE09C8">
              <w:t>North Mall, Westport</w:t>
            </w:r>
          </w:p>
          <w:p w14:paraId="7900E7DA" w14:textId="77777777" w:rsidR="002A7DF6" w:rsidRPr="00CE09C8" w:rsidRDefault="002A7DF6" w:rsidP="007A348E">
            <w:pPr>
              <w:ind w:left="360"/>
            </w:pPr>
          </w:p>
        </w:tc>
      </w:tr>
      <w:tr w:rsidR="002A7DF6" w:rsidRPr="00CE09C8" w:rsidDel="00CE09C8" w14:paraId="12A21F4F" w14:textId="77777777" w:rsidTr="007A348E">
        <w:tc>
          <w:tcPr>
            <w:tcW w:w="2122" w:type="dxa"/>
          </w:tcPr>
          <w:p w14:paraId="478396BB" w14:textId="77777777" w:rsidR="002A7DF6" w:rsidRPr="009B4A42" w:rsidRDefault="002A7DF6" w:rsidP="007A348E">
            <w:r w:rsidRPr="009B4A42">
              <w:t>MEATH</w:t>
            </w:r>
          </w:p>
          <w:p w14:paraId="1E3A6F15" w14:textId="77777777" w:rsidR="002A7DF6" w:rsidRPr="009B4A42" w:rsidRDefault="002A7DF6" w:rsidP="007A348E"/>
        </w:tc>
        <w:tc>
          <w:tcPr>
            <w:tcW w:w="6894" w:type="dxa"/>
          </w:tcPr>
          <w:p w14:paraId="42C448BA" w14:textId="77777777" w:rsidR="002A7DF6" w:rsidRPr="00CE09C8" w:rsidRDefault="002A7DF6" w:rsidP="007A348E">
            <w:pPr>
              <w:pStyle w:val="ListParagraph"/>
              <w:numPr>
                <w:ilvl w:val="0"/>
                <w:numId w:val="12"/>
              </w:numPr>
            </w:pPr>
            <w:r w:rsidRPr="00CE09C8">
              <w:t>High Street, Trim</w:t>
            </w:r>
          </w:p>
          <w:p w14:paraId="7F26E813" w14:textId="77777777" w:rsidR="002A7DF6" w:rsidRPr="00CE09C8" w:rsidDel="00CE09C8" w:rsidRDefault="002A7DF6" w:rsidP="007A348E">
            <w:pPr>
              <w:ind w:left="360"/>
            </w:pPr>
          </w:p>
        </w:tc>
      </w:tr>
      <w:tr w:rsidR="002A7DF6" w:rsidRPr="00CE09C8" w:rsidDel="00CE09C8" w14:paraId="22B5D466" w14:textId="77777777" w:rsidTr="007A348E">
        <w:tc>
          <w:tcPr>
            <w:tcW w:w="2122" w:type="dxa"/>
          </w:tcPr>
          <w:p w14:paraId="7097DDA8" w14:textId="77777777" w:rsidR="002A7DF6" w:rsidRPr="009B4A42" w:rsidRDefault="002A7DF6" w:rsidP="007A348E">
            <w:r w:rsidRPr="009B4A42">
              <w:t>TIPPERARY</w:t>
            </w:r>
          </w:p>
          <w:p w14:paraId="0D1F6C92" w14:textId="77777777" w:rsidR="002A7DF6" w:rsidRPr="009B4A42" w:rsidRDefault="002A7DF6" w:rsidP="007A348E"/>
        </w:tc>
        <w:tc>
          <w:tcPr>
            <w:tcW w:w="6894" w:type="dxa"/>
          </w:tcPr>
          <w:p w14:paraId="0994DE4E" w14:textId="77777777" w:rsidR="002A7DF6" w:rsidRPr="00CE09C8" w:rsidRDefault="002A7DF6" w:rsidP="007A348E">
            <w:pPr>
              <w:pStyle w:val="ListParagraph"/>
              <w:numPr>
                <w:ilvl w:val="0"/>
                <w:numId w:val="12"/>
              </w:numPr>
            </w:pPr>
            <w:r w:rsidRPr="00CE09C8">
              <w:t>49 Liberty Square, Thurles</w:t>
            </w:r>
          </w:p>
          <w:p w14:paraId="2F2111D5" w14:textId="77777777" w:rsidR="002A7DF6" w:rsidRPr="00CE09C8" w:rsidDel="00CE09C8" w:rsidRDefault="002A7DF6" w:rsidP="007A348E">
            <w:pPr>
              <w:ind w:left="360"/>
            </w:pPr>
          </w:p>
        </w:tc>
      </w:tr>
      <w:tr w:rsidR="002A7DF6" w:rsidRPr="00CE09C8" w:rsidDel="00CE09C8" w14:paraId="68C24E15" w14:textId="77777777" w:rsidTr="007A348E">
        <w:tc>
          <w:tcPr>
            <w:tcW w:w="2122" w:type="dxa"/>
          </w:tcPr>
          <w:p w14:paraId="34A2137D" w14:textId="77777777" w:rsidR="002A7DF6" w:rsidRPr="009B4A42" w:rsidRDefault="002A7DF6" w:rsidP="007A348E">
            <w:r w:rsidRPr="009B4A42">
              <w:t>WEXFORD</w:t>
            </w:r>
          </w:p>
          <w:p w14:paraId="48D2725C" w14:textId="77777777" w:rsidR="002A7DF6" w:rsidRPr="009B4A42" w:rsidRDefault="002A7DF6" w:rsidP="007A348E"/>
        </w:tc>
        <w:tc>
          <w:tcPr>
            <w:tcW w:w="6894" w:type="dxa"/>
          </w:tcPr>
          <w:p w14:paraId="4C7A05FE" w14:textId="77777777" w:rsidR="002A7DF6" w:rsidRPr="00CE09C8" w:rsidRDefault="002A7DF6" w:rsidP="007A348E">
            <w:pPr>
              <w:pStyle w:val="ListParagraph"/>
              <w:numPr>
                <w:ilvl w:val="0"/>
                <w:numId w:val="12"/>
              </w:numPr>
            </w:pPr>
            <w:r w:rsidRPr="00CE09C8">
              <w:t>22 Rafter Street, Enniscorthy</w:t>
            </w:r>
          </w:p>
          <w:p w14:paraId="0044C18F" w14:textId="77777777" w:rsidR="002A7DF6" w:rsidRPr="00CE09C8" w:rsidDel="00CE09C8" w:rsidRDefault="002A7DF6" w:rsidP="007A348E">
            <w:pPr>
              <w:ind w:left="360"/>
            </w:pPr>
          </w:p>
        </w:tc>
      </w:tr>
    </w:tbl>
    <w:p w14:paraId="50719455" w14:textId="77777777" w:rsidR="002A7DF6" w:rsidRDefault="002A7DF6" w:rsidP="00EF3C63">
      <w:pPr>
        <w:spacing w:before="240" w:after="240"/>
        <w:ind w:right="284"/>
        <w:jc w:val="both"/>
        <w:rPr>
          <w:b/>
        </w:rPr>
      </w:pPr>
    </w:p>
    <w:p w14:paraId="30F5B574" w14:textId="77777777" w:rsidR="00EF3C63" w:rsidRPr="00335239" w:rsidRDefault="00EF3C63" w:rsidP="00EF3C63">
      <w:pPr>
        <w:spacing w:before="240" w:after="240"/>
        <w:ind w:right="284"/>
        <w:jc w:val="both"/>
        <w:rPr>
          <w:b/>
        </w:rPr>
      </w:pPr>
      <w:r w:rsidRPr="00335239">
        <w:rPr>
          <w:b/>
        </w:rPr>
        <w:t xml:space="preserve">Note on Forward-Looking Information: </w:t>
      </w:r>
    </w:p>
    <w:p w14:paraId="5D3F0200" w14:textId="77777777" w:rsidR="00EF3C63" w:rsidRPr="00335239" w:rsidRDefault="00EF3C63" w:rsidP="00EF3C63">
      <w:pPr>
        <w:spacing w:before="120" w:after="240"/>
        <w:ind w:right="284"/>
        <w:jc w:val="both"/>
      </w:pPr>
      <w:r w:rsidRPr="00335239">
        <w:t>This announcement contains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Bank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Bank undertakes no obligation to release publicly any revision or updates to these forward-looking statements to reflect future events, circumstances, unanticipated events, new information or otherwise except as required by law or by any appropriate regulatory authority.</w:t>
      </w:r>
    </w:p>
    <w:p w14:paraId="5CA93E84" w14:textId="77777777" w:rsidR="00EF3C63" w:rsidRPr="00335239" w:rsidRDefault="00EF3C63" w:rsidP="00EF3C63">
      <w:pPr>
        <w:jc w:val="both"/>
        <w:rPr>
          <w:rFonts w:cstheme="minorHAnsi"/>
        </w:rPr>
      </w:pPr>
    </w:p>
    <w:p w14:paraId="63D04696" w14:textId="77777777" w:rsidR="00EF3C63" w:rsidRPr="00EF3C63" w:rsidRDefault="00EF3C63" w:rsidP="00EF3C63">
      <w:pPr>
        <w:jc w:val="both"/>
        <w:rPr>
          <w:rFonts w:cstheme="minorHAnsi"/>
          <w:sz w:val="24"/>
          <w:szCs w:val="24"/>
        </w:rPr>
      </w:pPr>
    </w:p>
    <w:p w14:paraId="12B5BD2F" w14:textId="77777777" w:rsidR="00C24C6C" w:rsidRPr="00EF3C63" w:rsidRDefault="00C24C6C" w:rsidP="00195850">
      <w:pPr>
        <w:pStyle w:val="ListParagraph"/>
        <w:ind w:left="1440"/>
        <w:jc w:val="both"/>
        <w:rPr>
          <w:rFonts w:cstheme="minorHAnsi"/>
          <w:sz w:val="24"/>
          <w:szCs w:val="24"/>
        </w:rPr>
      </w:pPr>
    </w:p>
    <w:p w14:paraId="3F0E075C" w14:textId="77777777" w:rsidR="00F9199B" w:rsidRPr="007B6D67" w:rsidRDefault="00F9199B" w:rsidP="00195850">
      <w:pPr>
        <w:autoSpaceDE w:val="0"/>
        <w:autoSpaceDN w:val="0"/>
        <w:adjustRightInd w:val="0"/>
        <w:spacing w:after="0"/>
        <w:jc w:val="both"/>
        <w:rPr>
          <w:rFonts w:cs="Arial"/>
          <w:b/>
          <w:color w:val="E36C0A" w:themeColor="accent6" w:themeShade="BF"/>
        </w:rPr>
      </w:pPr>
    </w:p>
    <w:p w14:paraId="69AE8B4C" w14:textId="77777777" w:rsidR="000373AA" w:rsidRPr="007B6D67" w:rsidRDefault="000373AA" w:rsidP="00195850">
      <w:pPr>
        <w:pStyle w:val="Default"/>
        <w:spacing w:line="276" w:lineRule="auto"/>
        <w:ind w:left="720"/>
        <w:jc w:val="both"/>
        <w:rPr>
          <w:rFonts w:asciiTheme="minorHAnsi" w:hAnsiTheme="minorHAnsi"/>
          <w:sz w:val="22"/>
          <w:szCs w:val="22"/>
        </w:rPr>
      </w:pPr>
    </w:p>
    <w:sectPr w:rsidR="000373AA" w:rsidRPr="007B6D67" w:rsidSect="00BD7356">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9516F" w14:textId="77777777" w:rsidR="00775A5F" w:rsidRDefault="00775A5F" w:rsidP="00C24C6C">
      <w:pPr>
        <w:spacing w:after="0" w:line="240" w:lineRule="auto"/>
      </w:pPr>
      <w:r>
        <w:separator/>
      </w:r>
    </w:p>
  </w:endnote>
  <w:endnote w:type="continuationSeparator" w:id="0">
    <w:p w14:paraId="7A84D8B0" w14:textId="77777777" w:rsidR="00775A5F" w:rsidRDefault="00775A5F" w:rsidP="00C2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5F029" w14:textId="40E0085E" w:rsidR="00BD7356" w:rsidRDefault="00BD7356">
    <w:pPr>
      <w:pStyle w:val="Footer"/>
    </w:pPr>
  </w:p>
  <w:p w14:paraId="4EF923E7" w14:textId="77777777" w:rsidR="00BD7356" w:rsidRDefault="00BD7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372AC" w14:textId="77777777" w:rsidR="00775A5F" w:rsidRDefault="00775A5F" w:rsidP="00C24C6C">
      <w:pPr>
        <w:spacing w:after="0" w:line="240" w:lineRule="auto"/>
      </w:pPr>
      <w:r>
        <w:separator/>
      </w:r>
    </w:p>
  </w:footnote>
  <w:footnote w:type="continuationSeparator" w:id="0">
    <w:p w14:paraId="0FE905F8" w14:textId="77777777" w:rsidR="00775A5F" w:rsidRDefault="00775A5F" w:rsidP="00C24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81AD" w14:textId="77777777" w:rsidR="00F86E9D" w:rsidRPr="00794BC4" w:rsidRDefault="00F86E9D" w:rsidP="00C24C6C">
    <w:pPr>
      <w:spacing w:after="0"/>
      <w:rPr>
        <w:rFonts w:eastAsia="Calibri" w:cs="Times New Roman"/>
        <w:b/>
        <w:color w:val="FF0000"/>
        <w:sz w:val="28"/>
        <w:szCs w:val="28"/>
        <w:lang w:eastAsia="en-IE"/>
      </w:rPr>
    </w:pPr>
  </w:p>
  <w:p w14:paraId="27006B59" w14:textId="3B3BF7B4" w:rsidR="00C24C6C" w:rsidRPr="00C24C6C" w:rsidRDefault="00C24C6C" w:rsidP="00C24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E698D"/>
    <w:multiLevelType w:val="hybridMultilevel"/>
    <w:tmpl w:val="229AE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A64B1D"/>
    <w:multiLevelType w:val="hybridMultilevel"/>
    <w:tmpl w:val="AAAAD7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CB140F4"/>
    <w:multiLevelType w:val="hybridMultilevel"/>
    <w:tmpl w:val="1004D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CF84FB8"/>
    <w:multiLevelType w:val="hybridMultilevel"/>
    <w:tmpl w:val="7EBC9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B66044A"/>
    <w:multiLevelType w:val="hybridMultilevel"/>
    <w:tmpl w:val="68AAC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C0C13"/>
    <w:multiLevelType w:val="hybridMultilevel"/>
    <w:tmpl w:val="D408B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E062F5D"/>
    <w:multiLevelType w:val="hybridMultilevel"/>
    <w:tmpl w:val="415CD7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4B5A40"/>
    <w:multiLevelType w:val="hybridMultilevel"/>
    <w:tmpl w:val="C5BE911A"/>
    <w:lvl w:ilvl="0" w:tplc="5D586AE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6070FE9"/>
    <w:multiLevelType w:val="hybridMultilevel"/>
    <w:tmpl w:val="41B880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1E67DB"/>
    <w:multiLevelType w:val="hybridMultilevel"/>
    <w:tmpl w:val="1B4C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1AF1153"/>
    <w:multiLevelType w:val="multilevel"/>
    <w:tmpl w:val="B6DCCA8E"/>
    <w:lvl w:ilvl="0">
      <w:start w:val="1"/>
      <w:numFmt w:val="bullet"/>
      <w:lvlText w:val=""/>
      <w:lvlJc w:val="left"/>
      <w:pPr>
        <w:tabs>
          <w:tab w:val="num" w:pos="720"/>
        </w:tabs>
        <w:ind w:left="720" w:hanging="720"/>
      </w:pPr>
      <w:rPr>
        <w:rFonts w:ascii="Symbol" w:hAnsi="Symbo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6"/>
  </w:num>
  <w:num w:numId="7">
    <w:abstractNumId w:val="7"/>
  </w:num>
  <w:num w:numId="8">
    <w:abstractNumId w:val="0"/>
  </w:num>
  <w:num w:numId="9">
    <w:abstractNumId w:val="3"/>
  </w:num>
  <w:num w:numId="10">
    <w:abstractNumId w:val="4"/>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AA"/>
    <w:rsid w:val="00000A84"/>
    <w:rsid w:val="0000580E"/>
    <w:rsid w:val="00014C0E"/>
    <w:rsid w:val="00035DC4"/>
    <w:rsid w:val="000373AA"/>
    <w:rsid w:val="0003748E"/>
    <w:rsid w:val="000440CE"/>
    <w:rsid w:val="000453D3"/>
    <w:rsid w:val="000C076A"/>
    <w:rsid w:val="000C136F"/>
    <w:rsid w:val="000D0B29"/>
    <w:rsid w:val="000D0F19"/>
    <w:rsid w:val="000E11FA"/>
    <w:rsid w:val="000E5E1C"/>
    <w:rsid w:val="001125DE"/>
    <w:rsid w:val="001173F6"/>
    <w:rsid w:val="00127ADD"/>
    <w:rsid w:val="00140050"/>
    <w:rsid w:val="00143203"/>
    <w:rsid w:val="00154B03"/>
    <w:rsid w:val="00157BCD"/>
    <w:rsid w:val="00195850"/>
    <w:rsid w:val="001A6C6F"/>
    <w:rsid w:val="001C2C7E"/>
    <w:rsid w:val="001C715A"/>
    <w:rsid w:val="00205008"/>
    <w:rsid w:val="0021773D"/>
    <w:rsid w:val="00240DCB"/>
    <w:rsid w:val="002578E4"/>
    <w:rsid w:val="002616D8"/>
    <w:rsid w:val="00270997"/>
    <w:rsid w:val="0027387E"/>
    <w:rsid w:val="00295817"/>
    <w:rsid w:val="002A7DF6"/>
    <w:rsid w:val="002B2FA8"/>
    <w:rsid w:val="002D4589"/>
    <w:rsid w:val="00305D95"/>
    <w:rsid w:val="00335239"/>
    <w:rsid w:val="003A7CF5"/>
    <w:rsid w:val="003B7353"/>
    <w:rsid w:val="003C3FFD"/>
    <w:rsid w:val="003D6C6A"/>
    <w:rsid w:val="003E121B"/>
    <w:rsid w:val="003F0ACA"/>
    <w:rsid w:val="00406B3F"/>
    <w:rsid w:val="004350FA"/>
    <w:rsid w:val="00474475"/>
    <w:rsid w:val="004B24EF"/>
    <w:rsid w:val="004C33EF"/>
    <w:rsid w:val="004E0FB1"/>
    <w:rsid w:val="004E6EFB"/>
    <w:rsid w:val="004F0D9B"/>
    <w:rsid w:val="004F1E09"/>
    <w:rsid w:val="004F2DD3"/>
    <w:rsid w:val="00505453"/>
    <w:rsid w:val="00551CF4"/>
    <w:rsid w:val="005658DB"/>
    <w:rsid w:val="005A2374"/>
    <w:rsid w:val="005A69B2"/>
    <w:rsid w:val="005B5A9F"/>
    <w:rsid w:val="005E3FFE"/>
    <w:rsid w:val="005E47C1"/>
    <w:rsid w:val="005F4A3F"/>
    <w:rsid w:val="0060238D"/>
    <w:rsid w:val="006453A6"/>
    <w:rsid w:val="00650DB7"/>
    <w:rsid w:val="00651F3A"/>
    <w:rsid w:val="006703D4"/>
    <w:rsid w:val="00677665"/>
    <w:rsid w:val="00692442"/>
    <w:rsid w:val="006959AD"/>
    <w:rsid w:val="00696814"/>
    <w:rsid w:val="006A47AF"/>
    <w:rsid w:val="006B268B"/>
    <w:rsid w:val="006B6350"/>
    <w:rsid w:val="006B65FB"/>
    <w:rsid w:val="006E6563"/>
    <w:rsid w:val="007022A2"/>
    <w:rsid w:val="00704010"/>
    <w:rsid w:val="00725E70"/>
    <w:rsid w:val="00775A5F"/>
    <w:rsid w:val="00794BC4"/>
    <w:rsid w:val="007B6D67"/>
    <w:rsid w:val="007C147F"/>
    <w:rsid w:val="007F18C6"/>
    <w:rsid w:val="0080067C"/>
    <w:rsid w:val="00803DAE"/>
    <w:rsid w:val="00807080"/>
    <w:rsid w:val="00812963"/>
    <w:rsid w:val="00822F24"/>
    <w:rsid w:val="00833616"/>
    <w:rsid w:val="00846C16"/>
    <w:rsid w:val="00847735"/>
    <w:rsid w:val="00855459"/>
    <w:rsid w:val="008629BA"/>
    <w:rsid w:val="0087567B"/>
    <w:rsid w:val="00875A5D"/>
    <w:rsid w:val="00887E2C"/>
    <w:rsid w:val="008936B4"/>
    <w:rsid w:val="008D2F5A"/>
    <w:rsid w:val="008E33D8"/>
    <w:rsid w:val="008F6E17"/>
    <w:rsid w:val="008F7C94"/>
    <w:rsid w:val="00903CF2"/>
    <w:rsid w:val="00904BD2"/>
    <w:rsid w:val="00911173"/>
    <w:rsid w:val="00913224"/>
    <w:rsid w:val="00913332"/>
    <w:rsid w:val="00933E1E"/>
    <w:rsid w:val="00953244"/>
    <w:rsid w:val="00983098"/>
    <w:rsid w:val="00985559"/>
    <w:rsid w:val="00991DBB"/>
    <w:rsid w:val="0099344D"/>
    <w:rsid w:val="009A6708"/>
    <w:rsid w:val="009E4E1D"/>
    <w:rsid w:val="00A00ED5"/>
    <w:rsid w:val="00A201A5"/>
    <w:rsid w:val="00A2103D"/>
    <w:rsid w:val="00A41032"/>
    <w:rsid w:val="00A858CF"/>
    <w:rsid w:val="00AD5B4C"/>
    <w:rsid w:val="00AE6D46"/>
    <w:rsid w:val="00AE72D4"/>
    <w:rsid w:val="00B06C80"/>
    <w:rsid w:val="00B26967"/>
    <w:rsid w:val="00B502DE"/>
    <w:rsid w:val="00B529EE"/>
    <w:rsid w:val="00B6699F"/>
    <w:rsid w:val="00B7154B"/>
    <w:rsid w:val="00BD7356"/>
    <w:rsid w:val="00BD7A6C"/>
    <w:rsid w:val="00BE1C87"/>
    <w:rsid w:val="00C0477C"/>
    <w:rsid w:val="00C15A29"/>
    <w:rsid w:val="00C205E7"/>
    <w:rsid w:val="00C24C6C"/>
    <w:rsid w:val="00C41A61"/>
    <w:rsid w:val="00CA683E"/>
    <w:rsid w:val="00CC1DCA"/>
    <w:rsid w:val="00CE3D2A"/>
    <w:rsid w:val="00CE6D20"/>
    <w:rsid w:val="00CF4983"/>
    <w:rsid w:val="00D30535"/>
    <w:rsid w:val="00D31856"/>
    <w:rsid w:val="00D32F3C"/>
    <w:rsid w:val="00D66986"/>
    <w:rsid w:val="00D977AF"/>
    <w:rsid w:val="00DB0A7B"/>
    <w:rsid w:val="00DC3301"/>
    <w:rsid w:val="00DD6C8F"/>
    <w:rsid w:val="00DF6E76"/>
    <w:rsid w:val="00E175F5"/>
    <w:rsid w:val="00E21737"/>
    <w:rsid w:val="00E4700F"/>
    <w:rsid w:val="00E5047D"/>
    <w:rsid w:val="00E9751B"/>
    <w:rsid w:val="00EE0868"/>
    <w:rsid w:val="00EF3C63"/>
    <w:rsid w:val="00F36316"/>
    <w:rsid w:val="00F71A2D"/>
    <w:rsid w:val="00F86E9D"/>
    <w:rsid w:val="00F9199B"/>
    <w:rsid w:val="00FA424A"/>
    <w:rsid w:val="00FD345D"/>
    <w:rsid w:val="00FD6829"/>
    <w:rsid w:val="00FE0954"/>
    <w:rsid w:val="00FE7BCA"/>
    <w:rsid w:val="00FF1D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CC409F"/>
  <w15:docId w15:val="{14BC88DD-616D-45BA-8554-46ACC3FF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3AA"/>
    <w:pPr>
      <w:ind w:left="720"/>
      <w:contextualSpacing/>
    </w:pPr>
  </w:style>
  <w:style w:type="paragraph" w:customStyle="1" w:styleId="Default">
    <w:name w:val="Default"/>
    <w:rsid w:val="000373AA"/>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C24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6C"/>
  </w:style>
  <w:style w:type="paragraph" w:styleId="Footer">
    <w:name w:val="footer"/>
    <w:basedOn w:val="Normal"/>
    <w:link w:val="FooterChar"/>
    <w:uiPriority w:val="99"/>
    <w:unhideWhenUsed/>
    <w:rsid w:val="00C24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6C"/>
  </w:style>
  <w:style w:type="paragraph" w:customStyle="1" w:styleId="ACLevel1">
    <w:name w:val="AC Level 1"/>
    <w:basedOn w:val="Normal"/>
    <w:uiPriority w:val="99"/>
    <w:rsid w:val="00847735"/>
    <w:pPr>
      <w:numPr>
        <w:numId w:val="2"/>
      </w:numPr>
      <w:spacing w:after="220"/>
      <w:outlineLvl w:val="0"/>
    </w:pPr>
  </w:style>
  <w:style w:type="paragraph" w:customStyle="1" w:styleId="ACLevel2">
    <w:name w:val="AC Level 2"/>
    <w:basedOn w:val="Normal"/>
    <w:uiPriority w:val="99"/>
    <w:rsid w:val="00847735"/>
    <w:pPr>
      <w:numPr>
        <w:ilvl w:val="1"/>
        <w:numId w:val="2"/>
      </w:numPr>
      <w:spacing w:after="220"/>
      <w:outlineLvl w:val="1"/>
    </w:pPr>
  </w:style>
  <w:style w:type="paragraph" w:customStyle="1" w:styleId="ACLevel3">
    <w:name w:val="AC Level 3"/>
    <w:basedOn w:val="Normal"/>
    <w:uiPriority w:val="99"/>
    <w:rsid w:val="00847735"/>
    <w:pPr>
      <w:numPr>
        <w:ilvl w:val="2"/>
        <w:numId w:val="2"/>
      </w:numPr>
      <w:spacing w:after="220"/>
      <w:outlineLvl w:val="2"/>
    </w:pPr>
  </w:style>
  <w:style w:type="paragraph" w:customStyle="1" w:styleId="ACLevel4">
    <w:name w:val="AC Level 4"/>
    <w:basedOn w:val="Normal"/>
    <w:uiPriority w:val="99"/>
    <w:rsid w:val="00847735"/>
    <w:pPr>
      <w:numPr>
        <w:ilvl w:val="3"/>
        <w:numId w:val="2"/>
      </w:numPr>
      <w:spacing w:after="220"/>
      <w:outlineLvl w:val="3"/>
    </w:pPr>
  </w:style>
  <w:style w:type="paragraph" w:customStyle="1" w:styleId="ACLevel5">
    <w:name w:val="AC Level 5"/>
    <w:basedOn w:val="Normal"/>
    <w:uiPriority w:val="99"/>
    <w:rsid w:val="00847735"/>
    <w:pPr>
      <w:numPr>
        <w:ilvl w:val="4"/>
        <w:numId w:val="2"/>
      </w:numPr>
      <w:spacing w:after="220"/>
      <w:outlineLvl w:val="4"/>
    </w:pPr>
  </w:style>
  <w:style w:type="paragraph" w:styleId="FootnoteText">
    <w:name w:val="footnote text"/>
    <w:basedOn w:val="Normal"/>
    <w:link w:val="FootnoteTextChar"/>
    <w:uiPriority w:val="99"/>
    <w:rsid w:val="00847735"/>
    <w:pPr>
      <w:spacing w:after="100"/>
    </w:pPr>
    <w:rPr>
      <w:sz w:val="20"/>
      <w:szCs w:val="20"/>
    </w:rPr>
  </w:style>
  <w:style w:type="character" w:customStyle="1" w:styleId="FootnoteTextChar">
    <w:name w:val="Footnote Text Char"/>
    <w:basedOn w:val="DefaultParagraphFont"/>
    <w:link w:val="FootnoteText"/>
    <w:uiPriority w:val="99"/>
    <w:rsid w:val="00847735"/>
    <w:rPr>
      <w:sz w:val="20"/>
      <w:szCs w:val="20"/>
    </w:rPr>
  </w:style>
  <w:style w:type="character" w:styleId="FootnoteReference">
    <w:name w:val="footnote reference"/>
    <w:basedOn w:val="DefaultParagraphFont"/>
    <w:uiPriority w:val="99"/>
    <w:unhideWhenUsed/>
    <w:rsid w:val="00847735"/>
    <w:rPr>
      <w:vertAlign w:val="superscript"/>
    </w:rPr>
  </w:style>
  <w:style w:type="character" w:styleId="Hyperlink">
    <w:name w:val="Hyperlink"/>
    <w:basedOn w:val="DefaultParagraphFont"/>
    <w:uiPriority w:val="99"/>
    <w:unhideWhenUsed/>
    <w:rsid w:val="00EF3C63"/>
    <w:rPr>
      <w:color w:val="0000FF" w:themeColor="hyperlink"/>
      <w:u w:val="single"/>
    </w:rPr>
  </w:style>
  <w:style w:type="character" w:styleId="CommentReference">
    <w:name w:val="annotation reference"/>
    <w:basedOn w:val="DefaultParagraphFont"/>
    <w:uiPriority w:val="99"/>
    <w:semiHidden/>
    <w:unhideWhenUsed/>
    <w:rsid w:val="001C715A"/>
    <w:rPr>
      <w:sz w:val="16"/>
      <w:szCs w:val="16"/>
    </w:rPr>
  </w:style>
  <w:style w:type="paragraph" w:styleId="CommentText">
    <w:name w:val="annotation text"/>
    <w:basedOn w:val="Normal"/>
    <w:link w:val="CommentTextChar"/>
    <w:uiPriority w:val="99"/>
    <w:semiHidden/>
    <w:unhideWhenUsed/>
    <w:rsid w:val="001C715A"/>
    <w:pPr>
      <w:spacing w:line="240" w:lineRule="auto"/>
    </w:pPr>
    <w:rPr>
      <w:sz w:val="20"/>
      <w:szCs w:val="20"/>
    </w:rPr>
  </w:style>
  <w:style w:type="character" w:customStyle="1" w:styleId="CommentTextChar">
    <w:name w:val="Comment Text Char"/>
    <w:basedOn w:val="DefaultParagraphFont"/>
    <w:link w:val="CommentText"/>
    <w:uiPriority w:val="99"/>
    <w:semiHidden/>
    <w:rsid w:val="001C715A"/>
    <w:rPr>
      <w:sz w:val="20"/>
      <w:szCs w:val="20"/>
    </w:rPr>
  </w:style>
  <w:style w:type="paragraph" w:styleId="CommentSubject">
    <w:name w:val="annotation subject"/>
    <w:basedOn w:val="CommentText"/>
    <w:next w:val="CommentText"/>
    <w:link w:val="CommentSubjectChar"/>
    <w:uiPriority w:val="99"/>
    <w:semiHidden/>
    <w:unhideWhenUsed/>
    <w:rsid w:val="001C715A"/>
    <w:rPr>
      <w:b/>
      <w:bCs/>
    </w:rPr>
  </w:style>
  <w:style w:type="character" w:customStyle="1" w:styleId="CommentSubjectChar">
    <w:name w:val="Comment Subject Char"/>
    <w:basedOn w:val="CommentTextChar"/>
    <w:link w:val="CommentSubject"/>
    <w:uiPriority w:val="99"/>
    <w:semiHidden/>
    <w:rsid w:val="001C715A"/>
    <w:rPr>
      <w:b/>
      <w:bCs/>
      <w:sz w:val="20"/>
      <w:szCs w:val="20"/>
    </w:rPr>
  </w:style>
  <w:style w:type="paragraph" w:styleId="BalloonText">
    <w:name w:val="Balloon Text"/>
    <w:basedOn w:val="Normal"/>
    <w:link w:val="BalloonTextChar"/>
    <w:uiPriority w:val="99"/>
    <w:semiHidden/>
    <w:unhideWhenUsed/>
    <w:rsid w:val="001C7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15A"/>
    <w:rPr>
      <w:rFonts w:ascii="Segoe UI" w:hAnsi="Segoe UI" w:cs="Segoe UI"/>
      <w:sz w:val="18"/>
      <w:szCs w:val="18"/>
    </w:rPr>
  </w:style>
  <w:style w:type="paragraph" w:styleId="Revision">
    <w:name w:val="Revision"/>
    <w:hidden/>
    <w:uiPriority w:val="99"/>
    <w:semiHidden/>
    <w:rsid w:val="00D32F3C"/>
    <w:pPr>
      <w:spacing w:after="0" w:line="240" w:lineRule="auto"/>
    </w:pPr>
  </w:style>
  <w:style w:type="table" w:styleId="TableGrid">
    <w:name w:val="Table Grid"/>
    <w:basedOn w:val="TableNormal"/>
    <w:uiPriority w:val="39"/>
    <w:rsid w:val="00FD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
    <w:name w:val="ao"/>
    <w:basedOn w:val="DefaultParagraphFont"/>
    <w:rsid w:val="00E21737"/>
  </w:style>
  <w:style w:type="paragraph" w:styleId="PlainText">
    <w:name w:val="Plain Text"/>
    <w:basedOn w:val="Normal"/>
    <w:link w:val="PlainTextChar"/>
    <w:uiPriority w:val="99"/>
    <w:semiHidden/>
    <w:unhideWhenUsed/>
    <w:rsid w:val="00FE7BC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E7BC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027">
      <w:bodyDiv w:val="1"/>
      <w:marLeft w:val="0"/>
      <w:marRight w:val="0"/>
      <w:marTop w:val="0"/>
      <w:marBottom w:val="0"/>
      <w:divBdr>
        <w:top w:val="none" w:sz="0" w:space="0" w:color="auto"/>
        <w:left w:val="none" w:sz="0" w:space="0" w:color="auto"/>
        <w:bottom w:val="none" w:sz="0" w:space="0" w:color="auto"/>
        <w:right w:val="none" w:sz="0" w:space="0" w:color="auto"/>
      </w:divBdr>
    </w:div>
    <w:div w:id="571700231">
      <w:bodyDiv w:val="1"/>
      <w:marLeft w:val="0"/>
      <w:marRight w:val="0"/>
      <w:marTop w:val="0"/>
      <w:marBottom w:val="0"/>
      <w:divBdr>
        <w:top w:val="none" w:sz="0" w:space="0" w:color="auto"/>
        <w:left w:val="none" w:sz="0" w:space="0" w:color="auto"/>
        <w:bottom w:val="none" w:sz="0" w:space="0" w:color="auto"/>
        <w:right w:val="none" w:sz="0" w:space="0" w:color="auto"/>
      </w:divBdr>
    </w:div>
    <w:div w:id="791748863">
      <w:bodyDiv w:val="1"/>
      <w:marLeft w:val="0"/>
      <w:marRight w:val="0"/>
      <w:marTop w:val="0"/>
      <w:marBottom w:val="0"/>
      <w:divBdr>
        <w:top w:val="none" w:sz="0" w:space="0" w:color="auto"/>
        <w:left w:val="none" w:sz="0" w:space="0" w:color="auto"/>
        <w:bottom w:val="none" w:sz="0" w:space="0" w:color="auto"/>
        <w:right w:val="none" w:sz="0" w:space="0" w:color="auto"/>
      </w:divBdr>
    </w:div>
    <w:div w:id="929236135">
      <w:bodyDiv w:val="1"/>
      <w:marLeft w:val="0"/>
      <w:marRight w:val="0"/>
      <w:marTop w:val="0"/>
      <w:marBottom w:val="0"/>
      <w:divBdr>
        <w:top w:val="none" w:sz="0" w:space="0" w:color="auto"/>
        <w:left w:val="none" w:sz="0" w:space="0" w:color="auto"/>
        <w:bottom w:val="none" w:sz="0" w:space="0" w:color="auto"/>
        <w:right w:val="none" w:sz="0" w:space="0" w:color="auto"/>
      </w:divBdr>
    </w:div>
    <w:div w:id="1177571354">
      <w:bodyDiv w:val="1"/>
      <w:marLeft w:val="0"/>
      <w:marRight w:val="0"/>
      <w:marTop w:val="0"/>
      <w:marBottom w:val="0"/>
      <w:divBdr>
        <w:top w:val="none" w:sz="0" w:space="0" w:color="auto"/>
        <w:left w:val="none" w:sz="0" w:space="0" w:color="auto"/>
        <w:bottom w:val="none" w:sz="0" w:space="0" w:color="auto"/>
        <w:right w:val="none" w:sz="0" w:space="0" w:color="auto"/>
      </w:divBdr>
    </w:div>
    <w:div w:id="1312635695">
      <w:bodyDiv w:val="1"/>
      <w:marLeft w:val="0"/>
      <w:marRight w:val="0"/>
      <w:marTop w:val="0"/>
      <w:marBottom w:val="0"/>
      <w:divBdr>
        <w:top w:val="none" w:sz="0" w:space="0" w:color="auto"/>
        <w:left w:val="none" w:sz="0" w:space="0" w:color="auto"/>
        <w:bottom w:val="none" w:sz="0" w:space="0" w:color="auto"/>
        <w:right w:val="none" w:sz="0" w:space="0" w:color="auto"/>
      </w:divBdr>
    </w:div>
    <w:div w:id="1430078910">
      <w:bodyDiv w:val="1"/>
      <w:marLeft w:val="0"/>
      <w:marRight w:val="0"/>
      <w:marTop w:val="0"/>
      <w:marBottom w:val="0"/>
      <w:divBdr>
        <w:top w:val="none" w:sz="0" w:space="0" w:color="auto"/>
        <w:left w:val="none" w:sz="0" w:space="0" w:color="auto"/>
        <w:bottom w:val="none" w:sz="0" w:space="0" w:color="auto"/>
        <w:right w:val="none" w:sz="0" w:space="0" w:color="auto"/>
      </w:divBdr>
    </w:div>
    <w:div w:id="1640724244">
      <w:bodyDiv w:val="1"/>
      <w:marLeft w:val="0"/>
      <w:marRight w:val="0"/>
      <w:marTop w:val="0"/>
      <w:marBottom w:val="0"/>
      <w:divBdr>
        <w:top w:val="none" w:sz="0" w:space="0" w:color="auto"/>
        <w:left w:val="none" w:sz="0" w:space="0" w:color="auto"/>
        <w:bottom w:val="none" w:sz="0" w:space="0" w:color="auto"/>
        <w:right w:val="none" w:sz="0" w:space="0" w:color="auto"/>
      </w:divBdr>
    </w:div>
    <w:div w:id="1893614966">
      <w:bodyDiv w:val="1"/>
      <w:marLeft w:val="0"/>
      <w:marRight w:val="0"/>
      <w:marTop w:val="0"/>
      <w:marBottom w:val="0"/>
      <w:divBdr>
        <w:top w:val="none" w:sz="0" w:space="0" w:color="auto"/>
        <w:left w:val="none" w:sz="0" w:space="0" w:color="auto"/>
        <w:bottom w:val="none" w:sz="0" w:space="0" w:color="auto"/>
        <w:right w:val="none" w:sz="0" w:space="0" w:color="auto"/>
      </w:divBdr>
    </w:div>
    <w:div w:id="1979265489">
      <w:bodyDiv w:val="1"/>
      <w:marLeft w:val="0"/>
      <w:marRight w:val="0"/>
      <w:marTop w:val="0"/>
      <w:marBottom w:val="0"/>
      <w:divBdr>
        <w:top w:val="none" w:sz="0" w:space="0" w:color="auto"/>
        <w:left w:val="none" w:sz="0" w:space="0" w:color="auto"/>
        <w:bottom w:val="none" w:sz="0" w:space="0" w:color="auto"/>
        <w:right w:val="none" w:sz="0" w:space="0" w:color="auto"/>
      </w:divBdr>
    </w:div>
    <w:div w:id="20434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tia.Fannin@Permanenttsb.i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Nicola.Obrien@Permanenttsb.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2021-07-23T06:02:26+00:00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8D801F9-1A29-43D5-B38C-02A6D522BD00}"/>
</file>

<file path=customXml/itemProps2.xml><?xml version="1.0" encoding="utf-8"?>
<ds:datastoreItem xmlns:ds="http://schemas.openxmlformats.org/officeDocument/2006/customXml" ds:itemID="{1DFA8285-1B93-4F2A-84B1-3733A6578353}"/>
</file>

<file path=customXml/itemProps3.xml><?xml version="1.0" encoding="utf-8"?>
<ds:datastoreItem xmlns:ds="http://schemas.openxmlformats.org/officeDocument/2006/customXml" ds:itemID="{CDFE76C7-3D0E-4CFA-B091-99D110AFD2B8}"/>
</file>

<file path=docProps/app.xml><?xml version="1.0" encoding="utf-8"?>
<Properties xmlns="http://schemas.openxmlformats.org/officeDocument/2006/extended-properties" xmlns:vt="http://schemas.openxmlformats.org/officeDocument/2006/docPropsVTypes">
  <Template>Normal</Template>
  <TotalTime>24</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Fannin, Leontia</dc:creator>
  <cp:lastModifiedBy>Ryan, Conor</cp:lastModifiedBy>
  <cp:revision>4</cp:revision>
  <cp:lastPrinted>2021-07-22T13:43:00Z</cp:lastPrinted>
  <dcterms:created xsi:type="dcterms:W3CDTF">2021-07-22T14:13:00Z</dcterms:created>
  <dcterms:modified xsi:type="dcterms:W3CDTF">2021-07-22T14:37:00Z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1098336429</vt:i4>
  </property>
  <property fmtid="{D5CDD505-2E9C-101B-9397-08002B2CF9AE}" pid="3" name="_NewReviewCycle">
    <vt:lpwstr/>
  </property>
  <property fmtid="{D5CDD505-2E9C-101B-9397-08002B2CF9AE}" pid="4" name="_EmailSubject">
    <vt:lpwstr>RNS &amp; Infographic for approval </vt:lpwstr>
  </property>
  <property fmtid="{D5CDD505-2E9C-101B-9397-08002B2CF9AE}" pid="5" name="_AuthorEmail">
    <vt:lpwstr>Eamonn.Crowley@permanenttsb.ie</vt:lpwstr>
  </property>
  <property fmtid="{D5CDD505-2E9C-101B-9397-08002B2CF9AE}" pid="6" name="_AuthorEmailDisplayName">
    <vt:lpwstr>Crowley, Eamonn</vt:lpwstr>
  </property>
  <property fmtid="{D5CDD505-2E9C-101B-9397-08002B2CF9AE}" pid="7" name="_ReviewingToolsShownOnce">
    <vt:lpwstr/>
  </property>
  <property fmtid="{D5CDD505-2E9C-101B-9397-08002B2CF9AE}" pid="8" name="ContentTypeId">
    <vt:lpwstr>0x010100BE156B1CF39149A8843C57AB06C49AFE0011B886BEF4CCD94F85F46E94360FD412</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174877500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