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906F1" w14:textId="77777777" w:rsidR="0015580A" w:rsidRPr="0077752B" w:rsidRDefault="0015580A" w:rsidP="0077752B">
      <w:pPr>
        <w:jc w:val="both"/>
        <w:rPr>
          <w:rFonts w:ascii="Arial" w:hAnsi="Arial" w:cs="Arial"/>
          <w:b/>
          <w:bCs/>
          <w:caps/>
          <w:sz w:val="20"/>
          <w:szCs w:val="20"/>
        </w:rPr>
      </w:pPr>
      <w:r w:rsidRPr="0077752B">
        <w:rPr>
          <w:rFonts w:ascii="Arial" w:hAnsi="Arial" w:cs="Arial"/>
          <w:b/>
          <w:bCs/>
          <w:caps/>
          <w:sz w:val="20"/>
          <w:szCs w:val="20"/>
        </w:rPr>
        <w:t>NOT FOR RELEASE, PUBLICATION OR DISTRIBUTION IN ANY JURISDICTION WHERE TO DO SO WOULD CONSTITUTE A VIOLATION OF THE RELEVANT LAWS OF SUCH JURISDICTION</w:t>
      </w:r>
    </w:p>
    <w:p w14:paraId="76E1F579" w14:textId="401A564D" w:rsidR="0015580A" w:rsidRPr="0077752B" w:rsidRDefault="0015580A" w:rsidP="0077752B">
      <w:pPr>
        <w:jc w:val="both"/>
        <w:rPr>
          <w:rFonts w:ascii="Arial" w:hAnsi="Arial" w:cs="Arial"/>
          <w:b/>
          <w:bCs/>
          <w:caps/>
          <w:sz w:val="20"/>
          <w:szCs w:val="20"/>
        </w:rPr>
      </w:pPr>
      <w:r w:rsidRPr="0077752B">
        <w:rPr>
          <w:rFonts w:ascii="Arial" w:hAnsi="Arial" w:cs="Arial"/>
          <w:b/>
          <w:bCs/>
          <w:caps/>
          <w:sz w:val="20"/>
          <w:szCs w:val="20"/>
        </w:rPr>
        <w:t>For Immediate Release </w:t>
      </w:r>
    </w:p>
    <w:p w14:paraId="0F466146" w14:textId="77777777" w:rsidR="00A17993" w:rsidRPr="0077752B" w:rsidRDefault="00A17993" w:rsidP="003774D9">
      <w:pPr>
        <w:jc w:val="center"/>
        <w:rPr>
          <w:rFonts w:ascii="Arial" w:hAnsi="Arial" w:cs="Arial"/>
          <w:b/>
          <w:bCs/>
          <w:caps/>
          <w:sz w:val="20"/>
          <w:szCs w:val="20"/>
          <w:lang w:val="en-US"/>
        </w:rPr>
      </w:pPr>
    </w:p>
    <w:p w14:paraId="5A1E63FC" w14:textId="77BC5644" w:rsidR="00166D70" w:rsidRPr="0077752B" w:rsidRDefault="003774D9" w:rsidP="003774D9">
      <w:pPr>
        <w:jc w:val="center"/>
        <w:rPr>
          <w:rFonts w:ascii="Arial" w:hAnsi="Arial" w:cs="Arial"/>
          <w:b/>
          <w:bCs/>
          <w:caps/>
          <w:sz w:val="20"/>
          <w:szCs w:val="20"/>
          <w:lang w:val="en-US"/>
        </w:rPr>
      </w:pPr>
      <w:r w:rsidRPr="0077752B">
        <w:rPr>
          <w:rFonts w:ascii="Arial" w:hAnsi="Arial" w:cs="Arial"/>
          <w:b/>
          <w:bCs/>
          <w:caps/>
          <w:sz w:val="20"/>
          <w:szCs w:val="20"/>
          <w:lang w:val="en-US"/>
        </w:rPr>
        <w:t>Permanent tsb group holdi</w:t>
      </w:r>
      <w:bookmarkStart w:id="0" w:name="_GoBack"/>
      <w:bookmarkEnd w:id="0"/>
      <w:r w:rsidRPr="0077752B">
        <w:rPr>
          <w:rFonts w:ascii="Arial" w:hAnsi="Arial" w:cs="Arial"/>
          <w:b/>
          <w:bCs/>
          <w:caps/>
          <w:sz w:val="20"/>
          <w:szCs w:val="20"/>
          <w:lang w:val="en-US"/>
        </w:rPr>
        <w:t>ngs plc</w:t>
      </w:r>
    </w:p>
    <w:p w14:paraId="08E6329B" w14:textId="77777777" w:rsidR="003774D9" w:rsidRPr="0077752B" w:rsidRDefault="003774D9" w:rsidP="003774D9">
      <w:pPr>
        <w:jc w:val="center"/>
        <w:rPr>
          <w:rFonts w:ascii="Arial" w:hAnsi="Arial" w:cs="Arial"/>
          <w:b/>
          <w:bCs/>
          <w:caps/>
          <w:sz w:val="20"/>
          <w:szCs w:val="20"/>
          <w:lang w:val="en-US"/>
        </w:rPr>
      </w:pPr>
    </w:p>
    <w:p w14:paraId="07A58E71" w14:textId="7013E130" w:rsidR="003774D9" w:rsidRPr="0077752B" w:rsidRDefault="003774D9" w:rsidP="003774D9">
      <w:pPr>
        <w:jc w:val="center"/>
        <w:rPr>
          <w:rFonts w:ascii="Arial" w:hAnsi="Arial" w:cs="Arial"/>
          <w:b/>
          <w:bCs/>
          <w:caps/>
          <w:sz w:val="20"/>
          <w:szCs w:val="20"/>
          <w:lang w:val="en-US"/>
        </w:rPr>
      </w:pPr>
      <w:r w:rsidRPr="0077752B">
        <w:rPr>
          <w:rFonts w:ascii="Arial" w:hAnsi="Arial" w:cs="Arial"/>
          <w:b/>
          <w:bCs/>
          <w:caps/>
          <w:sz w:val="20"/>
          <w:szCs w:val="20"/>
          <w:lang w:val="en-US"/>
        </w:rPr>
        <w:t>publication of class 1 circular, notice of extraordinary general meeting and form of proxy (the “documents”)</w:t>
      </w:r>
    </w:p>
    <w:p w14:paraId="52FE2A52" w14:textId="7BAA791B" w:rsidR="003774D9" w:rsidRPr="0077752B" w:rsidRDefault="003774D9" w:rsidP="003774D9">
      <w:pPr>
        <w:jc w:val="center"/>
        <w:rPr>
          <w:rFonts w:ascii="Arial" w:hAnsi="Arial" w:cs="Arial"/>
          <w:b/>
          <w:bCs/>
          <w:caps/>
          <w:sz w:val="20"/>
          <w:szCs w:val="20"/>
          <w:lang w:val="en-US"/>
        </w:rPr>
      </w:pPr>
    </w:p>
    <w:p w14:paraId="55F50189" w14:textId="0CD5694E" w:rsidR="003774D9" w:rsidRPr="0077752B" w:rsidRDefault="00A17993" w:rsidP="003774D9">
      <w:pPr>
        <w:jc w:val="both"/>
        <w:rPr>
          <w:rFonts w:ascii="Arial" w:hAnsi="Arial" w:cs="Arial"/>
          <w:sz w:val="20"/>
          <w:szCs w:val="20"/>
          <w:lang w:val="en-US"/>
        </w:rPr>
      </w:pPr>
      <w:r w:rsidRPr="0077752B">
        <w:rPr>
          <w:rFonts w:ascii="Arial" w:hAnsi="Arial" w:cs="Arial"/>
          <w:sz w:val="20"/>
          <w:szCs w:val="20"/>
          <w:lang w:val="en-US"/>
        </w:rPr>
        <w:t>2</w:t>
      </w:r>
      <w:r w:rsidR="001E069F">
        <w:rPr>
          <w:rFonts w:ascii="Arial" w:hAnsi="Arial" w:cs="Arial"/>
          <w:sz w:val="20"/>
          <w:szCs w:val="20"/>
          <w:lang w:val="en-US"/>
        </w:rPr>
        <w:t>4</w:t>
      </w:r>
      <w:r w:rsidR="003774D9" w:rsidRPr="0077752B">
        <w:rPr>
          <w:rFonts w:ascii="Arial" w:hAnsi="Arial" w:cs="Arial"/>
          <w:sz w:val="20"/>
          <w:szCs w:val="20"/>
          <w:lang w:val="en-US"/>
        </w:rPr>
        <w:t xml:space="preserve"> May 2022</w:t>
      </w:r>
    </w:p>
    <w:p w14:paraId="47CFEBEB" w14:textId="0E9A7562" w:rsidR="003774D9" w:rsidRPr="0077752B" w:rsidRDefault="003774D9" w:rsidP="003774D9">
      <w:pPr>
        <w:jc w:val="both"/>
        <w:rPr>
          <w:rFonts w:ascii="Arial" w:hAnsi="Arial" w:cs="Arial"/>
          <w:sz w:val="20"/>
          <w:szCs w:val="20"/>
          <w:lang w:val="en-US"/>
        </w:rPr>
      </w:pPr>
    </w:p>
    <w:p w14:paraId="4B32CF24" w14:textId="5E6645FE" w:rsidR="00C63735" w:rsidRPr="0077752B" w:rsidRDefault="00C63735" w:rsidP="003774D9">
      <w:pPr>
        <w:jc w:val="both"/>
        <w:rPr>
          <w:rFonts w:ascii="Arial" w:hAnsi="Arial" w:cs="Arial"/>
          <w:sz w:val="20"/>
          <w:szCs w:val="20"/>
          <w:lang w:val="en-US"/>
        </w:rPr>
      </w:pPr>
      <w:r w:rsidRPr="0077752B">
        <w:rPr>
          <w:rFonts w:ascii="Arial" w:hAnsi="Arial" w:cs="Arial"/>
          <w:sz w:val="20"/>
          <w:szCs w:val="20"/>
          <w:lang w:val="en-US"/>
        </w:rPr>
        <w:t xml:space="preserve">On </w:t>
      </w:r>
      <w:r w:rsidR="00A17993" w:rsidRPr="0077752B">
        <w:rPr>
          <w:rFonts w:ascii="Arial" w:hAnsi="Arial" w:cs="Arial"/>
          <w:sz w:val="20"/>
          <w:szCs w:val="20"/>
          <w:lang w:val="en-US"/>
        </w:rPr>
        <w:t>17</w:t>
      </w:r>
      <w:r w:rsidR="003774D9" w:rsidRPr="0077752B">
        <w:rPr>
          <w:rFonts w:ascii="Arial" w:hAnsi="Arial" w:cs="Arial"/>
          <w:sz w:val="20"/>
          <w:szCs w:val="20"/>
          <w:lang w:val="en-US"/>
        </w:rPr>
        <w:t xml:space="preserve"> December 2021,</w:t>
      </w:r>
      <w:r w:rsidR="00A17993" w:rsidRPr="0077752B">
        <w:rPr>
          <w:rFonts w:ascii="Arial" w:hAnsi="Arial" w:cs="Arial"/>
          <w:sz w:val="20"/>
          <w:szCs w:val="20"/>
          <w:lang w:val="en-US"/>
        </w:rPr>
        <w:t xml:space="preserve"> </w:t>
      </w:r>
      <w:r w:rsidRPr="0077752B">
        <w:rPr>
          <w:rFonts w:ascii="Arial" w:hAnsi="Arial" w:cs="Arial"/>
          <w:sz w:val="20"/>
          <w:szCs w:val="20"/>
          <w:lang w:val="en-US"/>
        </w:rPr>
        <w:t>Permanent TSB Group Holdings plc (the “Company”</w:t>
      </w:r>
      <w:r w:rsidR="0015580A" w:rsidRPr="0077752B">
        <w:rPr>
          <w:rFonts w:ascii="Arial" w:hAnsi="Arial" w:cs="Arial"/>
          <w:sz w:val="20"/>
          <w:szCs w:val="20"/>
          <w:lang w:val="en-US"/>
        </w:rPr>
        <w:t xml:space="preserve"> or “PTSBGH”</w:t>
      </w:r>
      <w:r w:rsidRPr="0077752B">
        <w:rPr>
          <w:rFonts w:ascii="Arial" w:hAnsi="Arial" w:cs="Arial"/>
          <w:sz w:val="20"/>
          <w:szCs w:val="20"/>
          <w:lang w:val="en-US"/>
        </w:rPr>
        <w:t xml:space="preserve">) </w:t>
      </w:r>
      <w:r w:rsidR="00A17993" w:rsidRPr="0077752B">
        <w:rPr>
          <w:rFonts w:ascii="Arial" w:hAnsi="Arial" w:cs="Arial"/>
          <w:sz w:val="20"/>
          <w:szCs w:val="20"/>
          <w:lang w:val="en-US"/>
        </w:rPr>
        <w:t>announce</w:t>
      </w:r>
      <w:r w:rsidRPr="0077752B">
        <w:rPr>
          <w:rFonts w:ascii="Arial" w:hAnsi="Arial" w:cs="Arial"/>
          <w:sz w:val="20"/>
          <w:szCs w:val="20"/>
          <w:lang w:val="en-US"/>
        </w:rPr>
        <w:t>d that it had entered into a conditional agreement to acquire certain elements of the Ulster Bank Retail, SME and Asset Finance business in the Republic of Ireland from NatWest Group plc (the “Transaction”).</w:t>
      </w:r>
    </w:p>
    <w:p w14:paraId="241EFDAA" w14:textId="0434F364" w:rsidR="00820878" w:rsidRPr="0077752B" w:rsidRDefault="00C63735" w:rsidP="003774D9">
      <w:pPr>
        <w:jc w:val="both"/>
        <w:rPr>
          <w:rFonts w:ascii="Arial" w:hAnsi="Arial" w:cs="Arial"/>
          <w:sz w:val="20"/>
          <w:szCs w:val="20"/>
          <w:lang w:val="en-US"/>
        </w:rPr>
      </w:pPr>
      <w:r w:rsidRPr="0077752B">
        <w:rPr>
          <w:rFonts w:ascii="Arial" w:hAnsi="Arial" w:cs="Arial"/>
          <w:sz w:val="20"/>
          <w:szCs w:val="20"/>
          <w:lang w:val="en-US"/>
        </w:rPr>
        <w:t xml:space="preserve">The Transaction constitutes a Class 1 transaction for the Company under the </w:t>
      </w:r>
      <w:r w:rsidR="00065C7B" w:rsidRPr="0077752B">
        <w:rPr>
          <w:rFonts w:ascii="Arial" w:hAnsi="Arial" w:cs="Arial"/>
          <w:sz w:val="20"/>
          <w:szCs w:val="20"/>
          <w:lang w:val="en-US"/>
        </w:rPr>
        <w:t>Euronext Dublin L</w:t>
      </w:r>
      <w:r w:rsidRPr="0077752B">
        <w:rPr>
          <w:rFonts w:ascii="Arial" w:hAnsi="Arial" w:cs="Arial"/>
          <w:sz w:val="20"/>
          <w:szCs w:val="20"/>
          <w:lang w:val="en-US"/>
        </w:rPr>
        <w:t xml:space="preserve">isting </w:t>
      </w:r>
      <w:r w:rsidR="00065C7B" w:rsidRPr="0077752B">
        <w:rPr>
          <w:rFonts w:ascii="Arial" w:hAnsi="Arial" w:cs="Arial"/>
          <w:sz w:val="20"/>
          <w:szCs w:val="20"/>
          <w:lang w:val="en-US"/>
        </w:rPr>
        <w:t>R</w:t>
      </w:r>
      <w:r w:rsidRPr="0077752B">
        <w:rPr>
          <w:rFonts w:ascii="Arial" w:hAnsi="Arial" w:cs="Arial"/>
          <w:sz w:val="20"/>
          <w:szCs w:val="20"/>
          <w:lang w:val="en-US"/>
        </w:rPr>
        <w:t>ules</w:t>
      </w:r>
      <w:r w:rsidR="00820878" w:rsidRPr="0077752B">
        <w:rPr>
          <w:rFonts w:ascii="Arial" w:hAnsi="Arial" w:cs="Arial"/>
          <w:sz w:val="20"/>
          <w:szCs w:val="20"/>
          <w:lang w:val="en-US"/>
        </w:rPr>
        <w:t xml:space="preserve"> and is therefore conditional on, amongst other things, the approval of the Company</w:t>
      </w:r>
      <w:r w:rsidR="008B4D70" w:rsidRPr="0077752B">
        <w:rPr>
          <w:rFonts w:ascii="Arial" w:hAnsi="Arial" w:cs="Arial"/>
          <w:sz w:val="20"/>
          <w:szCs w:val="20"/>
          <w:lang w:val="en-US"/>
        </w:rPr>
        <w:t>’s</w:t>
      </w:r>
      <w:r w:rsidR="00820878" w:rsidRPr="0077752B">
        <w:rPr>
          <w:rFonts w:ascii="Arial" w:hAnsi="Arial" w:cs="Arial"/>
          <w:sz w:val="20"/>
          <w:szCs w:val="20"/>
          <w:lang w:val="en-US"/>
        </w:rPr>
        <w:t xml:space="preserve"> shareholders.</w:t>
      </w:r>
    </w:p>
    <w:p w14:paraId="7E83C1AE" w14:textId="14981650" w:rsidR="003774D9" w:rsidRPr="0077752B" w:rsidRDefault="00820878" w:rsidP="003774D9">
      <w:pPr>
        <w:jc w:val="both"/>
        <w:rPr>
          <w:rFonts w:ascii="Arial" w:hAnsi="Arial" w:cs="Arial"/>
          <w:sz w:val="20"/>
          <w:szCs w:val="20"/>
          <w:lang w:val="en-US"/>
        </w:rPr>
      </w:pPr>
      <w:r w:rsidRPr="0077752B">
        <w:rPr>
          <w:rFonts w:ascii="Arial" w:hAnsi="Arial" w:cs="Arial"/>
          <w:sz w:val="20"/>
          <w:szCs w:val="20"/>
          <w:lang w:val="en-US"/>
        </w:rPr>
        <w:t>The Company has today published</w:t>
      </w:r>
      <w:r w:rsidR="00A17993" w:rsidRPr="0077752B">
        <w:rPr>
          <w:rFonts w:ascii="Arial" w:hAnsi="Arial" w:cs="Arial"/>
          <w:sz w:val="20"/>
          <w:szCs w:val="20"/>
          <w:lang w:val="en-US"/>
        </w:rPr>
        <w:t xml:space="preserve"> </w:t>
      </w:r>
      <w:r w:rsidR="003774D9" w:rsidRPr="0077752B">
        <w:rPr>
          <w:rFonts w:ascii="Arial" w:hAnsi="Arial" w:cs="Arial"/>
          <w:sz w:val="20"/>
          <w:szCs w:val="20"/>
          <w:lang w:val="en-US"/>
        </w:rPr>
        <w:t xml:space="preserve">a </w:t>
      </w:r>
      <w:r w:rsidR="00A17993" w:rsidRPr="0077752B">
        <w:rPr>
          <w:rFonts w:ascii="Arial" w:hAnsi="Arial" w:cs="Arial"/>
          <w:sz w:val="20"/>
          <w:szCs w:val="20"/>
          <w:lang w:val="en-US"/>
        </w:rPr>
        <w:t>C</w:t>
      </w:r>
      <w:r w:rsidR="003774D9" w:rsidRPr="0077752B">
        <w:rPr>
          <w:rFonts w:ascii="Arial" w:hAnsi="Arial" w:cs="Arial"/>
          <w:sz w:val="20"/>
          <w:szCs w:val="20"/>
          <w:lang w:val="en-US"/>
        </w:rPr>
        <w:t xml:space="preserve">lass 1 </w:t>
      </w:r>
      <w:r w:rsidR="00A17993" w:rsidRPr="0077752B">
        <w:rPr>
          <w:rFonts w:ascii="Arial" w:hAnsi="Arial" w:cs="Arial"/>
          <w:sz w:val="20"/>
          <w:szCs w:val="20"/>
          <w:lang w:val="en-US"/>
        </w:rPr>
        <w:t>c</w:t>
      </w:r>
      <w:r w:rsidR="003774D9" w:rsidRPr="0077752B">
        <w:rPr>
          <w:rFonts w:ascii="Arial" w:hAnsi="Arial" w:cs="Arial"/>
          <w:sz w:val="20"/>
          <w:szCs w:val="20"/>
          <w:lang w:val="en-US"/>
        </w:rPr>
        <w:t>ircular (the “Circular”)</w:t>
      </w:r>
      <w:r w:rsidR="00A17993" w:rsidRPr="0077752B">
        <w:rPr>
          <w:rFonts w:ascii="Arial" w:hAnsi="Arial" w:cs="Arial"/>
          <w:sz w:val="20"/>
          <w:szCs w:val="20"/>
          <w:lang w:val="en-US"/>
        </w:rPr>
        <w:t>, which has been approved by Euronext Dublin,</w:t>
      </w:r>
      <w:r w:rsidR="003774D9" w:rsidRPr="0077752B">
        <w:rPr>
          <w:rFonts w:ascii="Arial" w:hAnsi="Arial" w:cs="Arial"/>
          <w:sz w:val="20"/>
          <w:szCs w:val="20"/>
          <w:lang w:val="en-US"/>
        </w:rPr>
        <w:t xml:space="preserve"> in connection with the </w:t>
      </w:r>
      <w:r w:rsidRPr="0077752B">
        <w:rPr>
          <w:rFonts w:ascii="Arial" w:hAnsi="Arial" w:cs="Arial"/>
          <w:sz w:val="20"/>
          <w:szCs w:val="20"/>
          <w:lang w:val="en-US"/>
        </w:rPr>
        <w:t xml:space="preserve">Transaction. </w:t>
      </w:r>
      <w:r w:rsidR="003774D9" w:rsidRPr="0077752B">
        <w:rPr>
          <w:rFonts w:ascii="Arial" w:hAnsi="Arial" w:cs="Arial"/>
          <w:sz w:val="20"/>
          <w:szCs w:val="20"/>
          <w:lang w:val="en-US"/>
        </w:rPr>
        <w:t xml:space="preserve">The Circular contains a notice convening an extraordinary general meeting (the “EGM”) of the </w:t>
      </w:r>
      <w:r w:rsidR="00065C7B" w:rsidRPr="0077752B">
        <w:rPr>
          <w:rFonts w:ascii="Arial" w:hAnsi="Arial" w:cs="Arial"/>
          <w:sz w:val="20"/>
          <w:szCs w:val="20"/>
          <w:lang w:val="en-US"/>
        </w:rPr>
        <w:t>Company,</w:t>
      </w:r>
      <w:r w:rsidR="003774D9" w:rsidRPr="0077752B">
        <w:rPr>
          <w:rFonts w:ascii="Arial" w:hAnsi="Arial" w:cs="Arial"/>
          <w:sz w:val="20"/>
          <w:szCs w:val="20"/>
          <w:lang w:val="en-US"/>
        </w:rPr>
        <w:t xml:space="preserve"> which is to be held at </w:t>
      </w:r>
      <w:r w:rsidR="00554489" w:rsidRPr="0077752B">
        <w:rPr>
          <w:rFonts w:ascii="Arial" w:hAnsi="Arial" w:cs="Arial"/>
          <w:sz w:val="20"/>
          <w:szCs w:val="20"/>
          <w:lang w:val="en-US"/>
        </w:rPr>
        <w:t xml:space="preserve">the Marker Hotel, Grand Canal </w:t>
      </w:r>
      <w:r w:rsidR="0074533F" w:rsidRPr="0077752B">
        <w:rPr>
          <w:rFonts w:ascii="Arial" w:hAnsi="Arial" w:cs="Arial"/>
          <w:sz w:val="20"/>
          <w:szCs w:val="20"/>
          <w:lang w:val="en-US"/>
        </w:rPr>
        <w:t>Square</w:t>
      </w:r>
      <w:r w:rsidR="00554489" w:rsidRPr="0077752B">
        <w:rPr>
          <w:rFonts w:ascii="Arial" w:hAnsi="Arial" w:cs="Arial"/>
          <w:sz w:val="20"/>
          <w:szCs w:val="20"/>
          <w:lang w:val="en-US"/>
        </w:rPr>
        <w:t>, Dublin Docklands, Dublin 2</w:t>
      </w:r>
      <w:r w:rsidR="0074533F" w:rsidRPr="0077752B">
        <w:rPr>
          <w:rFonts w:ascii="Arial" w:hAnsi="Arial" w:cs="Arial"/>
          <w:sz w:val="20"/>
          <w:szCs w:val="20"/>
          <w:lang w:val="en-US"/>
        </w:rPr>
        <w:t>, D02 CK38</w:t>
      </w:r>
      <w:r w:rsidR="003774D9" w:rsidRPr="0077752B">
        <w:rPr>
          <w:rFonts w:ascii="Arial" w:hAnsi="Arial" w:cs="Arial"/>
          <w:sz w:val="20"/>
          <w:szCs w:val="20"/>
          <w:lang w:val="en-US"/>
        </w:rPr>
        <w:t xml:space="preserve"> on</w:t>
      </w:r>
      <w:r w:rsidR="00554489" w:rsidRPr="0077752B">
        <w:rPr>
          <w:rFonts w:ascii="Arial" w:hAnsi="Arial" w:cs="Arial"/>
          <w:sz w:val="20"/>
          <w:szCs w:val="20"/>
          <w:lang w:val="en-US"/>
        </w:rPr>
        <w:t xml:space="preserve"> Friday 24 June 2022 at 11:30am (Irish Time),</w:t>
      </w:r>
      <w:r w:rsidR="003774D9" w:rsidRPr="0077752B">
        <w:rPr>
          <w:rFonts w:ascii="Arial" w:hAnsi="Arial" w:cs="Arial"/>
          <w:sz w:val="20"/>
          <w:szCs w:val="20"/>
          <w:lang w:val="en-US"/>
        </w:rPr>
        <w:t xml:space="preserve"> at which ordinary resolutions will be proposed for the Company’s shareholders to approve the </w:t>
      </w:r>
      <w:r w:rsidR="00C31D98" w:rsidRPr="0077752B">
        <w:rPr>
          <w:rFonts w:ascii="Arial" w:hAnsi="Arial" w:cs="Arial"/>
          <w:sz w:val="20"/>
          <w:szCs w:val="20"/>
          <w:lang w:val="en-US"/>
        </w:rPr>
        <w:t>T</w:t>
      </w:r>
      <w:r w:rsidR="003774D9" w:rsidRPr="0077752B">
        <w:rPr>
          <w:rFonts w:ascii="Arial" w:hAnsi="Arial" w:cs="Arial"/>
          <w:sz w:val="20"/>
          <w:szCs w:val="20"/>
          <w:lang w:val="en-US"/>
        </w:rPr>
        <w:t>ransaction and the issue of new shares to NatWest</w:t>
      </w:r>
      <w:r w:rsidR="00A17993" w:rsidRPr="0077752B">
        <w:rPr>
          <w:rFonts w:ascii="Arial" w:hAnsi="Arial" w:cs="Arial"/>
          <w:sz w:val="20"/>
          <w:szCs w:val="20"/>
          <w:lang w:val="en-US"/>
        </w:rPr>
        <w:t xml:space="preserve"> Group Plc</w:t>
      </w:r>
      <w:r w:rsidR="003774D9" w:rsidRPr="0077752B">
        <w:rPr>
          <w:rFonts w:ascii="Arial" w:hAnsi="Arial" w:cs="Arial"/>
          <w:sz w:val="20"/>
          <w:szCs w:val="20"/>
          <w:lang w:val="en-US"/>
        </w:rPr>
        <w:t xml:space="preserve">. </w:t>
      </w:r>
    </w:p>
    <w:p w14:paraId="4FEFC835" w14:textId="53EE7D87" w:rsidR="003774D9" w:rsidRPr="0077752B" w:rsidRDefault="003774D9" w:rsidP="003774D9">
      <w:pPr>
        <w:jc w:val="both"/>
        <w:rPr>
          <w:rFonts w:ascii="Arial" w:hAnsi="Arial" w:cs="Arial"/>
          <w:sz w:val="20"/>
          <w:szCs w:val="20"/>
          <w:lang w:val="en-US"/>
        </w:rPr>
      </w:pPr>
      <w:r w:rsidRPr="0077752B">
        <w:rPr>
          <w:rFonts w:ascii="Arial" w:hAnsi="Arial" w:cs="Arial"/>
          <w:sz w:val="20"/>
          <w:szCs w:val="20"/>
          <w:lang w:val="en-US"/>
        </w:rPr>
        <w:t xml:space="preserve">The </w:t>
      </w:r>
      <w:r w:rsidR="00C31D98" w:rsidRPr="0077752B">
        <w:rPr>
          <w:rFonts w:ascii="Arial" w:hAnsi="Arial" w:cs="Arial"/>
          <w:sz w:val="20"/>
          <w:szCs w:val="20"/>
          <w:lang w:val="en-US"/>
        </w:rPr>
        <w:t xml:space="preserve">Circular </w:t>
      </w:r>
      <w:r w:rsidR="00A17993" w:rsidRPr="0077752B">
        <w:rPr>
          <w:rFonts w:ascii="Arial" w:hAnsi="Arial" w:cs="Arial"/>
          <w:sz w:val="20"/>
          <w:szCs w:val="20"/>
          <w:lang w:val="en-US"/>
        </w:rPr>
        <w:t>will be sent</w:t>
      </w:r>
      <w:r w:rsidR="00C31D98" w:rsidRPr="0077752B">
        <w:rPr>
          <w:rFonts w:ascii="Arial" w:hAnsi="Arial" w:cs="Arial"/>
          <w:sz w:val="20"/>
          <w:szCs w:val="20"/>
          <w:lang w:val="en-US"/>
        </w:rPr>
        <w:t xml:space="preserve"> or made</w:t>
      </w:r>
      <w:r w:rsidR="00A17993" w:rsidRPr="0077752B">
        <w:rPr>
          <w:rFonts w:ascii="Arial" w:hAnsi="Arial" w:cs="Arial"/>
          <w:sz w:val="20"/>
          <w:szCs w:val="20"/>
          <w:lang w:val="en-US"/>
        </w:rPr>
        <w:t xml:space="preserve"> </w:t>
      </w:r>
      <w:r w:rsidR="00C31D98" w:rsidRPr="0077752B">
        <w:rPr>
          <w:rFonts w:ascii="Arial" w:hAnsi="Arial" w:cs="Arial"/>
          <w:sz w:val="20"/>
          <w:szCs w:val="20"/>
          <w:lang w:val="en-US"/>
        </w:rPr>
        <w:t xml:space="preserve">available </w:t>
      </w:r>
      <w:r w:rsidR="00A17993" w:rsidRPr="0077752B">
        <w:rPr>
          <w:rFonts w:ascii="Arial" w:hAnsi="Arial" w:cs="Arial"/>
          <w:sz w:val="20"/>
          <w:szCs w:val="20"/>
          <w:lang w:val="en-US"/>
        </w:rPr>
        <w:t>to the Company’s shareholders</w:t>
      </w:r>
      <w:r w:rsidRPr="0077752B">
        <w:rPr>
          <w:rFonts w:ascii="Arial" w:hAnsi="Arial" w:cs="Arial"/>
          <w:sz w:val="20"/>
          <w:szCs w:val="20"/>
          <w:lang w:val="en-US"/>
        </w:rPr>
        <w:t xml:space="preserve"> </w:t>
      </w:r>
      <w:r w:rsidR="00A17993" w:rsidRPr="0077752B">
        <w:rPr>
          <w:rFonts w:ascii="Arial" w:hAnsi="Arial" w:cs="Arial"/>
          <w:sz w:val="20"/>
          <w:szCs w:val="20"/>
          <w:lang w:val="en-US"/>
        </w:rPr>
        <w:t>shortly</w:t>
      </w:r>
      <w:r w:rsidRPr="0077752B">
        <w:rPr>
          <w:rFonts w:ascii="Arial" w:hAnsi="Arial" w:cs="Arial"/>
          <w:sz w:val="20"/>
          <w:szCs w:val="20"/>
          <w:lang w:val="en-US"/>
        </w:rPr>
        <w:t>.</w:t>
      </w:r>
      <w:r w:rsidR="00820878" w:rsidRPr="0077752B">
        <w:rPr>
          <w:rFonts w:ascii="Arial" w:hAnsi="Arial" w:cs="Arial"/>
          <w:sz w:val="20"/>
          <w:szCs w:val="20"/>
          <w:lang w:val="en-US"/>
        </w:rPr>
        <w:t xml:space="preserve"> </w:t>
      </w:r>
      <w:r w:rsidRPr="0077752B">
        <w:rPr>
          <w:rFonts w:ascii="Arial" w:hAnsi="Arial" w:cs="Arial"/>
          <w:sz w:val="20"/>
          <w:szCs w:val="20"/>
          <w:lang w:val="en-US"/>
        </w:rPr>
        <w:t xml:space="preserve">A copy of the Circular will be submitted to the National Storage Mechanism </w:t>
      </w:r>
      <w:r w:rsidR="00DF238B" w:rsidRPr="0077752B">
        <w:rPr>
          <w:rFonts w:ascii="Arial" w:hAnsi="Arial" w:cs="Arial"/>
          <w:sz w:val="20"/>
          <w:szCs w:val="20"/>
          <w:lang w:val="en-US"/>
        </w:rPr>
        <w:t xml:space="preserve">and Euronext Dublin </w:t>
      </w:r>
      <w:r w:rsidRPr="0077752B">
        <w:rPr>
          <w:rFonts w:ascii="Arial" w:hAnsi="Arial" w:cs="Arial"/>
          <w:sz w:val="20"/>
          <w:szCs w:val="20"/>
          <w:lang w:val="en-US"/>
        </w:rPr>
        <w:t xml:space="preserve">and will shortly be available for inspection at </w:t>
      </w:r>
      <w:hyperlink r:id="rId7" w:anchor="/nsm/nationalstoragemechanism" w:history="1">
        <w:r w:rsidR="00A17993" w:rsidRPr="0077752B">
          <w:rPr>
            <w:rStyle w:val="Hyperlink"/>
            <w:rFonts w:ascii="Arial" w:hAnsi="Arial" w:cs="Arial"/>
            <w:color w:val="auto"/>
            <w:sz w:val="20"/>
            <w:szCs w:val="20"/>
          </w:rPr>
          <w:t>https://data.fca.org.uk/#/nsm/nationalstoragemechanism</w:t>
        </w:r>
      </w:hyperlink>
      <w:r w:rsidR="00A17993" w:rsidRPr="0077752B">
        <w:rPr>
          <w:rFonts w:ascii="Arial" w:hAnsi="Arial" w:cs="Arial"/>
          <w:sz w:val="20"/>
          <w:szCs w:val="20"/>
        </w:rPr>
        <w:t xml:space="preserve"> </w:t>
      </w:r>
      <w:r w:rsidR="00DF238B" w:rsidRPr="0077752B">
        <w:rPr>
          <w:rFonts w:ascii="Arial" w:hAnsi="Arial" w:cs="Arial"/>
          <w:sz w:val="20"/>
          <w:szCs w:val="20"/>
          <w:lang w:val="en-US"/>
        </w:rPr>
        <w:t>and at</w:t>
      </w:r>
      <w:r w:rsidR="002817C6">
        <w:rPr>
          <w:rFonts w:ascii="Arial" w:hAnsi="Arial" w:cs="Arial"/>
          <w:sz w:val="20"/>
          <w:szCs w:val="20"/>
          <w:lang w:val="en-US"/>
        </w:rPr>
        <w:t xml:space="preserve"> </w:t>
      </w:r>
      <w:hyperlink r:id="rId8" w:anchor="/oamfiling" w:history="1">
        <w:r w:rsidR="002817C6" w:rsidRPr="002817C6">
          <w:rPr>
            <w:rStyle w:val="Hyperlink"/>
            <w:rFonts w:ascii="Arial" w:hAnsi="Arial" w:cs="Arial"/>
            <w:sz w:val="20"/>
            <w:szCs w:val="20"/>
            <w:lang w:val="en-US"/>
          </w:rPr>
          <w:t>Euronext Dublin OAM Filing</w:t>
        </w:r>
      </w:hyperlink>
      <w:r w:rsidRPr="0077752B">
        <w:rPr>
          <w:rFonts w:ascii="Arial" w:hAnsi="Arial" w:cs="Arial"/>
          <w:sz w:val="20"/>
          <w:szCs w:val="20"/>
          <w:lang w:val="en-US"/>
        </w:rPr>
        <w:t>.</w:t>
      </w:r>
      <w:r w:rsidR="00C63735" w:rsidRPr="0077752B">
        <w:rPr>
          <w:rFonts w:ascii="Arial" w:hAnsi="Arial" w:cs="Arial"/>
          <w:sz w:val="20"/>
          <w:szCs w:val="20"/>
          <w:lang w:val="en-US"/>
        </w:rPr>
        <w:t xml:space="preserve"> The Circular will also be available on the Company’s website (</w:t>
      </w:r>
      <w:hyperlink r:id="rId9" w:history="1">
        <w:r w:rsidR="008B4D70" w:rsidRPr="0077752B">
          <w:rPr>
            <w:rStyle w:val="Hyperlink"/>
            <w:rFonts w:ascii="Arial" w:hAnsi="Arial" w:cs="Arial"/>
            <w:color w:val="auto"/>
            <w:sz w:val="20"/>
            <w:szCs w:val="20"/>
            <w:lang w:val="en-US"/>
          </w:rPr>
          <w:t>https://www.permanenttsbgroup.ie</w:t>
        </w:r>
      </w:hyperlink>
      <w:r w:rsidR="00C63735" w:rsidRPr="0077752B">
        <w:rPr>
          <w:rFonts w:ascii="Arial" w:hAnsi="Arial" w:cs="Arial"/>
          <w:sz w:val="20"/>
          <w:szCs w:val="20"/>
          <w:lang w:val="en-US"/>
        </w:rPr>
        <w:t>) up to and including the date of the EGM.</w:t>
      </w:r>
    </w:p>
    <w:p w14:paraId="3178DFE8" w14:textId="77777777" w:rsidR="0077752B" w:rsidRPr="0077752B" w:rsidRDefault="006E375A" w:rsidP="0077752B">
      <w:pPr>
        <w:rPr>
          <w:rFonts w:ascii="Arial" w:hAnsi="Arial" w:cs="Arial"/>
          <w:sz w:val="20"/>
          <w:szCs w:val="20"/>
          <w:lang w:val="en-US"/>
        </w:rPr>
      </w:pPr>
      <w:r w:rsidRPr="0077752B">
        <w:rPr>
          <w:rFonts w:ascii="Arial" w:hAnsi="Arial" w:cs="Arial"/>
          <w:sz w:val="20"/>
          <w:szCs w:val="20"/>
        </w:rPr>
        <w:t>Capitalised terms used in this announcement and not otherwise defined shall have the meaning given to them in the Circular.</w:t>
      </w:r>
      <w:r w:rsidR="003774D9" w:rsidRPr="0077752B">
        <w:rPr>
          <w:rFonts w:ascii="Arial" w:hAnsi="Arial" w:cs="Arial"/>
          <w:sz w:val="20"/>
          <w:szCs w:val="20"/>
          <w:lang w:val="en-US"/>
        </w:rPr>
        <w:br/>
      </w:r>
    </w:p>
    <w:p w14:paraId="12775FC8" w14:textId="3E3279D6" w:rsidR="00065C7B" w:rsidRPr="0077752B" w:rsidRDefault="003774D9" w:rsidP="00065C7B">
      <w:pPr>
        <w:jc w:val="both"/>
        <w:rPr>
          <w:rFonts w:ascii="Arial" w:hAnsi="Arial" w:cs="Arial"/>
          <w:sz w:val="20"/>
          <w:szCs w:val="20"/>
          <w:lang w:val="en-US"/>
        </w:rPr>
      </w:pPr>
      <w:r w:rsidRPr="0077752B">
        <w:rPr>
          <w:rFonts w:ascii="Arial" w:hAnsi="Arial" w:cs="Arial"/>
          <w:sz w:val="20"/>
          <w:szCs w:val="20"/>
          <w:lang w:val="en-US"/>
        </w:rPr>
        <w:t>For further details, please contact:</w:t>
      </w:r>
    </w:p>
    <w:tbl>
      <w:tblPr>
        <w:tblW w:w="5806" w:type="dxa"/>
        <w:tblCellMar>
          <w:left w:w="0" w:type="dxa"/>
          <w:right w:w="0" w:type="dxa"/>
        </w:tblCellMar>
        <w:tblLook w:val="04A0" w:firstRow="1" w:lastRow="0" w:firstColumn="1" w:lastColumn="0" w:noHBand="0" w:noVBand="1"/>
      </w:tblPr>
      <w:tblGrid>
        <w:gridCol w:w="2903"/>
        <w:gridCol w:w="2903"/>
      </w:tblGrid>
      <w:tr w:rsidR="002817C6" w:rsidRPr="0077752B" w14:paraId="0B6AB708" w14:textId="77777777" w:rsidTr="002817C6">
        <w:tc>
          <w:tcPr>
            <w:tcW w:w="2903" w:type="dxa"/>
          </w:tcPr>
          <w:p w14:paraId="334A9C09" w14:textId="09909521" w:rsidR="002817C6" w:rsidRPr="0077752B" w:rsidRDefault="002817C6" w:rsidP="002817C6">
            <w:pPr>
              <w:pStyle w:val="dx"/>
              <w:spacing w:before="0" w:beforeAutospacing="0" w:after="0" w:afterAutospacing="0"/>
              <w:rPr>
                <w:rFonts w:ascii="Arial" w:hAnsi="Arial" w:cs="Arial"/>
                <w:sz w:val="18"/>
                <w:szCs w:val="18"/>
              </w:rPr>
            </w:pPr>
            <w:r w:rsidRPr="0077752B">
              <w:rPr>
                <w:rStyle w:val="bw"/>
                <w:rFonts w:ascii="Arial" w:hAnsi="Arial" w:cs="Arial"/>
                <w:sz w:val="18"/>
                <w:szCs w:val="18"/>
              </w:rPr>
              <w:t>Nicola O'Brien</w:t>
            </w:r>
            <w:r w:rsidRPr="0077752B">
              <w:rPr>
                <w:rFonts w:ascii="Arial" w:hAnsi="Arial" w:cs="Arial"/>
                <w:sz w:val="18"/>
                <w:szCs w:val="18"/>
              </w:rPr>
              <w:br/>
            </w:r>
            <w:r w:rsidRPr="0077752B">
              <w:rPr>
                <w:rStyle w:val="bw"/>
                <w:rFonts w:ascii="Arial" w:hAnsi="Arial" w:cs="Arial"/>
                <w:sz w:val="18"/>
                <w:szCs w:val="18"/>
              </w:rPr>
              <w:t>Head of Investor Relations</w:t>
            </w:r>
            <w:r w:rsidRPr="0077752B">
              <w:rPr>
                <w:rFonts w:ascii="Arial" w:hAnsi="Arial" w:cs="Arial"/>
                <w:sz w:val="18"/>
                <w:szCs w:val="18"/>
              </w:rPr>
              <w:br/>
            </w:r>
            <w:hyperlink r:id="rId10" w:history="1">
              <w:r w:rsidRPr="0077752B">
                <w:rPr>
                  <w:rStyle w:val="Hyperlink"/>
                  <w:rFonts w:ascii="Arial" w:hAnsi="Arial" w:cs="Arial"/>
                  <w:color w:val="auto"/>
                  <w:sz w:val="18"/>
                  <w:szCs w:val="18"/>
                </w:rPr>
                <w:t>Nicola.OBrien@permanenttsb.ie</w:t>
              </w:r>
            </w:hyperlink>
            <w:r w:rsidRPr="0077752B">
              <w:rPr>
                <w:rFonts w:ascii="Arial" w:hAnsi="Arial" w:cs="Arial"/>
                <w:sz w:val="18"/>
                <w:szCs w:val="18"/>
              </w:rPr>
              <w:br/>
            </w:r>
            <w:r w:rsidRPr="0077752B">
              <w:rPr>
                <w:rStyle w:val="bw"/>
                <w:rFonts w:ascii="Arial" w:hAnsi="Arial" w:cs="Arial"/>
                <w:sz w:val="18"/>
                <w:szCs w:val="18"/>
              </w:rPr>
              <w:t>+353 1 669 5283</w:t>
            </w:r>
          </w:p>
        </w:tc>
        <w:tc>
          <w:tcPr>
            <w:tcW w:w="2903" w:type="dxa"/>
          </w:tcPr>
          <w:p w14:paraId="0AB5C139" w14:textId="77777777" w:rsidR="002817C6" w:rsidRPr="0077752B" w:rsidRDefault="002817C6" w:rsidP="002817C6">
            <w:pPr>
              <w:pStyle w:val="dx"/>
              <w:spacing w:before="0" w:beforeAutospacing="0" w:after="0" w:afterAutospacing="0"/>
              <w:rPr>
                <w:rFonts w:ascii="Arial" w:hAnsi="Arial" w:cs="Arial"/>
                <w:sz w:val="18"/>
                <w:szCs w:val="18"/>
              </w:rPr>
            </w:pPr>
            <w:r w:rsidRPr="0077752B">
              <w:rPr>
                <w:rStyle w:val="bw"/>
                <w:rFonts w:ascii="Arial" w:hAnsi="Arial" w:cs="Arial"/>
                <w:sz w:val="18"/>
                <w:szCs w:val="18"/>
              </w:rPr>
              <w:t>Leontia Fannin</w:t>
            </w:r>
            <w:r w:rsidRPr="0077752B">
              <w:rPr>
                <w:rFonts w:ascii="Arial" w:hAnsi="Arial" w:cs="Arial"/>
                <w:sz w:val="18"/>
                <w:szCs w:val="18"/>
              </w:rPr>
              <w:br/>
            </w:r>
            <w:r w:rsidRPr="0077752B">
              <w:rPr>
                <w:rStyle w:val="bw"/>
                <w:rFonts w:ascii="Arial" w:hAnsi="Arial" w:cs="Arial"/>
                <w:sz w:val="18"/>
                <w:szCs w:val="18"/>
              </w:rPr>
              <w:t>Head of Corporate Affairs &amp; Communications</w:t>
            </w:r>
            <w:r w:rsidRPr="0077752B">
              <w:rPr>
                <w:rFonts w:ascii="Arial" w:hAnsi="Arial" w:cs="Arial"/>
                <w:sz w:val="18"/>
                <w:szCs w:val="18"/>
              </w:rPr>
              <w:br/>
            </w:r>
            <w:hyperlink r:id="rId11" w:history="1">
              <w:r w:rsidRPr="0077752B">
                <w:rPr>
                  <w:rStyle w:val="Hyperlink"/>
                  <w:rFonts w:ascii="Arial" w:hAnsi="Arial" w:cs="Arial"/>
                  <w:color w:val="auto"/>
                  <w:sz w:val="18"/>
                  <w:szCs w:val="18"/>
                </w:rPr>
                <w:t>leontia.fannin@permanenttsb.ie</w:t>
              </w:r>
            </w:hyperlink>
          </w:p>
          <w:p w14:paraId="5050D6F1" w14:textId="79C25DF4" w:rsidR="002817C6" w:rsidRPr="0077752B" w:rsidRDefault="002817C6" w:rsidP="002817C6">
            <w:pPr>
              <w:pStyle w:val="dx"/>
              <w:spacing w:before="0" w:beforeAutospacing="0" w:after="0" w:afterAutospacing="0"/>
              <w:rPr>
                <w:rFonts w:ascii="Arial" w:hAnsi="Arial" w:cs="Arial"/>
                <w:sz w:val="18"/>
                <w:szCs w:val="18"/>
              </w:rPr>
            </w:pPr>
            <w:r w:rsidRPr="0077752B">
              <w:rPr>
                <w:rStyle w:val="bw"/>
                <w:rFonts w:ascii="Arial" w:hAnsi="Arial" w:cs="Arial"/>
                <w:sz w:val="18"/>
                <w:szCs w:val="18"/>
              </w:rPr>
              <w:t>+353 87 973 3143</w:t>
            </w:r>
          </w:p>
        </w:tc>
      </w:tr>
    </w:tbl>
    <w:p w14:paraId="50B20020" w14:textId="57BBBB31" w:rsidR="00065C7B" w:rsidRPr="0077752B" w:rsidRDefault="00065C7B" w:rsidP="00065C7B">
      <w:pPr>
        <w:jc w:val="both"/>
        <w:rPr>
          <w:rFonts w:ascii="Arial" w:hAnsi="Arial" w:cs="Arial"/>
          <w:sz w:val="20"/>
          <w:szCs w:val="20"/>
          <w:lang w:val="en-US"/>
        </w:rPr>
      </w:pPr>
    </w:p>
    <w:p w14:paraId="6AB20C0D" w14:textId="627763C7" w:rsidR="003774D9" w:rsidRPr="0077752B" w:rsidRDefault="003774D9" w:rsidP="002817C6">
      <w:pPr>
        <w:spacing w:after="0" w:line="240" w:lineRule="auto"/>
        <w:jc w:val="both"/>
        <w:rPr>
          <w:rFonts w:ascii="Arial" w:hAnsi="Arial" w:cs="Arial"/>
          <w:b/>
          <w:bCs/>
          <w:sz w:val="20"/>
          <w:szCs w:val="20"/>
          <w:lang w:val="en-US"/>
        </w:rPr>
      </w:pPr>
      <w:r w:rsidRPr="0077752B">
        <w:rPr>
          <w:rFonts w:ascii="Arial" w:hAnsi="Arial" w:cs="Arial"/>
          <w:b/>
          <w:bCs/>
          <w:sz w:val="20"/>
          <w:szCs w:val="20"/>
          <w:lang w:val="en-US"/>
        </w:rPr>
        <w:t>IMPORTANT NOTICE</w:t>
      </w:r>
      <w:r w:rsidR="0074533F" w:rsidRPr="0077752B">
        <w:rPr>
          <w:rFonts w:ascii="Arial" w:hAnsi="Arial" w:cs="Arial"/>
          <w:b/>
          <w:bCs/>
          <w:sz w:val="20"/>
          <w:szCs w:val="20"/>
          <w:lang w:val="en-US"/>
        </w:rPr>
        <w:t>S</w:t>
      </w:r>
    </w:p>
    <w:p w14:paraId="0B02D253" w14:textId="77777777" w:rsidR="002817C6" w:rsidRDefault="002817C6" w:rsidP="002817C6">
      <w:pPr>
        <w:spacing w:after="0" w:line="240" w:lineRule="auto"/>
        <w:jc w:val="both"/>
        <w:rPr>
          <w:rFonts w:ascii="Arial" w:hAnsi="Arial" w:cs="Arial"/>
          <w:bCs/>
          <w:iCs/>
          <w:sz w:val="20"/>
          <w:szCs w:val="20"/>
        </w:rPr>
      </w:pPr>
    </w:p>
    <w:p w14:paraId="6A4E9A4B" w14:textId="3788827D" w:rsidR="0074533F" w:rsidRPr="0077752B" w:rsidRDefault="0074533F" w:rsidP="002817C6">
      <w:pPr>
        <w:spacing w:after="0" w:line="240" w:lineRule="auto"/>
        <w:jc w:val="both"/>
        <w:rPr>
          <w:rFonts w:ascii="Arial" w:hAnsi="Arial" w:cs="Arial"/>
          <w:bCs/>
          <w:iCs/>
          <w:sz w:val="20"/>
          <w:szCs w:val="20"/>
        </w:rPr>
      </w:pPr>
      <w:r w:rsidRPr="0077752B">
        <w:rPr>
          <w:rFonts w:ascii="Arial" w:hAnsi="Arial" w:cs="Arial"/>
          <w:bCs/>
          <w:iCs/>
          <w:sz w:val="20"/>
          <w:szCs w:val="20"/>
        </w:rPr>
        <w:t>The</w:t>
      </w:r>
      <w:r w:rsidR="006E375A" w:rsidRPr="0077752B">
        <w:rPr>
          <w:rFonts w:ascii="Arial" w:hAnsi="Arial" w:cs="Arial"/>
          <w:bCs/>
          <w:iCs/>
          <w:sz w:val="20"/>
          <w:szCs w:val="20"/>
        </w:rPr>
        <w:t xml:space="preserve"> information contained in this a</w:t>
      </w:r>
      <w:r w:rsidRPr="0077752B">
        <w:rPr>
          <w:rFonts w:ascii="Arial" w:hAnsi="Arial" w:cs="Arial"/>
          <w:bCs/>
          <w:iCs/>
          <w:sz w:val="20"/>
          <w:szCs w:val="20"/>
        </w:rPr>
        <w:t>nnouncement is for background purposes only and does not purport to be full or complete. No reliance may be placed for any purpose on the</w:t>
      </w:r>
      <w:r w:rsidR="006E375A" w:rsidRPr="0077752B">
        <w:rPr>
          <w:rFonts w:ascii="Arial" w:hAnsi="Arial" w:cs="Arial"/>
          <w:bCs/>
          <w:iCs/>
          <w:sz w:val="20"/>
          <w:szCs w:val="20"/>
        </w:rPr>
        <w:t xml:space="preserve"> information contained in this a</w:t>
      </w:r>
      <w:r w:rsidRPr="0077752B">
        <w:rPr>
          <w:rFonts w:ascii="Arial" w:hAnsi="Arial" w:cs="Arial"/>
          <w:bCs/>
          <w:iCs/>
          <w:sz w:val="20"/>
          <w:szCs w:val="20"/>
        </w:rPr>
        <w:t>nnouncement or its accuracy, fairness or completeness.</w:t>
      </w:r>
    </w:p>
    <w:p w14:paraId="3A7D3D76" w14:textId="77777777" w:rsidR="002817C6" w:rsidRDefault="002817C6" w:rsidP="002817C6">
      <w:pPr>
        <w:spacing w:after="0" w:line="240" w:lineRule="auto"/>
        <w:jc w:val="both"/>
        <w:rPr>
          <w:rFonts w:ascii="Arial" w:hAnsi="Arial" w:cs="Arial"/>
          <w:sz w:val="20"/>
          <w:szCs w:val="20"/>
        </w:rPr>
      </w:pPr>
    </w:p>
    <w:p w14:paraId="75EB1E13" w14:textId="0CD3F57C" w:rsidR="0015580A" w:rsidRPr="0077752B" w:rsidRDefault="0015580A" w:rsidP="002817C6">
      <w:pPr>
        <w:spacing w:after="0" w:line="240" w:lineRule="auto"/>
        <w:jc w:val="both"/>
        <w:rPr>
          <w:rFonts w:ascii="Arial" w:hAnsi="Arial" w:cs="Arial"/>
          <w:sz w:val="20"/>
          <w:szCs w:val="20"/>
        </w:rPr>
      </w:pPr>
      <w:r w:rsidRPr="0077752B">
        <w:rPr>
          <w:rFonts w:ascii="Arial" w:hAnsi="Arial" w:cs="Arial"/>
          <w:sz w:val="20"/>
          <w:szCs w:val="20"/>
        </w:rPr>
        <w:t>This announcement is not intended to, and does not constitute, or form part of, any offer to sell or an invitation to purchase or subscribe for any securities or a solicitation of any vote or ap</w:t>
      </w:r>
      <w:r w:rsidR="00244E92" w:rsidRPr="0077752B">
        <w:rPr>
          <w:rFonts w:ascii="Arial" w:hAnsi="Arial" w:cs="Arial"/>
          <w:sz w:val="20"/>
          <w:szCs w:val="20"/>
        </w:rPr>
        <w:t xml:space="preserve">proval in any </w:t>
      </w:r>
      <w:r w:rsidR="00244E92" w:rsidRPr="0077752B">
        <w:rPr>
          <w:rFonts w:ascii="Arial" w:hAnsi="Arial" w:cs="Arial"/>
          <w:sz w:val="20"/>
          <w:szCs w:val="20"/>
        </w:rPr>
        <w:lastRenderedPageBreak/>
        <w:t xml:space="preserve">jurisdiction. </w:t>
      </w:r>
      <w:r w:rsidRPr="0077752B">
        <w:rPr>
          <w:rFonts w:ascii="Arial" w:hAnsi="Arial" w:cs="Arial"/>
          <w:sz w:val="20"/>
          <w:szCs w:val="20"/>
        </w:rPr>
        <w:t>PTSBGH shareholders are advised to read carefully the Circular. Any response to the Transaction should be made only on the basis of the information in the Circular.</w:t>
      </w:r>
    </w:p>
    <w:p w14:paraId="602C9CB0" w14:textId="77777777" w:rsidR="002817C6" w:rsidRDefault="002817C6" w:rsidP="002817C6">
      <w:pPr>
        <w:spacing w:after="0" w:line="240" w:lineRule="auto"/>
        <w:jc w:val="both"/>
        <w:rPr>
          <w:rFonts w:ascii="Arial" w:hAnsi="Arial" w:cs="Arial"/>
          <w:bCs/>
          <w:iCs/>
          <w:sz w:val="20"/>
          <w:szCs w:val="20"/>
        </w:rPr>
      </w:pPr>
    </w:p>
    <w:p w14:paraId="572E678F" w14:textId="71ABA02C" w:rsidR="0074533F" w:rsidRPr="0077752B" w:rsidRDefault="006E375A" w:rsidP="002817C6">
      <w:pPr>
        <w:spacing w:after="0" w:line="240" w:lineRule="auto"/>
        <w:jc w:val="both"/>
        <w:rPr>
          <w:rFonts w:ascii="Arial" w:hAnsi="Arial" w:cs="Arial"/>
          <w:sz w:val="20"/>
          <w:szCs w:val="20"/>
        </w:rPr>
      </w:pPr>
      <w:r w:rsidRPr="0077752B">
        <w:rPr>
          <w:rFonts w:ascii="Arial" w:hAnsi="Arial" w:cs="Arial"/>
          <w:bCs/>
          <w:iCs/>
          <w:sz w:val="20"/>
          <w:szCs w:val="20"/>
        </w:rPr>
        <w:t>The contents of this a</w:t>
      </w:r>
      <w:r w:rsidR="0074533F" w:rsidRPr="0077752B">
        <w:rPr>
          <w:rFonts w:ascii="Arial" w:hAnsi="Arial" w:cs="Arial"/>
          <w:bCs/>
          <w:iCs/>
          <w:sz w:val="20"/>
          <w:szCs w:val="20"/>
        </w:rPr>
        <w:t xml:space="preserve">nnouncement are not to be construed as legal, financial or tax advice. </w:t>
      </w:r>
      <w:r w:rsidR="0074533F" w:rsidRPr="0077752B">
        <w:rPr>
          <w:rFonts w:ascii="Arial" w:hAnsi="Arial" w:cs="Arial"/>
          <w:bCs/>
          <w:iCs/>
          <w:sz w:val="20"/>
          <w:szCs w:val="20"/>
          <w:lang w:val="en-GB"/>
        </w:rPr>
        <w:t>If you are in any doubt about the contents of this announcement and what action you should take, you are recommended to consult your independent professional adviser, who is authorised or exempted under the European Union (Markets in Financial Instruments) Regulations 2017 (as amended) or the Investment Intermediaries Act 1995 (as amended), if you are resident in Ireland, or who is authorised under the Financial Services and Markets Act 2000 (as amended), if you are resident in the United Kingdom, or from another appropriately authorised independent financial adviser if you are in a territory outside Ireland or the United Kingdom.</w:t>
      </w:r>
    </w:p>
    <w:p w14:paraId="36F93291" w14:textId="77777777" w:rsidR="002817C6" w:rsidRDefault="002817C6" w:rsidP="002817C6">
      <w:pPr>
        <w:pStyle w:val="Body"/>
        <w:spacing w:after="0"/>
        <w:rPr>
          <w:rFonts w:ascii="Arial" w:hAnsi="Arial" w:cs="Arial"/>
          <w:sz w:val="20"/>
          <w:szCs w:val="20"/>
        </w:rPr>
      </w:pPr>
    </w:p>
    <w:p w14:paraId="1B0D655D" w14:textId="64088C3F" w:rsidR="0015580A" w:rsidRPr="002817C6" w:rsidRDefault="0015580A" w:rsidP="002817C6">
      <w:pPr>
        <w:pStyle w:val="Body"/>
        <w:spacing w:after="0"/>
        <w:rPr>
          <w:rFonts w:ascii="Arial" w:hAnsi="Arial" w:cs="Arial"/>
          <w:sz w:val="20"/>
          <w:szCs w:val="20"/>
        </w:rPr>
      </w:pPr>
      <w:r w:rsidRPr="0077752B">
        <w:rPr>
          <w:rFonts w:ascii="Arial" w:hAnsi="Arial" w:cs="Arial"/>
          <w:sz w:val="20"/>
          <w:szCs w:val="20"/>
        </w:rPr>
        <w:t>J</w:t>
      </w:r>
      <w:r w:rsidRPr="0077752B">
        <w:rPr>
          <w:rFonts w:ascii="Arial" w:hAnsi="Arial" w:cs="Arial"/>
          <w:bCs/>
          <w:iCs/>
          <w:sz w:val="20"/>
          <w:szCs w:val="20"/>
          <w:lang w:val="en-IE"/>
        </w:rPr>
        <w:t>&amp;E Davy Unlimited Company (trading as “Davy”), which is regulated in Ireland by the Central Bank, is acting exclusively for the Company as financial adviser and sponsor in connection with the Transaction and for no one else (including the recipients of the Circular) and will not be responsible to any other person for providing the protections afforded to clients of Davy or for providing advice in relation to the Transaction, the contents of this announcement or any other transaction, arrangement or other matter referred to in</w:t>
      </w:r>
      <w:r w:rsidR="00244E92" w:rsidRPr="0077752B">
        <w:rPr>
          <w:rFonts w:ascii="Arial" w:hAnsi="Arial" w:cs="Arial"/>
          <w:bCs/>
          <w:iCs/>
          <w:sz w:val="20"/>
          <w:szCs w:val="20"/>
          <w:lang w:val="en-IE"/>
        </w:rPr>
        <w:t xml:space="preserve"> this announcement as relevant and neither Davy nor any of its subsidiaries, branches or affiliates owes or accepts any duty, liability or responsibility whatsoever (whether direct or indirect, whether in contract, in tort, under statute or otherwise) to any person who is not a client of Davy in connection with the Circular, the Transaction or the contents of this announcement, including its accuracy, completeness or verification or for any other statement made or purported to be made by it, or on its behalf, in connection with PTSBGH, the Transaction, or any other matter referred to herein. </w:t>
      </w:r>
    </w:p>
    <w:p w14:paraId="0746A1A4" w14:textId="77777777" w:rsidR="002817C6" w:rsidRDefault="002817C6" w:rsidP="002817C6">
      <w:pPr>
        <w:pStyle w:val="Body"/>
        <w:spacing w:after="0"/>
        <w:rPr>
          <w:rFonts w:ascii="Arial" w:hAnsi="Arial" w:cs="Arial"/>
          <w:b/>
          <w:sz w:val="20"/>
          <w:szCs w:val="20"/>
          <w:lang w:val="en-IE"/>
        </w:rPr>
      </w:pPr>
    </w:p>
    <w:p w14:paraId="6CEA16A1" w14:textId="1115AAD0" w:rsidR="0074533F" w:rsidRPr="0077752B" w:rsidRDefault="0074533F" w:rsidP="002817C6">
      <w:pPr>
        <w:pStyle w:val="Body"/>
        <w:spacing w:after="0"/>
        <w:rPr>
          <w:rFonts w:ascii="Arial" w:hAnsi="Arial" w:cs="Arial"/>
          <w:b/>
          <w:sz w:val="20"/>
          <w:szCs w:val="20"/>
        </w:rPr>
      </w:pPr>
      <w:r w:rsidRPr="0077752B">
        <w:rPr>
          <w:rFonts w:ascii="Arial" w:hAnsi="Arial" w:cs="Arial"/>
          <w:b/>
          <w:sz w:val="20"/>
          <w:szCs w:val="20"/>
          <w:lang w:val="en-IE"/>
        </w:rPr>
        <w:t xml:space="preserve">Overseas jurisdictions </w:t>
      </w:r>
    </w:p>
    <w:p w14:paraId="7BD6AED9" w14:textId="77777777" w:rsidR="002817C6" w:rsidRDefault="002817C6" w:rsidP="002817C6">
      <w:pPr>
        <w:pStyle w:val="Body"/>
        <w:spacing w:after="0"/>
        <w:rPr>
          <w:rFonts w:ascii="Arial" w:hAnsi="Arial" w:cs="Arial"/>
          <w:sz w:val="20"/>
          <w:szCs w:val="20"/>
        </w:rPr>
      </w:pPr>
    </w:p>
    <w:p w14:paraId="13136C1B" w14:textId="3BB3CD45" w:rsidR="0074533F" w:rsidRPr="0077752B" w:rsidRDefault="0074533F" w:rsidP="002817C6">
      <w:pPr>
        <w:pStyle w:val="Body"/>
        <w:spacing w:after="0"/>
        <w:rPr>
          <w:rFonts w:ascii="Arial" w:hAnsi="Arial" w:cs="Arial"/>
          <w:sz w:val="20"/>
          <w:szCs w:val="20"/>
        </w:rPr>
      </w:pPr>
      <w:r w:rsidRPr="0077752B">
        <w:rPr>
          <w:rFonts w:ascii="Arial" w:hAnsi="Arial" w:cs="Arial"/>
          <w:sz w:val="20"/>
          <w:szCs w:val="20"/>
        </w:rPr>
        <w:t>The distribution of this announcement in jurisdictions other than the United Kingdom and Ireland may be restricted by the laws of those jurisdictions and therefore persons into whose possession this announcement comes should inform themselves about and observe any such restrictions. Failure to comply with any such restrictions may constitute a violation of the securities laws of any such jurisdiction.</w:t>
      </w:r>
    </w:p>
    <w:p w14:paraId="470F88D0" w14:textId="77777777" w:rsidR="002817C6" w:rsidRDefault="002817C6" w:rsidP="002817C6">
      <w:pPr>
        <w:spacing w:after="0" w:line="240" w:lineRule="auto"/>
        <w:jc w:val="both"/>
        <w:rPr>
          <w:rFonts w:ascii="Arial" w:hAnsi="Arial" w:cs="Arial"/>
          <w:b/>
          <w:bCs/>
          <w:iCs/>
          <w:sz w:val="20"/>
          <w:szCs w:val="20"/>
        </w:rPr>
      </w:pPr>
    </w:p>
    <w:p w14:paraId="65C32C39" w14:textId="75FEB26A" w:rsidR="0015580A" w:rsidRPr="0077752B" w:rsidRDefault="0074533F" w:rsidP="002817C6">
      <w:pPr>
        <w:spacing w:after="0" w:line="240" w:lineRule="auto"/>
        <w:jc w:val="both"/>
        <w:rPr>
          <w:rFonts w:ascii="Arial" w:hAnsi="Arial" w:cs="Arial"/>
          <w:b/>
          <w:bCs/>
          <w:iCs/>
          <w:sz w:val="20"/>
          <w:szCs w:val="20"/>
        </w:rPr>
      </w:pPr>
      <w:r w:rsidRPr="0077752B">
        <w:rPr>
          <w:rFonts w:ascii="Arial" w:hAnsi="Arial" w:cs="Arial"/>
          <w:b/>
          <w:bCs/>
          <w:iCs/>
          <w:sz w:val="20"/>
          <w:szCs w:val="20"/>
        </w:rPr>
        <w:t xml:space="preserve">Forward-looking Statements </w:t>
      </w:r>
    </w:p>
    <w:p w14:paraId="3F6BC354" w14:textId="77777777" w:rsidR="002817C6" w:rsidRDefault="002817C6" w:rsidP="002817C6">
      <w:pPr>
        <w:spacing w:after="0" w:line="240" w:lineRule="auto"/>
        <w:jc w:val="both"/>
        <w:rPr>
          <w:rFonts w:ascii="Arial" w:hAnsi="Arial" w:cs="Arial"/>
          <w:bCs/>
          <w:iCs/>
          <w:sz w:val="20"/>
          <w:szCs w:val="20"/>
          <w:lang w:val="en-GB"/>
        </w:rPr>
      </w:pPr>
    </w:p>
    <w:p w14:paraId="57DD9092" w14:textId="3A007A97" w:rsidR="004A50A2" w:rsidRPr="0077752B" w:rsidRDefault="004A50A2" w:rsidP="002817C6">
      <w:pPr>
        <w:spacing w:after="0" w:line="240" w:lineRule="auto"/>
        <w:jc w:val="both"/>
        <w:rPr>
          <w:rFonts w:ascii="Arial" w:hAnsi="Arial" w:cs="Arial"/>
          <w:bCs/>
          <w:iCs/>
          <w:sz w:val="20"/>
          <w:szCs w:val="20"/>
          <w:lang w:val="en-GB"/>
        </w:rPr>
      </w:pPr>
      <w:r w:rsidRPr="0077752B">
        <w:rPr>
          <w:rFonts w:ascii="Arial" w:hAnsi="Arial" w:cs="Arial"/>
          <w:bCs/>
          <w:iCs/>
          <w:sz w:val="20"/>
          <w:szCs w:val="20"/>
          <w:lang w:val="en-GB"/>
        </w:rPr>
        <w:t xml:space="preserve">Certain statements contained in </w:t>
      </w:r>
      <w:r w:rsidR="006E375A" w:rsidRPr="0077752B">
        <w:rPr>
          <w:rFonts w:ascii="Arial" w:hAnsi="Arial" w:cs="Arial"/>
          <w:bCs/>
          <w:iCs/>
          <w:sz w:val="20"/>
          <w:szCs w:val="20"/>
          <w:lang w:val="en-GB"/>
        </w:rPr>
        <w:t>this announcement</w:t>
      </w:r>
      <w:r w:rsidRPr="0077752B">
        <w:rPr>
          <w:rFonts w:ascii="Arial" w:hAnsi="Arial" w:cs="Arial"/>
          <w:bCs/>
          <w:iCs/>
          <w:sz w:val="20"/>
          <w:szCs w:val="20"/>
          <w:lang w:val="en-GB"/>
        </w:rPr>
        <w:t xml:space="preserve"> in connection with the Transaction constitute, or may be deemed to constitute “forward-looking statements”. In some cases, these forward-looking statements can be identified by the use of forward-looking terminology, including the terms “aims”, “anticipates”, “believes”, “budget”, “continue”, “could”, “estimates”, “expects”, “is expected to”, “forecasts”, “guidance”, “intends”, “may”, “plans”, “projects”, “schedules”, “should”, “is subject to” or “will” or, in each case, their negative, or other variations or comparable terminology.</w:t>
      </w:r>
    </w:p>
    <w:p w14:paraId="1203FA4D" w14:textId="77777777" w:rsidR="002817C6" w:rsidRDefault="002817C6" w:rsidP="002817C6">
      <w:pPr>
        <w:spacing w:after="0" w:line="240" w:lineRule="auto"/>
        <w:jc w:val="both"/>
        <w:rPr>
          <w:rFonts w:ascii="Arial" w:hAnsi="Arial" w:cs="Arial"/>
          <w:bCs/>
          <w:iCs/>
          <w:sz w:val="20"/>
          <w:szCs w:val="20"/>
          <w:lang w:val="en-GB"/>
        </w:rPr>
      </w:pPr>
    </w:p>
    <w:p w14:paraId="6A001AFC" w14:textId="24314A81" w:rsidR="004A50A2" w:rsidRPr="0077752B" w:rsidRDefault="004A50A2" w:rsidP="002817C6">
      <w:pPr>
        <w:spacing w:after="0" w:line="240" w:lineRule="auto"/>
        <w:jc w:val="both"/>
        <w:rPr>
          <w:rFonts w:ascii="Arial" w:hAnsi="Arial" w:cs="Arial"/>
          <w:bCs/>
          <w:iCs/>
          <w:sz w:val="20"/>
          <w:szCs w:val="20"/>
          <w:lang w:val="en-GB"/>
        </w:rPr>
      </w:pPr>
      <w:r w:rsidRPr="0077752B">
        <w:rPr>
          <w:rFonts w:ascii="Arial" w:hAnsi="Arial" w:cs="Arial"/>
          <w:bCs/>
          <w:iCs/>
          <w:sz w:val="20"/>
          <w:szCs w:val="20"/>
          <w:lang w:val="en-GB"/>
        </w:rPr>
        <w:t>Although the Company believes that the expectations reflected in such forward-looking statements are reasonable, it can give no assurance that such expectations will prove to be correct. By their nature, forward-looking statements are subject to known and unknown risks, uncertainties and other factors because they relate to events and depend on circumstances that may or may not occur in the future. These factors include the satisfaction of the Conditions, as well as factors such as future market conditions, currency fluctuations, the behaviour of other market participants, the actions of regulators and other factors such as changes in the political, social and regulatory framework in which the PTSB Group will operate or in economic or technological trends or conditions. Other unknown or unpredictable factors could cause actual results to differ materially from those in the forward-looking statements. Such forward-looking statements should therefore be construed in the light of such factors.</w:t>
      </w:r>
    </w:p>
    <w:p w14:paraId="2968E0E5" w14:textId="77777777" w:rsidR="002817C6" w:rsidRDefault="002817C6" w:rsidP="002817C6">
      <w:pPr>
        <w:spacing w:after="0" w:line="240" w:lineRule="auto"/>
        <w:jc w:val="both"/>
        <w:rPr>
          <w:rFonts w:ascii="Arial" w:hAnsi="Arial" w:cs="Arial"/>
          <w:bCs/>
          <w:iCs/>
          <w:sz w:val="20"/>
          <w:szCs w:val="20"/>
          <w:lang w:val="en-GB"/>
        </w:rPr>
      </w:pPr>
    </w:p>
    <w:p w14:paraId="66F24D16" w14:textId="01E0FBA8" w:rsidR="003774D9" w:rsidRPr="002817C6" w:rsidRDefault="004A50A2" w:rsidP="002817C6">
      <w:pPr>
        <w:spacing w:after="0" w:line="240" w:lineRule="auto"/>
        <w:jc w:val="both"/>
        <w:rPr>
          <w:rFonts w:ascii="Arial" w:hAnsi="Arial" w:cs="Arial"/>
          <w:bCs/>
          <w:iCs/>
          <w:sz w:val="20"/>
          <w:szCs w:val="20"/>
          <w:lang w:val="en-GB"/>
        </w:rPr>
      </w:pPr>
      <w:r w:rsidRPr="0077752B">
        <w:rPr>
          <w:rFonts w:ascii="Arial" w:hAnsi="Arial" w:cs="Arial"/>
          <w:bCs/>
          <w:iCs/>
          <w:sz w:val="20"/>
          <w:szCs w:val="20"/>
          <w:lang w:val="en-GB"/>
        </w:rPr>
        <w:t xml:space="preserve">These forward-looking statements are made as at the date of this </w:t>
      </w:r>
      <w:r w:rsidR="006C236B" w:rsidRPr="0077752B">
        <w:rPr>
          <w:rFonts w:ascii="Arial" w:hAnsi="Arial" w:cs="Arial"/>
          <w:bCs/>
          <w:iCs/>
          <w:sz w:val="20"/>
          <w:szCs w:val="20"/>
          <w:lang w:val="en-GB"/>
        </w:rPr>
        <w:t xml:space="preserve">announcement </w:t>
      </w:r>
      <w:r w:rsidRPr="0077752B">
        <w:rPr>
          <w:rFonts w:ascii="Arial" w:hAnsi="Arial" w:cs="Arial"/>
          <w:bCs/>
          <w:iCs/>
          <w:sz w:val="20"/>
          <w:szCs w:val="20"/>
          <w:lang w:val="en-GB"/>
        </w:rPr>
        <w:t xml:space="preserve">and are not intended to give any assurance as to future results. None of the Company or any of its associates or directors, officers or advisers provides any representation, assurance or guarantee that the occurrence of the events expressed or implied in any forward-looking statements in this </w:t>
      </w:r>
      <w:r w:rsidR="006C236B" w:rsidRPr="0077752B">
        <w:rPr>
          <w:rFonts w:ascii="Arial" w:hAnsi="Arial" w:cs="Arial"/>
          <w:bCs/>
          <w:iCs/>
          <w:sz w:val="20"/>
          <w:szCs w:val="20"/>
          <w:lang w:val="en-GB"/>
        </w:rPr>
        <w:t xml:space="preserve">announcement </w:t>
      </w:r>
      <w:r w:rsidRPr="0077752B">
        <w:rPr>
          <w:rFonts w:ascii="Arial" w:hAnsi="Arial" w:cs="Arial"/>
          <w:bCs/>
          <w:iCs/>
          <w:sz w:val="20"/>
          <w:szCs w:val="20"/>
          <w:lang w:val="en-GB"/>
        </w:rPr>
        <w:t>will actually occur. You are cautioned not to place undue reliance on these forward-looking statements. Other than in accordance with its legal or regulatory obligations, the Company is under no obligation, and the Company expressly disclaims any intention or obligation, to update or revise publicly any forward-looking statements, whether as a result of new information, future events or otherwise.</w:t>
      </w:r>
    </w:p>
    <w:sectPr w:rsidR="003774D9" w:rsidRPr="002817C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C75A4" w14:textId="77777777" w:rsidR="00C26D77" w:rsidRDefault="00C26D77" w:rsidP="00A17993">
      <w:pPr>
        <w:spacing w:after="0" w:line="240" w:lineRule="auto"/>
      </w:pPr>
      <w:r>
        <w:separator/>
      </w:r>
    </w:p>
  </w:endnote>
  <w:endnote w:type="continuationSeparator" w:id="0">
    <w:p w14:paraId="3CEDC5C1" w14:textId="77777777" w:rsidR="00C26D77" w:rsidRDefault="00C26D77" w:rsidP="00A17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9B817" w14:textId="77777777" w:rsidR="00B25AEE" w:rsidRDefault="00B25A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2A30F" w14:textId="77777777" w:rsidR="00B25AEE" w:rsidRDefault="00B25A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22A9F" w14:textId="77777777" w:rsidR="00B25AEE" w:rsidRDefault="00B25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CF349" w14:textId="77777777" w:rsidR="00C26D77" w:rsidRDefault="00C26D77" w:rsidP="00A17993">
      <w:pPr>
        <w:spacing w:after="0" w:line="240" w:lineRule="auto"/>
      </w:pPr>
      <w:r>
        <w:separator/>
      </w:r>
    </w:p>
  </w:footnote>
  <w:footnote w:type="continuationSeparator" w:id="0">
    <w:p w14:paraId="2FCAC607" w14:textId="77777777" w:rsidR="00C26D77" w:rsidRDefault="00C26D77" w:rsidP="00A179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8565" w14:textId="77777777" w:rsidR="00B25AEE" w:rsidRDefault="00B25A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A185A" w14:textId="77777777" w:rsidR="00B25AEE" w:rsidRDefault="00B25A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CE1DF" w14:textId="77777777" w:rsidR="00B25AEE" w:rsidRDefault="00B25A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4D9"/>
    <w:rsid w:val="00065C7B"/>
    <w:rsid w:val="00084DBC"/>
    <w:rsid w:val="0015580A"/>
    <w:rsid w:val="00166D70"/>
    <w:rsid w:val="001E069F"/>
    <w:rsid w:val="001E0C40"/>
    <w:rsid w:val="00244E92"/>
    <w:rsid w:val="002817C6"/>
    <w:rsid w:val="0030502B"/>
    <w:rsid w:val="003774D9"/>
    <w:rsid w:val="004A50A2"/>
    <w:rsid w:val="004E7A34"/>
    <w:rsid w:val="00554489"/>
    <w:rsid w:val="006C236B"/>
    <w:rsid w:val="006E375A"/>
    <w:rsid w:val="0074533F"/>
    <w:rsid w:val="0077752B"/>
    <w:rsid w:val="007D240B"/>
    <w:rsid w:val="00820878"/>
    <w:rsid w:val="008B4D70"/>
    <w:rsid w:val="00A17993"/>
    <w:rsid w:val="00B25AEE"/>
    <w:rsid w:val="00C26D77"/>
    <w:rsid w:val="00C31D98"/>
    <w:rsid w:val="00C63735"/>
    <w:rsid w:val="00D16242"/>
    <w:rsid w:val="00DF23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09A5BF"/>
  <w15:chartTrackingRefBased/>
  <w15:docId w15:val="{AAC907B3-CA9E-411E-8A26-8AF0746A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9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993"/>
  </w:style>
  <w:style w:type="paragraph" w:styleId="Footer">
    <w:name w:val="footer"/>
    <w:basedOn w:val="Normal"/>
    <w:link w:val="FooterChar"/>
    <w:uiPriority w:val="99"/>
    <w:unhideWhenUsed/>
    <w:rsid w:val="00A179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993"/>
  </w:style>
  <w:style w:type="character" w:styleId="Hyperlink">
    <w:name w:val="Hyperlink"/>
    <w:rsid w:val="00A17993"/>
    <w:rPr>
      <w:color w:val="0000FF"/>
      <w:u w:val="single"/>
    </w:rPr>
  </w:style>
  <w:style w:type="paragraph" w:styleId="ListParagraph">
    <w:name w:val="List Paragraph"/>
    <w:basedOn w:val="Normal"/>
    <w:uiPriority w:val="1"/>
    <w:qFormat/>
    <w:rsid w:val="007D240B"/>
    <w:pPr>
      <w:spacing w:after="0" w:line="240" w:lineRule="auto"/>
      <w:ind w:left="720"/>
      <w:contextualSpacing/>
    </w:pPr>
    <w:rPr>
      <w:sz w:val="24"/>
      <w:szCs w:val="24"/>
      <w:lang w:val="en-GB"/>
    </w:rPr>
  </w:style>
  <w:style w:type="character" w:styleId="CommentReference">
    <w:name w:val="annotation reference"/>
    <w:basedOn w:val="DefaultParagraphFont"/>
    <w:uiPriority w:val="99"/>
    <w:semiHidden/>
    <w:unhideWhenUsed/>
    <w:rsid w:val="00554489"/>
    <w:rPr>
      <w:sz w:val="16"/>
      <w:szCs w:val="16"/>
    </w:rPr>
  </w:style>
  <w:style w:type="paragraph" w:styleId="CommentText">
    <w:name w:val="annotation text"/>
    <w:basedOn w:val="Normal"/>
    <w:link w:val="CommentTextChar"/>
    <w:uiPriority w:val="99"/>
    <w:semiHidden/>
    <w:unhideWhenUsed/>
    <w:rsid w:val="00554489"/>
    <w:pPr>
      <w:spacing w:line="240" w:lineRule="auto"/>
    </w:pPr>
    <w:rPr>
      <w:sz w:val="20"/>
      <w:szCs w:val="20"/>
    </w:rPr>
  </w:style>
  <w:style w:type="character" w:customStyle="1" w:styleId="CommentTextChar">
    <w:name w:val="Comment Text Char"/>
    <w:basedOn w:val="DefaultParagraphFont"/>
    <w:link w:val="CommentText"/>
    <w:uiPriority w:val="99"/>
    <w:semiHidden/>
    <w:rsid w:val="00554489"/>
    <w:rPr>
      <w:sz w:val="20"/>
      <w:szCs w:val="20"/>
    </w:rPr>
  </w:style>
  <w:style w:type="paragraph" w:styleId="CommentSubject">
    <w:name w:val="annotation subject"/>
    <w:basedOn w:val="CommentText"/>
    <w:next w:val="CommentText"/>
    <w:link w:val="CommentSubjectChar"/>
    <w:uiPriority w:val="99"/>
    <w:semiHidden/>
    <w:unhideWhenUsed/>
    <w:rsid w:val="00554489"/>
    <w:rPr>
      <w:b/>
      <w:bCs/>
    </w:rPr>
  </w:style>
  <w:style w:type="character" w:customStyle="1" w:styleId="CommentSubjectChar">
    <w:name w:val="Comment Subject Char"/>
    <w:basedOn w:val="CommentTextChar"/>
    <w:link w:val="CommentSubject"/>
    <w:uiPriority w:val="99"/>
    <w:semiHidden/>
    <w:rsid w:val="00554489"/>
    <w:rPr>
      <w:b/>
      <w:bCs/>
      <w:sz w:val="20"/>
      <w:szCs w:val="20"/>
    </w:rPr>
  </w:style>
  <w:style w:type="paragraph" w:customStyle="1" w:styleId="dx">
    <w:name w:val="dx"/>
    <w:basedOn w:val="Normal"/>
    <w:rsid w:val="00065C7B"/>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bw">
    <w:name w:val="bw"/>
    <w:basedOn w:val="DefaultParagraphFont"/>
    <w:rsid w:val="00065C7B"/>
  </w:style>
  <w:style w:type="character" w:customStyle="1" w:styleId="ct">
    <w:name w:val="ct"/>
    <w:basedOn w:val="DefaultParagraphFont"/>
    <w:rsid w:val="00065C7B"/>
  </w:style>
  <w:style w:type="character" w:customStyle="1" w:styleId="UnresolvedMention1">
    <w:name w:val="Unresolved Mention1"/>
    <w:basedOn w:val="DefaultParagraphFont"/>
    <w:uiPriority w:val="99"/>
    <w:semiHidden/>
    <w:unhideWhenUsed/>
    <w:rsid w:val="008B4D70"/>
    <w:rPr>
      <w:color w:val="605E5C"/>
      <w:shd w:val="clear" w:color="auto" w:fill="E1DFDD"/>
    </w:rPr>
  </w:style>
  <w:style w:type="character" w:styleId="FollowedHyperlink">
    <w:name w:val="FollowedHyperlink"/>
    <w:basedOn w:val="DefaultParagraphFont"/>
    <w:uiPriority w:val="99"/>
    <w:semiHidden/>
    <w:unhideWhenUsed/>
    <w:rsid w:val="008B4D70"/>
    <w:rPr>
      <w:color w:val="954F72" w:themeColor="followedHyperlink"/>
      <w:u w:val="single"/>
    </w:rPr>
  </w:style>
  <w:style w:type="paragraph" w:styleId="BalloonText">
    <w:name w:val="Balloon Text"/>
    <w:basedOn w:val="Normal"/>
    <w:link w:val="BalloonTextChar"/>
    <w:uiPriority w:val="99"/>
    <w:semiHidden/>
    <w:unhideWhenUsed/>
    <w:rsid w:val="001558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80A"/>
    <w:rPr>
      <w:rFonts w:ascii="Segoe UI" w:hAnsi="Segoe UI" w:cs="Segoe UI"/>
      <w:sz w:val="18"/>
      <w:szCs w:val="18"/>
    </w:rPr>
  </w:style>
  <w:style w:type="paragraph" w:customStyle="1" w:styleId="Body">
    <w:name w:val="Body"/>
    <w:basedOn w:val="Normal"/>
    <w:uiPriority w:val="99"/>
    <w:qFormat/>
    <w:rsid w:val="00244E92"/>
    <w:pPr>
      <w:spacing w:after="220" w:line="240" w:lineRule="auto"/>
      <w:jc w:val="both"/>
    </w:pPr>
    <w:rPr>
      <w:rFonts w:ascii="Times New Roman" w:hAnsi="Times New Roman" w:cs="Times New Roman"/>
      <w:lang w:val="en-GB"/>
    </w:rPr>
  </w:style>
  <w:style w:type="character" w:customStyle="1" w:styleId="UnresolvedMention">
    <w:name w:val="Unresolved Mention"/>
    <w:basedOn w:val="DefaultParagraphFont"/>
    <w:uiPriority w:val="99"/>
    <w:semiHidden/>
    <w:unhideWhenUsed/>
    <w:rsid w:val="00281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43886">
      <w:bodyDiv w:val="1"/>
      <w:marLeft w:val="0"/>
      <w:marRight w:val="0"/>
      <w:marTop w:val="0"/>
      <w:marBottom w:val="0"/>
      <w:divBdr>
        <w:top w:val="none" w:sz="0" w:space="0" w:color="auto"/>
        <w:left w:val="none" w:sz="0" w:space="0" w:color="auto"/>
        <w:bottom w:val="none" w:sz="0" w:space="0" w:color="auto"/>
        <w:right w:val="none" w:sz="0" w:space="0" w:color="auto"/>
      </w:divBdr>
      <w:divsChild>
        <w:div w:id="1071581123">
          <w:marLeft w:val="1134"/>
          <w:marRight w:val="1134"/>
          <w:marTop w:val="1121"/>
          <w:marBottom w:val="1134"/>
          <w:divBdr>
            <w:top w:val="none" w:sz="0" w:space="0" w:color="auto"/>
            <w:left w:val="none" w:sz="0" w:space="0" w:color="auto"/>
            <w:bottom w:val="none" w:sz="0" w:space="0" w:color="auto"/>
            <w:right w:val="none" w:sz="0" w:space="0" w:color="auto"/>
          </w:divBdr>
        </w:div>
      </w:divsChild>
    </w:div>
    <w:div w:id="1295910024">
      <w:bodyDiv w:val="1"/>
      <w:marLeft w:val="0"/>
      <w:marRight w:val="0"/>
      <w:marTop w:val="0"/>
      <w:marBottom w:val="0"/>
      <w:divBdr>
        <w:top w:val="none" w:sz="0" w:space="0" w:color="auto"/>
        <w:left w:val="none" w:sz="0" w:space="0" w:color="auto"/>
        <w:bottom w:val="none" w:sz="0" w:space="0" w:color="auto"/>
        <w:right w:val="none" w:sz="0" w:space="0" w:color="auto"/>
      </w:divBdr>
    </w:div>
    <w:div w:id="1836412601">
      <w:bodyDiv w:val="1"/>
      <w:marLeft w:val="0"/>
      <w:marRight w:val="0"/>
      <w:marTop w:val="0"/>
      <w:marBottom w:val="0"/>
      <w:divBdr>
        <w:top w:val="none" w:sz="0" w:space="0" w:color="auto"/>
        <w:left w:val="none" w:sz="0" w:space="0" w:color="auto"/>
        <w:bottom w:val="none" w:sz="0" w:space="0" w:color="auto"/>
        <w:right w:val="none" w:sz="0" w:space="0" w:color="auto"/>
      </w:divBdr>
    </w:div>
    <w:div w:id="196676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rect.euronext.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data.fca.org.uk/"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ontia.fannin@permanenttsb.i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Nicola.OBrien@permanenttsb.i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ermanenttsbgroup.ie"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2022-05-24T18:51:27+00:00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3EE2A1BB-3907-45BF-9D8B-24EAB1F70C28}"/>
</file>

<file path=customXml/itemProps2.xml><?xml version="1.0" encoding="utf-8"?>
<ds:datastoreItem xmlns:ds="http://schemas.openxmlformats.org/officeDocument/2006/customXml" ds:itemID="{23857121-D0B4-438B-B57E-93D6B6874ACD}"/>
</file>

<file path=customXml/itemProps3.xml><?xml version="1.0" encoding="utf-8"?>
<ds:datastoreItem xmlns:ds="http://schemas.openxmlformats.org/officeDocument/2006/customXml" ds:itemID="{720F52C9-251D-48E4-9A06-F94ED7AF8C98}"/>
</file>

<file path=docProps/app.xml><?xml version="1.0" encoding="utf-8"?>
<Properties xmlns="http://schemas.openxmlformats.org/officeDocument/2006/extended-properties" xmlns:vt="http://schemas.openxmlformats.org/officeDocument/2006/docPropsVTypes">
  <Template>Normal</Template>
  <TotalTime>6</TotalTime>
  <Pages>2</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O'Sullivan</dc:creator>
  <cp:keywords/>
  <dc:description/>
  <cp:lastModifiedBy>Ryan, Conor</cp:lastModifiedBy>
  <cp:revision>3</cp:revision>
  <dcterms:created xsi:type="dcterms:W3CDTF">2022-05-20T09:58:00Z</dcterms:created>
  <dcterms:modified xsi:type="dcterms:W3CDTF">2022-05-23T15:17:00Z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DocRef">
    <vt:lpwstr>AC#42789026.1</vt:lpwstr>
  </property>
  <property fmtid="{D5CDD505-2E9C-101B-9397-08002B2CF9AE}" pid="3" name="ACDocType">
    <vt:lpwstr>DOCUMENT</vt:lpwstr>
  </property>
  <property fmtid="{D5CDD505-2E9C-101B-9397-08002B2CF9AE}" pid="4" name="ACMatter">
    <vt:lpwstr>PE118/017/</vt:lpwstr>
  </property>
  <property fmtid="{D5CDD505-2E9C-101B-9397-08002B2CF9AE}" pid="5" name="ContentTypeId">
    <vt:lpwstr>0x010100BE156B1CF39149A8843C57AB06C49AFE0011B886BEF4CCD94F85F46E94360FD412</vt:lpwstr>
  </property>
  <property fmtid="{D5CDD505-2E9C-101B-9397-08002B2CF9AE}" pid="6" name="IssuerName">
    <vt:lpwstr/>
  </property>
  <property fmtid="{D5CDD505-2E9C-101B-9397-08002B2CF9AE}" pid="7" name="MigrateFolderIssueDetected">
    <vt:bool>false</vt:bool>
  </property>
  <property fmtid="{D5CDD505-2E9C-101B-9397-08002B2CF9AE}" pid="8" name="Order">
    <vt:r8>181646400</vt:r8>
  </property>
  <property fmtid="{D5CDD505-2E9C-101B-9397-08002B2CF9AE}" pid="9" name="IssuerID">
    <vt:lpwstr/>
  </property>
  <property fmtid="{D5CDD505-2E9C-101B-9397-08002B2CF9AE}" pid="10" name="SendToWeb">
    <vt:bool>false</vt:bool>
  </property>
  <property fmtid="{D5CDD505-2E9C-101B-9397-08002B2CF9AE}" pid="11" name="JobContentType">
    <vt:lpwstr/>
  </property>
  <property fmtid="{D5CDD505-2E9C-101B-9397-08002B2CF9AE}" pid="12" name="Organisation">
    <vt:lpwstr/>
  </property>
  <property fmtid="{D5CDD505-2E9C-101B-9397-08002B2CF9AE}" pid="13" name="Contact">
    <vt:lpwstr/>
  </property>
  <property fmtid="{D5CDD505-2E9C-101B-9397-08002B2CF9AE}" pid="14" name="MigrateFolderIssueDetected0">
    <vt:bool>false</vt:bool>
  </property>
  <property fmtid="{D5CDD505-2E9C-101B-9397-08002B2CF9AE}" pid="15" name="JobType">
    <vt:lpwstr/>
  </property>
  <property fmtid="{D5CDD505-2E9C-101B-9397-08002B2CF9AE}" pid="16" name="MediaServiceImageTags">
    <vt:lpwstr/>
  </property>
</Properties>
</file>