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B9FF" w14:textId="00639A26" w:rsidR="0079204D" w:rsidRPr="00D76310" w:rsidRDefault="00747ED0" w:rsidP="0079204D">
      <w:pPr>
        <w:ind w:right="282"/>
        <w:jc w:val="both"/>
        <w:rPr>
          <w:b/>
        </w:rPr>
      </w:pPr>
      <w:r>
        <w:rPr>
          <w:b/>
        </w:rPr>
        <w:t>1</w:t>
      </w:r>
      <w:r w:rsidR="00BD3623">
        <w:rPr>
          <w:b/>
        </w:rPr>
        <w:t xml:space="preserve"> </w:t>
      </w:r>
      <w:r>
        <w:rPr>
          <w:b/>
        </w:rPr>
        <w:t>Aug</w:t>
      </w:r>
      <w:r w:rsidR="00BD3623">
        <w:rPr>
          <w:b/>
        </w:rPr>
        <w:t>ust</w:t>
      </w:r>
      <w:r w:rsidR="00707901">
        <w:rPr>
          <w:b/>
        </w:rPr>
        <w:t xml:space="preserve"> 2024</w:t>
      </w:r>
      <w:r w:rsidR="0079204D" w:rsidRPr="00D76310">
        <w:rPr>
          <w:b/>
        </w:rPr>
        <w:tab/>
      </w:r>
      <w:r w:rsidR="0079204D" w:rsidRPr="00D76310">
        <w:rPr>
          <w:b/>
        </w:rPr>
        <w:tab/>
      </w:r>
      <w:r w:rsidR="0079204D" w:rsidRPr="00D76310">
        <w:rPr>
          <w:b/>
        </w:rPr>
        <w:tab/>
        <w:t xml:space="preserve"> </w:t>
      </w:r>
      <w:r w:rsidR="0079204D" w:rsidRPr="00D76310">
        <w:rPr>
          <w:b/>
        </w:rPr>
        <w:tab/>
      </w:r>
      <w:r w:rsidR="0079204D" w:rsidRPr="00D76310">
        <w:rPr>
          <w:b/>
        </w:rPr>
        <w:tab/>
      </w:r>
      <w:r w:rsidR="0079204D" w:rsidRPr="00D76310">
        <w:rPr>
          <w:b/>
        </w:rPr>
        <w:tab/>
      </w:r>
      <w:r w:rsidR="0079204D" w:rsidRPr="00D76310">
        <w:rPr>
          <w:b/>
        </w:rPr>
        <w:tab/>
      </w:r>
    </w:p>
    <w:p w14:paraId="05666CF8" w14:textId="77777777" w:rsidR="0079204D" w:rsidRPr="00D76310" w:rsidRDefault="0079204D" w:rsidP="008F63F7">
      <w:pPr>
        <w:ind w:right="282"/>
        <w:rPr>
          <w:b/>
        </w:rPr>
      </w:pPr>
      <w:r w:rsidRPr="00D76310">
        <w:rPr>
          <w:b/>
        </w:rPr>
        <w:t>Permanent TSB</w:t>
      </w:r>
      <w:r w:rsidRPr="00EA3917">
        <w:rPr>
          <w:b/>
        </w:rPr>
        <w:t xml:space="preserve"> </w:t>
      </w:r>
      <w:r w:rsidRPr="00D76310">
        <w:rPr>
          <w:b/>
        </w:rPr>
        <w:t>Group Holdings plc (‘the Bank’)</w:t>
      </w:r>
    </w:p>
    <w:p w14:paraId="456F06FD" w14:textId="262EB93D" w:rsidR="0079204D" w:rsidRPr="00EA3917" w:rsidRDefault="00327CCE" w:rsidP="008F63F7">
      <w:pPr>
        <w:pBdr>
          <w:bottom w:val="single" w:sz="4" w:space="1" w:color="auto"/>
        </w:pBdr>
        <w:ind w:right="282"/>
        <w:rPr>
          <w:b/>
        </w:rPr>
      </w:pPr>
      <w:r w:rsidRPr="00D76310">
        <w:rPr>
          <w:b/>
        </w:rPr>
        <w:t>Interi</w:t>
      </w:r>
      <w:r w:rsidR="00EF434F" w:rsidRPr="00D76310">
        <w:rPr>
          <w:b/>
        </w:rPr>
        <w:t xml:space="preserve">m Management Statement – </w:t>
      </w:r>
      <w:r w:rsidR="00747ED0">
        <w:rPr>
          <w:b/>
        </w:rPr>
        <w:t>H</w:t>
      </w:r>
      <w:r w:rsidR="00707901">
        <w:rPr>
          <w:b/>
        </w:rPr>
        <w:t>1 2024</w:t>
      </w:r>
      <w:r w:rsidRPr="00D76310">
        <w:rPr>
          <w:b/>
        </w:rPr>
        <w:t xml:space="preserve"> Update</w:t>
      </w:r>
      <w:r>
        <w:rPr>
          <w:b/>
        </w:rPr>
        <w:t xml:space="preserve"> </w:t>
      </w:r>
    </w:p>
    <w:p w14:paraId="3A77372A" w14:textId="77777777" w:rsidR="00A739C8" w:rsidRDefault="00A739C8" w:rsidP="002558ED">
      <w:pPr>
        <w:autoSpaceDE w:val="0"/>
        <w:autoSpaceDN w:val="0"/>
        <w:spacing w:before="120" w:after="120"/>
        <w:jc w:val="both"/>
        <w:rPr>
          <w:b/>
          <w:bCs/>
          <w:i/>
          <w:iCs/>
          <w:sz w:val="21"/>
          <w:szCs w:val="21"/>
        </w:rPr>
      </w:pPr>
    </w:p>
    <w:p w14:paraId="6673CA8D" w14:textId="4F3A410F" w:rsidR="00F13FDD" w:rsidRDefault="00F13FDD" w:rsidP="00B637CB">
      <w:pPr>
        <w:spacing w:after="120"/>
        <w:ind w:right="284"/>
        <w:jc w:val="both"/>
        <w:rPr>
          <w:rFonts w:cstheme="minorHAnsi"/>
          <w:b/>
        </w:rPr>
      </w:pPr>
      <w:r w:rsidRPr="00B637CB">
        <w:rPr>
          <w:rFonts w:cstheme="minorHAnsi"/>
          <w:b/>
        </w:rPr>
        <w:t xml:space="preserve">Comment by Eamonn Crowley, Chief Executive: </w:t>
      </w:r>
    </w:p>
    <w:p w14:paraId="0FCBFCB8" w14:textId="78DB11CB" w:rsidR="00851D18" w:rsidRDefault="00851D18" w:rsidP="00851D18">
      <w:pPr>
        <w:spacing w:before="120" w:after="120"/>
        <w:ind w:right="284"/>
        <w:jc w:val="both"/>
        <w:rPr>
          <w:rFonts w:cstheme="minorHAnsi"/>
          <w:i/>
          <w:iCs/>
          <w:sz w:val="21"/>
          <w:szCs w:val="21"/>
        </w:rPr>
      </w:pPr>
      <w:r>
        <w:rPr>
          <w:rFonts w:cstheme="minorHAnsi"/>
          <w:i/>
          <w:iCs/>
          <w:sz w:val="21"/>
          <w:szCs w:val="21"/>
        </w:rPr>
        <w:t>“</w:t>
      </w:r>
      <w:r w:rsidRPr="00563D5D">
        <w:rPr>
          <w:rFonts w:cstheme="minorHAnsi"/>
          <w:i/>
          <w:iCs/>
          <w:sz w:val="21"/>
          <w:szCs w:val="21"/>
        </w:rPr>
        <w:t xml:space="preserve">We have </w:t>
      </w:r>
      <w:r>
        <w:rPr>
          <w:rFonts w:cstheme="minorHAnsi"/>
          <w:i/>
          <w:iCs/>
          <w:sz w:val="21"/>
          <w:szCs w:val="21"/>
        </w:rPr>
        <w:t xml:space="preserve">delivered a strong performance in the first half of 2024 as we </w:t>
      </w:r>
      <w:r w:rsidRPr="00563D5D">
        <w:rPr>
          <w:rFonts w:cstheme="minorHAnsi"/>
          <w:i/>
          <w:iCs/>
          <w:sz w:val="21"/>
          <w:szCs w:val="21"/>
        </w:rPr>
        <w:t>continu</w:t>
      </w:r>
      <w:r>
        <w:rPr>
          <w:rFonts w:cstheme="minorHAnsi"/>
          <w:i/>
          <w:iCs/>
          <w:sz w:val="21"/>
          <w:szCs w:val="21"/>
        </w:rPr>
        <w:t>e</w:t>
      </w:r>
      <w:r w:rsidRPr="00563D5D">
        <w:rPr>
          <w:rFonts w:cstheme="minorHAnsi"/>
          <w:i/>
          <w:iCs/>
          <w:sz w:val="21"/>
          <w:szCs w:val="21"/>
        </w:rPr>
        <w:t xml:space="preserve"> </w:t>
      </w:r>
      <w:r>
        <w:rPr>
          <w:rFonts w:cstheme="minorHAnsi"/>
          <w:i/>
          <w:iCs/>
          <w:sz w:val="21"/>
          <w:szCs w:val="21"/>
        </w:rPr>
        <w:t xml:space="preserve">to further </w:t>
      </w:r>
      <w:r w:rsidRPr="00563D5D">
        <w:rPr>
          <w:rFonts w:cstheme="minorHAnsi"/>
          <w:i/>
          <w:iCs/>
          <w:sz w:val="21"/>
          <w:szCs w:val="21"/>
        </w:rPr>
        <w:t>grow and diversify our business</w:t>
      </w:r>
      <w:r>
        <w:rPr>
          <w:rFonts w:cstheme="minorHAnsi"/>
          <w:i/>
          <w:iCs/>
          <w:sz w:val="21"/>
          <w:szCs w:val="21"/>
        </w:rPr>
        <w:t xml:space="preserve">. </w:t>
      </w:r>
    </w:p>
    <w:p w14:paraId="5D127F78" w14:textId="6ADE884D" w:rsidR="00584673" w:rsidRDefault="00584673" w:rsidP="00584673">
      <w:pPr>
        <w:spacing w:before="120" w:after="120"/>
        <w:ind w:right="284"/>
        <w:jc w:val="both"/>
        <w:rPr>
          <w:rFonts w:cstheme="minorHAnsi"/>
          <w:i/>
          <w:iCs/>
          <w:sz w:val="21"/>
          <w:szCs w:val="21"/>
        </w:rPr>
      </w:pPr>
      <w:r>
        <w:rPr>
          <w:rFonts w:cstheme="minorHAnsi"/>
          <w:i/>
          <w:iCs/>
          <w:sz w:val="21"/>
          <w:szCs w:val="21"/>
        </w:rPr>
        <w:t xml:space="preserve">We are </w:t>
      </w:r>
      <w:r w:rsidRPr="00213190">
        <w:rPr>
          <w:rFonts w:cstheme="minorHAnsi"/>
          <w:i/>
          <w:iCs/>
          <w:sz w:val="21"/>
          <w:szCs w:val="21"/>
        </w:rPr>
        <w:t xml:space="preserve">offering customers much-needed choice </w:t>
      </w:r>
      <w:r>
        <w:rPr>
          <w:rFonts w:cstheme="minorHAnsi"/>
          <w:i/>
          <w:iCs/>
          <w:sz w:val="21"/>
          <w:szCs w:val="21"/>
        </w:rPr>
        <w:t>with</w:t>
      </w:r>
      <w:r w:rsidRPr="00213190">
        <w:rPr>
          <w:rFonts w:cstheme="minorHAnsi"/>
          <w:i/>
          <w:iCs/>
          <w:sz w:val="21"/>
          <w:szCs w:val="21"/>
        </w:rPr>
        <w:t xml:space="preserve"> our</w:t>
      </w:r>
      <w:r>
        <w:rPr>
          <w:rFonts w:cstheme="minorHAnsi"/>
          <w:i/>
          <w:iCs/>
          <w:sz w:val="21"/>
          <w:szCs w:val="21"/>
        </w:rPr>
        <w:t xml:space="preserve"> market-leading six-month and one-year fixed term deposit rates which have supported a €1 billion increase in deposits since </w:t>
      </w:r>
      <w:r w:rsidR="006C6806">
        <w:rPr>
          <w:rFonts w:cstheme="minorHAnsi"/>
          <w:i/>
          <w:iCs/>
          <w:sz w:val="21"/>
          <w:szCs w:val="21"/>
        </w:rPr>
        <w:t xml:space="preserve">this time </w:t>
      </w:r>
      <w:r>
        <w:rPr>
          <w:rFonts w:cstheme="minorHAnsi"/>
          <w:i/>
          <w:iCs/>
          <w:sz w:val="21"/>
          <w:szCs w:val="21"/>
        </w:rPr>
        <w:t xml:space="preserve">last year. Our </w:t>
      </w:r>
      <w:r w:rsidR="006C6806">
        <w:rPr>
          <w:rFonts w:cstheme="minorHAnsi"/>
          <w:i/>
          <w:iCs/>
          <w:sz w:val="21"/>
          <w:szCs w:val="21"/>
        </w:rPr>
        <w:t>B</w:t>
      </w:r>
      <w:r>
        <w:rPr>
          <w:rFonts w:cstheme="minorHAnsi"/>
          <w:i/>
          <w:iCs/>
          <w:sz w:val="21"/>
          <w:szCs w:val="21"/>
        </w:rPr>
        <w:t xml:space="preserve">usiness Banking presence is growing with new lending tripling in the past twelve months. </w:t>
      </w:r>
    </w:p>
    <w:p w14:paraId="771FBECA" w14:textId="6C1786BC" w:rsidR="00851D18" w:rsidRDefault="00851D18" w:rsidP="00851D18">
      <w:pPr>
        <w:spacing w:before="120" w:after="120"/>
        <w:ind w:right="284"/>
        <w:jc w:val="both"/>
        <w:rPr>
          <w:rFonts w:cstheme="minorHAnsi"/>
          <w:i/>
          <w:iCs/>
          <w:sz w:val="21"/>
          <w:szCs w:val="21"/>
        </w:rPr>
      </w:pPr>
      <w:r>
        <w:rPr>
          <w:rFonts w:cstheme="minorHAnsi"/>
          <w:i/>
          <w:iCs/>
          <w:sz w:val="21"/>
          <w:szCs w:val="21"/>
        </w:rPr>
        <w:t xml:space="preserve">We are focused on ensuring </w:t>
      </w:r>
      <w:r w:rsidRPr="006A012A">
        <w:rPr>
          <w:rFonts w:cstheme="minorHAnsi"/>
          <w:i/>
          <w:iCs/>
          <w:sz w:val="21"/>
          <w:szCs w:val="21"/>
        </w:rPr>
        <w:t>that we remain a strong and resilient competitor in the Irish retail banking market</w:t>
      </w:r>
      <w:r>
        <w:rPr>
          <w:rFonts w:cstheme="minorHAnsi"/>
          <w:i/>
          <w:iCs/>
          <w:sz w:val="21"/>
          <w:szCs w:val="21"/>
        </w:rPr>
        <w:t xml:space="preserve"> and as a result of our recent non-performing loan sale, </w:t>
      </w:r>
      <w:r w:rsidRPr="006A012A">
        <w:rPr>
          <w:rFonts w:cstheme="minorHAnsi"/>
          <w:i/>
          <w:iCs/>
          <w:sz w:val="21"/>
          <w:szCs w:val="21"/>
        </w:rPr>
        <w:t>we will be able to free up capital that will be used to support up to €2</w:t>
      </w:r>
      <w:r w:rsidR="006C6806">
        <w:rPr>
          <w:rFonts w:cstheme="minorHAnsi"/>
          <w:i/>
          <w:iCs/>
          <w:sz w:val="21"/>
          <w:szCs w:val="21"/>
        </w:rPr>
        <w:t xml:space="preserve"> </w:t>
      </w:r>
      <w:r w:rsidRPr="006A012A">
        <w:rPr>
          <w:rFonts w:cstheme="minorHAnsi"/>
          <w:i/>
          <w:iCs/>
          <w:sz w:val="21"/>
          <w:szCs w:val="21"/>
        </w:rPr>
        <w:t>b</w:t>
      </w:r>
      <w:r w:rsidR="006C6806">
        <w:rPr>
          <w:rFonts w:cstheme="minorHAnsi"/>
          <w:i/>
          <w:iCs/>
          <w:sz w:val="21"/>
          <w:szCs w:val="21"/>
        </w:rPr>
        <w:t>illio</w:t>
      </w:r>
      <w:r w:rsidRPr="006A012A">
        <w:rPr>
          <w:rFonts w:cstheme="minorHAnsi"/>
          <w:i/>
          <w:iCs/>
          <w:sz w:val="21"/>
          <w:szCs w:val="21"/>
        </w:rPr>
        <w:t>n of lending into the Irish economy.</w:t>
      </w:r>
      <w:r>
        <w:rPr>
          <w:rFonts w:cstheme="minorHAnsi"/>
          <w:i/>
          <w:iCs/>
          <w:sz w:val="21"/>
          <w:szCs w:val="21"/>
        </w:rPr>
        <w:t xml:space="preserve"> Despite a reduced switcher market, we are seeing positive trends in our mortgage market share in Q2, with </w:t>
      </w:r>
      <w:r w:rsidR="0057697C">
        <w:rPr>
          <w:rFonts w:cstheme="minorHAnsi"/>
          <w:i/>
          <w:iCs/>
          <w:sz w:val="21"/>
          <w:szCs w:val="21"/>
        </w:rPr>
        <w:t>recent</w:t>
      </w:r>
      <w:r>
        <w:rPr>
          <w:rFonts w:cstheme="minorHAnsi"/>
          <w:i/>
          <w:iCs/>
          <w:sz w:val="21"/>
          <w:szCs w:val="21"/>
        </w:rPr>
        <w:t xml:space="preserve"> mortgage rate reductions driving a strong pipeline for the remainder of the year.</w:t>
      </w:r>
    </w:p>
    <w:p w14:paraId="7817FA77" w14:textId="5D98CAB0" w:rsidR="00584673" w:rsidRDefault="00584673" w:rsidP="00584673">
      <w:pPr>
        <w:spacing w:before="120" w:after="120"/>
        <w:ind w:right="284"/>
        <w:jc w:val="both"/>
        <w:rPr>
          <w:rFonts w:cstheme="minorHAnsi"/>
          <w:i/>
          <w:iCs/>
          <w:sz w:val="21"/>
          <w:szCs w:val="21"/>
        </w:rPr>
      </w:pPr>
      <w:r>
        <w:rPr>
          <w:rFonts w:cstheme="minorHAnsi"/>
          <w:i/>
          <w:iCs/>
          <w:sz w:val="21"/>
          <w:szCs w:val="21"/>
        </w:rPr>
        <w:t>Our title sponsorship of Team Ireland for both the Olympic and Paralympic Games taking place in Paris</w:t>
      </w:r>
      <w:r w:rsidR="006C6806">
        <w:rPr>
          <w:rFonts w:cstheme="minorHAnsi"/>
          <w:i/>
          <w:iCs/>
          <w:sz w:val="21"/>
          <w:szCs w:val="21"/>
        </w:rPr>
        <w:t>,</w:t>
      </w:r>
      <w:r>
        <w:rPr>
          <w:rFonts w:cstheme="minorHAnsi"/>
          <w:i/>
          <w:iCs/>
          <w:sz w:val="21"/>
          <w:szCs w:val="21"/>
        </w:rPr>
        <w:t xml:space="preserve"> has given us a unique platform to demonstrate our commitment to communities across the country and show our support for the role they play in supporting our incredible Olympic and Paralympic athletes – we wish our inspiring sporting heroes every success for the Games.</w:t>
      </w:r>
    </w:p>
    <w:p w14:paraId="7F88DC55" w14:textId="50885F75" w:rsidR="00851D18" w:rsidRPr="006C6913" w:rsidRDefault="00851D18" w:rsidP="006C6913">
      <w:pPr>
        <w:spacing w:after="120"/>
        <w:ind w:right="284"/>
        <w:jc w:val="both"/>
        <w:rPr>
          <w:rFonts w:cstheme="minorHAnsi"/>
          <w:b/>
        </w:rPr>
      </w:pPr>
      <w:r>
        <w:rPr>
          <w:rFonts w:cstheme="minorHAnsi"/>
          <w:i/>
          <w:iCs/>
          <w:sz w:val="21"/>
          <w:szCs w:val="21"/>
        </w:rPr>
        <w:t>We</w:t>
      </w:r>
      <w:r w:rsidRPr="00540C2F">
        <w:rPr>
          <w:rFonts w:cstheme="minorHAnsi"/>
          <w:i/>
          <w:iCs/>
          <w:sz w:val="21"/>
          <w:szCs w:val="21"/>
        </w:rPr>
        <w:t xml:space="preserve"> remain confident that the acquisitions and investments we have made, and continue to make, are putting us in a strong position to continue to further grow and diversify our business and deliver sustainable returns for our shareholders over time.</w:t>
      </w:r>
      <w:r>
        <w:rPr>
          <w:rFonts w:cstheme="minorHAnsi"/>
          <w:i/>
          <w:iCs/>
          <w:sz w:val="21"/>
          <w:szCs w:val="21"/>
        </w:rPr>
        <w:t>”</w:t>
      </w:r>
    </w:p>
    <w:p w14:paraId="3592AD66" w14:textId="77777777" w:rsidR="006C6913" w:rsidRDefault="006C6913" w:rsidP="003B79B4">
      <w:pPr>
        <w:spacing w:before="240" w:after="120"/>
        <w:ind w:right="284"/>
        <w:jc w:val="both"/>
        <w:rPr>
          <w:rFonts w:cstheme="minorHAnsi"/>
          <w:b/>
          <w:sz w:val="21"/>
          <w:szCs w:val="21"/>
        </w:rPr>
      </w:pPr>
    </w:p>
    <w:p w14:paraId="52B574C5" w14:textId="1CBA63C8" w:rsidR="0079204D" w:rsidRPr="004223DE" w:rsidRDefault="0079204D" w:rsidP="003B79B4">
      <w:pPr>
        <w:spacing w:before="240" w:after="120"/>
        <w:ind w:right="284"/>
        <w:jc w:val="both"/>
        <w:rPr>
          <w:rFonts w:cstheme="minorHAnsi"/>
          <w:b/>
          <w:sz w:val="21"/>
          <w:szCs w:val="21"/>
        </w:rPr>
      </w:pPr>
      <w:r w:rsidRPr="004223DE">
        <w:rPr>
          <w:rFonts w:cstheme="minorHAnsi"/>
          <w:b/>
          <w:sz w:val="21"/>
          <w:szCs w:val="21"/>
        </w:rPr>
        <w:t xml:space="preserve">Key </w:t>
      </w:r>
      <w:r w:rsidR="004B4FFF" w:rsidRPr="004223DE">
        <w:rPr>
          <w:rFonts w:cstheme="minorHAnsi"/>
          <w:b/>
          <w:sz w:val="21"/>
          <w:szCs w:val="21"/>
        </w:rPr>
        <w:t>Financial Figures</w:t>
      </w:r>
      <w:r w:rsidRPr="004223DE">
        <w:rPr>
          <w:rFonts w:cstheme="minorHAnsi"/>
          <w:b/>
          <w:sz w:val="21"/>
          <w:szCs w:val="21"/>
        </w:rPr>
        <w:t>:</w:t>
      </w:r>
    </w:p>
    <w:p w14:paraId="46473515" w14:textId="761FF073" w:rsidR="00F835A0" w:rsidRDefault="00F835A0" w:rsidP="003B79B4">
      <w:pPr>
        <w:pStyle w:val="ListParagraph"/>
        <w:numPr>
          <w:ilvl w:val="0"/>
          <w:numId w:val="20"/>
        </w:numPr>
        <w:spacing w:before="120" w:after="120"/>
        <w:ind w:right="284"/>
        <w:jc w:val="both"/>
        <w:rPr>
          <w:rFonts w:cstheme="minorHAnsi"/>
          <w:sz w:val="21"/>
          <w:szCs w:val="21"/>
        </w:rPr>
      </w:pPr>
      <w:r w:rsidRPr="004223DE">
        <w:rPr>
          <w:rFonts w:cstheme="minorHAnsi"/>
          <w:sz w:val="21"/>
          <w:szCs w:val="21"/>
        </w:rPr>
        <w:t xml:space="preserve">Profit </w:t>
      </w:r>
      <w:r w:rsidR="006C6806">
        <w:rPr>
          <w:rFonts w:cstheme="minorHAnsi"/>
          <w:sz w:val="21"/>
          <w:szCs w:val="21"/>
        </w:rPr>
        <w:t>b</w:t>
      </w:r>
      <w:r w:rsidRPr="004223DE">
        <w:rPr>
          <w:rFonts w:cstheme="minorHAnsi"/>
          <w:sz w:val="21"/>
          <w:szCs w:val="21"/>
        </w:rPr>
        <w:t>efore Tax €75</w:t>
      </w:r>
      <w:r w:rsidR="006C6806">
        <w:rPr>
          <w:rFonts w:cstheme="minorHAnsi"/>
          <w:sz w:val="21"/>
          <w:szCs w:val="21"/>
        </w:rPr>
        <w:t xml:space="preserve"> </w:t>
      </w:r>
      <w:r w:rsidRPr="004223DE">
        <w:rPr>
          <w:rFonts w:cstheme="minorHAnsi"/>
          <w:sz w:val="21"/>
          <w:szCs w:val="21"/>
        </w:rPr>
        <w:t>m</w:t>
      </w:r>
      <w:r w:rsidR="006C6806">
        <w:rPr>
          <w:rFonts w:cstheme="minorHAnsi"/>
          <w:sz w:val="21"/>
          <w:szCs w:val="21"/>
        </w:rPr>
        <w:t>illion</w:t>
      </w:r>
      <w:r w:rsidRPr="004223DE">
        <w:rPr>
          <w:rFonts w:cstheme="minorHAnsi"/>
          <w:sz w:val="21"/>
          <w:szCs w:val="21"/>
        </w:rPr>
        <w:t xml:space="preserve">, </w:t>
      </w:r>
      <w:r w:rsidR="00851D18">
        <w:rPr>
          <w:rFonts w:cstheme="minorHAnsi"/>
          <w:sz w:val="21"/>
          <w:szCs w:val="21"/>
        </w:rPr>
        <w:t>€49</w:t>
      </w:r>
      <w:r w:rsidR="006C6806">
        <w:rPr>
          <w:rFonts w:cstheme="minorHAnsi"/>
          <w:sz w:val="21"/>
          <w:szCs w:val="21"/>
        </w:rPr>
        <w:t xml:space="preserve"> </w:t>
      </w:r>
      <w:r w:rsidR="00851D18">
        <w:rPr>
          <w:rFonts w:cstheme="minorHAnsi"/>
          <w:sz w:val="21"/>
          <w:szCs w:val="21"/>
        </w:rPr>
        <w:t>m</w:t>
      </w:r>
      <w:r w:rsidR="006C6806">
        <w:rPr>
          <w:rFonts w:cstheme="minorHAnsi"/>
          <w:sz w:val="21"/>
          <w:szCs w:val="21"/>
        </w:rPr>
        <w:t>illion</w:t>
      </w:r>
      <w:r w:rsidR="00851D18">
        <w:rPr>
          <w:rFonts w:cstheme="minorHAnsi"/>
          <w:sz w:val="21"/>
          <w:szCs w:val="21"/>
        </w:rPr>
        <w:t xml:space="preserve"> higher </w:t>
      </w:r>
      <w:r w:rsidR="006C6806">
        <w:rPr>
          <w:rFonts w:cstheme="minorHAnsi"/>
          <w:sz w:val="21"/>
          <w:szCs w:val="21"/>
        </w:rPr>
        <w:t>year-on-year (‘</w:t>
      </w:r>
      <w:r w:rsidR="00851D18">
        <w:rPr>
          <w:rFonts w:cstheme="minorHAnsi"/>
          <w:sz w:val="21"/>
          <w:szCs w:val="21"/>
        </w:rPr>
        <w:t>YoY</w:t>
      </w:r>
      <w:r w:rsidR="006C6806">
        <w:rPr>
          <w:rFonts w:cstheme="minorHAnsi"/>
          <w:sz w:val="21"/>
          <w:szCs w:val="21"/>
        </w:rPr>
        <w:t>’)</w:t>
      </w:r>
      <w:r w:rsidR="00851D18">
        <w:rPr>
          <w:rFonts w:cstheme="minorHAnsi"/>
          <w:sz w:val="21"/>
          <w:szCs w:val="21"/>
        </w:rPr>
        <w:t>.</w:t>
      </w:r>
    </w:p>
    <w:p w14:paraId="799C5B81" w14:textId="42585CFF" w:rsidR="00584673" w:rsidRDefault="00584673" w:rsidP="00584673">
      <w:pPr>
        <w:pStyle w:val="ListParagraph"/>
        <w:numPr>
          <w:ilvl w:val="0"/>
          <w:numId w:val="20"/>
        </w:numPr>
        <w:spacing w:before="120" w:after="120"/>
        <w:ind w:right="284"/>
        <w:jc w:val="both"/>
        <w:rPr>
          <w:rFonts w:cstheme="minorHAnsi"/>
          <w:sz w:val="21"/>
          <w:szCs w:val="21"/>
        </w:rPr>
      </w:pPr>
      <w:r w:rsidRPr="004223DE">
        <w:rPr>
          <w:rFonts w:cstheme="minorHAnsi"/>
          <w:sz w:val="21"/>
          <w:szCs w:val="21"/>
        </w:rPr>
        <w:t xml:space="preserve">Net Interest Income increased by </w:t>
      </w:r>
      <w:r>
        <w:rPr>
          <w:rFonts w:cstheme="minorHAnsi"/>
          <w:sz w:val="21"/>
          <w:szCs w:val="21"/>
        </w:rPr>
        <w:t>4</w:t>
      </w:r>
      <w:r w:rsidRPr="004223DE">
        <w:rPr>
          <w:rFonts w:cstheme="minorHAnsi"/>
          <w:sz w:val="21"/>
          <w:szCs w:val="21"/>
        </w:rPr>
        <w:t xml:space="preserve">% </w:t>
      </w:r>
      <w:r w:rsidR="006C6806">
        <w:rPr>
          <w:rFonts w:cstheme="minorHAnsi"/>
          <w:sz w:val="21"/>
          <w:szCs w:val="21"/>
        </w:rPr>
        <w:t>YoY</w:t>
      </w:r>
      <w:r w:rsidRPr="004223DE">
        <w:rPr>
          <w:rFonts w:cstheme="minorHAnsi"/>
          <w:sz w:val="21"/>
          <w:szCs w:val="21"/>
        </w:rPr>
        <w:t>; Net Interest Margin (NIM) of 2.2</w:t>
      </w:r>
      <w:r>
        <w:rPr>
          <w:rFonts w:cstheme="minorHAnsi"/>
          <w:sz w:val="21"/>
          <w:szCs w:val="21"/>
        </w:rPr>
        <w:t>7</w:t>
      </w:r>
      <w:r w:rsidRPr="004223DE">
        <w:rPr>
          <w:rFonts w:cstheme="minorHAnsi"/>
          <w:sz w:val="21"/>
          <w:szCs w:val="21"/>
        </w:rPr>
        <w:t xml:space="preserve">%, </w:t>
      </w:r>
      <w:r>
        <w:rPr>
          <w:rFonts w:cstheme="minorHAnsi"/>
          <w:sz w:val="21"/>
          <w:szCs w:val="21"/>
        </w:rPr>
        <w:t>2</w:t>
      </w:r>
      <w:r w:rsidRPr="004223DE">
        <w:rPr>
          <w:rFonts w:cstheme="minorHAnsi"/>
          <w:sz w:val="21"/>
          <w:szCs w:val="21"/>
        </w:rPr>
        <w:t xml:space="preserve">bps </w:t>
      </w:r>
      <w:r>
        <w:rPr>
          <w:rFonts w:cstheme="minorHAnsi"/>
          <w:sz w:val="21"/>
          <w:szCs w:val="21"/>
        </w:rPr>
        <w:t xml:space="preserve">lower </w:t>
      </w:r>
      <w:r w:rsidRPr="004223DE">
        <w:rPr>
          <w:rFonts w:cstheme="minorHAnsi"/>
          <w:sz w:val="21"/>
          <w:szCs w:val="21"/>
        </w:rPr>
        <w:t>YoY.</w:t>
      </w:r>
    </w:p>
    <w:p w14:paraId="1D9B287C" w14:textId="7ED97690" w:rsidR="00851D18" w:rsidRDefault="00851D18" w:rsidP="00851D18">
      <w:pPr>
        <w:pStyle w:val="ListParagraph"/>
        <w:numPr>
          <w:ilvl w:val="0"/>
          <w:numId w:val="20"/>
        </w:numPr>
        <w:spacing w:before="120" w:after="120"/>
        <w:ind w:right="284"/>
        <w:jc w:val="both"/>
        <w:rPr>
          <w:rFonts w:cstheme="minorHAnsi"/>
          <w:sz w:val="21"/>
          <w:szCs w:val="21"/>
        </w:rPr>
      </w:pPr>
      <w:r w:rsidRPr="004223DE">
        <w:rPr>
          <w:rFonts w:cstheme="minorHAnsi"/>
          <w:sz w:val="21"/>
          <w:szCs w:val="21"/>
        </w:rPr>
        <w:t xml:space="preserve">Total Operating Income has increased by 4% </w:t>
      </w:r>
      <w:r>
        <w:rPr>
          <w:rFonts w:cstheme="minorHAnsi"/>
          <w:sz w:val="21"/>
          <w:szCs w:val="21"/>
        </w:rPr>
        <w:t>YoY</w:t>
      </w:r>
      <w:r w:rsidRPr="004223DE">
        <w:rPr>
          <w:rFonts w:cstheme="minorHAnsi"/>
          <w:sz w:val="21"/>
          <w:szCs w:val="21"/>
        </w:rPr>
        <w:t xml:space="preserve"> to €336 million.</w:t>
      </w:r>
    </w:p>
    <w:p w14:paraId="4423CA0B" w14:textId="24AD9A31" w:rsidR="00584673" w:rsidRDefault="00584673" w:rsidP="00851D18">
      <w:pPr>
        <w:pStyle w:val="ListParagraph"/>
        <w:numPr>
          <w:ilvl w:val="0"/>
          <w:numId w:val="20"/>
        </w:numPr>
        <w:spacing w:before="120" w:after="120"/>
        <w:ind w:right="284"/>
        <w:jc w:val="both"/>
        <w:rPr>
          <w:rFonts w:cstheme="minorHAnsi"/>
          <w:sz w:val="21"/>
          <w:szCs w:val="21"/>
        </w:rPr>
      </w:pPr>
      <w:r w:rsidRPr="00E41EB5">
        <w:rPr>
          <w:rFonts w:cstheme="minorHAnsi"/>
          <w:sz w:val="21"/>
          <w:szCs w:val="21"/>
        </w:rPr>
        <w:t>Operating expenses</w:t>
      </w:r>
      <w:r w:rsidR="00F53480" w:rsidRPr="008B53F0">
        <w:rPr>
          <w:rFonts w:cstheme="minorHAnsi"/>
          <w:sz w:val="21"/>
          <w:szCs w:val="21"/>
        </w:rPr>
        <w:t xml:space="preserve"> </w:t>
      </w:r>
      <w:r w:rsidR="00842D2F" w:rsidRPr="008B53F0">
        <w:rPr>
          <w:rFonts w:cstheme="minorHAnsi"/>
          <w:sz w:val="21"/>
          <w:szCs w:val="21"/>
        </w:rPr>
        <w:t xml:space="preserve">are </w:t>
      </w:r>
      <w:r w:rsidRPr="008B53F0">
        <w:rPr>
          <w:rFonts w:cstheme="minorHAnsi"/>
          <w:sz w:val="21"/>
          <w:szCs w:val="21"/>
        </w:rPr>
        <w:t>20%</w:t>
      </w:r>
      <w:r w:rsidR="00F53480" w:rsidRPr="008B53F0">
        <w:rPr>
          <w:rFonts w:cstheme="minorHAnsi"/>
          <w:sz w:val="21"/>
          <w:szCs w:val="21"/>
        </w:rPr>
        <w:t xml:space="preserve"> higher YoY</w:t>
      </w:r>
      <w:r w:rsidRPr="008B53F0">
        <w:rPr>
          <w:rFonts w:cstheme="minorHAnsi"/>
          <w:sz w:val="21"/>
          <w:szCs w:val="21"/>
        </w:rPr>
        <w:t xml:space="preserve">, in-line with guidance and </w:t>
      </w:r>
      <w:r w:rsidRPr="00E41EB5">
        <w:rPr>
          <w:rFonts w:cstheme="minorHAnsi"/>
          <w:sz w:val="21"/>
          <w:szCs w:val="21"/>
        </w:rPr>
        <w:t>management expectations</w:t>
      </w:r>
      <w:r w:rsidRPr="004F3C3E">
        <w:rPr>
          <w:rFonts w:cstheme="minorHAnsi"/>
          <w:sz w:val="21"/>
          <w:szCs w:val="21"/>
        </w:rPr>
        <w:t xml:space="preserve">; </w:t>
      </w:r>
      <w:r w:rsidR="006C6806">
        <w:rPr>
          <w:rFonts w:cstheme="minorHAnsi"/>
          <w:sz w:val="21"/>
          <w:szCs w:val="21"/>
        </w:rPr>
        <w:t>C</w:t>
      </w:r>
      <w:r w:rsidRPr="004F3C3E">
        <w:rPr>
          <w:rFonts w:cstheme="minorHAnsi"/>
          <w:sz w:val="21"/>
          <w:szCs w:val="21"/>
        </w:rPr>
        <w:t xml:space="preserve">ost </w:t>
      </w:r>
      <w:r w:rsidR="006C6806">
        <w:rPr>
          <w:rFonts w:cstheme="minorHAnsi"/>
          <w:sz w:val="21"/>
          <w:szCs w:val="21"/>
        </w:rPr>
        <w:t>I</w:t>
      </w:r>
      <w:r w:rsidRPr="004F3C3E">
        <w:rPr>
          <w:rFonts w:cstheme="minorHAnsi"/>
          <w:sz w:val="21"/>
          <w:szCs w:val="21"/>
        </w:rPr>
        <w:t xml:space="preserve">ncome </w:t>
      </w:r>
      <w:r w:rsidR="006C6806">
        <w:rPr>
          <w:rFonts w:cstheme="minorHAnsi"/>
          <w:sz w:val="21"/>
          <w:szCs w:val="21"/>
        </w:rPr>
        <w:t>R</w:t>
      </w:r>
      <w:r w:rsidRPr="004F3C3E">
        <w:rPr>
          <w:rFonts w:cstheme="minorHAnsi"/>
          <w:sz w:val="21"/>
          <w:szCs w:val="21"/>
        </w:rPr>
        <w:t>atio</w:t>
      </w:r>
      <w:r w:rsidRPr="00F96A98">
        <w:rPr>
          <w:rFonts w:cstheme="minorHAnsi"/>
          <w:sz w:val="21"/>
          <w:szCs w:val="21"/>
          <w:vertAlign w:val="superscript"/>
        </w:rPr>
        <w:footnoteReference w:id="1"/>
      </w:r>
      <w:r w:rsidRPr="004F3C3E">
        <w:rPr>
          <w:rFonts w:cstheme="minorHAnsi"/>
          <w:sz w:val="21"/>
          <w:szCs w:val="21"/>
        </w:rPr>
        <w:t xml:space="preserve"> of 73%</w:t>
      </w:r>
      <w:r w:rsidR="00842D2F">
        <w:rPr>
          <w:rFonts w:cstheme="minorHAnsi"/>
          <w:sz w:val="21"/>
          <w:szCs w:val="21"/>
        </w:rPr>
        <w:t xml:space="preserve">. </w:t>
      </w:r>
      <w:r w:rsidR="00842D2F" w:rsidRPr="004F3C3E">
        <w:rPr>
          <w:rFonts w:cstheme="minorHAnsi"/>
          <w:sz w:val="21"/>
          <w:szCs w:val="21"/>
        </w:rPr>
        <w:t xml:space="preserve">2024 </w:t>
      </w:r>
      <w:r w:rsidR="00842D2F" w:rsidRPr="00E41EB5">
        <w:rPr>
          <w:rFonts w:cstheme="minorHAnsi"/>
          <w:sz w:val="21"/>
          <w:szCs w:val="21"/>
        </w:rPr>
        <w:t xml:space="preserve">guidance </w:t>
      </w:r>
      <w:r w:rsidR="00842D2F">
        <w:rPr>
          <w:rFonts w:cstheme="minorHAnsi"/>
          <w:sz w:val="21"/>
          <w:szCs w:val="21"/>
        </w:rPr>
        <w:t xml:space="preserve">remains </w:t>
      </w:r>
      <w:r w:rsidR="00842D2F" w:rsidRPr="00E41EB5">
        <w:rPr>
          <w:rFonts w:cstheme="minorHAnsi"/>
          <w:sz w:val="21"/>
          <w:szCs w:val="21"/>
        </w:rPr>
        <w:t xml:space="preserve">for a mid-single digit </w:t>
      </w:r>
      <w:r w:rsidR="006C6806">
        <w:rPr>
          <w:rFonts w:cstheme="minorHAnsi"/>
          <w:sz w:val="21"/>
          <w:szCs w:val="21"/>
        </w:rPr>
        <w:t>percentage</w:t>
      </w:r>
      <w:r w:rsidR="00842D2F" w:rsidRPr="00E41EB5">
        <w:rPr>
          <w:rFonts w:cstheme="minorHAnsi"/>
          <w:sz w:val="21"/>
          <w:szCs w:val="21"/>
        </w:rPr>
        <w:t xml:space="preserve"> increase </w:t>
      </w:r>
      <w:r w:rsidR="00842D2F" w:rsidRPr="004F3C3E">
        <w:rPr>
          <w:rFonts w:cstheme="minorHAnsi"/>
          <w:sz w:val="21"/>
          <w:szCs w:val="21"/>
        </w:rPr>
        <w:t>in costs</w:t>
      </w:r>
      <w:r w:rsidR="00842D2F">
        <w:rPr>
          <w:rFonts w:cstheme="minorHAnsi"/>
          <w:sz w:val="21"/>
          <w:szCs w:val="21"/>
        </w:rPr>
        <w:t>.</w:t>
      </w:r>
    </w:p>
    <w:p w14:paraId="5E575160" w14:textId="4B291D67" w:rsidR="009808DE" w:rsidRPr="005C6432" w:rsidRDefault="00725C3E" w:rsidP="00851D18">
      <w:pPr>
        <w:pStyle w:val="ListParagraph"/>
        <w:numPr>
          <w:ilvl w:val="0"/>
          <w:numId w:val="20"/>
        </w:numPr>
        <w:spacing w:before="120" w:after="120"/>
        <w:ind w:right="284"/>
        <w:jc w:val="both"/>
        <w:rPr>
          <w:rFonts w:cstheme="minorHAnsi"/>
          <w:sz w:val="21"/>
          <w:szCs w:val="21"/>
        </w:rPr>
      </w:pPr>
      <w:r w:rsidRPr="00851D18">
        <w:rPr>
          <w:rFonts w:cstheme="minorHAnsi"/>
          <w:sz w:val="21"/>
          <w:szCs w:val="21"/>
        </w:rPr>
        <w:t xml:space="preserve">The Bank maintains a strong capital position; </w:t>
      </w:r>
      <w:r w:rsidR="006C6806">
        <w:rPr>
          <w:rFonts w:cstheme="minorHAnsi"/>
          <w:sz w:val="21"/>
          <w:szCs w:val="21"/>
        </w:rPr>
        <w:t>p</w:t>
      </w:r>
      <w:r w:rsidR="00B74CE1" w:rsidRPr="005C6432">
        <w:rPr>
          <w:rFonts w:cstheme="minorHAnsi"/>
          <w:sz w:val="21"/>
          <w:szCs w:val="21"/>
        </w:rPr>
        <w:t xml:space="preserve">ro forma </w:t>
      </w:r>
      <w:r w:rsidR="00FD2FD7" w:rsidRPr="004223DE">
        <w:rPr>
          <w:rFonts w:cstheme="minorHAnsi"/>
          <w:sz w:val="21"/>
          <w:szCs w:val="21"/>
        </w:rPr>
        <w:t>Common Equity Tier 1 (CET1)</w:t>
      </w:r>
      <w:r w:rsidR="008A05FE" w:rsidRPr="005C6432">
        <w:rPr>
          <w:rFonts w:cstheme="minorHAnsi"/>
          <w:sz w:val="21"/>
          <w:szCs w:val="21"/>
        </w:rPr>
        <w:t xml:space="preserve"> ca</w:t>
      </w:r>
      <w:r w:rsidR="00707901" w:rsidRPr="005C6432">
        <w:rPr>
          <w:rFonts w:cstheme="minorHAnsi"/>
          <w:sz w:val="21"/>
          <w:szCs w:val="21"/>
        </w:rPr>
        <w:t>pital ratio of 1</w:t>
      </w:r>
      <w:r w:rsidR="001777E8" w:rsidRPr="005C6432">
        <w:rPr>
          <w:rFonts w:cstheme="minorHAnsi"/>
          <w:sz w:val="21"/>
          <w:szCs w:val="21"/>
        </w:rPr>
        <w:t>4</w:t>
      </w:r>
      <w:r w:rsidR="00A12E93" w:rsidRPr="005C6432">
        <w:rPr>
          <w:rFonts w:cstheme="minorHAnsi"/>
          <w:sz w:val="21"/>
          <w:szCs w:val="21"/>
        </w:rPr>
        <w:t>.</w:t>
      </w:r>
      <w:r w:rsidR="001777E8" w:rsidRPr="005C6432">
        <w:rPr>
          <w:rFonts w:cstheme="minorHAnsi"/>
          <w:sz w:val="21"/>
          <w:szCs w:val="21"/>
        </w:rPr>
        <w:t>9</w:t>
      </w:r>
      <w:r w:rsidR="007D0E2F" w:rsidRPr="005C6432">
        <w:rPr>
          <w:rFonts w:cstheme="minorHAnsi"/>
          <w:sz w:val="21"/>
          <w:szCs w:val="21"/>
        </w:rPr>
        <w:t>%</w:t>
      </w:r>
      <w:r w:rsidR="00B74CE1" w:rsidRPr="005C6432">
        <w:rPr>
          <w:vertAlign w:val="superscript"/>
        </w:rPr>
        <w:footnoteReference w:id="2"/>
      </w:r>
      <w:r w:rsidR="00B74CE1" w:rsidRPr="005C6432">
        <w:rPr>
          <w:rFonts w:cstheme="minorHAnsi"/>
          <w:sz w:val="21"/>
          <w:szCs w:val="21"/>
        </w:rPr>
        <w:t xml:space="preserve">, </w:t>
      </w:r>
      <w:r w:rsidR="000C182E" w:rsidRPr="005C6432">
        <w:rPr>
          <w:rFonts w:cstheme="minorHAnsi"/>
          <w:sz w:val="21"/>
          <w:szCs w:val="21"/>
        </w:rPr>
        <w:t xml:space="preserve">an increase of </w:t>
      </w:r>
      <w:r w:rsidR="005C6432" w:rsidRPr="005C6432">
        <w:rPr>
          <w:rFonts w:cstheme="minorHAnsi"/>
          <w:sz w:val="21"/>
          <w:szCs w:val="21"/>
        </w:rPr>
        <w:t>90</w:t>
      </w:r>
      <w:r w:rsidR="00B74CE1" w:rsidRPr="005C6432">
        <w:rPr>
          <w:rFonts w:cstheme="minorHAnsi"/>
          <w:sz w:val="21"/>
          <w:szCs w:val="21"/>
        </w:rPr>
        <w:t xml:space="preserve">bps </w:t>
      </w:r>
      <w:r w:rsidR="000C182E" w:rsidRPr="005C6432">
        <w:rPr>
          <w:rFonts w:cstheme="minorHAnsi"/>
          <w:sz w:val="21"/>
          <w:szCs w:val="21"/>
        </w:rPr>
        <w:t>compared to</w:t>
      </w:r>
      <w:r w:rsidR="00B74CE1" w:rsidRPr="005C6432">
        <w:rPr>
          <w:rFonts w:cstheme="minorHAnsi"/>
          <w:sz w:val="21"/>
          <w:szCs w:val="21"/>
        </w:rPr>
        <w:t xml:space="preserve"> </w:t>
      </w:r>
      <w:r w:rsidR="006C6806">
        <w:rPr>
          <w:rFonts w:cstheme="minorHAnsi"/>
          <w:sz w:val="21"/>
          <w:szCs w:val="21"/>
        </w:rPr>
        <w:t>31 December 2</w:t>
      </w:r>
      <w:r w:rsidR="008B53F0">
        <w:rPr>
          <w:rFonts w:cstheme="minorHAnsi"/>
          <w:sz w:val="21"/>
          <w:szCs w:val="21"/>
        </w:rPr>
        <w:t>0</w:t>
      </w:r>
      <w:r w:rsidR="006C6806">
        <w:rPr>
          <w:rFonts w:cstheme="minorHAnsi"/>
          <w:sz w:val="21"/>
          <w:szCs w:val="21"/>
        </w:rPr>
        <w:t>23</w:t>
      </w:r>
      <w:r w:rsidR="00B67AA1">
        <w:rPr>
          <w:rFonts w:cstheme="minorHAnsi"/>
          <w:sz w:val="21"/>
          <w:szCs w:val="21"/>
        </w:rPr>
        <w:t>.</w:t>
      </w:r>
      <w:bookmarkStart w:id="0" w:name="_Hlk172123721"/>
    </w:p>
    <w:bookmarkEnd w:id="0"/>
    <w:p w14:paraId="4166B855" w14:textId="2FAD9CBD" w:rsidR="006C6913" w:rsidRPr="00842D2F" w:rsidRDefault="0091777F" w:rsidP="00842D2F">
      <w:pPr>
        <w:pStyle w:val="ListParagraph"/>
        <w:numPr>
          <w:ilvl w:val="0"/>
          <w:numId w:val="20"/>
        </w:numPr>
        <w:spacing w:before="120" w:after="120"/>
        <w:ind w:right="284"/>
        <w:jc w:val="both"/>
        <w:rPr>
          <w:rFonts w:cstheme="minorHAnsi"/>
          <w:sz w:val="21"/>
          <w:szCs w:val="21"/>
        </w:rPr>
      </w:pPr>
      <w:r w:rsidRPr="004223DE">
        <w:rPr>
          <w:rFonts w:cstheme="minorHAnsi"/>
          <w:sz w:val="21"/>
          <w:szCs w:val="21"/>
        </w:rPr>
        <w:t>Asset quality</w:t>
      </w:r>
      <w:r w:rsidR="00693807">
        <w:rPr>
          <w:rFonts w:cstheme="minorHAnsi"/>
          <w:sz w:val="21"/>
          <w:szCs w:val="21"/>
        </w:rPr>
        <w:t xml:space="preserve"> further</w:t>
      </w:r>
      <w:r w:rsidRPr="004223DE">
        <w:rPr>
          <w:rFonts w:cstheme="minorHAnsi"/>
          <w:sz w:val="21"/>
          <w:szCs w:val="21"/>
        </w:rPr>
        <w:t xml:space="preserve"> </w:t>
      </w:r>
      <w:r w:rsidR="00C97778">
        <w:rPr>
          <w:rFonts w:cstheme="minorHAnsi"/>
          <w:sz w:val="21"/>
          <w:szCs w:val="21"/>
        </w:rPr>
        <w:t>strengthen</w:t>
      </w:r>
      <w:r w:rsidR="00693807">
        <w:rPr>
          <w:rFonts w:cstheme="minorHAnsi"/>
          <w:sz w:val="21"/>
          <w:szCs w:val="21"/>
        </w:rPr>
        <w:t>ed</w:t>
      </w:r>
      <w:r w:rsidRPr="004223DE">
        <w:rPr>
          <w:rFonts w:cstheme="minorHAnsi"/>
          <w:sz w:val="21"/>
          <w:szCs w:val="21"/>
        </w:rPr>
        <w:t xml:space="preserve">; </w:t>
      </w:r>
      <w:r w:rsidR="004223DE">
        <w:rPr>
          <w:rFonts w:cstheme="minorHAnsi"/>
          <w:sz w:val="21"/>
          <w:szCs w:val="21"/>
        </w:rPr>
        <w:t>i</w:t>
      </w:r>
      <w:r w:rsidRPr="004223DE">
        <w:rPr>
          <w:rFonts w:cstheme="minorHAnsi"/>
          <w:sz w:val="21"/>
          <w:szCs w:val="21"/>
        </w:rPr>
        <w:t xml:space="preserve">mpairment </w:t>
      </w:r>
      <w:r w:rsidR="004223DE">
        <w:rPr>
          <w:rFonts w:cstheme="minorHAnsi"/>
          <w:sz w:val="21"/>
          <w:szCs w:val="21"/>
        </w:rPr>
        <w:t>r</w:t>
      </w:r>
      <w:r w:rsidRPr="004223DE">
        <w:rPr>
          <w:rFonts w:cstheme="minorHAnsi"/>
          <w:sz w:val="21"/>
          <w:szCs w:val="21"/>
        </w:rPr>
        <w:t>elease of €20 million and NPL ratio of 1.7%</w:t>
      </w:r>
      <w:r w:rsidR="00FF6471" w:rsidRPr="004223DE">
        <w:rPr>
          <w:rFonts w:cstheme="minorHAnsi"/>
          <w:sz w:val="21"/>
          <w:szCs w:val="21"/>
        </w:rPr>
        <w:t>.</w:t>
      </w:r>
      <w:r w:rsidRPr="004223DE">
        <w:rPr>
          <w:rFonts w:cstheme="minorHAnsi"/>
          <w:sz w:val="21"/>
          <w:szCs w:val="21"/>
        </w:rPr>
        <w:t xml:space="preserve"> </w:t>
      </w:r>
    </w:p>
    <w:p w14:paraId="65776A9A" w14:textId="77777777" w:rsidR="00FD2FD7" w:rsidRDefault="00FD2FD7" w:rsidP="003B79B4">
      <w:pPr>
        <w:spacing w:before="240" w:after="120"/>
        <w:ind w:right="284"/>
        <w:jc w:val="both"/>
        <w:rPr>
          <w:rFonts w:cstheme="minorHAnsi"/>
          <w:b/>
          <w:sz w:val="21"/>
          <w:szCs w:val="21"/>
        </w:rPr>
      </w:pPr>
    </w:p>
    <w:p w14:paraId="5424A672" w14:textId="4F680AE9" w:rsidR="00FF4B20" w:rsidRPr="004223DE" w:rsidRDefault="00FF4B20" w:rsidP="003B79B4">
      <w:pPr>
        <w:spacing w:before="240" w:after="120"/>
        <w:ind w:right="284"/>
        <w:jc w:val="both"/>
        <w:rPr>
          <w:rFonts w:cstheme="minorHAnsi"/>
          <w:b/>
          <w:sz w:val="21"/>
          <w:szCs w:val="21"/>
        </w:rPr>
      </w:pPr>
      <w:r w:rsidRPr="004223DE">
        <w:rPr>
          <w:rFonts w:cstheme="minorHAnsi"/>
          <w:b/>
          <w:sz w:val="21"/>
          <w:szCs w:val="21"/>
        </w:rPr>
        <w:t xml:space="preserve">Other </w:t>
      </w:r>
      <w:r w:rsidR="00597674">
        <w:rPr>
          <w:rFonts w:cstheme="minorHAnsi"/>
          <w:b/>
          <w:sz w:val="21"/>
          <w:szCs w:val="21"/>
        </w:rPr>
        <w:t>H</w:t>
      </w:r>
      <w:r w:rsidRPr="004223DE">
        <w:rPr>
          <w:rFonts w:cstheme="minorHAnsi"/>
          <w:b/>
          <w:sz w:val="21"/>
          <w:szCs w:val="21"/>
        </w:rPr>
        <w:t xml:space="preserve">ighlights: </w:t>
      </w:r>
    </w:p>
    <w:p w14:paraId="74320A8D" w14:textId="1E12D797" w:rsidR="00AA0BF9" w:rsidRPr="00A53907" w:rsidRDefault="00AA0BF9" w:rsidP="001D7415">
      <w:pPr>
        <w:pStyle w:val="ListParagraph"/>
        <w:numPr>
          <w:ilvl w:val="0"/>
          <w:numId w:val="21"/>
        </w:numPr>
        <w:spacing w:before="120" w:after="120"/>
        <w:ind w:right="284"/>
        <w:jc w:val="both"/>
        <w:rPr>
          <w:rFonts w:cstheme="minorHAnsi"/>
          <w:sz w:val="21"/>
          <w:szCs w:val="21"/>
        </w:rPr>
      </w:pPr>
      <w:r w:rsidRPr="004223DE">
        <w:rPr>
          <w:rFonts w:cstheme="minorHAnsi"/>
          <w:sz w:val="21"/>
          <w:szCs w:val="21"/>
        </w:rPr>
        <w:lastRenderedPageBreak/>
        <w:t xml:space="preserve">Strong performance in acquiring and retaining </w:t>
      </w:r>
      <w:r w:rsidR="006C6806">
        <w:rPr>
          <w:rFonts w:cstheme="minorHAnsi"/>
          <w:sz w:val="21"/>
          <w:szCs w:val="21"/>
        </w:rPr>
        <w:t>C</w:t>
      </w:r>
      <w:r w:rsidR="002712C2" w:rsidRPr="004223DE">
        <w:rPr>
          <w:rFonts w:cstheme="minorHAnsi"/>
          <w:sz w:val="21"/>
          <w:szCs w:val="21"/>
        </w:rPr>
        <w:t xml:space="preserve">ustomer </w:t>
      </w:r>
      <w:r w:rsidR="006C6806">
        <w:rPr>
          <w:rFonts w:cstheme="minorHAnsi"/>
          <w:sz w:val="21"/>
          <w:szCs w:val="21"/>
        </w:rPr>
        <w:t>D</w:t>
      </w:r>
      <w:r w:rsidR="002712C2" w:rsidRPr="004223DE">
        <w:rPr>
          <w:rFonts w:cstheme="minorHAnsi"/>
          <w:sz w:val="21"/>
          <w:szCs w:val="21"/>
        </w:rPr>
        <w:t xml:space="preserve">eposits </w:t>
      </w:r>
      <w:r w:rsidRPr="004223DE">
        <w:rPr>
          <w:rFonts w:cstheme="minorHAnsi"/>
          <w:sz w:val="21"/>
          <w:szCs w:val="21"/>
        </w:rPr>
        <w:t>with balances of</w:t>
      </w:r>
      <w:r w:rsidR="002712C2" w:rsidRPr="004223DE">
        <w:rPr>
          <w:rFonts w:cstheme="minorHAnsi"/>
          <w:sz w:val="21"/>
          <w:szCs w:val="21"/>
        </w:rPr>
        <w:t xml:space="preserve"> €</w:t>
      </w:r>
      <w:r w:rsidR="005C1B14" w:rsidRPr="004223DE">
        <w:rPr>
          <w:rFonts w:cstheme="minorHAnsi"/>
          <w:sz w:val="21"/>
          <w:szCs w:val="21"/>
        </w:rPr>
        <w:t>23.</w:t>
      </w:r>
      <w:r w:rsidR="00CE09B8" w:rsidRPr="004223DE">
        <w:rPr>
          <w:rFonts w:cstheme="minorHAnsi"/>
          <w:sz w:val="21"/>
          <w:szCs w:val="21"/>
        </w:rPr>
        <w:t>6</w:t>
      </w:r>
      <w:r w:rsidR="0096061F" w:rsidRPr="004223DE">
        <w:rPr>
          <w:rFonts w:cstheme="minorHAnsi"/>
          <w:sz w:val="21"/>
          <w:szCs w:val="21"/>
        </w:rPr>
        <w:t xml:space="preserve"> </w:t>
      </w:r>
      <w:r w:rsidR="002712C2" w:rsidRPr="004223DE">
        <w:rPr>
          <w:rFonts w:cstheme="minorHAnsi"/>
          <w:sz w:val="21"/>
          <w:szCs w:val="21"/>
        </w:rPr>
        <w:t>b</w:t>
      </w:r>
      <w:r w:rsidR="0096061F" w:rsidRPr="004223DE">
        <w:rPr>
          <w:rFonts w:cstheme="minorHAnsi"/>
          <w:sz w:val="21"/>
          <w:szCs w:val="21"/>
        </w:rPr>
        <w:t>illio</w:t>
      </w:r>
      <w:r w:rsidR="002712C2" w:rsidRPr="004223DE">
        <w:rPr>
          <w:rFonts w:cstheme="minorHAnsi"/>
          <w:sz w:val="21"/>
          <w:szCs w:val="21"/>
        </w:rPr>
        <w:t>n</w:t>
      </w:r>
      <w:r w:rsidR="00466B12" w:rsidRPr="004223DE">
        <w:rPr>
          <w:rFonts w:cstheme="minorHAnsi"/>
          <w:sz w:val="21"/>
          <w:szCs w:val="21"/>
        </w:rPr>
        <w:t xml:space="preserve"> at</w:t>
      </w:r>
      <w:r w:rsidR="007B3E51">
        <w:rPr>
          <w:rFonts w:cstheme="minorHAnsi"/>
          <w:sz w:val="21"/>
          <w:szCs w:val="21"/>
        </w:rPr>
        <w:t xml:space="preserve"> 30</w:t>
      </w:r>
      <w:r w:rsidR="00466B12" w:rsidRPr="004223DE">
        <w:rPr>
          <w:rFonts w:cstheme="minorHAnsi"/>
          <w:sz w:val="21"/>
          <w:szCs w:val="21"/>
        </w:rPr>
        <w:t xml:space="preserve"> </w:t>
      </w:r>
      <w:r w:rsidR="00747ED0" w:rsidRPr="004223DE">
        <w:rPr>
          <w:rFonts w:cstheme="minorHAnsi"/>
          <w:sz w:val="21"/>
          <w:szCs w:val="21"/>
        </w:rPr>
        <w:t>June</w:t>
      </w:r>
      <w:r w:rsidR="00466B12" w:rsidRPr="004223DE">
        <w:rPr>
          <w:rFonts w:cstheme="minorHAnsi"/>
          <w:sz w:val="21"/>
          <w:szCs w:val="21"/>
        </w:rPr>
        <w:t xml:space="preserve"> </w:t>
      </w:r>
      <w:r w:rsidR="00466B12" w:rsidRPr="00A53907">
        <w:rPr>
          <w:rFonts w:cstheme="minorHAnsi"/>
          <w:sz w:val="21"/>
          <w:szCs w:val="21"/>
        </w:rPr>
        <w:t>2024</w:t>
      </w:r>
      <w:r w:rsidR="002712C2" w:rsidRPr="00A53907">
        <w:rPr>
          <w:rFonts w:cstheme="minorHAnsi"/>
          <w:sz w:val="21"/>
          <w:szCs w:val="21"/>
        </w:rPr>
        <w:t>,</w:t>
      </w:r>
      <w:r w:rsidR="0018020B" w:rsidRPr="00A53907">
        <w:rPr>
          <w:rFonts w:cstheme="minorHAnsi"/>
          <w:sz w:val="21"/>
          <w:szCs w:val="21"/>
        </w:rPr>
        <w:t xml:space="preserve"> an</w:t>
      </w:r>
      <w:r w:rsidR="002712C2" w:rsidRPr="00A53907">
        <w:rPr>
          <w:rFonts w:cstheme="minorHAnsi"/>
          <w:sz w:val="21"/>
          <w:szCs w:val="21"/>
        </w:rPr>
        <w:t xml:space="preserve"> increase</w:t>
      </w:r>
      <w:r w:rsidR="0018020B" w:rsidRPr="00A53907">
        <w:rPr>
          <w:rFonts w:cstheme="minorHAnsi"/>
          <w:sz w:val="21"/>
          <w:szCs w:val="21"/>
        </w:rPr>
        <w:t xml:space="preserve"> of</w:t>
      </w:r>
      <w:r w:rsidR="0096061F" w:rsidRPr="00A53907">
        <w:rPr>
          <w:rFonts w:cstheme="minorHAnsi"/>
          <w:sz w:val="21"/>
          <w:szCs w:val="21"/>
        </w:rPr>
        <w:t xml:space="preserve"> </w:t>
      </w:r>
      <w:r w:rsidR="001777E8">
        <w:rPr>
          <w:rFonts w:cstheme="minorHAnsi"/>
          <w:sz w:val="21"/>
          <w:szCs w:val="21"/>
        </w:rPr>
        <w:t xml:space="preserve">c. </w:t>
      </w:r>
      <w:r w:rsidR="00CE09B8" w:rsidRPr="00A53907">
        <w:rPr>
          <w:rFonts w:cstheme="minorHAnsi"/>
          <w:sz w:val="21"/>
          <w:szCs w:val="21"/>
        </w:rPr>
        <w:t>4</w:t>
      </w:r>
      <w:r w:rsidR="0096061F" w:rsidRPr="00A53907">
        <w:rPr>
          <w:rFonts w:cstheme="minorHAnsi"/>
          <w:sz w:val="21"/>
          <w:szCs w:val="21"/>
        </w:rPr>
        <w:t>% (</w:t>
      </w:r>
      <w:r w:rsidR="001777E8">
        <w:rPr>
          <w:rFonts w:cstheme="minorHAnsi"/>
          <w:sz w:val="21"/>
          <w:szCs w:val="21"/>
        </w:rPr>
        <w:t xml:space="preserve">c. </w:t>
      </w:r>
      <w:r w:rsidR="0096061F" w:rsidRPr="00A53907">
        <w:rPr>
          <w:rFonts w:cstheme="minorHAnsi"/>
          <w:sz w:val="21"/>
          <w:szCs w:val="21"/>
        </w:rPr>
        <w:t>€</w:t>
      </w:r>
      <w:r w:rsidR="00466B12" w:rsidRPr="00A53907">
        <w:rPr>
          <w:rFonts w:cstheme="minorHAnsi"/>
          <w:sz w:val="21"/>
          <w:szCs w:val="21"/>
        </w:rPr>
        <w:t>1</w:t>
      </w:r>
      <w:r w:rsidR="005C1B14" w:rsidRPr="00A53907">
        <w:rPr>
          <w:rFonts w:cstheme="minorHAnsi"/>
          <w:sz w:val="21"/>
          <w:szCs w:val="21"/>
        </w:rPr>
        <w:t>.</w:t>
      </w:r>
      <w:r w:rsidR="00466B12" w:rsidRPr="00A53907">
        <w:rPr>
          <w:rFonts w:cstheme="minorHAnsi"/>
          <w:sz w:val="21"/>
          <w:szCs w:val="21"/>
        </w:rPr>
        <w:t>0</w:t>
      </w:r>
      <w:r w:rsidR="00416746" w:rsidRPr="00A53907">
        <w:rPr>
          <w:rFonts w:cstheme="minorHAnsi"/>
          <w:sz w:val="21"/>
          <w:szCs w:val="21"/>
        </w:rPr>
        <w:t xml:space="preserve"> </w:t>
      </w:r>
      <w:r w:rsidR="0096061F" w:rsidRPr="00A53907">
        <w:rPr>
          <w:rFonts w:cstheme="minorHAnsi"/>
          <w:sz w:val="21"/>
          <w:szCs w:val="21"/>
        </w:rPr>
        <w:t>billi</w:t>
      </w:r>
      <w:r w:rsidR="00A81923" w:rsidRPr="00A53907">
        <w:rPr>
          <w:rFonts w:cstheme="minorHAnsi"/>
          <w:sz w:val="21"/>
          <w:szCs w:val="21"/>
        </w:rPr>
        <w:t xml:space="preserve">on) since </w:t>
      </w:r>
      <w:r w:rsidR="00747ED0" w:rsidRPr="00A53907">
        <w:rPr>
          <w:rFonts w:cstheme="minorHAnsi"/>
          <w:sz w:val="21"/>
          <w:szCs w:val="21"/>
        </w:rPr>
        <w:t xml:space="preserve">June </w:t>
      </w:r>
      <w:r w:rsidR="00466B12" w:rsidRPr="00A53907">
        <w:rPr>
          <w:rFonts w:cstheme="minorHAnsi"/>
          <w:sz w:val="21"/>
          <w:szCs w:val="21"/>
        </w:rPr>
        <w:t xml:space="preserve">2023 </w:t>
      </w:r>
      <w:r w:rsidR="00FA21C6" w:rsidRPr="00A53907">
        <w:rPr>
          <w:rFonts w:cstheme="minorHAnsi"/>
          <w:sz w:val="21"/>
          <w:szCs w:val="21"/>
        </w:rPr>
        <w:t xml:space="preserve">and </w:t>
      </w:r>
      <w:r w:rsidR="001777E8">
        <w:rPr>
          <w:rFonts w:cstheme="minorHAnsi"/>
          <w:sz w:val="21"/>
          <w:szCs w:val="21"/>
        </w:rPr>
        <w:t xml:space="preserve">c. </w:t>
      </w:r>
      <w:r w:rsidR="00CE09B8" w:rsidRPr="00A53907">
        <w:rPr>
          <w:rFonts w:cstheme="minorHAnsi"/>
          <w:sz w:val="21"/>
          <w:szCs w:val="21"/>
        </w:rPr>
        <w:t>3</w:t>
      </w:r>
      <w:r w:rsidR="00FC4D6F" w:rsidRPr="00A53907">
        <w:rPr>
          <w:rFonts w:cstheme="minorHAnsi"/>
          <w:sz w:val="21"/>
          <w:szCs w:val="21"/>
        </w:rPr>
        <w:t>% (</w:t>
      </w:r>
      <w:r w:rsidR="001777E8">
        <w:rPr>
          <w:rFonts w:cstheme="minorHAnsi"/>
          <w:sz w:val="21"/>
          <w:szCs w:val="21"/>
        </w:rPr>
        <w:t xml:space="preserve">c. </w:t>
      </w:r>
      <w:r w:rsidR="00FC4D6F" w:rsidRPr="00A53907">
        <w:rPr>
          <w:rFonts w:cstheme="minorHAnsi"/>
          <w:sz w:val="21"/>
          <w:szCs w:val="21"/>
        </w:rPr>
        <w:t>€</w:t>
      </w:r>
      <w:r w:rsidR="00466B12" w:rsidRPr="00A53907">
        <w:rPr>
          <w:rFonts w:cstheme="minorHAnsi"/>
          <w:sz w:val="21"/>
          <w:szCs w:val="21"/>
        </w:rPr>
        <w:t>0</w:t>
      </w:r>
      <w:r w:rsidR="00FC4D6F" w:rsidRPr="00A53907">
        <w:rPr>
          <w:rFonts w:cstheme="minorHAnsi"/>
          <w:sz w:val="21"/>
          <w:szCs w:val="21"/>
        </w:rPr>
        <w:t>.</w:t>
      </w:r>
      <w:r w:rsidR="00CE09B8" w:rsidRPr="00A53907">
        <w:rPr>
          <w:rFonts w:cstheme="minorHAnsi"/>
          <w:sz w:val="21"/>
          <w:szCs w:val="21"/>
        </w:rPr>
        <w:t>6</w:t>
      </w:r>
      <w:r w:rsidR="00FA21C6" w:rsidRPr="00A53907">
        <w:rPr>
          <w:rFonts w:cstheme="minorHAnsi"/>
          <w:sz w:val="21"/>
          <w:szCs w:val="21"/>
        </w:rPr>
        <w:t xml:space="preserve"> billion) since </w:t>
      </w:r>
      <w:r w:rsidR="00466B12" w:rsidRPr="00A53907">
        <w:rPr>
          <w:rFonts w:cstheme="minorHAnsi"/>
          <w:sz w:val="21"/>
          <w:szCs w:val="21"/>
        </w:rPr>
        <w:t>December</w:t>
      </w:r>
      <w:r w:rsidR="00FC4D6F" w:rsidRPr="00A53907">
        <w:rPr>
          <w:rFonts w:cstheme="minorHAnsi"/>
          <w:sz w:val="21"/>
          <w:szCs w:val="21"/>
        </w:rPr>
        <w:t xml:space="preserve"> 2023</w:t>
      </w:r>
      <w:r w:rsidR="00FF6471" w:rsidRPr="00A53907">
        <w:rPr>
          <w:rFonts w:cstheme="minorHAnsi"/>
          <w:sz w:val="21"/>
          <w:szCs w:val="21"/>
        </w:rPr>
        <w:t>.</w:t>
      </w:r>
    </w:p>
    <w:p w14:paraId="3FEA5934" w14:textId="2F8CFB08" w:rsidR="00B70415" w:rsidRPr="00A53907" w:rsidRDefault="00B70415" w:rsidP="00B70415">
      <w:pPr>
        <w:pStyle w:val="ListParagraph"/>
        <w:numPr>
          <w:ilvl w:val="0"/>
          <w:numId w:val="21"/>
        </w:numPr>
        <w:spacing w:before="120" w:after="120"/>
        <w:ind w:right="284"/>
        <w:jc w:val="both"/>
        <w:rPr>
          <w:rFonts w:cstheme="minorHAnsi"/>
          <w:sz w:val="21"/>
          <w:szCs w:val="21"/>
        </w:rPr>
      </w:pPr>
      <w:bookmarkStart w:id="1" w:name="_Hlk172625061"/>
      <w:r w:rsidRPr="00A53907">
        <w:rPr>
          <w:rFonts w:cstheme="minorHAnsi"/>
          <w:sz w:val="21"/>
          <w:szCs w:val="21"/>
        </w:rPr>
        <w:t xml:space="preserve">Net Loans and Advances to Customers are 2% higher YoY, </w:t>
      </w:r>
      <w:r w:rsidR="0057697C">
        <w:rPr>
          <w:rFonts w:cstheme="minorHAnsi"/>
          <w:sz w:val="21"/>
          <w:szCs w:val="21"/>
        </w:rPr>
        <w:t>and broadly in line with Dec</w:t>
      </w:r>
      <w:r w:rsidR="006C6806">
        <w:rPr>
          <w:rFonts w:cstheme="minorHAnsi"/>
          <w:sz w:val="21"/>
          <w:szCs w:val="21"/>
        </w:rPr>
        <w:t>ember 20</w:t>
      </w:r>
      <w:r w:rsidR="0057697C">
        <w:rPr>
          <w:rFonts w:cstheme="minorHAnsi"/>
          <w:sz w:val="21"/>
          <w:szCs w:val="21"/>
        </w:rPr>
        <w:t>23</w:t>
      </w:r>
      <w:r w:rsidRPr="00A53907">
        <w:rPr>
          <w:rStyle w:val="FootnoteReference"/>
          <w:rFonts w:cstheme="minorHAnsi"/>
          <w:sz w:val="21"/>
          <w:szCs w:val="21"/>
        </w:rPr>
        <w:footnoteReference w:id="3"/>
      </w:r>
      <w:r w:rsidR="00AE50B6">
        <w:rPr>
          <w:rFonts w:cstheme="minorHAnsi"/>
          <w:sz w:val="21"/>
          <w:szCs w:val="21"/>
        </w:rPr>
        <w:t xml:space="preserve">, </w:t>
      </w:r>
      <w:r w:rsidRPr="00A53907">
        <w:rPr>
          <w:rFonts w:cstheme="minorHAnsi"/>
          <w:sz w:val="21"/>
          <w:szCs w:val="21"/>
        </w:rPr>
        <w:t xml:space="preserve">following a slower pace of new lending, </w:t>
      </w:r>
      <w:r w:rsidR="00992D8B">
        <w:rPr>
          <w:rFonts w:cstheme="minorHAnsi"/>
          <w:sz w:val="21"/>
          <w:szCs w:val="21"/>
        </w:rPr>
        <w:t xml:space="preserve">partially </w:t>
      </w:r>
      <w:r w:rsidR="00C97778">
        <w:rPr>
          <w:rFonts w:cstheme="minorHAnsi"/>
          <w:sz w:val="21"/>
          <w:szCs w:val="21"/>
        </w:rPr>
        <w:t xml:space="preserve">offset by </w:t>
      </w:r>
      <w:r w:rsidR="006C6806">
        <w:rPr>
          <w:rFonts w:cstheme="minorHAnsi"/>
          <w:sz w:val="21"/>
          <w:szCs w:val="21"/>
        </w:rPr>
        <w:t xml:space="preserve">higher retention. </w:t>
      </w:r>
      <w:bookmarkEnd w:id="1"/>
    </w:p>
    <w:p w14:paraId="37BF901E" w14:textId="42D221F6" w:rsidR="008D3403" w:rsidRPr="004223DE" w:rsidRDefault="008D3403" w:rsidP="001D7415">
      <w:pPr>
        <w:pStyle w:val="ListParagraph"/>
        <w:numPr>
          <w:ilvl w:val="0"/>
          <w:numId w:val="21"/>
        </w:numPr>
        <w:spacing w:before="120" w:after="120"/>
        <w:ind w:right="284"/>
        <w:jc w:val="both"/>
        <w:rPr>
          <w:rFonts w:cstheme="minorHAnsi"/>
          <w:sz w:val="21"/>
          <w:szCs w:val="21"/>
        </w:rPr>
      </w:pPr>
      <w:r w:rsidRPr="00A53907">
        <w:rPr>
          <w:rFonts w:ascii="Calibri" w:eastAsia="Calibri" w:hAnsi="Calibri"/>
          <w:sz w:val="21"/>
          <w:szCs w:val="21"/>
        </w:rPr>
        <w:t xml:space="preserve">The Bank has announced a </w:t>
      </w:r>
      <w:r w:rsidR="00851D18" w:rsidRPr="00A53907">
        <w:rPr>
          <w:rFonts w:ascii="Calibri" w:eastAsia="Calibri" w:hAnsi="Calibri"/>
          <w:sz w:val="21"/>
          <w:szCs w:val="21"/>
        </w:rPr>
        <w:t>N</w:t>
      </w:r>
      <w:r w:rsidRPr="00A53907">
        <w:rPr>
          <w:rFonts w:ascii="Calibri" w:eastAsia="Calibri" w:hAnsi="Calibri"/>
          <w:sz w:val="21"/>
          <w:szCs w:val="21"/>
        </w:rPr>
        <w:t>on-</w:t>
      </w:r>
      <w:r w:rsidR="00851D18" w:rsidRPr="00A53907">
        <w:rPr>
          <w:rFonts w:ascii="Calibri" w:eastAsia="Calibri" w:hAnsi="Calibri"/>
          <w:sz w:val="21"/>
          <w:szCs w:val="21"/>
        </w:rPr>
        <w:t>P</w:t>
      </w:r>
      <w:r w:rsidRPr="00A53907">
        <w:rPr>
          <w:rFonts w:ascii="Calibri" w:eastAsia="Calibri" w:hAnsi="Calibri"/>
          <w:sz w:val="21"/>
          <w:szCs w:val="21"/>
        </w:rPr>
        <w:t xml:space="preserve">erforming </w:t>
      </w:r>
      <w:r w:rsidR="00851D18" w:rsidRPr="00A53907">
        <w:rPr>
          <w:rFonts w:ascii="Calibri" w:eastAsia="Calibri" w:hAnsi="Calibri"/>
          <w:sz w:val="21"/>
          <w:szCs w:val="21"/>
        </w:rPr>
        <w:t>L</w:t>
      </w:r>
      <w:r w:rsidRPr="00A53907">
        <w:rPr>
          <w:rFonts w:ascii="Calibri" w:eastAsia="Calibri" w:hAnsi="Calibri"/>
          <w:sz w:val="21"/>
          <w:szCs w:val="21"/>
        </w:rPr>
        <w:t xml:space="preserve">oan </w:t>
      </w:r>
      <w:r w:rsidR="00851D18" w:rsidRPr="00A53907">
        <w:rPr>
          <w:rFonts w:ascii="Calibri" w:eastAsia="Calibri" w:hAnsi="Calibri"/>
          <w:sz w:val="21"/>
          <w:szCs w:val="21"/>
        </w:rPr>
        <w:t xml:space="preserve">(NPL) </w:t>
      </w:r>
      <w:r w:rsidRPr="00A53907">
        <w:rPr>
          <w:rFonts w:ascii="Calibri" w:eastAsia="Calibri" w:hAnsi="Calibri"/>
          <w:sz w:val="21"/>
          <w:szCs w:val="21"/>
        </w:rPr>
        <w:t>sale “Glas III”, with a value of €34</w:t>
      </w:r>
      <w:r w:rsidR="002A0909">
        <w:rPr>
          <w:rFonts w:ascii="Calibri" w:eastAsia="Calibri" w:hAnsi="Calibri"/>
          <w:sz w:val="21"/>
          <w:szCs w:val="21"/>
        </w:rPr>
        <w:t>8</w:t>
      </w:r>
      <w:r w:rsidRPr="00A53907">
        <w:rPr>
          <w:rFonts w:ascii="Calibri" w:eastAsia="Calibri" w:hAnsi="Calibri"/>
          <w:sz w:val="21"/>
          <w:szCs w:val="21"/>
        </w:rPr>
        <w:t xml:space="preserve"> million</w:t>
      </w:r>
      <w:r w:rsidRPr="004223DE">
        <w:rPr>
          <w:rFonts w:ascii="Calibri" w:eastAsia="Calibri" w:hAnsi="Calibri"/>
          <w:sz w:val="21"/>
          <w:szCs w:val="21"/>
        </w:rPr>
        <w:t xml:space="preserve"> and an overall risk weight intensity of c. 68%.</w:t>
      </w:r>
      <w:r w:rsidRPr="004223DE">
        <w:rPr>
          <w:rFonts w:cstheme="minorHAnsi"/>
          <w:sz w:val="21"/>
          <w:szCs w:val="21"/>
        </w:rPr>
        <w:t xml:space="preserve"> </w:t>
      </w:r>
      <w:r w:rsidR="00A1653D">
        <w:rPr>
          <w:rFonts w:cstheme="minorHAnsi"/>
          <w:sz w:val="21"/>
          <w:szCs w:val="21"/>
        </w:rPr>
        <w:t>On completion by the end of this year, t</w:t>
      </w:r>
      <w:r w:rsidRPr="004223DE">
        <w:rPr>
          <w:rFonts w:cstheme="minorHAnsi"/>
          <w:sz w:val="21"/>
          <w:szCs w:val="21"/>
        </w:rPr>
        <w:t>he transaction increases the Bank’s Common Equity Tier 1 (CET1) Ratio by c. 35 b</w:t>
      </w:r>
      <w:r w:rsidR="006C6806">
        <w:rPr>
          <w:rFonts w:cstheme="minorHAnsi"/>
          <w:sz w:val="21"/>
          <w:szCs w:val="21"/>
        </w:rPr>
        <w:t xml:space="preserve">ps </w:t>
      </w:r>
      <w:r w:rsidRPr="004223DE">
        <w:rPr>
          <w:rFonts w:cstheme="minorHAnsi"/>
          <w:sz w:val="21"/>
          <w:szCs w:val="21"/>
        </w:rPr>
        <w:t>and the Total Capital Ratio by c. 45 b</w:t>
      </w:r>
      <w:r w:rsidR="006C6806">
        <w:rPr>
          <w:rFonts w:cstheme="minorHAnsi"/>
          <w:sz w:val="21"/>
          <w:szCs w:val="21"/>
        </w:rPr>
        <w:t>p</w:t>
      </w:r>
      <w:r w:rsidR="00A1653D">
        <w:rPr>
          <w:rFonts w:cstheme="minorHAnsi"/>
          <w:sz w:val="21"/>
          <w:szCs w:val="21"/>
        </w:rPr>
        <w:t>s.</w:t>
      </w:r>
    </w:p>
    <w:p w14:paraId="0F7782CA" w14:textId="17C39318" w:rsidR="002C0892" w:rsidRPr="00CC2164" w:rsidRDefault="00851D18" w:rsidP="001D7415">
      <w:pPr>
        <w:pStyle w:val="ListParagraph"/>
        <w:numPr>
          <w:ilvl w:val="0"/>
          <w:numId w:val="21"/>
        </w:numPr>
        <w:spacing w:before="120" w:after="120"/>
        <w:ind w:right="284"/>
        <w:jc w:val="both"/>
        <w:rPr>
          <w:rFonts w:cstheme="minorHAnsi"/>
          <w:sz w:val="21"/>
          <w:szCs w:val="21"/>
        </w:rPr>
      </w:pPr>
      <w:r>
        <w:rPr>
          <w:rFonts w:cstheme="minorHAnsi"/>
          <w:sz w:val="21"/>
          <w:szCs w:val="21"/>
        </w:rPr>
        <w:t xml:space="preserve">H1’24 </w:t>
      </w:r>
      <w:r w:rsidR="00A1653D">
        <w:rPr>
          <w:rFonts w:cstheme="minorHAnsi"/>
          <w:sz w:val="21"/>
          <w:szCs w:val="21"/>
        </w:rPr>
        <w:t>n</w:t>
      </w:r>
      <w:r w:rsidR="002C0892" w:rsidRPr="004223DE">
        <w:rPr>
          <w:rFonts w:cstheme="minorHAnsi"/>
          <w:sz w:val="21"/>
          <w:szCs w:val="21"/>
        </w:rPr>
        <w:t xml:space="preserve">ew </w:t>
      </w:r>
      <w:r w:rsidR="002C0892" w:rsidRPr="00CC2164">
        <w:rPr>
          <w:rFonts w:cstheme="minorHAnsi"/>
          <w:sz w:val="21"/>
          <w:szCs w:val="21"/>
        </w:rPr>
        <w:t>business mortgage market share</w:t>
      </w:r>
      <w:r w:rsidR="00191E4C" w:rsidRPr="00CC2164">
        <w:rPr>
          <w:rFonts w:cstheme="minorHAnsi"/>
          <w:sz w:val="21"/>
          <w:szCs w:val="21"/>
          <w:vertAlign w:val="superscript"/>
        </w:rPr>
        <w:footnoteReference w:id="4"/>
      </w:r>
      <w:r w:rsidR="0087352C" w:rsidRPr="00CC2164">
        <w:rPr>
          <w:rFonts w:cstheme="minorHAnsi"/>
          <w:sz w:val="21"/>
          <w:szCs w:val="21"/>
        </w:rPr>
        <w:t xml:space="preserve"> </w:t>
      </w:r>
      <w:r w:rsidR="002C0892" w:rsidRPr="00CC2164">
        <w:rPr>
          <w:rFonts w:cstheme="minorHAnsi"/>
          <w:sz w:val="21"/>
          <w:szCs w:val="21"/>
        </w:rPr>
        <w:t>of</w:t>
      </w:r>
      <w:r w:rsidR="007D2650" w:rsidRPr="00CC2164">
        <w:rPr>
          <w:rFonts w:cstheme="minorHAnsi"/>
          <w:sz w:val="21"/>
          <w:szCs w:val="21"/>
        </w:rPr>
        <w:t xml:space="preserve"> </w:t>
      </w:r>
      <w:r w:rsidRPr="00CC2164">
        <w:rPr>
          <w:rFonts w:cstheme="minorHAnsi"/>
          <w:sz w:val="21"/>
          <w:szCs w:val="21"/>
        </w:rPr>
        <w:t>13.5%</w:t>
      </w:r>
      <w:r w:rsidR="00A1653D" w:rsidRPr="00CC2164">
        <w:rPr>
          <w:rFonts w:cstheme="minorHAnsi"/>
          <w:sz w:val="21"/>
          <w:szCs w:val="21"/>
        </w:rPr>
        <w:t>.</w:t>
      </w:r>
      <w:r w:rsidR="00014A2C" w:rsidRPr="00CC2164">
        <w:rPr>
          <w:rFonts w:cstheme="minorHAnsi"/>
          <w:sz w:val="21"/>
          <w:szCs w:val="21"/>
        </w:rPr>
        <w:t xml:space="preserve"> </w:t>
      </w:r>
      <w:r w:rsidRPr="00CC2164">
        <w:rPr>
          <w:rFonts w:cstheme="minorHAnsi"/>
          <w:sz w:val="21"/>
          <w:szCs w:val="21"/>
        </w:rPr>
        <w:t>N</w:t>
      </w:r>
      <w:r w:rsidR="000C182E" w:rsidRPr="00CC2164">
        <w:rPr>
          <w:rFonts w:cstheme="minorHAnsi"/>
          <w:sz w:val="21"/>
          <w:szCs w:val="21"/>
        </w:rPr>
        <w:t>ew mortgage pricing in Q2’24</w:t>
      </w:r>
      <w:r w:rsidR="00A1653D" w:rsidRPr="00CC2164">
        <w:rPr>
          <w:rFonts w:cstheme="minorHAnsi"/>
          <w:sz w:val="21"/>
          <w:szCs w:val="21"/>
        </w:rPr>
        <w:t xml:space="preserve"> is </w:t>
      </w:r>
      <w:r w:rsidR="000C182E" w:rsidRPr="00CC2164">
        <w:rPr>
          <w:rFonts w:cstheme="minorHAnsi"/>
          <w:sz w:val="21"/>
          <w:szCs w:val="21"/>
        </w:rPr>
        <w:t xml:space="preserve">building a strong pipeline </w:t>
      </w:r>
      <w:r w:rsidR="00DC20C1" w:rsidRPr="00CC2164">
        <w:rPr>
          <w:rFonts w:cstheme="minorHAnsi"/>
          <w:sz w:val="21"/>
          <w:szCs w:val="21"/>
        </w:rPr>
        <w:t xml:space="preserve">of activity heading </w:t>
      </w:r>
      <w:r w:rsidR="00A1653D" w:rsidRPr="00CC2164">
        <w:rPr>
          <w:rFonts w:cstheme="minorHAnsi"/>
          <w:sz w:val="21"/>
          <w:szCs w:val="21"/>
        </w:rPr>
        <w:t>for</w:t>
      </w:r>
      <w:r w:rsidR="00DC20C1" w:rsidRPr="00CC2164">
        <w:rPr>
          <w:rFonts w:cstheme="minorHAnsi"/>
          <w:sz w:val="21"/>
          <w:szCs w:val="21"/>
        </w:rPr>
        <w:t xml:space="preserve"> H2’24</w:t>
      </w:r>
      <w:r w:rsidR="00A1653D" w:rsidRPr="00CC2164">
        <w:rPr>
          <w:rFonts w:cstheme="minorHAnsi"/>
          <w:sz w:val="21"/>
          <w:szCs w:val="21"/>
        </w:rPr>
        <w:t xml:space="preserve"> outlook</w:t>
      </w:r>
      <w:r w:rsidR="00DC20C1" w:rsidRPr="00CC2164">
        <w:rPr>
          <w:rFonts w:cstheme="minorHAnsi"/>
          <w:sz w:val="21"/>
          <w:szCs w:val="21"/>
        </w:rPr>
        <w:t>.</w:t>
      </w:r>
    </w:p>
    <w:p w14:paraId="39B7769A" w14:textId="477FD4F8" w:rsidR="00851D18" w:rsidRPr="00CC2164" w:rsidRDefault="00CC2164" w:rsidP="00897526">
      <w:pPr>
        <w:pStyle w:val="ListParagraph"/>
        <w:numPr>
          <w:ilvl w:val="0"/>
          <w:numId w:val="21"/>
        </w:numPr>
        <w:spacing w:before="120" w:after="120"/>
        <w:ind w:right="284"/>
        <w:jc w:val="both"/>
        <w:rPr>
          <w:rFonts w:cstheme="minorHAnsi"/>
          <w:sz w:val="21"/>
          <w:szCs w:val="21"/>
        </w:rPr>
      </w:pPr>
      <w:r w:rsidRPr="00CC2164">
        <w:rPr>
          <w:rFonts w:cstheme="minorHAnsi"/>
          <w:sz w:val="21"/>
          <w:szCs w:val="21"/>
        </w:rPr>
        <w:t>Asset Finance and Business</w:t>
      </w:r>
      <w:r w:rsidR="00BC0FD9" w:rsidRPr="00CC2164">
        <w:rPr>
          <w:rFonts w:cstheme="minorHAnsi"/>
          <w:sz w:val="21"/>
          <w:szCs w:val="21"/>
        </w:rPr>
        <w:t xml:space="preserve"> </w:t>
      </w:r>
      <w:r w:rsidR="00A53907" w:rsidRPr="00CC2164">
        <w:rPr>
          <w:rFonts w:cstheme="minorHAnsi"/>
          <w:sz w:val="21"/>
          <w:szCs w:val="21"/>
        </w:rPr>
        <w:t xml:space="preserve">new </w:t>
      </w:r>
      <w:r w:rsidR="00BC0FD9" w:rsidRPr="00CC2164">
        <w:rPr>
          <w:rFonts w:cstheme="minorHAnsi"/>
          <w:sz w:val="21"/>
          <w:szCs w:val="21"/>
        </w:rPr>
        <w:t>lending of €180</w:t>
      </w:r>
      <w:r w:rsidR="004D49E4" w:rsidRPr="00CC2164">
        <w:rPr>
          <w:rFonts w:cstheme="minorHAnsi"/>
          <w:sz w:val="21"/>
          <w:szCs w:val="21"/>
        </w:rPr>
        <w:t xml:space="preserve"> million</w:t>
      </w:r>
      <w:r w:rsidR="00A1653D" w:rsidRPr="00CC2164">
        <w:rPr>
          <w:rFonts w:cstheme="minorHAnsi"/>
          <w:sz w:val="21"/>
          <w:szCs w:val="21"/>
        </w:rPr>
        <w:t xml:space="preserve"> is</w:t>
      </w:r>
      <w:r w:rsidR="00BC0FD9" w:rsidRPr="00CC2164">
        <w:rPr>
          <w:rFonts w:cstheme="minorHAnsi"/>
          <w:sz w:val="21"/>
          <w:szCs w:val="21"/>
        </w:rPr>
        <w:t xml:space="preserve"> </w:t>
      </w:r>
      <w:r w:rsidR="00C97778" w:rsidRPr="00CC2164">
        <w:rPr>
          <w:rFonts w:cstheme="minorHAnsi"/>
          <w:sz w:val="21"/>
          <w:szCs w:val="21"/>
        </w:rPr>
        <w:t>treble</w:t>
      </w:r>
      <w:r w:rsidR="00BC0FD9" w:rsidRPr="00CC2164">
        <w:rPr>
          <w:rFonts w:cstheme="minorHAnsi"/>
          <w:sz w:val="21"/>
          <w:szCs w:val="21"/>
        </w:rPr>
        <w:t xml:space="preserve"> that of the prior year</w:t>
      </w:r>
      <w:r w:rsidR="00A1653D" w:rsidRPr="00CC2164">
        <w:rPr>
          <w:rFonts w:cstheme="minorHAnsi"/>
          <w:sz w:val="21"/>
          <w:szCs w:val="21"/>
        </w:rPr>
        <w:t>. This strong business performance is due to the Asset Finance business, acquired in July 2023, together with solid SME lending in the first half of 2024.</w:t>
      </w:r>
    </w:p>
    <w:p w14:paraId="45291A2C" w14:textId="05060C5E" w:rsidR="00BC0FD9" w:rsidRPr="00FF1508" w:rsidRDefault="00BC0FD9" w:rsidP="00BC0FD9">
      <w:pPr>
        <w:pStyle w:val="ListParagraph"/>
        <w:numPr>
          <w:ilvl w:val="0"/>
          <w:numId w:val="21"/>
        </w:numPr>
        <w:spacing w:before="120" w:after="120"/>
        <w:ind w:right="284"/>
        <w:jc w:val="both"/>
        <w:rPr>
          <w:rFonts w:cstheme="minorHAnsi"/>
          <w:sz w:val="21"/>
          <w:szCs w:val="21"/>
        </w:rPr>
      </w:pPr>
      <w:r w:rsidRPr="00FF1508">
        <w:rPr>
          <w:rFonts w:cstheme="minorHAnsi"/>
          <w:sz w:val="21"/>
          <w:szCs w:val="21"/>
        </w:rPr>
        <w:t>Permanent TSB Group Holdings plc was upgraded to Investment Grade status by Fitch Ratings agency in Q1’24</w:t>
      </w:r>
      <w:r w:rsidR="00C97778" w:rsidRPr="00FF1508">
        <w:rPr>
          <w:rFonts w:cstheme="minorHAnsi"/>
          <w:sz w:val="21"/>
          <w:szCs w:val="21"/>
        </w:rPr>
        <w:t xml:space="preserve">, which has reduced the margin the Bank </w:t>
      </w:r>
      <w:r w:rsidR="00A1653D">
        <w:rPr>
          <w:rFonts w:cstheme="minorHAnsi"/>
          <w:sz w:val="21"/>
          <w:szCs w:val="21"/>
        </w:rPr>
        <w:t xml:space="preserve">will pay for </w:t>
      </w:r>
      <w:r w:rsidR="00C97778" w:rsidRPr="00FF1508">
        <w:rPr>
          <w:rFonts w:cstheme="minorHAnsi"/>
          <w:sz w:val="21"/>
          <w:szCs w:val="21"/>
        </w:rPr>
        <w:t>funding</w:t>
      </w:r>
      <w:r w:rsidR="00BD1631">
        <w:rPr>
          <w:rFonts w:cstheme="minorHAnsi"/>
          <w:sz w:val="21"/>
          <w:szCs w:val="21"/>
        </w:rPr>
        <w:t>.</w:t>
      </w:r>
    </w:p>
    <w:p w14:paraId="242F0E31" w14:textId="47541000" w:rsidR="001D7415" w:rsidRPr="004223DE" w:rsidRDefault="007F0DFD" w:rsidP="00897526">
      <w:pPr>
        <w:pStyle w:val="ListParagraph"/>
        <w:numPr>
          <w:ilvl w:val="0"/>
          <w:numId w:val="21"/>
        </w:numPr>
        <w:spacing w:before="120" w:after="120"/>
        <w:ind w:right="284"/>
        <w:jc w:val="both"/>
        <w:rPr>
          <w:rFonts w:cstheme="minorHAnsi"/>
          <w:sz w:val="21"/>
          <w:szCs w:val="21"/>
        </w:rPr>
      </w:pPr>
      <w:r w:rsidRPr="004223DE">
        <w:rPr>
          <w:rFonts w:cstheme="minorHAnsi"/>
          <w:sz w:val="21"/>
          <w:szCs w:val="21"/>
        </w:rPr>
        <w:t xml:space="preserve">The Bank </w:t>
      </w:r>
      <w:r w:rsidR="001D7415" w:rsidRPr="004223DE">
        <w:rPr>
          <w:rFonts w:cstheme="minorHAnsi"/>
          <w:sz w:val="21"/>
          <w:szCs w:val="21"/>
        </w:rPr>
        <w:t xml:space="preserve">successfully issued </w:t>
      </w:r>
      <w:r w:rsidR="00851D18">
        <w:rPr>
          <w:rFonts w:cstheme="minorHAnsi"/>
          <w:sz w:val="21"/>
          <w:szCs w:val="21"/>
        </w:rPr>
        <w:t xml:space="preserve">its </w:t>
      </w:r>
      <w:r w:rsidR="00FF6471" w:rsidRPr="004223DE">
        <w:rPr>
          <w:rFonts w:cstheme="minorHAnsi"/>
          <w:sz w:val="21"/>
          <w:szCs w:val="21"/>
        </w:rPr>
        <w:t xml:space="preserve">inaugural Green </w:t>
      </w:r>
      <w:r w:rsidR="00623C28">
        <w:rPr>
          <w:rFonts w:cstheme="minorHAnsi"/>
          <w:sz w:val="21"/>
          <w:szCs w:val="21"/>
        </w:rPr>
        <w:t xml:space="preserve">HoldCo </w:t>
      </w:r>
      <w:r w:rsidR="00FF6471" w:rsidRPr="004223DE">
        <w:rPr>
          <w:rFonts w:cstheme="minorHAnsi"/>
          <w:sz w:val="21"/>
          <w:szCs w:val="21"/>
        </w:rPr>
        <w:t xml:space="preserve">Senior </w:t>
      </w:r>
      <w:r w:rsidR="00623C28">
        <w:rPr>
          <w:rFonts w:cstheme="minorHAnsi"/>
          <w:sz w:val="21"/>
          <w:szCs w:val="21"/>
        </w:rPr>
        <w:t xml:space="preserve">MREL eligible notes </w:t>
      </w:r>
      <w:r w:rsidR="00FF6471" w:rsidRPr="004223DE">
        <w:rPr>
          <w:rFonts w:cstheme="minorHAnsi"/>
          <w:sz w:val="21"/>
          <w:szCs w:val="21"/>
        </w:rPr>
        <w:t xml:space="preserve">of </w:t>
      </w:r>
      <w:r w:rsidR="001D7415" w:rsidRPr="004223DE">
        <w:rPr>
          <w:rFonts w:cstheme="minorHAnsi"/>
          <w:sz w:val="21"/>
          <w:szCs w:val="21"/>
        </w:rPr>
        <w:t xml:space="preserve">€500 million in April 2024, with </w:t>
      </w:r>
      <w:r w:rsidR="00623C28">
        <w:rPr>
          <w:rFonts w:cstheme="minorHAnsi"/>
          <w:sz w:val="21"/>
          <w:szCs w:val="21"/>
        </w:rPr>
        <w:t xml:space="preserve">an </w:t>
      </w:r>
      <w:r w:rsidR="001D7415" w:rsidRPr="004223DE">
        <w:rPr>
          <w:rFonts w:cstheme="minorHAnsi"/>
          <w:sz w:val="21"/>
          <w:szCs w:val="21"/>
        </w:rPr>
        <w:t>order book larger than any previous issuance a</w:t>
      </w:r>
      <w:r w:rsidR="001777E8">
        <w:rPr>
          <w:rFonts w:cstheme="minorHAnsi"/>
          <w:sz w:val="21"/>
          <w:szCs w:val="21"/>
        </w:rPr>
        <w:t>t</w:t>
      </w:r>
      <w:r w:rsidR="001D7415" w:rsidRPr="004223DE">
        <w:rPr>
          <w:rFonts w:cstheme="minorHAnsi"/>
          <w:sz w:val="21"/>
          <w:szCs w:val="21"/>
        </w:rPr>
        <w:t xml:space="preserve"> </w:t>
      </w:r>
      <w:r w:rsidR="00A1653D">
        <w:rPr>
          <w:rFonts w:cstheme="minorHAnsi"/>
          <w:sz w:val="21"/>
          <w:szCs w:val="21"/>
        </w:rPr>
        <w:t xml:space="preserve">c. </w:t>
      </w:r>
      <w:r w:rsidR="001D7415" w:rsidRPr="004223DE">
        <w:rPr>
          <w:rFonts w:cstheme="minorHAnsi"/>
          <w:sz w:val="21"/>
          <w:szCs w:val="21"/>
        </w:rPr>
        <w:t xml:space="preserve">4 </w:t>
      </w:r>
      <w:r w:rsidR="00851D18">
        <w:rPr>
          <w:rFonts w:cstheme="minorHAnsi"/>
          <w:sz w:val="21"/>
          <w:szCs w:val="21"/>
        </w:rPr>
        <w:t>times</w:t>
      </w:r>
      <w:r w:rsidR="001D7415" w:rsidRPr="004223DE">
        <w:rPr>
          <w:rFonts w:cstheme="minorHAnsi"/>
          <w:sz w:val="21"/>
          <w:szCs w:val="21"/>
        </w:rPr>
        <w:t xml:space="preserve"> over-</w:t>
      </w:r>
      <w:r w:rsidR="00FD2FD7" w:rsidRPr="004223DE">
        <w:rPr>
          <w:rFonts w:cstheme="minorHAnsi"/>
          <w:sz w:val="21"/>
          <w:szCs w:val="21"/>
        </w:rPr>
        <w:t>subscribed</w:t>
      </w:r>
      <w:r w:rsidR="00FD2FD7">
        <w:rPr>
          <w:rFonts w:cstheme="minorHAnsi"/>
          <w:sz w:val="21"/>
          <w:szCs w:val="21"/>
        </w:rPr>
        <w:t xml:space="preserve"> and</w:t>
      </w:r>
      <w:r w:rsidR="001777E8">
        <w:rPr>
          <w:rFonts w:cstheme="minorHAnsi"/>
          <w:sz w:val="21"/>
          <w:szCs w:val="21"/>
        </w:rPr>
        <w:t xml:space="preserve"> </w:t>
      </w:r>
      <w:r w:rsidR="00C97778">
        <w:rPr>
          <w:rFonts w:cstheme="minorHAnsi"/>
          <w:sz w:val="21"/>
          <w:szCs w:val="21"/>
        </w:rPr>
        <w:t xml:space="preserve">leading to </w:t>
      </w:r>
      <w:r w:rsidR="001777E8">
        <w:rPr>
          <w:rFonts w:cstheme="minorHAnsi"/>
          <w:sz w:val="21"/>
          <w:szCs w:val="21"/>
        </w:rPr>
        <w:t xml:space="preserve">a 190bps </w:t>
      </w:r>
      <w:r w:rsidR="00C97778">
        <w:rPr>
          <w:rFonts w:cstheme="minorHAnsi"/>
          <w:sz w:val="21"/>
          <w:szCs w:val="21"/>
        </w:rPr>
        <w:t xml:space="preserve">reduction </w:t>
      </w:r>
      <w:r w:rsidR="007B3E51">
        <w:rPr>
          <w:rFonts w:cstheme="minorHAnsi"/>
          <w:sz w:val="21"/>
          <w:szCs w:val="21"/>
        </w:rPr>
        <w:t xml:space="preserve">in margin </w:t>
      </w:r>
      <w:r w:rsidR="00C97778">
        <w:rPr>
          <w:rFonts w:cstheme="minorHAnsi"/>
          <w:sz w:val="21"/>
          <w:szCs w:val="21"/>
        </w:rPr>
        <w:t>from the</w:t>
      </w:r>
      <w:r w:rsidR="001777E8">
        <w:rPr>
          <w:rFonts w:cstheme="minorHAnsi"/>
          <w:sz w:val="21"/>
          <w:szCs w:val="21"/>
        </w:rPr>
        <w:t xml:space="preserve"> previous issuance.</w:t>
      </w:r>
    </w:p>
    <w:p w14:paraId="7813FE8A" w14:textId="185FAB8E" w:rsidR="0028004A" w:rsidRPr="004223DE" w:rsidRDefault="007F0691" w:rsidP="001D7415">
      <w:pPr>
        <w:pStyle w:val="ListParagraph"/>
        <w:numPr>
          <w:ilvl w:val="0"/>
          <w:numId w:val="21"/>
        </w:numPr>
        <w:spacing w:before="120" w:after="120"/>
        <w:ind w:right="284"/>
        <w:jc w:val="both"/>
        <w:rPr>
          <w:rFonts w:cstheme="minorHAnsi"/>
          <w:sz w:val="21"/>
          <w:szCs w:val="21"/>
        </w:rPr>
      </w:pPr>
      <w:r w:rsidRPr="004223DE">
        <w:rPr>
          <w:rFonts w:cstheme="minorHAnsi"/>
          <w:sz w:val="21"/>
          <w:szCs w:val="21"/>
        </w:rPr>
        <w:t>The o</w:t>
      </w:r>
      <w:r w:rsidR="0028004A" w:rsidRPr="004223DE">
        <w:rPr>
          <w:rFonts w:cstheme="minorHAnsi"/>
          <w:sz w:val="21"/>
          <w:szCs w:val="21"/>
        </w:rPr>
        <w:t>ngoing review of the IRB mortgage models is progressing in line with previously communicated timelines; outcome expected by end-2025</w:t>
      </w:r>
      <w:r w:rsidR="00BA70FB" w:rsidRPr="004223DE">
        <w:rPr>
          <w:rFonts w:cstheme="minorHAnsi"/>
          <w:sz w:val="21"/>
          <w:szCs w:val="21"/>
        </w:rPr>
        <w:t>.</w:t>
      </w:r>
    </w:p>
    <w:p w14:paraId="12A670BA" w14:textId="0A2040A3" w:rsidR="0037160B" w:rsidRPr="004223DE" w:rsidRDefault="0037160B" w:rsidP="00125C9E">
      <w:pPr>
        <w:spacing w:before="240" w:after="120"/>
        <w:ind w:right="284"/>
        <w:jc w:val="both"/>
        <w:rPr>
          <w:rFonts w:cstheme="minorHAnsi"/>
          <w:b/>
          <w:sz w:val="21"/>
          <w:szCs w:val="21"/>
        </w:rPr>
      </w:pPr>
      <w:r w:rsidRPr="004223DE">
        <w:rPr>
          <w:rFonts w:cstheme="minorHAnsi"/>
          <w:b/>
          <w:sz w:val="21"/>
          <w:szCs w:val="21"/>
        </w:rPr>
        <w:t>Business Performance</w:t>
      </w:r>
    </w:p>
    <w:p w14:paraId="2DE322F6" w14:textId="77777777" w:rsidR="00E311E1" w:rsidRPr="004223DE" w:rsidRDefault="00B637CB" w:rsidP="00125C9E">
      <w:pPr>
        <w:spacing w:before="240" w:after="120"/>
        <w:ind w:right="284"/>
        <w:jc w:val="both"/>
        <w:rPr>
          <w:rFonts w:cstheme="minorHAnsi"/>
          <w:sz w:val="21"/>
          <w:szCs w:val="21"/>
        </w:rPr>
      </w:pPr>
      <w:r w:rsidRPr="004223DE">
        <w:rPr>
          <w:rFonts w:cstheme="minorHAnsi"/>
          <w:b/>
          <w:sz w:val="21"/>
          <w:szCs w:val="21"/>
        </w:rPr>
        <w:t>Deposits</w:t>
      </w:r>
      <w:r w:rsidRPr="004223DE">
        <w:rPr>
          <w:rFonts w:cstheme="minorHAnsi"/>
          <w:sz w:val="21"/>
          <w:szCs w:val="21"/>
        </w:rPr>
        <w:t>:</w:t>
      </w:r>
    </w:p>
    <w:p w14:paraId="7231E903" w14:textId="2568500A" w:rsidR="00C97778" w:rsidRPr="00C97778" w:rsidRDefault="00E311E1" w:rsidP="00E311E1">
      <w:pPr>
        <w:spacing w:before="120" w:after="120"/>
        <w:ind w:right="284"/>
        <w:jc w:val="both"/>
        <w:rPr>
          <w:rFonts w:cstheme="minorHAnsi"/>
          <w:color w:val="FF0000"/>
          <w:sz w:val="21"/>
          <w:szCs w:val="21"/>
        </w:rPr>
      </w:pPr>
      <w:bookmarkStart w:id="2" w:name="_Hlk172625242"/>
      <w:r w:rsidRPr="004223DE">
        <w:rPr>
          <w:rFonts w:cstheme="minorHAnsi"/>
          <w:sz w:val="21"/>
          <w:szCs w:val="21"/>
        </w:rPr>
        <w:t xml:space="preserve">The Bank </w:t>
      </w:r>
      <w:r w:rsidR="00125C9E" w:rsidRPr="004223DE">
        <w:rPr>
          <w:rFonts w:cstheme="minorHAnsi"/>
          <w:sz w:val="21"/>
          <w:szCs w:val="21"/>
        </w:rPr>
        <w:t xml:space="preserve">has continued its strong focus on </w:t>
      </w:r>
      <w:r w:rsidRPr="004223DE">
        <w:rPr>
          <w:rFonts w:cstheme="minorHAnsi"/>
          <w:sz w:val="21"/>
          <w:szCs w:val="21"/>
        </w:rPr>
        <w:t>acquiring and retaining customer deposits</w:t>
      </w:r>
      <w:r w:rsidR="00125C9E" w:rsidRPr="004223DE">
        <w:rPr>
          <w:rFonts w:cstheme="minorHAnsi"/>
          <w:sz w:val="21"/>
          <w:szCs w:val="21"/>
        </w:rPr>
        <w:t xml:space="preserve"> in the first half of the year</w:t>
      </w:r>
      <w:r w:rsidRPr="004223DE">
        <w:rPr>
          <w:rFonts w:cstheme="minorHAnsi"/>
          <w:sz w:val="21"/>
          <w:szCs w:val="21"/>
        </w:rPr>
        <w:t>,</w:t>
      </w:r>
      <w:r w:rsidR="001777E8">
        <w:rPr>
          <w:rFonts w:cstheme="minorHAnsi"/>
          <w:sz w:val="21"/>
          <w:szCs w:val="21"/>
        </w:rPr>
        <w:t xml:space="preserve"> with growth of €0.6 billion since December 2023</w:t>
      </w:r>
      <w:r w:rsidR="00467D76">
        <w:rPr>
          <w:rFonts w:cstheme="minorHAnsi"/>
          <w:sz w:val="21"/>
          <w:szCs w:val="21"/>
        </w:rPr>
        <w:t xml:space="preserve">, </w:t>
      </w:r>
      <w:r w:rsidR="00C97778" w:rsidRPr="004223DE">
        <w:rPr>
          <w:rFonts w:cstheme="minorHAnsi"/>
          <w:sz w:val="21"/>
          <w:szCs w:val="21"/>
        </w:rPr>
        <w:t>primarily due to a c. 4% increase in retail deposit balances to €12.9 billion. Current account balances of €9.</w:t>
      </w:r>
      <w:r w:rsidR="00C97778">
        <w:rPr>
          <w:rFonts w:cstheme="minorHAnsi"/>
          <w:sz w:val="21"/>
          <w:szCs w:val="21"/>
        </w:rPr>
        <w:t>3</w:t>
      </w:r>
      <w:r w:rsidR="00C97778" w:rsidRPr="004223DE">
        <w:rPr>
          <w:rFonts w:cstheme="minorHAnsi"/>
          <w:sz w:val="21"/>
          <w:szCs w:val="21"/>
        </w:rPr>
        <w:t xml:space="preserve"> billion are broadly in line with 31 December 2023. Interest</w:t>
      </w:r>
      <w:r w:rsidR="00323D6F">
        <w:rPr>
          <w:rFonts w:cstheme="minorHAnsi"/>
          <w:sz w:val="21"/>
          <w:szCs w:val="21"/>
        </w:rPr>
        <w:t>-</w:t>
      </w:r>
      <w:r w:rsidR="00C97778" w:rsidRPr="004223DE">
        <w:rPr>
          <w:rFonts w:cstheme="minorHAnsi"/>
          <w:sz w:val="21"/>
          <w:szCs w:val="21"/>
        </w:rPr>
        <w:t>bearing deposits</w:t>
      </w:r>
      <w:r w:rsidR="00C97778" w:rsidRPr="004223DE">
        <w:rPr>
          <w:rStyle w:val="FootnoteReference"/>
          <w:rFonts w:cstheme="minorHAnsi"/>
          <w:sz w:val="21"/>
          <w:szCs w:val="21"/>
        </w:rPr>
        <w:footnoteReference w:id="5"/>
      </w:r>
      <w:r w:rsidR="00C97778" w:rsidRPr="004223DE">
        <w:rPr>
          <w:rFonts w:cstheme="minorHAnsi"/>
          <w:sz w:val="21"/>
          <w:szCs w:val="21"/>
        </w:rPr>
        <w:t xml:space="preserve"> grew by €1.1 billion or 2</w:t>
      </w:r>
      <w:r w:rsidR="00442BEA">
        <w:rPr>
          <w:rFonts w:cstheme="minorHAnsi"/>
          <w:sz w:val="21"/>
          <w:szCs w:val="21"/>
        </w:rPr>
        <w:t>1</w:t>
      </w:r>
      <w:r w:rsidR="00C97778" w:rsidRPr="004223DE">
        <w:rPr>
          <w:rFonts w:cstheme="minorHAnsi"/>
          <w:sz w:val="21"/>
          <w:szCs w:val="21"/>
        </w:rPr>
        <w:t>% since 31 December 2023 while non-interest-bearing deposits reduced by €0.5 billion or 3%.</w:t>
      </w:r>
    </w:p>
    <w:p w14:paraId="62FEE4F9" w14:textId="34747A18" w:rsidR="00584673" w:rsidRDefault="00584673" w:rsidP="00584673">
      <w:pPr>
        <w:spacing w:before="120" w:after="120"/>
        <w:ind w:right="284"/>
        <w:jc w:val="both"/>
        <w:rPr>
          <w:rFonts w:cstheme="minorHAnsi"/>
          <w:sz w:val="21"/>
          <w:szCs w:val="21"/>
        </w:rPr>
      </w:pPr>
      <w:bookmarkStart w:id="3" w:name="_Hlk172625101"/>
      <w:r>
        <w:rPr>
          <w:rFonts w:cstheme="minorHAnsi"/>
          <w:sz w:val="21"/>
          <w:szCs w:val="21"/>
        </w:rPr>
        <w:t>The Bank is offering both business and personal customers much</w:t>
      </w:r>
      <w:r w:rsidR="00AE5340">
        <w:rPr>
          <w:rFonts w:cstheme="minorHAnsi"/>
          <w:sz w:val="21"/>
          <w:szCs w:val="21"/>
        </w:rPr>
        <w:t xml:space="preserve"> </w:t>
      </w:r>
      <w:r>
        <w:rPr>
          <w:rFonts w:cstheme="minorHAnsi"/>
          <w:sz w:val="21"/>
          <w:szCs w:val="21"/>
        </w:rPr>
        <w:t xml:space="preserve">needed choice in the Irish </w:t>
      </w:r>
      <w:r w:rsidR="00AE5340">
        <w:rPr>
          <w:rFonts w:cstheme="minorHAnsi"/>
          <w:sz w:val="21"/>
          <w:szCs w:val="21"/>
        </w:rPr>
        <w:t>d</w:t>
      </w:r>
      <w:r>
        <w:rPr>
          <w:rFonts w:cstheme="minorHAnsi"/>
          <w:sz w:val="21"/>
          <w:szCs w:val="21"/>
        </w:rPr>
        <w:t xml:space="preserve">eposit market. In recognition of demand for shorter-term products, the Bank launched a new 32-day notice deposit product to business customers, along with announcing rate increases </w:t>
      </w:r>
      <w:r w:rsidR="00AE5340">
        <w:rPr>
          <w:rFonts w:cstheme="minorHAnsi"/>
          <w:sz w:val="21"/>
          <w:szCs w:val="21"/>
        </w:rPr>
        <w:t xml:space="preserve">for personal customers </w:t>
      </w:r>
      <w:r>
        <w:rPr>
          <w:rFonts w:cstheme="minorHAnsi"/>
          <w:sz w:val="21"/>
          <w:szCs w:val="21"/>
        </w:rPr>
        <w:t>which includes market-leading six-month and one-year fixed term deposit products</w:t>
      </w:r>
      <w:r w:rsidR="00AE5340">
        <w:rPr>
          <w:rFonts w:cstheme="minorHAnsi"/>
          <w:sz w:val="21"/>
          <w:szCs w:val="21"/>
        </w:rPr>
        <w:t>.</w:t>
      </w:r>
    </w:p>
    <w:bookmarkEnd w:id="3"/>
    <w:bookmarkEnd w:id="2"/>
    <w:p w14:paraId="16AC5F3E" w14:textId="00F53D94" w:rsidR="00584673" w:rsidRPr="00C97778" w:rsidRDefault="00584673" w:rsidP="00584673">
      <w:pPr>
        <w:spacing w:before="120" w:after="120"/>
        <w:ind w:right="284"/>
        <w:jc w:val="both"/>
        <w:rPr>
          <w:rFonts w:cstheme="minorHAnsi"/>
          <w:sz w:val="21"/>
          <w:szCs w:val="21"/>
        </w:rPr>
      </w:pPr>
      <w:r>
        <w:rPr>
          <w:rFonts w:cstheme="minorHAnsi"/>
          <w:sz w:val="21"/>
          <w:szCs w:val="21"/>
        </w:rPr>
        <w:t>Building on this, t</w:t>
      </w:r>
      <w:r w:rsidRPr="004223DE">
        <w:rPr>
          <w:rFonts w:cstheme="minorHAnsi"/>
          <w:sz w:val="21"/>
          <w:szCs w:val="21"/>
        </w:rPr>
        <w:t>he Bank</w:t>
      </w:r>
      <w:r>
        <w:rPr>
          <w:rFonts w:cstheme="minorHAnsi"/>
          <w:sz w:val="21"/>
          <w:szCs w:val="21"/>
        </w:rPr>
        <w:t xml:space="preserve"> </w:t>
      </w:r>
      <w:r w:rsidRPr="004223DE">
        <w:rPr>
          <w:rFonts w:cstheme="minorHAnsi"/>
          <w:sz w:val="21"/>
          <w:szCs w:val="21"/>
        </w:rPr>
        <w:t xml:space="preserve">launched </w:t>
      </w:r>
      <w:r>
        <w:rPr>
          <w:rFonts w:cstheme="minorHAnsi"/>
          <w:sz w:val="21"/>
          <w:szCs w:val="21"/>
        </w:rPr>
        <w:t>its</w:t>
      </w:r>
      <w:r w:rsidRPr="004223DE">
        <w:rPr>
          <w:rFonts w:cstheme="minorHAnsi"/>
          <w:sz w:val="21"/>
          <w:szCs w:val="21"/>
        </w:rPr>
        <w:t xml:space="preserve"> Interest First Fixed Term</w:t>
      </w:r>
      <w:r>
        <w:rPr>
          <w:rFonts w:cstheme="minorHAnsi"/>
          <w:sz w:val="21"/>
          <w:szCs w:val="21"/>
        </w:rPr>
        <w:t xml:space="preserve"> deposit product </w:t>
      </w:r>
      <w:r w:rsidRPr="004223DE">
        <w:rPr>
          <w:rFonts w:cstheme="minorHAnsi"/>
          <w:sz w:val="21"/>
          <w:szCs w:val="21"/>
        </w:rPr>
        <w:t>in Jun</w:t>
      </w:r>
      <w:r w:rsidR="00AE5340">
        <w:rPr>
          <w:rFonts w:cstheme="minorHAnsi"/>
          <w:sz w:val="21"/>
          <w:szCs w:val="21"/>
        </w:rPr>
        <w:t>e 20</w:t>
      </w:r>
      <w:r w:rsidRPr="004223DE">
        <w:rPr>
          <w:rFonts w:cstheme="minorHAnsi"/>
          <w:sz w:val="21"/>
          <w:szCs w:val="21"/>
        </w:rPr>
        <w:t>24, with</w:t>
      </w:r>
      <w:r>
        <w:rPr>
          <w:rFonts w:cstheme="minorHAnsi"/>
          <w:sz w:val="21"/>
          <w:szCs w:val="21"/>
        </w:rPr>
        <w:t xml:space="preserve"> a one-y</w:t>
      </w:r>
      <w:r w:rsidRPr="004223DE">
        <w:rPr>
          <w:rFonts w:cstheme="minorHAnsi"/>
          <w:sz w:val="21"/>
          <w:szCs w:val="21"/>
        </w:rPr>
        <w:t xml:space="preserve">ear Term for balances in excess of €5k, offering </w:t>
      </w:r>
      <w:r>
        <w:rPr>
          <w:rFonts w:cstheme="minorHAnsi"/>
          <w:sz w:val="21"/>
          <w:szCs w:val="21"/>
        </w:rPr>
        <w:t xml:space="preserve">a </w:t>
      </w:r>
      <w:r w:rsidRPr="004223DE">
        <w:rPr>
          <w:rFonts w:cstheme="minorHAnsi"/>
          <w:sz w:val="21"/>
          <w:szCs w:val="21"/>
        </w:rPr>
        <w:t>2.75% return</w:t>
      </w:r>
      <w:r>
        <w:rPr>
          <w:rFonts w:cstheme="minorHAnsi"/>
          <w:sz w:val="21"/>
          <w:szCs w:val="21"/>
        </w:rPr>
        <w:t xml:space="preserve">. </w:t>
      </w:r>
      <w:r w:rsidRPr="00AE32B5">
        <w:rPr>
          <w:rFonts w:cstheme="minorHAnsi"/>
          <w:sz w:val="21"/>
          <w:szCs w:val="21"/>
        </w:rPr>
        <w:t>Th</w:t>
      </w:r>
      <w:r w:rsidR="00AE5340">
        <w:rPr>
          <w:rFonts w:cstheme="minorHAnsi"/>
          <w:sz w:val="21"/>
          <w:szCs w:val="21"/>
        </w:rPr>
        <w:t>is</w:t>
      </w:r>
      <w:r w:rsidRPr="00AE32B5">
        <w:rPr>
          <w:rFonts w:cstheme="minorHAnsi"/>
          <w:sz w:val="21"/>
          <w:szCs w:val="21"/>
        </w:rPr>
        <w:t xml:space="preserve"> product is unique in the Irish market </w:t>
      </w:r>
      <w:r w:rsidR="00AE5340">
        <w:rPr>
          <w:rFonts w:cstheme="minorHAnsi"/>
          <w:sz w:val="21"/>
          <w:szCs w:val="21"/>
        </w:rPr>
        <w:t>as</w:t>
      </w:r>
      <w:r w:rsidRPr="00AE32B5">
        <w:rPr>
          <w:rFonts w:cstheme="minorHAnsi"/>
          <w:sz w:val="21"/>
          <w:szCs w:val="21"/>
        </w:rPr>
        <w:t xml:space="preserve"> customers can receive their interest upfront as a lump sum, within the first month of opening the account, instead of waiting until the end of the </w:t>
      </w:r>
      <w:r>
        <w:rPr>
          <w:rFonts w:cstheme="minorHAnsi"/>
          <w:sz w:val="21"/>
          <w:szCs w:val="21"/>
        </w:rPr>
        <w:t>one</w:t>
      </w:r>
      <w:r w:rsidRPr="00AE32B5">
        <w:rPr>
          <w:rFonts w:cstheme="minorHAnsi"/>
          <w:sz w:val="21"/>
          <w:szCs w:val="21"/>
        </w:rPr>
        <w:t>-year fixed term</w:t>
      </w:r>
      <w:r>
        <w:rPr>
          <w:rFonts w:cstheme="minorHAnsi"/>
          <w:sz w:val="21"/>
          <w:szCs w:val="21"/>
        </w:rPr>
        <w:t>.</w:t>
      </w:r>
    </w:p>
    <w:p w14:paraId="1E5A8720" w14:textId="77777777" w:rsidR="008400BA" w:rsidRDefault="008400BA" w:rsidP="00125C9E">
      <w:pPr>
        <w:spacing w:before="240" w:after="120"/>
        <w:ind w:right="284"/>
        <w:jc w:val="both"/>
        <w:rPr>
          <w:rFonts w:cstheme="minorHAnsi"/>
          <w:b/>
          <w:sz w:val="21"/>
          <w:szCs w:val="21"/>
        </w:rPr>
      </w:pPr>
    </w:p>
    <w:p w14:paraId="7B88A0FF" w14:textId="537082E6" w:rsidR="00C10FAE" w:rsidRPr="004223DE" w:rsidRDefault="000E428D" w:rsidP="00125C9E">
      <w:pPr>
        <w:spacing w:before="240" w:after="120"/>
        <w:ind w:right="284"/>
        <w:jc w:val="both"/>
        <w:rPr>
          <w:rFonts w:cstheme="minorHAnsi"/>
          <w:b/>
          <w:sz w:val="21"/>
          <w:szCs w:val="21"/>
        </w:rPr>
      </w:pPr>
      <w:r w:rsidRPr="004223DE">
        <w:rPr>
          <w:rFonts w:cstheme="minorHAnsi"/>
          <w:b/>
          <w:sz w:val="21"/>
          <w:szCs w:val="21"/>
        </w:rPr>
        <w:t>Business Banking</w:t>
      </w:r>
      <w:r w:rsidR="00C10FAE" w:rsidRPr="004223DE">
        <w:rPr>
          <w:rFonts w:cstheme="minorHAnsi"/>
          <w:b/>
          <w:sz w:val="21"/>
          <w:szCs w:val="21"/>
        </w:rPr>
        <w:t>:</w:t>
      </w:r>
    </w:p>
    <w:p w14:paraId="70A93180" w14:textId="65E3EC1E" w:rsidR="000A4823" w:rsidRDefault="000A4823" w:rsidP="000A4823">
      <w:pPr>
        <w:spacing w:before="120" w:after="120"/>
        <w:ind w:right="284"/>
        <w:jc w:val="both"/>
        <w:rPr>
          <w:rFonts w:cstheme="minorHAnsi"/>
          <w:sz w:val="21"/>
          <w:szCs w:val="21"/>
        </w:rPr>
      </w:pPr>
      <w:r w:rsidRPr="004223DE">
        <w:rPr>
          <w:rFonts w:cstheme="minorHAnsi"/>
          <w:sz w:val="21"/>
          <w:szCs w:val="21"/>
        </w:rPr>
        <w:lastRenderedPageBreak/>
        <w:t>The Bank is pleased with its Business Banking performance in the first half of the year, with</w:t>
      </w:r>
      <w:r w:rsidR="00AE5340">
        <w:rPr>
          <w:rFonts w:cstheme="minorHAnsi"/>
          <w:sz w:val="21"/>
          <w:szCs w:val="21"/>
        </w:rPr>
        <w:t xml:space="preserve"> new</w:t>
      </w:r>
      <w:r w:rsidRPr="004223DE">
        <w:rPr>
          <w:rFonts w:cstheme="minorHAnsi"/>
          <w:sz w:val="21"/>
          <w:szCs w:val="21"/>
        </w:rPr>
        <w:t xml:space="preserve"> </w:t>
      </w:r>
      <w:r w:rsidRPr="00B83574">
        <w:rPr>
          <w:rFonts w:cstheme="minorHAnsi"/>
          <w:sz w:val="21"/>
          <w:szCs w:val="21"/>
        </w:rPr>
        <w:t xml:space="preserve">SME lending of €63 million </w:t>
      </w:r>
      <w:r w:rsidR="00AE5340">
        <w:rPr>
          <w:rFonts w:cstheme="minorHAnsi"/>
          <w:sz w:val="21"/>
          <w:szCs w:val="21"/>
        </w:rPr>
        <w:t>increasing by</w:t>
      </w:r>
      <w:r w:rsidRPr="00B83574">
        <w:rPr>
          <w:rFonts w:cstheme="minorHAnsi"/>
          <w:sz w:val="21"/>
          <w:szCs w:val="21"/>
        </w:rPr>
        <w:t xml:space="preserve"> 5% versus H1’23</w:t>
      </w:r>
      <w:r>
        <w:rPr>
          <w:rFonts w:cstheme="minorHAnsi"/>
          <w:sz w:val="21"/>
          <w:szCs w:val="21"/>
        </w:rPr>
        <w:t xml:space="preserve"> with a strong pipeline for the remainder of the year. Since its acquisition in July 2023, </w:t>
      </w:r>
      <w:r w:rsidRPr="00B83574">
        <w:rPr>
          <w:rFonts w:cstheme="minorHAnsi"/>
          <w:sz w:val="21"/>
          <w:szCs w:val="21"/>
        </w:rPr>
        <w:t>Asset Finance has perform</w:t>
      </w:r>
      <w:r>
        <w:rPr>
          <w:rFonts w:cstheme="minorHAnsi"/>
          <w:sz w:val="21"/>
          <w:szCs w:val="21"/>
        </w:rPr>
        <w:t>ed</w:t>
      </w:r>
      <w:r w:rsidRPr="00B83574">
        <w:rPr>
          <w:rFonts w:cstheme="minorHAnsi"/>
          <w:sz w:val="21"/>
          <w:szCs w:val="21"/>
        </w:rPr>
        <w:t xml:space="preserve"> strongly with new lending of €117 million</w:t>
      </w:r>
      <w:r>
        <w:rPr>
          <w:rFonts w:cstheme="minorHAnsi"/>
          <w:sz w:val="21"/>
          <w:szCs w:val="21"/>
        </w:rPr>
        <w:t xml:space="preserve"> in H1’24</w:t>
      </w:r>
      <w:r w:rsidRPr="00B83574">
        <w:rPr>
          <w:rFonts w:cstheme="minorHAnsi"/>
          <w:sz w:val="21"/>
          <w:szCs w:val="21"/>
        </w:rPr>
        <w:t xml:space="preserve">, an increase of </w:t>
      </w:r>
      <w:r w:rsidR="005829CA">
        <w:rPr>
          <w:rFonts w:cstheme="minorHAnsi"/>
          <w:sz w:val="21"/>
          <w:szCs w:val="21"/>
        </w:rPr>
        <w:t>24</w:t>
      </w:r>
      <w:r w:rsidRPr="00B83574">
        <w:rPr>
          <w:rFonts w:cstheme="minorHAnsi"/>
          <w:sz w:val="21"/>
          <w:szCs w:val="21"/>
        </w:rPr>
        <w:t>% (€</w:t>
      </w:r>
      <w:r w:rsidR="005829CA">
        <w:rPr>
          <w:rFonts w:cstheme="minorHAnsi"/>
          <w:sz w:val="21"/>
          <w:szCs w:val="21"/>
        </w:rPr>
        <w:t>23</w:t>
      </w:r>
      <w:r w:rsidRPr="00B83574">
        <w:rPr>
          <w:rFonts w:cstheme="minorHAnsi"/>
          <w:sz w:val="21"/>
          <w:szCs w:val="21"/>
        </w:rPr>
        <w:t xml:space="preserve"> million) versus </w:t>
      </w:r>
      <w:r>
        <w:rPr>
          <w:rFonts w:cstheme="minorHAnsi"/>
          <w:sz w:val="21"/>
          <w:szCs w:val="21"/>
        </w:rPr>
        <w:t>H2’23.</w:t>
      </w:r>
      <w:r w:rsidR="00584673">
        <w:rPr>
          <w:rFonts w:cstheme="minorHAnsi"/>
          <w:sz w:val="21"/>
          <w:szCs w:val="21"/>
        </w:rPr>
        <w:t xml:space="preserve"> </w:t>
      </w:r>
    </w:p>
    <w:p w14:paraId="25DCDD95" w14:textId="0B35F895" w:rsidR="000A4823" w:rsidRPr="004223DE" w:rsidRDefault="000A4823" w:rsidP="000A4823">
      <w:pPr>
        <w:spacing w:before="120" w:after="120"/>
        <w:ind w:right="284"/>
        <w:jc w:val="both"/>
        <w:rPr>
          <w:rFonts w:cstheme="minorHAnsi"/>
          <w:sz w:val="21"/>
          <w:szCs w:val="21"/>
        </w:rPr>
      </w:pPr>
      <w:r>
        <w:rPr>
          <w:rFonts w:cstheme="minorHAnsi"/>
          <w:sz w:val="21"/>
          <w:szCs w:val="21"/>
        </w:rPr>
        <w:t>W</w:t>
      </w:r>
      <w:r w:rsidRPr="000D6A32">
        <w:rPr>
          <w:rFonts w:cstheme="minorHAnsi"/>
          <w:sz w:val="21"/>
          <w:szCs w:val="21"/>
        </w:rPr>
        <w:t xml:space="preserve">e were also delighted to extend our </w:t>
      </w:r>
      <w:r w:rsidR="00584673">
        <w:rPr>
          <w:rFonts w:cstheme="minorHAnsi"/>
          <w:sz w:val="21"/>
          <w:szCs w:val="21"/>
        </w:rPr>
        <w:t>B</w:t>
      </w:r>
      <w:r w:rsidRPr="000D6A32">
        <w:rPr>
          <w:rFonts w:cstheme="minorHAnsi"/>
          <w:sz w:val="21"/>
          <w:szCs w:val="21"/>
        </w:rPr>
        <w:t xml:space="preserve">usiness </w:t>
      </w:r>
      <w:r w:rsidR="00584673">
        <w:rPr>
          <w:rFonts w:cstheme="minorHAnsi"/>
          <w:sz w:val="21"/>
          <w:szCs w:val="21"/>
        </w:rPr>
        <w:t>B</w:t>
      </w:r>
      <w:r w:rsidRPr="000D6A32">
        <w:rPr>
          <w:rFonts w:cstheme="minorHAnsi"/>
          <w:sz w:val="21"/>
          <w:szCs w:val="21"/>
        </w:rPr>
        <w:t>anking offering by joining the S</w:t>
      </w:r>
      <w:r>
        <w:rPr>
          <w:rFonts w:cstheme="minorHAnsi"/>
          <w:sz w:val="21"/>
          <w:szCs w:val="21"/>
        </w:rPr>
        <w:t xml:space="preserve">trategic </w:t>
      </w:r>
      <w:r w:rsidRPr="000D6A32">
        <w:rPr>
          <w:rFonts w:cstheme="minorHAnsi"/>
          <w:sz w:val="21"/>
          <w:szCs w:val="21"/>
        </w:rPr>
        <w:t>B</w:t>
      </w:r>
      <w:r>
        <w:rPr>
          <w:rFonts w:cstheme="minorHAnsi"/>
          <w:sz w:val="21"/>
          <w:szCs w:val="21"/>
        </w:rPr>
        <w:t xml:space="preserve">anking </w:t>
      </w:r>
      <w:r w:rsidRPr="000D6A32">
        <w:rPr>
          <w:rFonts w:cstheme="minorHAnsi"/>
          <w:sz w:val="21"/>
          <w:szCs w:val="21"/>
        </w:rPr>
        <w:t>C</w:t>
      </w:r>
      <w:r>
        <w:rPr>
          <w:rFonts w:cstheme="minorHAnsi"/>
          <w:sz w:val="21"/>
          <w:szCs w:val="21"/>
        </w:rPr>
        <w:t xml:space="preserve">orporation of </w:t>
      </w:r>
      <w:r w:rsidRPr="000D6A32">
        <w:rPr>
          <w:rFonts w:cstheme="minorHAnsi"/>
          <w:sz w:val="21"/>
          <w:szCs w:val="21"/>
        </w:rPr>
        <w:t>I</w:t>
      </w:r>
      <w:r>
        <w:rPr>
          <w:rFonts w:cstheme="minorHAnsi"/>
          <w:sz w:val="21"/>
          <w:szCs w:val="21"/>
        </w:rPr>
        <w:t>reland</w:t>
      </w:r>
      <w:r w:rsidRPr="000D6A32">
        <w:rPr>
          <w:rFonts w:cstheme="minorHAnsi"/>
          <w:sz w:val="21"/>
          <w:szCs w:val="21"/>
        </w:rPr>
        <w:t>’s</w:t>
      </w:r>
      <w:r>
        <w:rPr>
          <w:rFonts w:cstheme="minorHAnsi"/>
          <w:sz w:val="21"/>
          <w:szCs w:val="21"/>
        </w:rPr>
        <w:t xml:space="preserve"> (SBCI)</w:t>
      </w:r>
      <w:r w:rsidRPr="000D6A32">
        <w:rPr>
          <w:rFonts w:cstheme="minorHAnsi"/>
          <w:sz w:val="21"/>
          <w:szCs w:val="21"/>
        </w:rPr>
        <w:t xml:space="preserve"> €500 million Growth &amp; Sustainability Loan Scheme</w:t>
      </w:r>
      <w:r w:rsidR="005C6432">
        <w:rPr>
          <w:rFonts w:cstheme="minorHAnsi"/>
          <w:sz w:val="21"/>
          <w:szCs w:val="21"/>
        </w:rPr>
        <w:t xml:space="preserve">, with </w:t>
      </w:r>
      <w:r w:rsidR="00584673">
        <w:rPr>
          <w:rFonts w:cstheme="minorHAnsi"/>
          <w:sz w:val="21"/>
          <w:szCs w:val="21"/>
        </w:rPr>
        <w:t xml:space="preserve">a </w:t>
      </w:r>
      <w:r w:rsidR="005C6432">
        <w:rPr>
          <w:rFonts w:cstheme="minorHAnsi"/>
          <w:sz w:val="21"/>
          <w:szCs w:val="21"/>
        </w:rPr>
        <w:t>significant pipeline of c. €70</w:t>
      </w:r>
      <w:r w:rsidR="004D49E4">
        <w:rPr>
          <w:rFonts w:cstheme="minorHAnsi"/>
          <w:sz w:val="21"/>
          <w:szCs w:val="21"/>
        </w:rPr>
        <w:t xml:space="preserve"> million</w:t>
      </w:r>
      <w:r w:rsidR="005C6432">
        <w:rPr>
          <w:rFonts w:cstheme="minorHAnsi"/>
          <w:sz w:val="21"/>
          <w:szCs w:val="21"/>
        </w:rPr>
        <w:t xml:space="preserve"> built since launch</w:t>
      </w:r>
      <w:r w:rsidR="00AE5340">
        <w:rPr>
          <w:rFonts w:cstheme="minorHAnsi"/>
          <w:sz w:val="21"/>
          <w:szCs w:val="21"/>
        </w:rPr>
        <w:t>ed</w:t>
      </w:r>
      <w:r w:rsidR="005C6432">
        <w:rPr>
          <w:rFonts w:cstheme="minorHAnsi"/>
          <w:sz w:val="21"/>
          <w:szCs w:val="21"/>
        </w:rPr>
        <w:t xml:space="preserve"> in Apr</w:t>
      </w:r>
      <w:r w:rsidR="00AE5340">
        <w:rPr>
          <w:rFonts w:cstheme="minorHAnsi"/>
          <w:sz w:val="21"/>
          <w:szCs w:val="21"/>
        </w:rPr>
        <w:t xml:space="preserve">il </w:t>
      </w:r>
      <w:r w:rsidR="005C6432">
        <w:rPr>
          <w:rFonts w:cstheme="minorHAnsi"/>
          <w:sz w:val="21"/>
          <w:szCs w:val="21"/>
        </w:rPr>
        <w:t>2</w:t>
      </w:r>
      <w:r w:rsidR="00AE5340">
        <w:rPr>
          <w:rFonts w:cstheme="minorHAnsi"/>
          <w:sz w:val="21"/>
          <w:szCs w:val="21"/>
        </w:rPr>
        <w:t>02</w:t>
      </w:r>
      <w:r w:rsidR="005C6432">
        <w:rPr>
          <w:rFonts w:cstheme="minorHAnsi"/>
          <w:sz w:val="21"/>
          <w:szCs w:val="21"/>
        </w:rPr>
        <w:t>4</w:t>
      </w:r>
      <w:r w:rsidRPr="000D6A32">
        <w:rPr>
          <w:rFonts w:cstheme="minorHAnsi"/>
          <w:sz w:val="21"/>
          <w:szCs w:val="21"/>
        </w:rPr>
        <w:t>. Our participation in this scheme enables us to support SMEs (</w:t>
      </w:r>
      <w:r w:rsidRPr="005C6432">
        <w:rPr>
          <w:rFonts w:cstheme="minorHAnsi"/>
          <w:sz w:val="21"/>
          <w:szCs w:val="21"/>
        </w:rPr>
        <w:t xml:space="preserve">including farmers, fishers, foresters, and food </w:t>
      </w:r>
      <w:r w:rsidR="00AE5340">
        <w:rPr>
          <w:rFonts w:cstheme="minorHAnsi"/>
          <w:sz w:val="21"/>
          <w:szCs w:val="21"/>
        </w:rPr>
        <w:t>businesses</w:t>
      </w:r>
      <w:r w:rsidR="00FD2FD7">
        <w:rPr>
          <w:rFonts w:cstheme="minorHAnsi"/>
          <w:sz w:val="21"/>
          <w:szCs w:val="21"/>
        </w:rPr>
        <w:t>)</w:t>
      </w:r>
      <w:r w:rsidR="00AE5340">
        <w:rPr>
          <w:rFonts w:cstheme="minorHAnsi"/>
          <w:sz w:val="21"/>
          <w:szCs w:val="21"/>
        </w:rPr>
        <w:t xml:space="preserve"> </w:t>
      </w:r>
      <w:r w:rsidRPr="005C6432">
        <w:rPr>
          <w:rFonts w:cstheme="minorHAnsi"/>
          <w:sz w:val="21"/>
          <w:szCs w:val="21"/>
        </w:rPr>
        <w:t>that are investing in their growth, resiliency, or investing in climate action and environmental sustainability measures that will enhance their performance.</w:t>
      </w:r>
    </w:p>
    <w:p w14:paraId="14424210" w14:textId="07A3707E" w:rsidR="00C10FAE" w:rsidRPr="004223DE" w:rsidRDefault="00C10FAE" w:rsidP="00125C9E">
      <w:pPr>
        <w:spacing w:before="240" w:after="120"/>
        <w:ind w:right="284"/>
        <w:jc w:val="both"/>
        <w:rPr>
          <w:rFonts w:cstheme="minorHAnsi"/>
          <w:b/>
          <w:sz w:val="21"/>
          <w:szCs w:val="21"/>
        </w:rPr>
      </w:pPr>
      <w:r w:rsidRPr="004223DE">
        <w:rPr>
          <w:rFonts w:cstheme="minorHAnsi"/>
          <w:b/>
          <w:sz w:val="21"/>
          <w:szCs w:val="21"/>
        </w:rPr>
        <w:t>Mortgages:</w:t>
      </w:r>
    </w:p>
    <w:p w14:paraId="6B28C374" w14:textId="1BBF942E" w:rsidR="005829CA" w:rsidRDefault="005829CA" w:rsidP="00CD0A76">
      <w:pPr>
        <w:spacing w:before="120" w:after="120"/>
        <w:ind w:right="284"/>
        <w:jc w:val="both"/>
        <w:rPr>
          <w:rFonts w:cstheme="minorHAnsi"/>
          <w:sz w:val="21"/>
          <w:szCs w:val="21"/>
        </w:rPr>
      </w:pPr>
      <w:r w:rsidRPr="00B96695">
        <w:rPr>
          <w:rFonts w:cstheme="minorHAnsi"/>
          <w:sz w:val="21"/>
          <w:szCs w:val="21"/>
        </w:rPr>
        <w:t xml:space="preserve">The Bank is committed to providing competitive offerings across our mortgage products, while meeting the needs of our customers and the wider </w:t>
      </w:r>
      <w:r w:rsidR="00467D76" w:rsidRPr="00B96695">
        <w:rPr>
          <w:rFonts w:cstheme="minorHAnsi"/>
          <w:sz w:val="21"/>
          <w:szCs w:val="21"/>
        </w:rPr>
        <w:t>economy</w:t>
      </w:r>
      <w:r w:rsidR="00467D76">
        <w:rPr>
          <w:rFonts w:cstheme="minorHAnsi"/>
          <w:sz w:val="21"/>
          <w:szCs w:val="21"/>
        </w:rPr>
        <w:t xml:space="preserve"> and</w:t>
      </w:r>
      <w:r>
        <w:rPr>
          <w:rFonts w:cstheme="minorHAnsi"/>
          <w:sz w:val="21"/>
          <w:szCs w:val="21"/>
        </w:rPr>
        <w:t xml:space="preserve"> </w:t>
      </w:r>
      <w:r w:rsidR="00AE5340">
        <w:rPr>
          <w:rFonts w:cstheme="minorHAnsi"/>
          <w:sz w:val="21"/>
          <w:szCs w:val="21"/>
        </w:rPr>
        <w:t xml:space="preserve">as such has </w:t>
      </w:r>
      <w:r>
        <w:rPr>
          <w:rFonts w:cstheme="minorHAnsi"/>
          <w:sz w:val="21"/>
          <w:szCs w:val="21"/>
        </w:rPr>
        <w:t xml:space="preserve">announced a number of mortgage rate reductions in May </w:t>
      </w:r>
      <w:r w:rsidR="00AE5340">
        <w:rPr>
          <w:rFonts w:cstheme="minorHAnsi"/>
          <w:sz w:val="21"/>
          <w:szCs w:val="21"/>
        </w:rPr>
        <w:t xml:space="preserve">2024 </w:t>
      </w:r>
      <w:r>
        <w:rPr>
          <w:rFonts w:cstheme="minorHAnsi"/>
          <w:sz w:val="21"/>
          <w:szCs w:val="21"/>
        </w:rPr>
        <w:t>for both new and existing customers. This move has been well received in the market and ha</w:t>
      </w:r>
      <w:r w:rsidR="0057697C">
        <w:rPr>
          <w:rFonts w:cstheme="minorHAnsi"/>
          <w:sz w:val="21"/>
          <w:szCs w:val="21"/>
        </w:rPr>
        <w:t>s</w:t>
      </w:r>
      <w:r>
        <w:rPr>
          <w:rFonts w:cstheme="minorHAnsi"/>
          <w:sz w:val="21"/>
          <w:szCs w:val="21"/>
        </w:rPr>
        <w:t xml:space="preserve"> led to a significant increase in the mortgage pipeline in the first half of this year which </w:t>
      </w:r>
      <w:r w:rsidR="00336AC6">
        <w:rPr>
          <w:rFonts w:cstheme="minorHAnsi"/>
          <w:sz w:val="21"/>
          <w:szCs w:val="21"/>
        </w:rPr>
        <w:t>will support</w:t>
      </w:r>
      <w:r>
        <w:rPr>
          <w:rFonts w:cstheme="minorHAnsi"/>
          <w:sz w:val="21"/>
          <w:szCs w:val="21"/>
        </w:rPr>
        <w:t xml:space="preserve"> the overall market share for residential mortgage lending through the coming months.</w:t>
      </w:r>
    </w:p>
    <w:p w14:paraId="2DC7C5AE" w14:textId="174A66E8" w:rsidR="00584673" w:rsidRDefault="00AE5340" w:rsidP="00584673">
      <w:pPr>
        <w:spacing w:before="120" w:after="120"/>
        <w:ind w:right="284"/>
        <w:jc w:val="both"/>
        <w:rPr>
          <w:rFonts w:cstheme="minorHAnsi"/>
          <w:sz w:val="21"/>
          <w:szCs w:val="21"/>
        </w:rPr>
      </w:pPr>
      <w:r>
        <w:rPr>
          <w:rFonts w:cstheme="minorHAnsi"/>
          <w:sz w:val="21"/>
          <w:szCs w:val="21"/>
        </w:rPr>
        <w:t>Our m</w:t>
      </w:r>
      <w:r w:rsidR="00584673" w:rsidRPr="00CF0F61">
        <w:rPr>
          <w:rFonts w:cstheme="minorHAnsi"/>
          <w:sz w:val="21"/>
          <w:szCs w:val="21"/>
        </w:rPr>
        <w:t xml:space="preserve">ortgage pricing </w:t>
      </w:r>
      <w:r w:rsidR="00584673" w:rsidRPr="004223DE">
        <w:rPr>
          <w:rFonts w:cstheme="minorHAnsi"/>
          <w:sz w:val="21"/>
          <w:szCs w:val="21"/>
        </w:rPr>
        <w:t xml:space="preserve">remains competitive with pricing in </w:t>
      </w:r>
      <w:r w:rsidR="00584673">
        <w:rPr>
          <w:rFonts w:cstheme="minorHAnsi"/>
          <w:sz w:val="21"/>
          <w:szCs w:val="21"/>
        </w:rPr>
        <w:t>three</w:t>
      </w:r>
      <w:r w:rsidR="00584673" w:rsidRPr="00CF0F61">
        <w:rPr>
          <w:rFonts w:cstheme="minorHAnsi"/>
          <w:sz w:val="21"/>
          <w:szCs w:val="21"/>
        </w:rPr>
        <w:t>-</w:t>
      </w:r>
      <w:r w:rsidR="00584673">
        <w:rPr>
          <w:rFonts w:cstheme="minorHAnsi"/>
          <w:sz w:val="21"/>
          <w:szCs w:val="21"/>
        </w:rPr>
        <w:t>y</w:t>
      </w:r>
      <w:r w:rsidR="00584673" w:rsidRPr="00CF0F61">
        <w:rPr>
          <w:rFonts w:cstheme="minorHAnsi"/>
          <w:sz w:val="21"/>
          <w:szCs w:val="21"/>
        </w:rPr>
        <w:t xml:space="preserve">ear </w:t>
      </w:r>
      <w:r w:rsidR="00584673" w:rsidRPr="004223DE">
        <w:rPr>
          <w:rFonts w:cstheme="minorHAnsi"/>
          <w:sz w:val="21"/>
          <w:szCs w:val="21"/>
        </w:rPr>
        <w:t xml:space="preserve">and </w:t>
      </w:r>
      <w:r w:rsidR="00584673">
        <w:rPr>
          <w:rFonts w:cstheme="minorHAnsi"/>
          <w:sz w:val="21"/>
          <w:szCs w:val="21"/>
        </w:rPr>
        <w:t>four</w:t>
      </w:r>
      <w:r w:rsidR="00584673" w:rsidRPr="004223DE">
        <w:rPr>
          <w:rFonts w:cstheme="minorHAnsi"/>
          <w:sz w:val="21"/>
          <w:szCs w:val="21"/>
        </w:rPr>
        <w:t>-</w:t>
      </w:r>
      <w:r w:rsidR="00584673">
        <w:rPr>
          <w:rFonts w:cstheme="minorHAnsi"/>
          <w:sz w:val="21"/>
          <w:szCs w:val="21"/>
        </w:rPr>
        <w:t>y</w:t>
      </w:r>
      <w:r w:rsidR="00584673" w:rsidRPr="004223DE">
        <w:rPr>
          <w:rFonts w:cstheme="minorHAnsi"/>
          <w:sz w:val="21"/>
          <w:szCs w:val="21"/>
        </w:rPr>
        <w:t xml:space="preserve">ear </w:t>
      </w:r>
      <w:r w:rsidR="00584673">
        <w:rPr>
          <w:rFonts w:cstheme="minorHAnsi"/>
          <w:sz w:val="21"/>
          <w:szCs w:val="21"/>
        </w:rPr>
        <w:t>f</w:t>
      </w:r>
      <w:r w:rsidR="00584673" w:rsidRPr="00CF0F61">
        <w:rPr>
          <w:rFonts w:cstheme="minorHAnsi"/>
          <w:sz w:val="21"/>
          <w:szCs w:val="21"/>
        </w:rPr>
        <w:t>ixed</w:t>
      </w:r>
      <w:r w:rsidR="00584673">
        <w:rPr>
          <w:rFonts w:cstheme="minorHAnsi"/>
          <w:sz w:val="21"/>
          <w:szCs w:val="21"/>
        </w:rPr>
        <w:t xml:space="preserve"> term</w:t>
      </w:r>
      <w:r w:rsidR="00584673" w:rsidRPr="00CF0F61">
        <w:rPr>
          <w:rFonts w:cstheme="minorHAnsi"/>
          <w:sz w:val="21"/>
          <w:szCs w:val="21"/>
        </w:rPr>
        <w:t xml:space="preserve"> mortgages</w:t>
      </w:r>
      <w:r w:rsidR="00584673" w:rsidRPr="004223DE">
        <w:rPr>
          <w:rFonts w:cstheme="minorHAnsi"/>
          <w:sz w:val="21"/>
          <w:szCs w:val="21"/>
        </w:rPr>
        <w:t xml:space="preserve"> from 3.7% </w:t>
      </w:r>
      <w:r w:rsidR="00584673" w:rsidRPr="00CF0F61">
        <w:rPr>
          <w:rFonts w:cstheme="minorHAnsi"/>
          <w:sz w:val="21"/>
          <w:szCs w:val="21"/>
        </w:rPr>
        <w:t xml:space="preserve">for new and existing customers, with further </w:t>
      </w:r>
      <w:r w:rsidR="00584673" w:rsidRPr="004223DE">
        <w:rPr>
          <w:rFonts w:cstheme="minorHAnsi"/>
          <w:sz w:val="21"/>
          <w:szCs w:val="21"/>
        </w:rPr>
        <w:t>value available for those customer</w:t>
      </w:r>
      <w:r w:rsidR="00584673">
        <w:rPr>
          <w:rFonts w:cstheme="minorHAnsi"/>
          <w:sz w:val="21"/>
          <w:szCs w:val="21"/>
        </w:rPr>
        <w:t>s</w:t>
      </w:r>
      <w:r w:rsidR="00584673" w:rsidRPr="004223DE">
        <w:rPr>
          <w:rFonts w:cstheme="minorHAnsi"/>
          <w:sz w:val="21"/>
          <w:szCs w:val="21"/>
        </w:rPr>
        <w:t xml:space="preserve"> with a B</w:t>
      </w:r>
      <w:r w:rsidR="00584673">
        <w:rPr>
          <w:rFonts w:cstheme="minorHAnsi"/>
          <w:sz w:val="21"/>
          <w:szCs w:val="21"/>
        </w:rPr>
        <w:t xml:space="preserve">uilding </w:t>
      </w:r>
      <w:r w:rsidR="00584673" w:rsidRPr="004223DE">
        <w:rPr>
          <w:rFonts w:cstheme="minorHAnsi"/>
          <w:sz w:val="21"/>
          <w:szCs w:val="21"/>
        </w:rPr>
        <w:t>E</w:t>
      </w:r>
      <w:r w:rsidR="00584673">
        <w:rPr>
          <w:rFonts w:cstheme="minorHAnsi"/>
          <w:sz w:val="21"/>
          <w:szCs w:val="21"/>
        </w:rPr>
        <w:t xml:space="preserve">nergy </w:t>
      </w:r>
      <w:r w:rsidR="00584673" w:rsidRPr="004223DE">
        <w:rPr>
          <w:rFonts w:cstheme="minorHAnsi"/>
          <w:sz w:val="21"/>
          <w:szCs w:val="21"/>
        </w:rPr>
        <w:t xml:space="preserve">Rating of B3 or above through our Green mortgage product. </w:t>
      </w:r>
    </w:p>
    <w:p w14:paraId="53A91EA2" w14:textId="7C9C4D7F" w:rsidR="00016DE5" w:rsidRPr="004223DE" w:rsidRDefault="00CD0A76" w:rsidP="00B45605">
      <w:pPr>
        <w:spacing w:before="120" w:after="120"/>
        <w:ind w:right="284"/>
        <w:jc w:val="both"/>
        <w:rPr>
          <w:rFonts w:cstheme="minorHAnsi"/>
          <w:sz w:val="21"/>
          <w:szCs w:val="21"/>
        </w:rPr>
      </w:pPr>
      <w:r w:rsidRPr="004223DE">
        <w:rPr>
          <w:rFonts w:cstheme="minorHAnsi"/>
          <w:sz w:val="21"/>
          <w:szCs w:val="21"/>
        </w:rPr>
        <w:t xml:space="preserve">The Q2’24 mortgage business </w:t>
      </w:r>
      <w:r w:rsidR="00AE5340">
        <w:rPr>
          <w:rFonts w:cstheme="minorHAnsi"/>
          <w:sz w:val="21"/>
          <w:szCs w:val="21"/>
        </w:rPr>
        <w:t>reports</w:t>
      </w:r>
      <w:r w:rsidRPr="004223DE">
        <w:rPr>
          <w:rFonts w:cstheme="minorHAnsi"/>
          <w:sz w:val="21"/>
          <w:szCs w:val="21"/>
        </w:rPr>
        <w:t xml:space="preserve"> an </w:t>
      </w:r>
      <w:r w:rsidRPr="005829CA">
        <w:rPr>
          <w:rFonts w:cstheme="minorHAnsi"/>
          <w:sz w:val="21"/>
          <w:szCs w:val="21"/>
        </w:rPr>
        <w:t xml:space="preserve">increase of </w:t>
      </w:r>
      <w:r w:rsidR="005829CA" w:rsidRPr="005829CA">
        <w:rPr>
          <w:rFonts w:cstheme="minorHAnsi"/>
          <w:sz w:val="21"/>
          <w:szCs w:val="21"/>
        </w:rPr>
        <w:t>10</w:t>
      </w:r>
      <w:r w:rsidR="00016DE5" w:rsidRPr="005829CA">
        <w:rPr>
          <w:rFonts w:cstheme="minorHAnsi"/>
          <w:sz w:val="21"/>
          <w:szCs w:val="21"/>
        </w:rPr>
        <w:t xml:space="preserve">bps </w:t>
      </w:r>
      <w:r w:rsidRPr="005829CA">
        <w:rPr>
          <w:rFonts w:cstheme="minorHAnsi"/>
          <w:sz w:val="21"/>
          <w:szCs w:val="21"/>
        </w:rPr>
        <w:t>in our</w:t>
      </w:r>
      <w:r w:rsidR="00016DE5" w:rsidRPr="005829CA">
        <w:rPr>
          <w:rFonts w:cstheme="minorHAnsi"/>
          <w:sz w:val="21"/>
          <w:szCs w:val="21"/>
        </w:rPr>
        <w:t xml:space="preserve"> mortgage market share </w:t>
      </w:r>
      <w:r w:rsidR="005829CA" w:rsidRPr="005829CA">
        <w:rPr>
          <w:rFonts w:cstheme="minorHAnsi"/>
          <w:sz w:val="21"/>
          <w:szCs w:val="21"/>
        </w:rPr>
        <w:t>to 13.5</w:t>
      </w:r>
      <w:r w:rsidR="00016DE5" w:rsidRPr="005829CA">
        <w:rPr>
          <w:rFonts w:cstheme="minorHAnsi"/>
          <w:sz w:val="21"/>
          <w:szCs w:val="21"/>
        </w:rPr>
        <w:t xml:space="preserve">% as </w:t>
      </w:r>
      <w:r w:rsidR="00016DE5" w:rsidRPr="004223DE">
        <w:rPr>
          <w:rFonts w:cstheme="minorHAnsi"/>
          <w:sz w:val="21"/>
          <w:szCs w:val="21"/>
        </w:rPr>
        <w:t>compared to Q1’24</w:t>
      </w:r>
      <w:r w:rsidR="00876A14" w:rsidRPr="004223DE">
        <w:rPr>
          <w:rFonts w:cstheme="minorHAnsi"/>
          <w:sz w:val="21"/>
          <w:szCs w:val="21"/>
        </w:rPr>
        <w:t xml:space="preserve">, </w:t>
      </w:r>
      <w:r w:rsidR="001A2EAB">
        <w:rPr>
          <w:rFonts w:cstheme="minorHAnsi"/>
          <w:sz w:val="21"/>
          <w:szCs w:val="21"/>
        </w:rPr>
        <w:t xml:space="preserve">with </w:t>
      </w:r>
      <w:r w:rsidR="005829CA">
        <w:rPr>
          <w:rFonts w:cstheme="minorHAnsi"/>
          <w:sz w:val="21"/>
          <w:szCs w:val="21"/>
        </w:rPr>
        <w:t xml:space="preserve">good </w:t>
      </w:r>
      <w:r w:rsidR="00876A14" w:rsidRPr="004223DE">
        <w:rPr>
          <w:rFonts w:cstheme="minorHAnsi"/>
          <w:sz w:val="21"/>
          <w:szCs w:val="21"/>
        </w:rPr>
        <w:t xml:space="preserve">momentum as we head into the second half of the year. </w:t>
      </w:r>
      <w:r w:rsidR="00016DE5" w:rsidRPr="004223DE">
        <w:rPr>
          <w:rFonts w:cstheme="minorHAnsi"/>
          <w:sz w:val="21"/>
          <w:szCs w:val="21"/>
        </w:rPr>
        <w:t>The market continues to be impacted by the low level of switching activity</w:t>
      </w:r>
      <w:r w:rsidR="008B6095">
        <w:rPr>
          <w:rFonts w:cstheme="minorHAnsi"/>
          <w:sz w:val="21"/>
          <w:szCs w:val="21"/>
        </w:rPr>
        <w:t>,</w:t>
      </w:r>
      <w:r w:rsidR="00016DE5" w:rsidRPr="004223DE">
        <w:rPr>
          <w:rFonts w:cstheme="minorHAnsi"/>
          <w:sz w:val="21"/>
          <w:szCs w:val="21"/>
        </w:rPr>
        <w:t xml:space="preserve"> however</w:t>
      </w:r>
      <w:r w:rsidR="00AE5340">
        <w:rPr>
          <w:rFonts w:cstheme="minorHAnsi"/>
          <w:sz w:val="21"/>
          <w:szCs w:val="21"/>
        </w:rPr>
        <w:t xml:space="preserve"> we anticipate </w:t>
      </w:r>
      <w:r w:rsidR="00016DE5" w:rsidRPr="004223DE">
        <w:rPr>
          <w:rFonts w:cstheme="minorHAnsi"/>
          <w:sz w:val="21"/>
          <w:szCs w:val="21"/>
        </w:rPr>
        <w:t xml:space="preserve">this segment </w:t>
      </w:r>
      <w:r w:rsidR="00AE5340">
        <w:rPr>
          <w:rFonts w:cstheme="minorHAnsi"/>
          <w:sz w:val="21"/>
          <w:szCs w:val="21"/>
        </w:rPr>
        <w:t xml:space="preserve">will </w:t>
      </w:r>
      <w:r w:rsidR="00016DE5" w:rsidRPr="004223DE">
        <w:rPr>
          <w:rFonts w:cstheme="minorHAnsi"/>
          <w:sz w:val="21"/>
          <w:szCs w:val="21"/>
        </w:rPr>
        <w:t xml:space="preserve">increase </w:t>
      </w:r>
      <w:r w:rsidR="00AE5340">
        <w:rPr>
          <w:rFonts w:cstheme="minorHAnsi"/>
          <w:sz w:val="21"/>
          <w:szCs w:val="21"/>
        </w:rPr>
        <w:t>activity in the future</w:t>
      </w:r>
      <w:r w:rsidR="00016DE5" w:rsidRPr="004223DE">
        <w:rPr>
          <w:rFonts w:cstheme="minorHAnsi"/>
          <w:sz w:val="21"/>
          <w:szCs w:val="21"/>
        </w:rPr>
        <w:t xml:space="preserve"> </w:t>
      </w:r>
      <w:r w:rsidR="00B449F2">
        <w:rPr>
          <w:rFonts w:cstheme="minorHAnsi"/>
          <w:sz w:val="21"/>
          <w:szCs w:val="21"/>
        </w:rPr>
        <w:t>as the</w:t>
      </w:r>
      <w:r w:rsidRPr="004223DE">
        <w:rPr>
          <w:rFonts w:cstheme="minorHAnsi"/>
          <w:sz w:val="21"/>
          <w:szCs w:val="21"/>
        </w:rPr>
        <w:t xml:space="preserve"> ECB </w:t>
      </w:r>
      <w:r w:rsidR="00B449F2">
        <w:rPr>
          <w:rFonts w:cstheme="minorHAnsi"/>
          <w:sz w:val="21"/>
          <w:szCs w:val="21"/>
        </w:rPr>
        <w:t xml:space="preserve">reduces </w:t>
      </w:r>
      <w:r w:rsidRPr="004223DE">
        <w:rPr>
          <w:rFonts w:cstheme="minorHAnsi"/>
          <w:sz w:val="21"/>
          <w:szCs w:val="21"/>
        </w:rPr>
        <w:t>rate</w:t>
      </w:r>
      <w:r w:rsidR="00B449F2">
        <w:rPr>
          <w:rFonts w:cstheme="minorHAnsi"/>
          <w:sz w:val="21"/>
          <w:szCs w:val="21"/>
        </w:rPr>
        <w:t xml:space="preserve">s. </w:t>
      </w:r>
    </w:p>
    <w:p w14:paraId="4BBEEE8C" w14:textId="15B82447" w:rsidR="00FF4595" w:rsidRDefault="00FF4595" w:rsidP="00B637CB">
      <w:pPr>
        <w:spacing w:before="120" w:after="120"/>
        <w:ind w:right="284"/>
        <w:jc w:val="both"/>
        <w:rPr>
          <w:rFonts w:cstheme="minorHAnsi"/>
          <w:sz w:val="21"/>
          <w:szCs w:val="21"/>
        </w:rPr>
      </w:pPr>
      <w:r w:rsidRPr="004223DE">
        <w:rPr>
          <w:rFonts w:cstheme="minorHAnsi"/>
          <w:sz w:val="21"/>
          <w:szCs w:val="21"/>
        </w:rPr>
        <w:t>7</w:t>
      </w:r>
      <w:r w:rsidR="00B45605" w:rsidRPr="004223DE">
        <w:rPr>
          <w:rFonts w:cstheme="minorHAnsi"/>
          <w:sz w:val="21"/>
          <w:szCs w:val="21"/>
        </w:rPr>
        <w:t>4</w:t>
      </w:r>
      <w:r w:rsidRPr="004223DE">
        <w:rPr>
          <w:rFonts w:cstheme="minorHAnsi"/>
          <w:sz w:val="21"/>
          <w:szCs w:val="21"/>
        </w:rPr>
        <w:t xml:space="preserve">% of new mortgage drawdowns in </w:t>
      </w:r>
      <w:r w:rsidR="00747ED0" w:rsidRPr="004223DE">
        <w:rPr>
          <w:rFonts w:cstheme="minorHAnsi"/>
          <w:sz w:val="21"/>
          <w:szCs w:val="21"/>
        </w:rPr>
        <w:t>H</w:t>
      </w:r>
      <w:r w:rsidRPr="004223DE">
        <w:rPr>
          <w:rFonts w:cstheme="minorHAnsi"/>
          <w:sz w:val="21"/>
          <w:szCs w:val="21"/>
        </w:rPr>
        <w:t>1</w:t>
      </w:r>
      <w:r w:rsidR="00BD0781" w:rsidRPr="004223DE">
        <w:rPr>
          <w:rFonts w:cstheme="minorHAnsi"/>
          <w:sz w:val="21"/>
          <w:szCs w:val="21"/>
        </w:rPr>
        <w:t>’24</w:t>
      </w:r>
      <w:r w:rsidRPr="004223DE">
        <w:rPr>
          <w:rFonts w:cstheme="minorHAnsi"/>
          <w:sz w:val="21"/>
          <w:szCs w:val="21"/>
        </w:rPr>
        <w:t xml:space="preserve"> </w:t>
      </w:r>
      <w:r w:rsidR="00CD0A76" w:rsidRPr="004223DE">
        <w:rPr>
          <w:rFonts w:cstheme="minorHAnsi"/>
          <w:sz w:val="21"/>
          <w:szCs w:val="21"/>
        </w:rPr>
        <w:t>were</w:t>
      </w:r>
      <w:r w:rsidR="00BD0781" w:rsidRPr="004223DE">
        <w:rPr>
          <w:rFonts w:cstheme="minorHAnsi"/>
          <w:sz w:val="21"/>
          <w:szCs w:val="21"/>
        </w:rPr>
        <w:t xml:space="preserve"> </w:t>
      </w:r>
      <w:r w:rsidRPr="004223DE">
        <w:rPr>
          <w:rFonts w:cstheme="minorHAnsi"/>
          <w:sz w:val="21"/>
          <w:szCs w:val="21"/>
        </w:rPr>
        <w:t>to fixed rate products</w:t>
      </w:r>
      <w:r w:rsidR="00C66E72" w:rsidRPr="004223DE">
        <w:rPr>
          <w:rFonts w:cstheme="minorHAnsi"/>
          <w:sz w:val="21"/>
          <w:szCs w:val="21"/>
        </w:rPr>
        <w:t>, a reduction of 24</w:t>
      </w:r>
      <w:r w:rsidR="004223DE" w:rsidRPr="004223DE">
        <w:rPr>
          <w:rFonts w:cstheme="minorHAnsi"/>
          <w:sz w:val="21"/>
          <w:szCs w:val="21"/>
        </w:rPr>
        <w:t xml:space="preserve"> </w:t>
      </w:r>
      <w:r w:rsidR="00C66E72" w:rsidRPr="004223DE">
        <w:rPr>
          <w:rFonts w:cstheme="minorHAnsi"/>
          <w:sz w:val="21"/>
          <w:szCs w:val="21"/>
        </w:rPr>
        <w:t>ppts YoY</w:t>
      </w:r>
      <w:r w:rsidR="00CD0A76" w:rsidRPr="004223DE">
        <w:rPr>
          <w:rFonts w:cstheme="minorHAnsi"/>
          <w:sz w:val="21"/>
          <w:szCs w:val="21"/>
        </w:rPr>
        <w:t xml:space="preserve">, with some customers choosing a variable rate, retaining the flexibility to fix at a time of their choosing. </w:t>
      </w:r>
      <w:r w:rsidRPr="004223DE">
        <w:rPr>
          <w:rFonts w:cstheme="minorHAnsi"/>
          <w:sz w:val="21"/>
          <w:szCs w:val="21"/>
        </w:rPr>
        <w:t>Meanwhile the Bank’s Green product offering accounted for 3</w:t>
      </w:r>
      <w:r w:rsidR="00B45605" w:rsidRPr="004223DE">
        <w:rPr>
          <w:rFonts w:cstheme="minorHAnsi"/>
          <w:sz w:val="21"/>
          <w:szCs w:val="21"/>
        </w:rPr>
        <w:t>8</w:t>
      </w:r>
      <w:r w:rsidRPr="004223DE">
        <w:rPr>
          <w:rFonts w:cstheme="minorHAnsi"/>
          <w:sz w:val="21"/>
          <w:szCs w:val="21"/>
        </w:rPr>
        <w:t>% of total new mortgage drawdowns</w:t>
      </w:r>
      <w:r w:rsidR="00CD0A76" w:rsidRPr="004223DE">
        <w:rPr>
          <w:rFonts w:cstheme="minorHAnsi"/>
          <w:sz w:val="21"/>
          <w:szCs w:val="21"/>
        </w:rPr>
        <w:t>, an increase of 10</w:t>
      </w:r>
      <w:r w:rsidR="004223DE" w:rsidRPr="004223DE">
        <w:rPr>
          <w:rFonts w:cstheme="minorHAnsi"/>
          <w:sz w:val="21"/>
          <w:szCs w:val="21"/>
        </w:rPr>
        <w:t xml:space="preserve"> </w:t>
      </w:r>
      <w:r w:rsidR="00CD0A76" w:rsidRPr="004223DE">
        <w:rPr>
          <w:rFonts w:cstheme="minorHAnsi"/>
          <w:sz w:val="21"/>
          <w:szCs w:val="21"/>
        </w:rPr>
        <w:t>ppts YoY.</w:t>
      </w:r>
    </w:p>
    <w:p w14:paraId="1F04A1E5" w14:textId="4B7F357E" w:rsidR="00BC0FD9" w:rsidRPr="00662AB2" w:rsidRDefault="005829CA" w:rsidP="00662AB2">
      <w:pPr>
        <w:spacing w:before="120" w:after="120"/>
        <w:ind w:right="284"/>
        <w:jc w:val="both"/>
        <w:rPr>
          <w:rFonts w:cstheme="minorHAnsi"/>
          <w:sz w:val="21"/>
          <w:szCs w:val="21"/>
        </w:rPr>
      </w:pPr>
      <w:bookmarkStart w:id="4" w:name="_Hlk172625128"/>
      <w:r w:rsidRPr="004223DE">
        <w:rPr>
          <w:rFonts w:cstheme="minorHAnsi"/>
          <w:sz w:val="21"/>
          <w:szCs w:val="21"/>
        </w:rPr>
        <w:t>The mortgage market</w:t>
      </w:r>
      <w:r w:rsidR="00591AE4">
        <w:rPr>
          <w:rStyle w:val="FootnoteReference"/>
          <w:rFonts w:cstheme="minorHAnsi"/>
          <w:sz w:val="21"/>
          <w:szCs w:val="21"/>
        </w:rPr>
        <w:footnoteReference w:id="6"/>
      </w:r>
      <w:r w:rsidRPr="004223DE">
        <w:rPr>
          <w:rFonts w:cstheme="minorHAnsi"/>
          <w:sz w:val="21"/>
          <w:szCs w:val="21"/>
        </w:rPr>
        <w:t xml:space="preserve"> in Ireland is estimated to </w:t>
      </w:r>
      <w:r w:rsidR="00591AE4">
        <w:rPr>
          <w:rFonts w:cstheme="minorHAnsi"/>
          <w:sz w:val="21"/>
          <w:szCs w:val="21"/>
        </w:rPr>
        <w:t>remain in line with 2023 at</w:t>
      </w:r>
      <w:r w:rsidRPr="004223DE">
        <w:rPr>
          <w:rFonts w:cstheme="minorHAnsi"/>
          <w:sz w:val="21"/>
          <w:szCs w:val="21"/>
        </w:rPr>
        <w:t xml:space="preserve"> €12.1 billion</w:t>
      </w:r>
      <w:r w:rsidR="00591AE4">
        <w:rPr>
          <w:rFonts w:cstheme="minorHAnsi"/>
          <w:sz w:val="21"/>
          <w:szCs w:val="21"/>
        </w:rPr>
        <w:t>.</w:t>
      </w:r>
      <w:r w:rsidRPr="004223DE">
        <w:rPr>
          <w:rFonts w:cstheme="minorHAnsi"/>
          <w:sz w:val="21"/>
          <w:szCs w:val="21"/>
        </w:rPr>
        <w:t xml:space="preserve"> </w:t>
      </w:r>
      <w:bookmarkEnd w:id="4"/>
    </w:p>
    <w:p w14:paraId="39B9B1D5" w14:textId="55D9C919" w:rsidR="0093629C" w:rsidRPr="004223DE" w:rsidRDefault="0093629C" w:rsidP="00125C9E">
      <w:pPr>
        <w:spacing w:before="240" w:after="120"/>
        <w:ind w:right="284"/>
        <w:jc w:val="both"/>
        <w:rPr>
          <w:rFonts w:cstheme="minorHAnsi"/>
          <w:b/>
          <w:sz w:val="21"/>
          <w:szCs w:val="21"/>
        </w:rPr>
      </w:pPr>
      <w:r w:rsidRPr="004223DE">
        <w:rPr>
          <w:rFonts w:cstheme="minorHAnsi"/>
          <w:b/>
          <w:sz w:val="21"/>
          <w:szCs w:val="21"/>
        </w:rPr>
        <w:t>Consumer Finance:</w:t>
      </w:r>
    </w:p>
    <w:p w14:paraId="4D88E28B" w14:textId="780A1BC7" w:rsidR="0093629C" w:rsidRPr="004223DE" w:rsidRDefault="0093629C" w:rsidP="00B637CB">
      <w:pPr>
        <w:spacing w:before="120" w:after="120"/>
        <w:ind w:right="284"/>
        <w:jc w:val="both"/>
        <w:rPr>
          <w:rFonts w:cstheme="minorHAnsi"/>
          <w:sz w:val="21"/>
          <w:szCs w:val="21"/>
        </w:rPr>
      </w:pPr>
      <w:r w:rsidRPr="004223DE">
        <w:rPr>
          <w:rFonts w:cstheme="minorHAnsi"/>
          <w:sz w:val="21"/>
          <w:szCs w:val="21"/>
        </w:rPr>
        <w:t>New Consumer Term Lending pay-outs of €</w:t>
      </w:r>
      <w:r w:rsidR="00461A3A">
        <w:rPr>
          <w:rFonts w:cstheme="minorHAnsi"/>
          <w:sz w:val="21"/>
          <w:szCs w:val="21"/>
        </w:rPr>
        <w:t>65</w:t>
      </w:r>
      <w:r w:rsidRPr="004223DE">
        <w:rPr>
          <w:rFonts w:cstheme="minorHAnsi"/>
          <w:sz w:val="21"/>
          <w:szCs w:val="21"/>
        </w:rPr>
        <w:t xml:space="preserve"> million increased by </w:t>
      </w:r>
      <w:r w:rsidR="00461A3A">
        <w:rPr>
          <w:rFonts w:cstheme="minorHAnsi"/>
          <w:sz w:val="21"/>
          <w:szCs w:val="21"/>
        </w:rPr>
        <w:t>9%</w:t>
      </w:r>
      <w:r w:rsidRPr="004223DE">
        <w:rPr>
          <w:rFonts w:cstheme="minorHAnsi"/>
          <w:sz w:val="21"/>
          <w:szCs w:val="21"/>
        </w:rPr>
        <w:t xml:space="preserve"> YoY, supported by consumer confidence and the strength in the Irish economy. Digital adoption continues to grow with </w:t>
      </w:r>
      <w:r w:rsidR="00461A3A">
        <w:rPr>
          <w:rFonts w:cstheme="minorHAnsi"/>
          <w:sz w:val="21"/>
          <w:szCs w:val="21"/>
        </w:rPr>
        <w:t>83%</w:t>
      </w:r>
      <w:r w:rsidRPr="004223DE">
        <w:rPr>
          <w:rFonts w:cstheme="minorHAnsi"/>
          <w:sz w:val="21"/>
          <w:szCs w:val="21"/>
        </w:rPr>
        <w:t xml:space="preserve"> of new term lending drawdowns through our direct channels.</w:t>
      </w:r>
    </w:p>
    <w:p w14:paraId="6709C17A" w14:textId="7A9E96FF" w:rsidR="00591AE4" w:rsidRPr="00B21650" w:rsidRDefault="005829CA" w:rsidP="00125C9E">
      <w:pPr>
        <w:spacing w:before="240" w:after="120"/>
        <w:ind w:right="284"/>
        <w:jc w:val="both"/>
        <w:rPr>
          <w:rFonts w:cstheme="minorHAnsi"/>
          <w:sz w:val="21"/>
          <w:szCs w:val="21"/>
        </w:rPr>
      </w:pPr>
      <w:r>
        <w:rPr>
          <w:rFonts w:cstheme="minorHAnsi"/>
          <w:sz w:val="21"/>
          <w:szCs w:val="21"/>
        </w:rPr>
        <w:t>To further support customers in meeting their sustainability goals, w</w:t>
      </w:r>
      <w:r w:rsidRPr="004223DE">
        <w:rPr>
          <w:rFonts w:cstheme="minorHAnsi"/>
          <w:sz w:val="21"/>
          <w:szCs w:val="21"/>
        </w:rPr>
        <w:t xml:space="preserve">e are delighted to have </w:t>
      </w:r>
      <w:r>
        <w:rPr>
          <w:rFonts w:cstheme="minorHAnsi"/>
          <w:sz w:val="21"/>
          <w:szCs w:val="21"/>
        </w:rPr>
        <w:t xml:space="preserve">been the first financial institution to participate in </w:t>
      </w:r>
      <w:r w:rsidRPr="004223DE">
        <w:rPr>
          <w:rFonts w:cstheme="minorHAnsi"/>
          <w:sz w:val="21"/>
          <w:szCs w:val="21"/>
        </w:rPr>
        <w:t>the SBCI</w:t>
      </w:r>
      <w:r>
        <w:rPr>
          <w:rFonts w:cstheme="minorHAnsi"/>
          <w:sz w:val="21"/>
          <w:szCs w:val="21"/>
        </w:rPr>
        <w:t xml:space="preserve">’s €500 million Home Energy Upgrade Loan Scheme, </w:t>
      </w:r>
      <w:r w:rsidRPr="000D6A32">
        <w:rPr>
          <w:rFonts w:cstheme="minorHAnsi"/>
          <w:sz w:val="21"/>
          <w:szCs w:val="21"/>
        </w:rPr>
        <w:t>offering customers low-cost loans to upgrade the energy efficiency of their home</w:t>
      </w:r>
      <w:r>
        <w:rPr>
          <w:rFonts w:cstheme="minorHAnsi"/>
          <w:sz w:val="21"/>
          <w:szCs w:val="21"/>
        </w:rPr>
        <w:t>.</w:t>
      </w:r>
    </w:p>
    <w:p w14:paraId="63E60AB7" w14:textId="77777777" w:rsidR="00FD2FD7" w:rsidRDefault="00FD2FD7" w:rsidP="00125C9E">
      <w:pPr>
        <w:spacing w:before="240" w:after="120"/>
        <w:ind w:right="284"/>
        <w:jc w:val="both"/>
        <w:rPr>
          <w:rFonts w:cstheme="minorHAnsi"/>
          <w:b/>
          <w:sz w:val="21"/>
          <w:szCs w:val="21"/>
        </w:rPr>
      </w:pPr>
    </w:p>
    <w:p w14:paraId="73941B02" w14:textId="1355F6B4" w:rsidR="00120C22" w:rsidRPr="004223DE" w:rsidRDefault="00120C22" w:rsidP="00125C9E">
      <w:pPr>
        <w:spacing w:before="240" w:after="120"/>
        <w:ind w:right="284"/>
        <w:jc w:val="both"/>
        <w:rPr>
          <w:rFonts w:cstheme="minorHAnsi"/>
          <w:b/>
          <w:sz w:val="21"/>
          <w:szCs w:val="21"/>
        </w:rPr>
      </w:pPr>
      <w:r w:rsidRPr="004223DE">
        <w:rPr>
          <w:rFonts w:cstheme="minorHAnsi"/>
          <w:b/>
          <w:sz w:val="21"/>
          <w:szCs w:val="21"/>
        </w:rPr>
        <w:t>Financial Performance</w:t>
      </w:r>
    </w:p>
    <w:p w14:paraId="50043466" w14:textId="24717557" w:rsidR="00120C22" w:rsidRPr="004223DE" w:rsidRDefault="00120C22" w:rsidP="002558ED">
      <w:pPr>
        <w:spacing w:before="120" w:after="120"/>
        <w:ind w:right="284"/>
        <w:jc w:val="both"/>
        <w:rPr>
          <w:rFonts w:cstheme="minorHAnsi"/>
          <w:sz w:val="21"/>
          <w:szCs w:val="21"/>
        </w:rPr>
      </w:pPr>
      <w:r w:rsidRPr="004223DE">
        <w:rPr>
          <w:rFonts w:cstheme="minorHAnsi"/>
          <w:b/>
          <w:sz w:val="21"/>
          <w:szCs w:val="21"/>
        </w:rPr>
        <w:lastRenderedPageBreak/>
        <w:t xml:space="preserve">Net </w:t>
      </w:r>
      <w:r w:rsidR="004327EB">
        <w:rPr>
          <w:rFonts w:cstheme="minorHAnsi"/>
          <w:b/>
          <w:sz w:val="21"/>
          <w:szCs w:val="21"/>
        </w:rPr>
        <w:t>I</w:t>
      </w:r>
      <w:r w:rsidRPr="004223DE">
        <w:rPr>
          <w:rFonts w:cstheme="minorHAnsi"/>
          <w:b/>
          <w:sz w:val="21"/>
          <w:szCs w:val="21"/>
        </w:rPr>
        <w:t xml:space="preserve">nterest </w:t>
      </w:r>
      <w:r w:rsidR="004327EB">
        <w:rPr>
          <w:rFonts w:cstheme="minorHAnsi"/>
          <w:b/>
          <w:sz w:val="21"/>
          <w:szCs w:val="21"/>
        </w:rPr>
        <w:t>I</w:t>
      </w:r>
      <w:r w:rsidRPr="004223DE">
        <w:rPr>
          <w:rFonts w:cstheme="minorHAnsi"/>
          <w:b/>
          <w:sz w:val="21"/>
          <w:szCs w:val="21"/>
        </w:rPr>
        <w:t>ncome</w:t>
      </w:r>
      <w:r w:rsidRPr="004223DE">
        <w:rPr>
          <w:rFonts w:cstheme="minorHAnsi"/>
          <w:sz w:val="21"/>
          <w:szCs w:val="21"/>
        </w:rPr>
        <w:t xml:space="preserve"> has increased by </w:t>
      </w:r>
      <w:r w:rsidR="00461A3A">
        <w:rPr>
          <w:rFonts w:cstheme="minorHAnsi"/>
          <w:sz w:val="21"/>
          <w:szCs w:val="21"/>
        </w:rPr>
        <w:t>4</w:t>
      </w:r>
      <w:r w:rsidRPr="004223DE">
        <w:rPr>
          <w:rFonts w:cstheme="minorHAnsi"/>
          <w:sz w:val="21"/>
          <w:szCs w:val="21"/>
        </w:rPr>
        <w:t xml:space="preserve">% </w:t>
      </w:r>
      <w:r w:rsidR="004327EB">
        <w:rPr>
          <w:rFonts w:cstheme="minorHAnsi"/>
          <w:sz w:val="21"/>
          <w:szCs w:val="21"/>
        </w:rPr>
        <w:t>YoY</w:t>
      </w:r>
      <w:r w:rsidRPr="004223DE">
        <w:rPr>
          <w:rFonts w:cstheme="minorHAnsi"/>
          <w:sz w:val="21"/>
          <w:szCs w:val="21"/>
        </w:rPr>
        <w:t xml:space="preserve">; with gross interest income </w:t>
      </w:r>
      <w:r w:rsidR="004327EB">
        <w:rPr>
          <w:rFonts w:cstheme="minorHAnsi"/>
          <w:sz w:val="21"/>
          <w:szCs w:val="21"/>
        </w:rPr>
        <w:t>growing</w:t>
      </w:r>
      <w:r w:rsidRPr="004223DE">
        <w:rPr>
          <w:rFonts w:cstheme="minorHAnsi"/>
          <w:sz w:val="21"/>
          <w:szCs w:val="21"/>
        </w:rPr>
        <w:t xml:space="preserve"> by </w:t>
      </w:r>
      <w:r w:rsidR="00B45605" w:rsidRPr="004223DE">
        <w:rPr>
          <w:rFonts w:cstheme="minorHAnsi"/>
          <w:sz w:val="21"/>
          <w:szCs w:val="21"/>
        </w:rPr>
        <w:t>29</w:t>
      </w:r>
      <w:r w:rsidRPr="004223DE">
        <w:rPr>
          <w:rFonts w:cstheme="minorHAnsi"/>
          <w:sz w:val="21"/>
          <w:szCs w:val="21"/>
        </w:rPr>
        <w:t xml:space="preserve">% due to </w:t>
      </w:r>
      <w:r w:rsidR="004327EB">
        <w:rPr>
          <w:rFonts w:cstheme="minorHAnsi"/>
          <w:sz w:val="21"/>
          <w:szCs w:val="21"/>
        </w:rPr>
        <w:t>higher</w:t>
      </w:r>
      <w:r w:rsidRPr="004223DE">
        <w:rPr>
          <w:rFonts w:cstheme="minorHAnsi"/>
          <w:sz w:val="21"/>
          <w:szCs w:val="21"/>
        </w:rPr>
        <w:t xml:space="preserve"> </w:t>
      </w:r>
      <w:r w:rsidR="00712BAB" w:rsidRPr="004223DE">
        <w:rPr>
          <w:rFonts w:cstheme="minorHAnsi"/>
          <w:sz w:val="21"/>
          <w:szCs w:val="21"/>
        </w:rPr>
        <w:t xml:space="preserve">interest rates and the growth in </w:t>
      </w:r>
      <w:r w:rsidRPr="004223DE">
        <w:rPr>
          <w:rFonts w:cstheme="minorHAnsi"/>
          <w:sz w:val="21"/>
          <w:szCs w:val="21"/>
        </w:rPr>
        <w:t>average</w:t>
      </w:r>
      <w:r w:rsidR="00231D1F" w:rsidRPr="004223DE">
        <w:rPr>
          <w:rFonts w:cstheme="minorHAnsi"/>
          <w:sz w:val="21"/>
          <w:szCs w:val="21"/>
        </w:rPr>
        <w:t xml:space="preserve"> interest</w:t>
      </w:r>
      <w:r w:rsidRPr="004223DE">
        <w:rPr>
          <w:rFonts w:cstheme="minorHAnsi"/>
          <w:sz w:val="21"/>
          <w:szCs w:val="21"/>
        </w:rPr>
        <w:t xml:space="preserve"> earning assets</w:t>
      </w:r>
      <w:r w:rsidR="00525577" w:rsidRPr="004223DE">
        <w:rPr>
          <w:rFonts w:cstheme="minorHAnsi"/>
          <w:sz w:val="21"/>
          <w:szCs w:val="21"/>
        </w:rPr>
        <w:t>, partly offset by a</w:t>
      </w:r>
      <w:r w:rsidR="00C66E72" w:rsidRPr="004223DE">
        <w:rPr>
          <w:rFonts w:cstheme="minorHAnsi"/>
          <w:sz w:val="21"/>
          <w:szCs w:val="21"/>
        </w:rPr>
        <w:t>n</w:t>
      </w:r>
      <w:r w:rsidR="00525577" w:rsidRPr="004223DE">
        <w:rPr>
          <w:rFonts w:cstheme="minorHAnsi"/>
          <w:sz w:val="21"/>
          <w:szCs w:val="21"/>
        </w:rPr>
        <w:t xml:space="preserve"> </w:t>
      </w:r>
      <w:r w:rsidR="00C66E72" w:rsidRPr="004223DE">
        <w:rPr>
          <w:rFonts w:cstheme="minorHAnsi"/>
          <w:sz w:val="21"/>
          <w:szCs w:val="21"/>
        </w:rPr>
        <w:t xml:space="preserve">increase in </w:t>
      </w:r>
      <w:r w:rsidR="00712BAB" w:rsidRPr="004223DE">
        <w:rPr>
          <w:rFonts w:cstheme="minorHAnsi"/>
          <w:sz w:val="21"/>
          <w:szCs w:val="21"/>
        </w:rPr>
        <w:t>cost of funds due to the growth in deposit volumes</w:t>
      </w:r>
      <w:r w:rsidR="005B619D" w:rsidRPr="004223DE">
        <w:rPr>
          <w:rFonts w:cstheme="minorHAnsi"/>
          <w:sz w:val="21"/>
          <w:szCs w:val="21"/>
        </w:rPr>
        <w:t xml:space="preserve"> which was</w:t>
      </w:r>
      <w:r w:rsidR="00712BAB" w:rsidRPr="004223DE">
        <w:rPr>
          <w:rFonts w:cstheme="minorHAnsi"/>
          <w:sz w:val="21"/>
          <w:szCs w:val="21"/>
        </w:rPr>
        <w:t xml:space="preserve"> primarily in higher </w:t>
      </w:r>
      <w:r w:rsidR="00BD3623" w:rsidRPr="004223DE">
        <w:rPr>
          <w:rFonts w:cstheme="minorHAnsi"/>
          <w:sz w:val="21"/>
          <w:szCs w:val="21"/>
        </w:rPr>
        <w:t>interest-bearing</w:t>
      </w:r>
      <w:r w:rsidR="00712BAB" w:rsidRPr="004223DE">
        <w:rPr>
          <w:rFonts w:cstheme="minorHAnsi"/>
          <w:sz w:val="21"/>
          <w:szCs w:val="21"/>
        </w:rPr>
        <w:t xml:space="preserve"> </w:t>
      </w:r>
      <w:r w:rsidR="00525577" w:rsidRPr="004223DE">
        <w:rPr>
          <w:rFonts w:cstheme="minorHAnsi"/>
          <w:sz w:val="21"/>
          <w:szCs w:val="21"/>
        </w:rPr>
        <w:t>retail deposits</w:t>
      </w:r>
      <w:r w:rsidR="00712BAB" w:rsidRPr="004223DE">
        <w:rPr>
          <w:rFonts w:cstheme="minorHAnsi"/>
          <w:sz w:val="21"/>
          <w:szCs w:val="21"/>
        </w:rPr>
        <w:t xml:space="preserve">. </w:t>
      </w:r>
      <w:r w:rsidR="004327EB">
        <w:rPr>
          <w:rFonts w:cstheme="minorHAnsi"/>
          <w:sz w:val="21"/>
          <w:szCs w:val="21"/>
        </w:rPr>
        <w:t>NIM</w:t>
      </w:r>
      <w:r w:rsidRPr="004223DE">
        <w:rPr>
          <w:rFonts w:cstheme="minorHAnsi"/>
          <w:sz w:val="21"/>
          <w:szCs w:val="21"/>
        </w:rPr>
        <w:t xml:space="preserve"> of 2.</w:t>
      </w:r>
      <w:r w:rsidR="00B45605" w:rsidRPr="004223DE">
        <w:rPr>
          <w:rFonts w:cstheme="minorHAnsi"/>
          <w:sz w:val="21"/>
          <w:szCs w:val="21"/>
        </w:rPr>
        <w:t>2</w:t>
      </w:r>
      <w:r w:rsidR="00461A3A">
        <w:rPr>
          <w:rFonts w:cstheme="minorHAnsi"/>
          <w:sz w:val="21"/>
          <w:szCs w:val="21"/>
        </w:rPr>
        <w:t>7</w:t>
      </w:r>
      <w:r w:rsidRPr="004223DE">
        <w:rPr>
          <w:rFonts w:cstheme="minorHAnsi"/>
          <w:sz w:val="21"/>
          <w:szCs w:val="21"/>
        </w:rPr>
        <w:t xml:space="preserve">% </w:t>
      </w:r>
      <w:r w:rsidR="00AA0BF9" w:rsidRPr="004223DE">
        <w:rPr>
          <w:rFonts w:cstheme="minorHAnsi"/>
          <w:sz w:val="21"/>
          <w:szCs w:val="21"/>
        </w:rPr>
        <w:t xml:space="preserve">remains strong, albeit shows a reduction of </w:t>
      </w:r>
      <w:r w:rsidR="00461A3A">
        <w:rPr>
          <w:rFonts w:cstheme="minorHAnsi"/>
          <w:sz w:val="21"/>
          <w:szCs w:val="21"/>
        </w:rPr>
        <w:t>2</w:t>
      </w:r>
      <w:r w:rsidRPr="004223DE">
        <w:rPr>
          <w:rFonts w:cstheme="minorHAnsi"/>
          <w:sz w:val="21"/>
          <w:szCs w:val="21"/>
        </w:rPr>
        <w:t xml:space="preserve">bps </w:t>
      </w:r>
      <w:r w:rsidR="004327EB">
        <w:rPr>
          <w:rFonts w:cstheme="minorHAnsi"/>
          <w:sz w:val="21"/>
          <w:szCs w:val="21"/>
        </w:rPr>
        <w:t>YoY.</w:t>
      </w:r>
      <w:r w:rsidR="00712BAB" w:rsidRPr="004223DE">
        <w:rPr>
          <w:rFonts w:cstheme="minorHAnsi"/>
          <w:sz w:val="21"/>
          <w:szCs w:val="21"/>
        </w:rPr>
        <w:t xml:space="preserve"> </w:t>
      </w:r>
    </w:p>
    <w:p w14:paraId="148F064D" w14:textId="30211F08" w:rsidR="00876A14" w:rsidRPr="001A2EAB" w:rsidRDefault="00876A14" w:rsidP="002558ED">
      <w:pPr>
        <w:spacing w:before="120" w:after="120"/>
        <w:ind w:right="284"/>
        <w:jc w:val="both"/>
        <w:rPr>
          <w:rFonts w:cstheme="minorHAnsi"/>
          <w:sz w:val="21"/>
          <w:szCs w:val="21"/>
        </w:rPr>
      </w:pPr>
      <w:r w:rsidRPr="004223DE">
        <w:rPr>
          <w:rFonts w:cstheme="minorHAnsi"/>
          <w:b/>
          <w:sz w:val="21"/>
          <w:szCs w:val="21"/>
        </w:rPr>
        <w:t xml:space="preserve">Fees and </w:t>
      </w:r>
      <w:r w:rsidR="004327EB">
        <w:rPr>
          <w:rFonts w:cstheme="minorHAnsi"/>
          <w:b/>
          <w:sz w:val="21"/>
          <w:szCs w:val="21"/>
        </w:rPr>
        <w:t>C</w:t>
      </w:r>
      <w:r w:rsidRPr="004223DE">
        <w:rPr>
          <w:rFonts w:cstheme="minorHAnsi"/>
          <w:b/>
          <w:sz w:val="21"/>
          <w:szCs w:val="21"/>
        </w:rPr>
        <w:t xml:space="preserve">ommission </w:t>
      </w:r>
      <w:r w:rsidR="004327EB">
        <w:rPr>
          <w:rFonts w:cstheme="minorHAnsi"/>
          <w:b/>
          <w:sz w:val="21"/>
          <w:szCs w:val="21"/>
        </w:rPr>
        <w:t>I</w:t>
      </w:r>
      <w:r w:rsidRPr="004223DE">
        <w:rPr>
          <w:rFonts w:cstheme="minorHAnsi"/>
          <w:b/>
          <w:sz w:val="21"/>
          <w:szCs w:val="21"/>
        </w:rPr>
        <w:t>ncome</w:t>
      </w:r>
      <w:r w:rsidRPr="004223DE">
        <w:rPr>
          <w:rFonts w:cstheme="minorHAnsi"/>
          <w:sz w:val="21"/>
          <w:szCs w:val="21"/>
        </w:rPr>
        <w:t xml:space="preserve"> of €23</w:t>
      </w:r>
      <w:r w:rsidR="004D49E4">
        <w:rPr>
          <w:rFonts w:cstheme="minorHAnsi"/>
          <w:sz w:val="21"/>
          <w:szCs w:val="21"/>
        </w:rPr>
        <w:t xml:space="preserve"> million</w:t>
      </w:r>
      <w:r w:rsidR="00843783" w:rsidRPr="004223DE">
        <w:rPr>
          <w:rFonts w:cstheme="minorHAnsi"/>
          <w:sz w:val="21"/>
          <w:szCs w:val="21"/>
        </w:rPr>
        <w:t xml:space="preserve"> is in line</w:t>
      </w:r>
      <w:r w:rsidR="004327EB">
        <w:rPr>
          <w:rFonts w:cstheme="minorHAnsi"/>
          <w:sz w:val="21"/>
          <w:szCs w:val="21"/>
        </w:rPr>
        <w:t xml:space="preserve"> YoY, </w:t>
      </w:r>
      <w:r w:rsidR="00ED3A26" w:rsidRPr="004223DE">
        <w:rPr>
          <w:rFonts w:cstheme="minorHAnsi"/>
          <w:sz w:val="21"/>
          <w:szCs w:val="21"/>
        </w:rPr>
        <w:t>however the Bank has</w:t>
      </w:r>
      <w:r w:rsidR="007D58D1" w:rsidRPr="004223DE">
        <w:rPr>
          <w:rFonts w:cstheme="minorHAnsi"/>
          <w:sz w:val="21"/>
          <w:szCs w:val="21"/>
        </w:rPr>
        <w:t xml:space="preserve"> seen</w:t>
      </w:r>
      <w:r w:rsidR="00ED3A26" w:rsidRPr="004223DE">
        <w:rPr>
          <w:rFonts w:cstheme="minorHAnsi"/>
          <w:sz w:val="21"/>
          <w:szCs w:val="21"/>
        </w:rPr>
        <w:t xml:space="preserve"> </w:t>
      </w:r>
      <w:r w:rsidR="00843783" w:rsidRPr="004223DE">
        <w:rPr>
          <w:rFonts w:cstheme="minorHAnsi"/>
          <w:sz w:val="21"/>
          <w:szCs w:val="21"/>
        </w:rPr>
        <w:t>a 20% increase in Fees &amp; Commissions quarter</w:t>
      </w:r>
      <w:r w:rsidR="00207AB1">
        <w:rPr>
          <w:rFonts w:cstheme="minorHAnsi"/>
          <w:sz w:val="21"/>
          <w:szCs w:val="21"/>
        </w:rPr>
        <w:t>-</w:t>
      </w:r>
      <w:r w:rsidR="00843783" w:rsidRPr="004223DE">
        <w:rPr>
          <w:rFonts w:cstheme="minorHAnsi"/>
          <w:sz w:val="21"/>
          <w:szCs w:val="21"/>
        </w:rPr>
        <w:t>on</w:t>
      </w:r>
      <w:r w:rsidR="00207AB1">
        <w:rPr>
          <w:rFonts w:cstheme="minorHAnsi"/>
          <w:sz w:val="21"/>
          <w:szCs w:val="21"/>
        </w:rPr>
        <w:t>-</w:t>
      </w:r>
      <w:r w:rsidR="00843783" w:rsidRPr="004223DE">
        <w:rPr>
          <w:rFonts w:cstheme="minorHAnsi"/>
          <w:sz w:val="21"/>
          <w:szCs w:val="21"/>
        </w:rPr>
        <w:t>quarter in 2024, as c</w:t>
      </w:r>
      <w:r w:rsidRPr="004223DE">
        <w:rPr>
          <w:rFonts w:cstheme="minorHAnsi"/>
          <w:sz w:val="21"/>
          <w:szCs w:val="21"/>
        </w:rPr>
        <w:t>hanges to the current account fee structure announced in H1</w:t>
      </w:r>
      <w:r w:rsidR="00BD0781" w:rsidRPr="004223DE">
        <w:rPr>
          <w:rFonts w:cstheme="minorHAnsi"/>
          <w:sz w:val="21"/>
          <w:szCs w:val="21"/>
        </w:rPr>
        <w:t>’24</w:t>
      </w:r>
      <w:r w:rsidR="00843783" w:rsidRPr="004223DE">
        <w:rPr>
          <w:rFonts w:cstheme="minorHAnsi"/>
          <w:sz w:val="21"/>
          <w:szCs w:val="21"/>
        </w:rPr>
        <w:t xml:space="preserve"> begin to materialise</w:t>
      </w:r>
      <w:r w:rsidR="00ED3A26" w:rsidRPr="004223DE">
        <w:rPr>
          <w:rFonts w:cstheme="minorHAnsi"/>
          <w:sz w:val="21"/>
          <w:szCs w:val="21"/>
        </w:rPr>
        <w:t xml:space="preserve">. This increasing trajectory is expected to continue through H2’24 supporting </w:t>
      </w:r>
      <w:r w:rsidR="007D58D1" w:rsidRPr="004223DE">
        <w:rPr>
          <w:rFonts w:cstheme="minorHAnsi"/>
          <w:sz w:val="21"/>
          <w:szCs w:val="21"/>
        </w:rPr>
        <w:t>the</w:t>
      </w:r>
      <w:r w:rsidR="00ED3A26" w:rsidRPr="004223DE">
        <w:rPr>
          <w:rFonts w:cstheme="minorHAnsi"/>
          <w:sz w:val="21"/>
          <w:szCs w:val="21"/>
        </w:rPr>
        <w:t xml:space="preserve"> Fees and Commission income growth in 2024.</w:t>
      </w:r>
      <w:r w:rsidRPr="004223DE">
        <w:rPr>
          <w:rFonts w:cstheme="minorHAnsi"/>
          <w:sz w:val="21"/>
          <w:szCs w:val="21"/>
        </w:rPr>
        <w:t xml:space="preserve"> </w:t>
      </w:r>
      <w:r w:rsidR="005829CA" w:rsidRPr="000D6A32">
        <w:rPr>
          <w:rFonts w:cstheme="minorHAnsi"/>
          <w:sz w:val="21"/>
          <w:szCs w:val="21"/>
        </w:rPr>
        <w:t xml:space="preserve">These </w:t>
      </w:r>
      <w:r w:rsidR="005829CA">
        <w:rPr>
          <w:rFonts w:cstheme="minorHAnsi"/>
          <w:sz w:val="21"/>
          <w:szCs w:val="21"/>
        </w:rPr>
        <w:t>were</w:t>
      </w:r>
      <w:r w:rsidR="005829CA" w:rsidRPr="000D6A32">
        <w:rPr>
          <w:rFonts w:cstheme="minorHAnsi"/>
          <w:sz w:val="21"/>
          <w:szCs w:val="21"/>
        </w:rPr>
        <w:t xml:space="preserve"> the first increases in</w:t>
      </w:r>
      <w:r w:rsidR="005829CA">
        <w:rPr>
          <w:rFonts w:cstheme="minorHAnsi"/>
          <w:sz w:val="21"/>
          <w:szCs w:val="21"/>
        </w:rPr>
        <w:t xml:space="preserve"> current account</w:t>
      </w:r>
      <w:r w:rsidR="005829CA" w:rsidRPr="000D6A32">
        <w:rPr>
          <w:rFonts w:cstheme="minorHAnsi"/>
          <w:sz w:val="21"/>
          <w:szCs w:val="21"/>
        </w:rPr>
        <w:t xml:space="preserve"> fees </w:t>
      </w:r>
      <w:r w:rsidR="005829CA">
        <w:rPr>
          <w:rFonts w:cstheme="minorHAnsi"/>
          <w:sz w:val="21"/>
          <w:szCs w:val="21"/>
        </w:rPr>
        <w:t>applied by th</w:t>
      </w:r>
      <w:r w:rsidR="005829CA" w:rsidRPr="000D6A32">
        <w:rPr>
          <w:rFonts w:cstheme="minorHAnsi"/>
          <w:sz w:val="21"/>
          <w:szCs w:val="21"/>
        </w:rPr>
        <w:t xml:space="preserve">e </w:t>
      </w:r>
      <w:r w:rsidR="005829CA">
        <w:rPr>
          <w:rFonts w:cstheme="minorHAnsi"/>
          <w:sz w:val="21"/>
          <w:szCs w:val="21"/>
        </w:rPr>
        <w:t>B</w:t>
      </w:r>
      <w:r w:rsidR="005829CA" w:rsidRPr="000D6A32">
        <w:rPr>
          <w:rFonts w:cstheme="minorHAnsi"/>
          <w:sz w:val="21"/>
          <w:szCs w:val="21"/>
        </w:rPr>
        <w:t xml:space="preserve">ank </w:t>
      </w:r>
      <w:r w:rsidR="005829CA">
        <w:rPr>
          <w:rFonts w:cstheme="minorHAnsi"/>
          <w:sz w:val="21"/>
          <w:szCs w:val="21"/>
        </w:rPr>
        <w:t xml:space="preserve">since </w:t>
      </w:r>
      <w:r w:rsidR="005829CA" w:rsidRPr="000D6A32">
        <w:rPr>
          <w:rFonts w:cstheme="minorHAnsi"/>
          <w:sz w:val="21"/>
          <w:szCs w:val="21"/>
        </w:rPr>
        <w:t>2019</w:t>
      </w:r>
      <w:r w:rsidR="005829CA">
        <w:rPr>
          <w:rFonts w:cstheme="minorHAnsi"/>
          <w:sz w:val="21"/>
          <w:szCs w:val="21"/>
        </w:rPr>
        <w:t xml:space="preserve"> and </w:t>
      </w:r>
      <w:r w:rsidR="00467D76">
        <w:rPr>
          <w:rFonts w:cstheme="minorHAnsi"/>
          <w:sz w:val="21"/>
          <w:szCs w:val="21"/>
        </w:rPr>
        <w:t>in</w:t>
      </w:r>
      <w:r w:rsidR="005829CA">
        <w:rPr>
          <w:rFonts w:cstheme="minorHAnsi"/>
          <w:sz w:val="21"/>
          <w:szCs w:val="21"/>
        </w:rPr>
        <w:t xml:space="preserve"> that time, the Bank has and will continue to invest significant</w:t>
      </w:r>
      <w:r w:rsidR="0057697C">
        <w:rPr>
          <w:rFonts w:cstheme="minorHAnsi"/>
          <w:sz w:val="21"/>
          <w:szCs w:val="21"/>
        </w:rPr>
        <w:t>ly</w:t>
      </w:r>
      <w:r w:rsidR="005829CA">
        <w:rPr>
          <w:rFonts w:cstheme="minorHAnsi"/>
          <w:sz w:val="21"/>
          <w:szCs w:val="21"/>
        </w:rPr>
        <w:t xml:space="preserve"> in its current account offering, including its</w:t>
      </w:r>
      <w:r w:rsidR="004327EB">
        <w:rPr>
          <w:rFonts w:cstheme="minorHAnsi"/>
          <w:sz w:val="21"/>
          <w:szCs w:val="21"/>
        </w:rPr>
        <w:t>’</w:t>
      </w:r>
      <w:r w:rsidR="005829CA">
        <w:rPr>
          <w:rFonts w:cstheme="minorHAnsi"/>
          <w:sz w:val="21"/>
          <w:szCs w:val="21"/>
        </w:rPr>
        <w:t xml:space="preserve"> recently launch</w:t>
      </w:r>
      <w:r w:rsidR="0057697C">
        <w:rPr>
          <w:rFonts w:cstheme="minorHAnsi"/>
          <w:sz w:val="21"/>
          <w:szCs w:val="21"/>
        </w:rPr>
        <w:t>ed</w:t>
      </w:r>
      <w:r w:rsidR="005829CA">
        <w:rPr>
          <w:rFonts w:cstheme="minorHAnsi"/>
          <w:sz w:val="21"/>
          <w:szCs w:val="21"/>
        </w:rPr>
        <w:t xml:space="preserve"> new banking app and the launch of ‘PTSB Protect’</w:t>
      </w:r>
      <w:r w:rsidR="005829CA" w:rsidRPr="001A2EAB">
        <w:rPr>
          <w:rFonts w:cstheme="minorHAnsi"/>
          <w:sz w:val="21"/>
          <w:szCs w:val="21"/>
        </w:rPr>
        <w:t>, a unique in-app fraud protection service.</w:t>
      </w:r>
    </w:p>
    <w:p w14:paraId="28425BA4" w14:textId="2EE478CB" w:rsidR="00A37DFD" w:rsidRDefault="00B637CB" w:rsidP="002558ED">
      <w:pPr>
        <w:spacing w:before="120" w:after="120"/>
        <w:ind w:right="284"/>
        <w:jc w:val="both"/>
        <w:rPr>
          <w:rFonts w:cstheme="minorHAnsi"/>
          <w:sz w:val="21"/>
          <w:szCs w:val="21"/>
        </w:rPr>
      </w:pPr>
      <w:r w:rsidRPr="001A2EAB">
        <w:rPr>
          <w:rFonts w:cstheme="minorHAnsi"/>
          <w:b/>
          <w:sz w:val="21"/>
          <w:szCs w:val="21"/>
        </w:rPr>
        <w:t xml:space="preserve">Total </w:t>
      </w:r>
      <w:r w:rsidR="004327EB">
        <w:rPr>
          <w:rFonts w:cstheme="minorHAnsi"/>
          <w:b/>
          <w:sz w:val="21"/>
          <w:szCs w:val="21"/>
        </w:rPr>
        <w:t>O</w:t>
      </w:r>
      <w:r w:rsidR="00310CA0" w:rsidRPr="001A2EAB">
        <w:rPr>
          <w:rFonts w:cstheme="minorHAnsi"/>
          <w:b/>
          <w:sz w:val="21"/>
          <w:szCs w:val="21"/>
        </w:rPr>
        <w:t xml:space="preserve">perating </w:t>
      </w:r>
      <w:r w:rsidR="004327EB">
        <w:rPr>
          <w:rFonts w:cstheme="minorHAnsi"/>
          <w:b/>
          <w:sz w:val="21"/>
          <w:szCs w:val="21"/>
        </w:rPr>
        <w:t>E</w:t>
      </w:r>
      <w:r w:rsidR="00310CA0" w:rsidRPr="001A2EAB">
        <w:rPr>
          <w:rFonts w:cstheme="minorHAnsi"/>
          <w:b/>
          <w:sz w:val="21"/>
          <w:szCs w:val="21"/>
        </w:rPr>
        <w:t>xpenses</w:t>
      </w:r>
      <w:r w:rsidR="00336AC6" w:rsidRPr="001A2EAB">
        <w:rPr>
          <w:rFonts w:cstheme="minorHAnsi"/>
          <w:b/>
          <w:sz w:val="21"/>
          <w:szCs w:val="21"/>
        </w:rPr>
        <w:t xml:space="preserve"> excluding </w:t>
      </w:r>
      <w:r w:rsidR="004327EB">
        <w:rPr>
          <w:rFonts w:cstheme="minorHAnsi"/>
          <w:b/>
          <w:sz w:val="21"/>
          <w:szCs w:val="21"/>
        </w:rPr>
        <w:t>R</w:t>
      </w:r>
      <w:r w:rsidR="00336AC6" w:rsidRPr="001A2EAB">
        <w:rPr>
          <w:rFonts w:cstheme="minorHAnsi"/>
          <w:b/>
          <w:sz w:val="21"/>
          <w:szCs w:val="21"/>
        </w:rPr>
        <w:t xml:space="preserve">egulatory </w:t>
      </w:r>
      <w:r w:rsidR="004327EB">
        <w:rPr>
          <w:rFonts w:cstheme="minorHAnsi"/>
          <w:b/>
          <w:sz w:val="21"/>
          <w:szCs w:val="21"/>
        </w:rPr>
        <w:t>C</w:t>
      </w:r>
      <w:r w:rsidR="00336AC6" w:rsidRPr="001A2EAB">
        <w:rPr>
          <w:rFonts w:cstheme="minorHAnsi"/>
          <w:b/>
          <w:sz w:val="21"/>
          <w:szCs w:val="21"/>
        </w:rPr>
        <w:t>harges</w:t>
      </w:r>
      <w:r w:rsidR="00310CA0" w:rsidRPr="001A2EAB">
        <w:rPr>
          <w:rFonts w:cstheme="minorHAnsi"/>
          <w:sz w:val="21"/>
          <w:szCs w:val="21"/>
        </w:rPr>
        <w:t xml:space="preserve"> </w:t>
      </w:r>
      <w:r w:rsidR="00584673" w:rsidRPr="001A2EAB">
        <w:rPr>
          <w:rFonts w:cstheme="minorHAnsi"/>
          <w:sz w:val="21"/>
          <w:szCs w:val="21"/>
        </w:rPr>
        <w:t>of €245</w:t>
      </w:r>
      <w:r w:rsidR="004327EB">
        <w:rPr>
          <w:rFonts w:cstheme="minorHAnsi"/>
          <w:sz w:val="21"/>
          <w:szCs w:val="21"/>
        </w:rPr>
        <w:t xml:space="preserve"> </w:t>
      </w:r>
      <w:r w:rsidR="00584673" w:rsidRPr="001A2EAB">
        <w:rPr>
          <w:rFonts w:cstheme="minorHAnsi"/>
          <w:sz w:val="21"/>
          <w:szCs w:val="21"/>
        </w:rPr>
        <w:t>m</w:t>
      </w:r>
      <w:r w:rsidR="004327EB">
        <w:rPr>
          <w:rFonts w:cstheme="minorHAnsi"/>
          <w:sz w:val="21"/>
          <w:szCs w:val="21"/>
        </w:rPr>
        <w:t>illion</w:t>
      </w:r>
      <w:r w:rsidR="00584673" w:rsidRPr="001A2EAB">
        <w:rPr>
          <w:rFonts w:cstheme="minorHAnsi"/>
          <w:sz w:val="21"/>
          <w:szCs w:val="21"/>
        </w:rPr>
        <w:t xml:space="preserve"> increased by €41</w:t>
      </w:r>
      <w:r w:rsidR="004327EB">
        <w:rPr>
          <w:rFonts w:cstheme="minorHAnsi"/>
          <w:sz w:val="21"/>
          <w:szCs w:val="21"/>
        </w:rPr>
        <w:t xml:space="preserve"> </w:t>
      </w:r>
      <w:r w:rsidR="00584673" w:rsidRPr="001A2EAB">
        <w:rPr>
          <w:rFonts w:cstheme="minorHAnsi"/>
          <w:sz w:val="21"/>
          <w:szCs w:val="21"/>
        </w:rPr>
        <w:t>m</w:t>
      </w:r>
      <w:r w:rsidR="004327EB">
        <w:rPr>
          <w:rFonts w:cstheme="minorHAnsi"/>
          <w:sz w:val="21"/>
          <w:szCs w:val="21"/>
        </w:rPr>
        <w:t>illion</w:t>
      </w:r>
      <w:r w:rsidR="00584673">
        <w:rPr>
          <w:rFonts w:cstheme="minorHAnsi"/>
          <w:sz w:val="21"/>
          <w:szCs w:val="21"/>
        </w:rPr>
        <w:t xml:space="preserve"> (</w:t>
      </w:r>
      <w:r w:rsidR="00584673" w:rsidRPr="001A2EAB">
        <w:rPr>
          <w:rFonts w:cstheme="minorHAnsi"/>
          <w:sz w:val="21"/>
          <w:szCs w:val="21"/>
        </w:rPr>
        <w:t>20%</w:t>
      </w:r>
      <w:r w:rsidR="00584673">
        <w:rPr>
          <w:rFonts w:cstheme="minorHAnsi"/>
          <w:sz w:val="21"/>
          <w:szCs w:val="21"/>
        </w:rPr>
        <w:t>)</w:t>
      </w:r>
      <w:r w:rsidR="00584673" w:rsidRPr="001A2EAB">
        <w:rPr>
          <w:rFonts w:cstheme="minorHAnsi"/>
          <w:sz w:val="21"/>
          <w:szCs w:val="21"/>
        </w:rPr>
        <w:t xml:space="preserve"> YoY</w:t>
      </w:r>
      <w:r w:rsidR="00584673">
        <w:rPr>
          <w:rFonts w:cstheme="minorHAnsi"/>
          <w:sz w:val="21"/>
          <w:szCs w:val="21"/>
        </w:rPr>
        <w:t xml:space="preserve"> and</w:t>
      </w:r>
      <w:r w:rsidR="00584673" w:rsidRPr="001A2EAB">
        <w:rPr>
          <w:rFonts w:cstheme="minorHAnsi"/>
          <w:sz w:val="21"/>
          <w:szCs w:val="21"/>
        </w:rPr>
        <w:t xml:space="preserve"> are in line with management expectations</w:t>
      </w:r>
      <w:r w:rsidR="004327EB">
        <w:rPr>
          <w:rFonts w:cstheme="minorHAnsi"/>
          <w:sz w:val="21"/>
          <w:szCs w:val="21"/>
        </w:rPr>
        <w:t xml:space="preserve">. </w:t>
      </w:r>
      <w:r w:rsidR="00215600">
        <w:rPr>
          <w:rFonts w:cstheme="minorHAnsi"/>
          <w:sz w:val="21"/>
          <w:szCs w:val="21"/>
        </w:rPr>
        <w:t>U</w:t>
      </w:r>
      <w:r w:rsidR="00584673">
        <w:rPr>
          <w:rFonts w:cstheme="minorHAnsi"/>
          <w:sz w:val="21"/>
          <w:szCs w:val="21"/>
        </w:rPr>
        <w:t>nderlying operating expenses increas</w:t>
      </w:r>
      <w:r w:rsidR="00215600">
        <w:rPr>
          <w:rFonts w:cstheme="minorHAnsi"/>
          <w:sz w:val="21"/>
          <w:szCs w:val="21"/>
        </w:rPr>
        <w:t>ed</w:t>
      </w:r>
      <w:r w:rsidR="00584673">
        <w:rPr>
          <w:rFonts w:cstheme="minorHAnsi"/>
          <w:sz w:val="21"/>
          <w:szCs w:val="21"/>
        </w:rPr>
        <w:t xml:space="preserve"> as a result of higher </w:t>
      </w:r>
      <w:r w:rsidR="00215600">
        <w:rPr>
          <w:rFonts w:cstheme="minorHAnsi"/>
          <w:sz w:val="21"/>
          <w:szCs w:val="21"/>
        </w:rPr>
        <w:t>resourcing requirements</w:t>
      </w:r>
      <w:r w:rsidR="00FD2FD7">
        <w:rPr>
          <w:rFonts w:cstheme="minorHAnsi"/>
          <w:sz w:val="21"/>
          <w:szCs w:val="21"/>
        </w:rPr>
        <w:t xml:space="preserve">, </w:t>
      </w:r>
      <w:r w:rsidR="00584673">
        <w:rPr>
          <w:rFonts w:cstheme="minorHAnsi"/>
          <w:sz w:val="21"/>
          <w:szCs w:val="21"/>
        </w:rPr>
        <w:t xml:space="preserve">cost inflation and investment. </w:t>
      </w:r>
      <w:r w:rsidR="00584673" w:rsidRPr="004223DE">
        <w:rPr>
          <w:rFonts w:cstheme="minorHAnsi"/>
          <w:sz w:val="21"/>
          <w:szCs w:val="21"/>
        </w:rPr>
        <w:t>The Bank remains committed to making</w:t>
      </w:r>
      <w:r w:rsidR="005B5D26">
        <w:rPr>
          <w:rFonts w:cstheme="minorHAnsi"/>
          <w:sz w:val="21"/>
          <w:szCs w:val="21"/>
        </w:rPr>
        <w:t xml:space="preserve"> efficiencies and</w:t>
      </w:r>
      <w:r w:rsidR="00584673" w:rsidRPr="004223DE">
        <w:rPr>
          <w:rFonts w:cstheme="minorHAnsi"/>
          <w:sz w:val="21"/>
          <w:szCs w:val="21"/>
        </w:rPr>
        <w:t xml:space="preserve"> underlying savings </w:t>
      </w:r>
      <w:r w:rsidR="00584673">
        <w:rPr>
          <w:rFonts w:cstheme="minorHAnsi"/>
          <w:sz w:val="21"/>
          <w:szCs w:val="21"/>
        </w:rPr>
        <w:t xml:space="preserve">in 2024 and over the medium term </w:t>
      </w:r>
      <w:r w:rsidR="00584673" w:rsidRPr="004223DE">
        <w:rPr>
          <w:rFonts w:cstheme="minorHAnsi"/>
          <w:sz w:val="21"/>
          <w:szCs w:val="21"/>
        </w:rPr>
        <w:t>to offset the increased costs associated with investment</w:t>
      </w:r>
      <w:r w:rsidR="00584673">
        <w:rPr>
          <w:rFonts w:cstheme="minorHAnsi"/>
          <w:sz w:val="21"/>
          <w:szCs w:val="21"/>
        </w:rPr>
        <w:t xml:space="preserve"> and is reaffirming its guidance for a mid-single digit </w:t>
      </w:r>
      <w:r w:rsidR="00FD2FD7">
        <w:rPr>
          <w:rFonts w:cstheme="minorHAnsi"/>
          <w:sz w:val="21"/>
          <w:szCs w:val="21"/>
        </w:rPr>
        <w:t>percentage increase</w:t>
      </w:r>
      <w:r w:rsidR="00215600">
        <w:rPr>
          <w:rFonts w:cstheme="minorHAnsi"/>
          <w:sz w:val="21"/>
          <w:szCs w:val="21"/>
        </w:rPr>
        <w:t xml:space="preserve"> in operating expenses in </w:t>
      </w:r>
      <w:r w:rsidR="00584673">
        <w:rPr>
          <w:rFonts w:cstheme="minorHAnsi"/>
          <w:sz w:val="21"/>
          <w:szCs w:val="21"/>
        </w:rPr>
        <w:t>2024</w:t>
      </w:r>
      <w:r w:rsidR="00215600">
        <w:rPr>
          <w:rFonts w:cstheme="minorHAnsi"/>
          <w:sz w:val="21"/>
          <w:szCs w:val="21"/>
        </w:rPr>
        <w:t xml:space="preserve">. </w:t>
      </w:r>
    </w:p>
    <w:p w14:paraId="294024F9" w14:textId="66F0F69C" w:rsidR="00310CA0" w:rsidRPr="004223DE" w:rsidRDefault="00336AC6" w:rsidP="002558ED">
      <w:pPr>
        <w:spacing w:before="120" w:after="120"/>
        <w:ind w:right="284"/>
        <w:jc w:val="both"/>
        <w:rPr>
          <w:rFonts w:cstheme="minorHAnsi"/>
          <w:sz w:val="21"/>
          <w:szCs w:val="21"/>
        </w:rPr>
      </w:pPr>
      <w:r w:rsidRPr="001777E8">
        <w:rPr>
          <w:rFonts w:cstheme="minorHAnsi"/>
          <w:b/>
          <w:sz w:val="21"/>
          <w:szCs w:val="21"/>
        </w:rPr>
        <w:t xml:space="preserve">Total </w:t>
      </w:r>
      <w:r w:rsidR="005B5D26">
        <w:rPr>
          <w:rFonts w:cstheme="minorHAnsi"/>
          <w:b/>
          <w:sz w:val="21"/>
          <w:szCs w:val="21"/>
        </w:rPr>
        <w:t>R</w:t>
      </w:r>
      <w:r w:rsidRPr="001777E8">
        <w:rPr>
          <w:rFonts w:cstheme="minorHAnsi"/>
          <w:b/>
          <w:sz w:val="21"/>
          <w:szCs w:val="21"/>
        </w:rPr>
        <w:t xml:space="preserve">egulatory </w:t>
      </w:r>
      <w:r w:rsidR="005B5D26">
        <w:rPr>
          <w:rFonts w:cstheme="minorHAnsi"/>
          <w:b/>
          <w:sz w:val="21"/>
          <w:szCs w:val="21"/>
        </w:rPr>
        <w:t>C</w:t>
      </w:r>
      <w:r w:rsidRPr="001777E8">
        <w:rPr>
          <w:rFonts w:cstheme="minorHAnsi"/>
          <w:b/>
          <w:sz w:val="21"/>
          <w:szCs w:val="21"/>
        </w:rPr>
        <w:t>harges</w:t>
      </w:r>
      <w:r>
        <w:rPr>
          <w:rFonts w:cstheme="minorHAnsi"/>
          <w:sz w:val="21"/>
          <w:szCs w:val="21"/>
        </w:rPr>
        <w:t xml:space="preserve"> </w:t>
      </w:r>
      <w:r w:rsidR="00A37DFD">
        <w:rPr>
          <w:rFonts w:cstheme="minorHAnsi"/>
          <w:sz w:val="21"/>
          <w:szCs w:val="21"/>
        </w:rPr>
        <w:t>increased by €5</w:t>
      </w:r>
      <w:r w:rsidR="005B5D26">
        <w:rPr>
          <w:rFonts w:cstheme="minorHAnsi"/>
          <w:sz w:val="21"/>
          <w:szCs w:val="21"/>
        </w:rPr>
        <w:t xml:space="preserve"> </w:t>
      </w:r>
      <w:r w:rsidR="00A37DFD">
        <w:rPr>
          <w:rFonts w:cstheme="minorHAnsi"/>
          <w:sz w:val="21"/>
          <w:szCs w:val="21"/>
        </w:rPr>
        <w:t>m</w:t>
      </w:r>
      <w:r w:rsidR="005B5D26">
        <w:rPr>
          <w:rFonts w:cstheme="minorHAnsi"/>
          <w:sz w:val="21"/>
          <w:szCs w:val="21"/>
        </w:rPr>
        <w:t>illion</w:t>
      </w:r>
      <w:r w:rsidR="00A37DFD">
        <w:rPr>
          <w:rFonts w:cstheme="minorHAnsi"/>
          <w:sz w:val="21"/>
          <w:szCs w:val="21"/>
        </w:rPr>
        <w:t xml:space="preserve"> (21%) to </w:t>
      </w:r>
      <w:r>
        <w:rPr>
          <w:rFonts w:cstheme="minorHAnsi"/>
          <w:sz w:val="21"/>
          <w:szCs w:val="21"/>
        </w:rPr>
        <w:t>€29</w:t>
      </w:r>
      <w:r w:rsidR="005B5D26">
        <w:rPr>
          <w:rFonts w:cstheme="minorHAnsi"/>
          <w:sz w:val="21"/>
          <w:szCs w:val="21"/>
        </w:rPr>
        <w:t xml:space="preserve"> </w:t>
      </w:r>
      <w:r>
        <w:rPr>
          <w:rFonts w:cstheme="minorHAnsi"/>
          <w:sz w:val="21"/>
          <w:szCs w:val="21"/>
        </w:rPr>
        <w:t>m</w:t>
      </w:r>
      <w:r w:rsidR="005B5D26">
        <w:rPr>
          <w:rFonts w:cstheme="minorHAnsi"/>
          <w:sz w:val="21"/>
          <w:szCs w:val="21"/>
        </w:rPr>
        <w:t>illion</w:t>
      </w:r>
      <w:r>
        <w:rPr>
          <w:rFonts w:cstheme="minorHAnsi"/>
          <w:sz w:val="21"/>
          <w:szCs w:val="21"/>
        </w:rPr>
        <w:t xml:space="preserve"> </w:t>
      </w:r>
      <w:r w:rsidR="00A37DFD">
        <w:rPr>
          <w:rFonts w:cstheme="minorHAnsi"/>
          <w:sz w:val="21"/>
          <w:szCs w:val="21"/>
        </w:rPr>
        <w:t>in H1’24</w:t>
      </w:r>
      <w:r w:rsidR="00467D76">
        <w:rPr>
          <w:rFonts w:cstheme="minorHAnsi"/>
          <w:sz w:val="21"/>
          <w:szCs w:val="21"/>
        </w:rPr>
        <w:t>. D</w:t>
      </w:r>
      <w:r w:rsidR="00A37DFD">
        <w:rPr>
          <w:rFonts w:cstheme="minorHAnsi"/>
          <w:sz w:val="21"/>
          <w:szCs w:val="21"/>
        </w:rPr>
        <w:t xml:space="preserve">ue to a change in legislation the </w:t>
      </w:r>
      <w:r w:rsidR="005B5D26">
        <w:rPr>
          <w:rFonts w:cstheme="minorHAnsi"/>
          <w:sz w:val="21"/>
          <w:szCs w:val="21"/>
        </w:rPr>
        <w:t>B</w:t>
      </w:r>
      <w:r w:rsidR="00A37DFD">
        <w:rPr>
          <w:rFonts w:cstheme="minorHAnsi"/>
          <w:sz w:val="21"/>
          <w:szCs w:val="21"/>
        </w:rPr>
        <w:t xml:space="preserve">ank </w:t>
      </w:r>
      <w:r w:rsidR="005B5D26">
        <w:rPr>
          <w:rFonts w:cstheme="minorHAnsi"/>
          <w:sz w:val="21"/>
          <w:szCs w:val="21"/>
        </w:rPr>
        <w:t>L</w:t>
      </w:r>
      <w:r w:rsidR="00A37DFD">
        <w:rPr>
          <w:rFonts w:cstheme="minorHAnsi"/>
          <w:sz w:val="21"/>
          <w:szCs w:val="21"/>
        </w:rPr>
        <w:t>evy (€24</w:t>
      </w:r>
      <w:r w:rsidR="005B5D26">
        <w:rPr>
          <w:rFonts w:cstheme="minorHAnsi"/>
          <w:sz w:val="21"/>
          <w:szCs w:val="21"/>
        </w:rPr>
        <w:t xml:space="preserve"> </w:t>
      </w:r>
      <w:r w:rsidR="00A37DFD">
        <w:rPr>
          <w:rFonts w:cstheme="minorHAnsi"/>
          <w:sz w:val="21"/>
          <w:szCs w:val="21"/>
        </w:rPr>
        <w:t>m</w:t>
      </w:r>
      <w:r w:rsidR="005B5D26">
        <w:rPr>
          <w:rFonts w:cstheme="minorHAnsi"/>
          <w:sz w:val="21"/>
          <w:szCs w:val="21"/>
        </w:rPr>
        <w:t>illion</w:t>
      </w:r>
      <w:r w:rsidR="00A37DFD">
        <w:rPr>
          <w:rFonts w:cstheme="minorHAnsi"/>
          <w:sz w:val="21"/>
          <w:szCs w:val="21"/>
        </w:rPr>
        <w:t>) is now recognised in the first half of the year compared to the last quarter in the prior year</w:t>
      </w:r>
      <w:r w:rsidR="00FF1508">
        <w:rPr>
          <w:rFonts w:cstheme="minorHAnsi"/>
          <w:sz w:val="21"/>
          <w:szCs w:val="21"/>
        </w:rPr>
        <w:t>. O</w:t>
      </w:r>
      <w:r w:rsidR="00A37DFD">
        <w:rPr>
          <w:rFonts w:cstheme="minorHAnsi"/>
          <w:sz w:val="21"/>
          <w:szCs w:val="21"/>
        </w:rPr>
        <w:t>ther regulatory charges</w:t>
      </w:r>
      <w:r w:rsidR="00FF1508">
        <w:rPr>
          <w:rFonts w:cstheme="minorHAnsi"/>
          <w:sz w:val="21"/>
          <w:szCs w:val="21"/>
        </w:rPr>
        <w:t>,</w:t>
      </w:r>
      <w:r w:rsidR="00A37DFD">
        <w:rPr>
          <w:rFonts w:cstheme="minorHAnsi"/>
          <w:sz w:val="21"/>
          <w:szCs w:val="21"/>
        </w:rPr>
        <w:t xml:space="preserve"> primarily the Deposit Guarantee Scheme and the Single Resolution Fund have reduced by c. €19</w:t>
      </w:r>
      <w:r w:rsidR="005B5D26">
        <w:rPr>
          <w:rFonts w:cstheme="minorHAnsi"/>
          <w:sz w:val="21"/>
          <w:szCs w:val="21"/>
        </w:rPr>
        <w:t xml:space="preserve"> </w:t>
      </w:r>
      <w:r w:rsidR="00A37DFD">
        <w:rPr>
          <w:rFonts w:cstheme="minorHAnsi"/>
          <w:sz w:val="21"/>
          <w:szCs w:val="21"/>
        </w:rPr>
        <w:t>m</w:t>
      </w:r>
      <w:r w:rsidR="005B5D26">
        <w:rPr>
          <w:rFonts w:cstheme="minorHAnsi"/>
          <w:sz w:val="21"/>
          <w:szCs w:val="21"/>
        </w:rPr>
        <w:t>illion</w:t>
      </w:r>
      <w:r w:rsidR="00A37DFD">
        <w:rPr>
          <w:rFonts w:cstheme="minorHAnsi"/>
          <w:sz w:val="21"/>
          <w:szCs w:val="21"/>
        </w:rPr>
        <w:t xml:space="preserve"> YoY.  </w:t>
      </w:r>
    </w:p>
    <w:p w14:paraId="49959047" w14:textId="4531A386" w:rsidR="00876A14" w:rsidRPr="004223DE" w:rsidRDefault="00876A14" w:rsidP="00B637CB">
      <w:pPr>
        <w:spacing w:before="120" w:after="120"/>
        <w:ind w:right="284"/>
        <w:jc w:val="both"/>
        <w:rPr>
          <w:rFonts w:cstheme="minorHAnsi"/>
          <w:sz w:val="21"/>
          <w:szCs w:val="21"/>
        </w:rPr>
      </w:pPr>
      <w:r w:rsidRPr="004223DE">
        <w:rPr>
          <w:b/>
          <w:sz w:val="21"/>
          <w:szCs w:val="21"/>
        </w:rPr>
        <w:t xml:space="preserve">Credit </w:t>
      </w:r>
      <w:r w:rsidR="008A3954">
        <w:rPr>
          <w:b/>
          <w:sz w:val="21"/>
          <w:szCs w:val="21"/>
        </w:rPr>
        <w:t>Q</w:t>
      </w:r>
      <w:r w:rsidRPr="004223DE">
        <w:rPr>
          <w:b/>
          <w:sz w:val="21"/>
          <w:szCs w:val="21"/>
        </w:rPr>
        <w:t>uality</w:t>
      </w:r>
      <w:r w:rsidRPr="004223DE">
        <w:rPr>
          <w:sz w:val="21"/>
          <w:szCs w:val="21"/>
        </w:rPr>
        <w:t xml:space="preserve"> remains strong and is benefitting from the strict underwriting criteria</w:t>
      </w:r>
      <w:r w:rsidR="007E76E6" w:rsidRPr="004223DE">
        <w:rPr>
          <w:sz w:val="21"/>
          <w:szCs w:val="21"/>
        </w:rPr>
        <w:t xml:space="preserve"> the Bank has</w:t>
      </w:r>
      <w:r w:rsidRPr="004223DE">
        <w:rPr>
          <w:sz w:val="21"/>
          <w:szCs w:val="21"/>
        </w:rPr>
        <w:t xml:space="preserve"> in place.</w:t>
      </w:r>
      <w:r w:rsidR="00BD0781" w:rsidRPr="004223DE">
        <w:rPr>
          <w:sz w:val="21"/>
          <w:szCs w:val="21"/>
        </w:rPr>
        <w:t xml:space="preserve"> </w:t>
      </w:r>
      <w:r w:rsidR="00A37DFD" w:rsidRPr="004223DE">
        <w:rPr>
          <w:sz w:val="21"/>
          <w:szCs w:val="21"/>
        </w:rPr>
        <w:t>A</w:t>
      </w:r>
      <w:r w:rsidRPr="004223DE">
        <w:rPr>
          <w:sz w:val="21"/>
          <w:szCs w:val="21"/>
        </w:rPr>
        <w:t xml:space="preserve"> </w:t>
      </w:r>
      <w:r w:rsidR="00A37DFD">
        <w:rPr>
          <w:sz w:val="21"/>
          <w:szCs w:val="21"/>
        </w:rPr>
        <w:t>n</w:t>
      </w:r>
      <w:r w:rsidRPr="004223DE">
        <w:rPr>
          <w:sz w:val="21"/>
          <w:szCs w:val="21"/>
        </w:rPr>
        <w:t xml:space="preserve">et </w:t>
      </w:r>
      <w:r w:rsidR="00A37DFD">
        <w:rPr>
          <w:sz w:val="21"/>
          <w:szCs w:val="21"/>
        </w:rPr>
        <w:t>i</w:t>
      </w:r>
      <w:r w:rsidRPr="004223DE">
        <w:rPr>
          <w:sz w:val="21"/>
          <w:szCs w:val="21"/>
        </w:rPr>
        <w:t xml:space="preserve">mpairment </w:t>
      </w:r>
      <w:r w:rsidR="00A37DFD">
        <w:rPr>
          <w:sz w:val="21"/>
          <w:szCs w:val="21"/>
        </w:rPr>
        <w:t>r</w:t>
      </w:r>
      <w:r w:rsidRPr="004223DE">
        <w:rPr>
          <w:sz w:val="21"/>
          <w:szCs w:val="21"/>
        </w:rPr>
        <w:t xml:space="preserve">elease of €20 million reflects </w:t>
      </w:r>
      <w:r w:rsidR="00693807">
        <w:rPr>
          <w:sz w:val="21"/>
          <w:szCs w:val="21"/>
        </w:rPr>
        <w:t xml:space="preserve">strengthened </w:t>
      </w:r>
      <w:r w:rsidR="00BD0781" w:rsidRPr="004223DE">
        <w:rPr>
          <w:sz w:val="21"/>
          <w:szCs w:val="21"/>
        </w:rPr>
        <w:t xml:space="preserve">asset quality and a positive macro-economic environment with strong employment and </w:t>
      </w:r>
      <w:r w:rsidRPr="004223DE">
        <w:rPr>
          <w:sz w:val="21"/>
          <w:szCs w:val="21"/>
        </w:rPr>
        <w:t>increase</w:t>
      </w:r>
      <w:r w:rsidR="00BD0781" w:rsidRPr="004223DE">
        <w:rPr>
          <w:sz w:val="21"/>
          <w:szCs w:val="21"/>
        </w:rPr>
        <w:t>s</w:t>
      </w:r>
      <w:r w:rsidRPr="004223DE">
        <w:rPr>
          <w:sz w:val="21"/>
          <w:szCs w:val="21"/>
        </w:rPr>
        <w:t xml:space="preserve"> in the House Price Index observed during the first half of the year.</w:t>
      </w:r>
    </w:p>
    <w:p w14:paraId="21F5BF57" w14:textId="3C6B4EBE" w:rsidR="00461A3A" w:rsidRPr="005829CA" w:rsidRDefault="00876A14" w:rsidP="005829CA">
      <w:pPr>
        <w:spacing w:before="120" w:after="120"/>
        <w:ind w:right="284"/>
        <w:jc w:val="both"/>
        <w:rPr>
          <w:sz w:val="21"/>
          <w:szCs w:val="21"/>
        </w:rPr>
      </w:pPr>
      <w:r w:rsidRPr="004223DE">
        <w:rPr>
          <w:sz w:val="21"/>
          <w:szCs w:val="21"/>
        </w:rPr>
        <w:t>The Bank reports an </w:t>
      </w:r>
      <w:r w:rsidRPr="004223DE">
        <w:rPr>
          <w:b/>
          <w:sz w:val="21"/>
          <w:szCs w:val="21"/>
        </w:rPr>
        <w:t>Exceptional Item </w:t>
      </w:r>
      <w:r w:rsidRPr="004223DE">
        <w:rPr>
          <w:sz w:val="21"/>
          <w:szCs w:val="21"/>
        </w:rPr>
        <w:t>charge of €</w:t>
      </w:r>
      <w:r w:rsidR="00576A1B">
        <w:rPr>
          <w:sz w:val="21"/>
          <w:szCs w:val="21"/>
        </w:rPr>
        <w:t>7</w:t>
      </w:r>
      <w:r w:rsidRPr="004223DE">
        <w:rPr>
          <w:sz w:val="21"/>
          <w:szCs w:val="21"/>
        </w:rPr>
        <w:t xml:space="preserve"> million at 30 June 202</w:t>
      </w:r>
      <w:r w:rsidR="008B6095">
        <w:rPr>
          <w:sz w:val="21"/>
          <w:szCs w:val="21"/>
        </w:rPr>
        <w:t>4</w:t>
      </w:r>
      <w:r w:rsidRPr="004223DE">
        <w:rPr>
          <w:sz w:val="21"/>
          <w:szCs w:val="21"/>
        </w:rPr>
        <w:t xml:space="preserve"> which </w:t>
      </w:r>
      <w:r w:rsidR="000239D6">
        <w:rPr>
          <w:sz w:val="21"/>
          <w:szCs w:val="21"/>
        </w:rPr>
        <w:t xml:space="preserve">primarily </w:t>
      </w:r>
      <w:r w:rsidRPr="004223DE">
        <w:rPr>
          <w:sz w:val="21"/>
          <w:szCs w:val="21"/>
        </w:rPr>
        <w:t>relate</w:t>
      </w:r>
      <w:r w:rsidR="008A3954">
        <w:rPr>
          <w:sz w:val="21"/>
          <w:szCs w:val="21"/>
        </w:rPr>
        <w:t>s</w:t>
      </w:r>
      <w:r w:rsidRPr="004223DE">
        <w:rPr>
          <w:sz w:val="21"/>
          <w:szCs w:val="21"/>
        </w:rPr>
        <w:t xml:space="preserve"> to the</w:t>
      </w:r>
      <w:r w:rsidR="008A3954">
        <w:rPr>
          <w:sz w:val="21"/>
          <w:szCs w:val="21"/>
        </w:rPr>
        <w:t xml:space="preserve"> transaction costs on the</w:t>
      </w:r>
      <w:r w:rsidRPr="004223DE">
        <w:rPr>
          <w:sz w:val="21"/>
          <w:szCs w:val="21"/>
        </w:rPr>
        <w:t xml:space="preserve"> ‘Glas III’ NPL sale</w:t>
      </w:r>
      <w:r w:rsidR="00680123" w:rsidRPr="004223DE">
        <w:rPr>
          <w:sz w:val="21"/>
          <w:szCs w:val="21"/>
        </w:rPr>
        <w:t xml:space="preserve">. </w:t>
      </w:r>
    </w:p>
    <w:p w14:paraId="1307E5E3" w14:textId="1BA19C4C" w:rsidR="00120C22" w:rsidRPr="004223DE" w:rsidRDefault="00120C22" w:rsidP="007768A9">
      <w:pPr>
        <w:spacing w:before="240" w:after="120"/>
        <w:ind w:right="284"/>
        <w:jc w:val="both"/>
        <w:rPr>
          <w:rFonts w:cstheme="minorHAnsi"/>
          <w:b/>
          <w:sz w:val="21"/>
          <w:szCs w:val="21"/>
        </w:rPr>
      </w:pPr>
      <w:r w:rsidRPr="004223DE">
        <w:rPr>
          <w:rFonts w:cstheme="minorHAnsi"/>
          <w:b/>
          <w:sz w:val="21"/>
          <w:szCs w:val="21"/>
        </w:rPr>
        <w:t xml:space="preserve">Balance Sheet </w:t>
      </w:r>
    </w:p>
    <w:p w14:paraId="0ADDFC07" w14:textId="0734AC25" w:rsidR="00693807" w:rsidRDefault="00525577" w:rsidP="00B637CB">
      <w:pPr>
        <w:spacing w:before="120" w:after="120"/>
        <w:ind w:right="284"/>
        <w:jc w:val="both"/>
        <w:rPr>
          <w:rFonts w:cstheme="minorHAnsi"/>
          <w:sz w:val="21"/>
          <w:szCs w:val="21"/>
        </w:rPr>
      </w:pPr>
      <w:r w:rsidRPr="004223DE">
        <w:rPr>
          <w:rFonts w:cstheme="minorHAnsi"/>
          <w:sz w:val="21"/>
          <w:szCs w:val="21"/>
        </w:rPr>
        <w:t xml:space="preserve">The </w:t>
      </w:r>
      <w:r w:rsidR="00C933B1">
        <w:rPr>
          <w:rFonts w:cstheme="minorHAnsi"/>
          <w:b/>
          <w:sz w:val="21"/>
          <w:szCs w:val="21"/>
        </w:rPr>
        <w:t>T</w:t>
      </w:r>
      <w:r w:rsidRPr="004223DE">
        <w:rPr>
          <w:rFonts w:cstheme="minorHAnsi"/>
          <w:b/>
          <w:sz w:val="21"/>
          <w:szCs w:val="21"/>
        </w:rPr>
        <w:t xml:space="preserve">otal </w:t>
      </w:r>
      <w:r w:rsidR="00BC0FD9">
        <w:rPr>
          <w:rFonts w:cstheme="minorHAnsi"/>
          <w:b/>
          <w:sz w:val="21"/>
          <w:szCs w:val="21"/>
        </w:rPr>
        <w:t>P</w:t>
      </w:r>
      <w:r w:rsidRPr="004223DE">
        <w:rPr>
          <w:rFonts w:cstheme="minorHAnsi"/>
          <w:b/>
          <w:sz w:val="21"/>
          <w:szCs w:val="21"/>
        </w:rPr>
        <w:t xml:space="preserve">erforming </w:t>
      </w:r>
      <w:r w:rsidR="00BC0FD9">
        <w:rPr>
          <w:rFonts w:cstheme="minorHAnsi"/>
          <w:b/>
          <w:sz w:val="21"/>
          <w:szCs w:val="21"/>
        </w:rPr>
        <w:t>L</w:t>
      </w:r>
      <w:r w:rsidRPr="004223DE">
        <w:rPr>
          <w:rFonts w:cstheme="minorHAnsi"/>
          <w:b/>
          <w:sz w:val="21"/>
          <w:szCs w:val="21"/>
        </w:rPr>
        <w:t>oan book</w:t>
      </w:r>
      <w:r w:rsidRPr="004223DE">
        <w:rPr>
          <w:rFonts w:cstheme="minorHAnsi"/>
          <w:sz w:val="21"/>
          <w:szCs w:val="21"/>
        </w:rPr>
        <w:t xml:space="preserve"> of €20.</w:t>
      </w:r>
      <w:r w:rsidR="00B45605" w:rsidRPr="004223DE">
        <w:rPr>
          <w:rFonts w:cstheme="minorHAnsi"/>
          <w:sz w:val="21"/>
          <w:szCs w:val="21"/>
        </w:rPr>
        <w:t>7</w:t>
      </w:r>
      <w:r w:rsidRPr="004223DE">
        <w:rPr>
          <w:rFonts w:cstheme="minorHAnsi"/>
          <w:sz w:val="21"/>
          <w:szCs w:val="21"/>
        </w:rPr>
        <w:t xml:space="preserve"> billion </w:t>
      </w:r>
      <w:r w:rsidR="00E76C90">
        <w:rPr>
          <w:rFonts w:cstheme="minorHAnsi"/>
          <w:sz w:val="21"/>
          <w:szCs w:val="21"/>
        </w:rPr>
        <w:t>at</w:t>
      </w:r>
      <w:r w:rsidRPr="004223DE">
        <w:rPr>
          <w:rFonts w:cstheme="minorHAnsi"/>
          <w:sz w:val="21"/>
          <w:szCs w:val="21"/>
        </w:rPr>
        <w:t xml:space="preserve"> 3</w:t>
      </w:r>
      <w:r w:rsidR="00747ED0" w:rsidRPr="004223DE">
        <w:rPr>
          <w:rFonts w:cstheme="minorHAnsi"/>
          <w:sz w:val="21"/>
          <w:szCs w:val="21"/>
        </w:rPr>
        <w:t xml:space="preserve">0 June </w:t>
      </w:r>
      <w:r w:rsidRPr="004223DE">
        <w:rPr>
          <w:rFonts w:cstheme="minorHAnsi"/>
          <w:sz w:val="21"/>
          <w:szCs w:val="21"/>
        </w:rPr>
        <w:t>2024</w:t>
      </w:r>
      <w:r w:rsidR="00C66E72" w:rsidRPr="004223DE">
        <w:rPr>
          <w:rFonts w:cstheme="minorHAnsi"/>
          <w:sz w:val="21"/>
          <w:szCs w:val="21"/>
        </w:rPr>
        <w:t xml:space="preserve"> is broadly in line with </w:t>
      </w:r>
      <w:r w:rsidR="00C933B1">
        <w:rPr>
          <w:rFonts w:cstheme="minorHAnsi"/>
          <w:sz w:val="21"/>
          <w:szCs w:val="21"/>
        </w:rPr>
        <w:t xml:space="preserve">31 </w:t>
      </w:r>
      <w:r w:rsidRPr="004223DE">
        <w:rPr>
          <w:rFonts w:cstheme="minorHAnsi"/>
          <w:sz w:val="21"/>
          <w:szCs w:val="21"/>
        </w:rPr>
        <w:t>December 2023</w:t>
      </w:r>
      <w:r w:rsidR="000239D6">
        <w:rPr>
          <w:rFonts w:cstheme="minorHAnsi"/>
          <w:sz w:val="21"/>
          <w:szCs w:val="21"/>
        </w:rPr>
        <w:t>,</w:t>
      </w:r>
      <w:r w:rsidR="00483314" w:rsidRPr="004223DE">
        <w:rPr>
          <w:rFonts w:cstheme="minorHAnsi"/>
          <w:sz w:val="21"/>
          <w:szCs w:val="21"/>
        </w:rPr>
        <w:t xml:space="preserve"> </w:t>
      </w:r>
      <w:r w:rsidR="0057697C" w:rsidRPr="00A53907">
        <w:rPr>
          <w:rFonts w:cstheme="minorHAnsi"/>
          <w:sz w:val="21"/>
          <w:szCs w:val="21"/>
        </w:rPr>
        <w:t xml:space="preserve">following a slower pace of new lending, </w:t>
      </w:r>
      <w:r w:rsidR="00693807">
        <w:rPr>
          <w:rFonts w:cstheme="minorHAnsi"/>
          <w:sz w:val="21"/>
          <w:szCs w:val="21"/>
        </w:rPr>
        <w:t xml:space="preserve">partially offset by </w:t>
      </w:r>
      <w:r w:rsidR="00C933B1">
        <w:rPr>
          <w:rFonts w:cstheme="minorHAnsi"/>
          <w:sz w:val="21"/>
          <w:szCs w:val="21"/>
        </w:rPr>
        <w:t xml:space="preserve">higher retention. </w:t>
      </w:r>
      <w:r w:rsidRPr="004223DE">
        <w:rPr>
          <w:rFonts w:cstheme="minorHAnsi"/>
          <w:sz w:val="21"/>
          <w:szCs w:val="21"/>
        </w:rPr>
        <w:t xml:space="preserve"> </w:t>
      </w:r>
    </w:p>
    <w:p w14:paraId="7441540F" w14:textId="5F494637" w:rsidR="00B637CB" w:rsidRDefault="001A2EAB" w:rsidP="00B637CB">
      <w:pPr>
        <w:spacing w:before="120" w:after="120"/>
        <w:ind w:right="284"/>
        <w:jc w:val="both"/>
        <w:rPr>
          <w:rFonts w:cstheme="minorHAnsi"/>
          <w:sz w:val="21"/>
          <w:szCs w:val="21"/>
        </w:rPr>
      </w:pPr>
      <w:r>
        <w:rPr>
          <w:rFonts w:cstheme="minorHAnsi"/>
          <w:b/>
          <w:sz w:val="21"/>
          <w:szCs w:val="21"/>
        </w:rPr>
        <w:t>N</w:t>
      </w:r>
      <w:r w:rsidRPr="004223DE">
        <w:rPr>
          <w:rFonts w:cstheme="minorHAnsi"/>
          <w:b/>
          <w:sz w:val="21"/>
          <w:szCs w:val="21"/>
        </w:rPr>
        <w:t>on-</w:t>
      </w:r>
      <w:r>
        <w:rPr>
          <w:rFonts w:cstheme="minorHAnsi"/>
          <w:b/>
          <w:sz w:val="21"/>
          <w:szCs w:val="21"/>
        </w:rPr>
        <w:t>P</w:t>
      </w:r>
      <w:r w:rsidRPr="004223DE">
        <w:rPr>
          <w:rFonts w:cstheme="minorHAnsi"/>
          <w:b/>
          <w:sz w:val="21"/>
          <w:szCs w:val="21"/>
        </w:rPr>
        <w:t xml:space="preserve">erforming </w:t>
      </w:r>
      <w:r w:rsidR="00C933B1">
        <w:rPr>
          <w:rFonts w:cstheme="minorHAnsi"/>
          <w:b/>
          <w:sz w:val="21"/>
          <w:szCs w:val="21"/>
        </w:rPr>
        <w:t>L</w:t>
      </w:r>
      <w:r w:rsidRPr="004223DE">
        <w:rPr>
          <w:rFonts w:cstheme="minorHAnsi"/>
          <w:b/>
          <w:sz w:val="21"/>
          <w:szCs w:val="21"/>
        </w:rPr>
        <w:t>oans</w:t>
      </w:r>
      <w:r w:rsidRPr="004223DE">
        <w:rPr>
          <w:rFonts w:cstheme="minorHAnsi"/>
          <w:sz w:val="21"/>
          <w:szCs w:val="21"/>
        </w:rPr>
        <w:t xml:space="preserve"> of €0.4 billion </w:t>
      </w:r>
      <w:r>
        <w:rPr>
          <w:rFonts w:cstheme="minorHAnsi"/>
          <w:sz w:val="21"/>
          <w:szCs w:val="21"/>
        </w:rPr>
        <w:t>at</w:t>
      </w:r>
      <w:r w:rsidRPr="004223DE">
        <w:rPr>
          <w:rFonts w:cstheme="minorHAnsi"/>
          <w:sz w:val="21"/>
          <w:szCs w:val="21"/>
        </w:rPr>
        <w:t xml:space="preserve"> 30 June 2024, </w:t>
      </w:r>
      <w:r w:rsidR="00467D76">
        <w:rPr>
          <w:rFonts w:cstheme="minorHAnsi"/>
          <w:sz w:val="21"/>
          <w:szCs w:val="21"/>
        </w:rPr>
        <w:t>report</w:t>
      </w:r>
      <w:r w:rsidR="00C933B1">
        <w:rPr>
          <w:rFonts w:cstheme="minorHAnsi"/>
          <w:sz w:val="21"/>
          <w:szCs w:val="21"/>
        </w:rPr>
        <w:t>ing</w:t>
      </w:r>
      <w:r w:rsidR="00467D76">
        <w:rPr>
          <w:rFonts w:cstheme="minorHAnsi"/>
          <w:sz w:val="21"/>
          <w:szCs w:val="21"/>
        </w:rPr>
        <w:t xml:space="preserve"> </w:t>
      </w:r>
      <w:r w:rsidRPr="004223DE">
        <w:rPr>
          <w:rFonts w:cstheme="minorHAnsi"/>
          <w:sz w:val="21"/>
          <w:szCs w:val="21"/>
        </w:rPr>
        <w:t>a reduction of €0.3 billion compared to</w:t>
      </w:r>
      <w:r w:rsidR="00BB47C8">
        <w:rPr>
          <w:rFonts w:cstheme="minorHAnsi"/>
          <w:sz w:val="21"/>
          <w:szCs w:val="21"/>
        </w:rPr>
        <w:t xml:space="preserve"> </w:t>
      </w:r>
      <w:r w:rsidRPr="004223DE">
        <w:rPr>
          <w:rFonts w:cstheme="minorHAnsi"/>
          <w:sz w:val="21"/>
          <w:szCs w:val="21"/>
        </w:rPr>
        <w:t>31 December 2023 following de-recognition of loans within the ‘Glas III’ NPL loan sale perimeter.</w:t>
      </w:r>
      <w:r w:rsidR="00FD2FD7">
        <w:rPr>
          <w:rFonts w:cstheme="minorHAnsi"/>
          <w:sz w:val="21"/>
          <w:szCs w:val="21"/>
        </w:rPr>
        <w:t xml:space="preserve"> </w:t>
      </w:r>
      <w:r w:rsidR="00B637CB" w:rsidRPr="004223DE">
        <w:rPr>
          <w:rFonts w:cstheme="minorHAnsi"/>
          <w:sz w:val="21"/>
          <w:szCs w:val="21"/>
        </w:rPr>
        <w:t xml:space="preserve">The transaction reduces the Bank’s </w:t>
      </w:r>
      <w:r w:rsidR="00E76C90">
        <w:rPr>
          <w:rFonts w:cstheme="minorHAnsi"/>
          <w:sz w:val="21"/>
          <w:szCs w:val="21"/>
        </w:rPr>
        <w:t>H</w:t>
      </w:r>
      <w:r w:rsidR="00B637CB" w:rsidRPr="004223DE">
        <w:rPr>
          <w:rFonts w:cstheme="minorHAnsi"/>
          <w:sz w:val="21"/>
          <w:szCs w:val="21"/>
        </w:rPr>
        <w:t>1'24 NPL ratio to c. 1.7% 20bps lower than the European average of 1.9%</w:t>
      </w:r>
      <w:r w:rsidR="00B637CB" w:rsidRPr="004223DE">
        <w:rPr>
          <w:rFonts w:cstheme="minorHAnsi"/>
          <w:sz w:val="21"/>
          <w:szCs w:val="21"/>
          <w:vertAlign w:val="superscript"/>
        </w:rPr>
        <w:footnoteReference w:id="7"/>
      </w:r>
      <w:r w:rsidR="00B637CB" w:rsidRPr="004223DE">
        <w:rPr>
          <w:rFonts w:cstheme="minorHAnsi"/>
          <w:sz w:val="21"/>
          <w:szCs w:val="21"/>
        </w:rPr>
        <w:t xml:space="preserve">. </w:t>
      </w:r>
    </w:p>
    <w:p w14:paraId="6FA85B64" w14:textId="074BAF2C" w:rsidR="00BC0FD9" w:rsidRPr="00BC0FD9" w:rsidRDefault="00693807" w:rsidP="00B637CB">
      <w:pPr>
        <w:spacing w:before="120" w:after="120"/>
        <w:ind w:right="284"/>
        <w:jc w:val="both"/>
        <w:rPr>
          <w:rFonts w:cstheme="minorHAnsi"/>
          <w:b/>
          <w:bCs/>
          <w:sz w:val="21"/>
          <w:szCs w:val="21"/>
        </w:rPr>
      </w:pPr>
      <w:r>
        <w:rPr>
          <w:rFonts w:cstheme="minorHAnsi"/>
          <w:b/>
          <w:bCs/>
          <w:sz w:val="21"/>
          <w:szCs w:val="21"/>
        </w:rPr>
        <w:t xml:space="preserve">Liquidity and Funding </w:t>
      </w:r>
    </w:p>
    <w:p w14:paraId="0D435872" w14:textId="19179DF3" w:rsidR="00120C22" w:rsidRPr="004223DE" w:rsidRDefault="00120C22" w:rsidP="00B45605">
      <w:pPr>
        <w:spacing w:before="120" w:after="120"/>
        <w:ind w:right="284"/>
        <w:jc w:val="both"/>
        <w:rPr>
          <w:rFonts w:cstheme="minorHAnsi"/>
          <w:sz w:val="21"/>
          <w:szCs w:val="21"/>
          <w:highlight w:val="yellow"/>
        </w:rPr>
      </w:pPr>
      <w:r w:rsidRPr="004223DE">
        <w:rPr>
          <w:rFonts w:cstheme="minorHAnsi"/>
          <w:sz w:val="21"/>
          <w:szCs w:val="21"/>
        </w:rPr>
        <w:t xml:space="preserve">The </w:t>
      </w:r>
      <w:r w:rsidR="007768A9" w:rsidRPr="004223DE">
        <w:rPr>
          <w:rFonts w:cstheme="minorHAnsi"/>
          <w:sz w:val="21"/>
          <w:szCs w:val="21"/>
        </w:rPr>
        <w:t>Bank</w:t>
      </w:r>
      <w:r w:rsidR="007B3E51">
        <w:rPr>
          <w:rFonts w:cstheme="minorHAnsi"/>
          <w:sz w:val="21"/>
          <w:szCs w:val="21"/>
        </w:rPr>
        <w:t>’</w:t>
      </w:r>
      <w:r w:rsidR="007768A9" w:rsidRPr="004223DE">
        <w:rPr>
          <w:rFonts w:cstheme="minorHAnsi"/>
          <w:sz w:val="21"/>
          <w:szCs w:val="21"/>
        </w:rPr>
        <w:t xml:space="preserve">s </w:t>
      </w:r>
      <w:r w:rsidR="0057500C">
        <w:rPr>
          <w:rFonts w:cstheme="minorHAnsi"/>
          <w:sz w:val="21"/>
          <w:szCs w:val="21"/>
        </w:rPr>
        <w:t>L</w:t>
      </w:r>
      <w:r w:rsidRPr="004223DE">
        <w:rPr>
          <w:rFonts w:cstheme="minorHAnsi"/>
          <w:sz w:val="21"/>
          <w:szCs w:val="21"/>
        </w:rPr>
        <w:t xml:space="preserve">oan to </w:t>
      </w:r>
      <w:r w:rsidR="0057500C">
        <w:rPr>
          <w:rFonts w:cstheme="minorHAnsi"/>
          <w:sz w:val="21"/>
          <w:szCs w:val="21"/>
        </w:rPr>
        <w:t>D</w:t>
      </w:r>
      <w:r w:rsidRPr="004223DE">
        <w:rPr>
          <w:rFonts w:cstheme="minorHAnsi"/>
          <w:sz w:val="21"/>
          <w:szCs w:val="21"/>
        </w:rPr>
        <w:t xml:space="preserve">eposit </w:t>
      </w:r>
      <w:r w:rsidR="0057500C">
        <w:rPr>
          <w:rFonts w:cstheme="minorHAnsi"/>
          <w:sz w:val="21"/>
          <w:szCs w:val="21"/>
        </w:rPr>
        <w:t>R</w:t>
      </w:r>
      <w:r w:rsidRPr="004223DE">
        <w:rPr>
          <w:rFonts w:cstheme="minorHAnsi"/>
          <w:sz w:val="21"/>
          <w:szCs w:val="21"/>
        </w:rPr>
        <w:t xml:space="preserve">atio of </w:t>
      </w:r>
      <w:r w:rsidR="00CC4E82">
        <w:rPr>
          <w:rFonts w:cstheme="minorHAnsi"/>
          <w:sz w:val="21"/>
          <w:szCs w:val="21"/>
        </w:rPr>
        <w:t>90</w:t>
      </w:r>
      <w:r w:rsidRPr="004223DE">
        <w:rPr>
          <w:rFonts w:cstheme="minorHAnsi"/>
          <w:sz w:val="21"/>
          <w:szCs w:val="21"/>
        </w:rPr>
        <w:t xml:space="preserve">% and </w:t>
      </w:r>
      <w:r w:rsidR="0057500C">
        <w:rPr>
          <w:rFonts w:cstheme="minorHAnsi"/>
          <w:sz w:val="21"/>
          <w:szCs w:val="21"/>
        </w:rPr>
        <w:t>L</w:t>
      </w:r>
      <w:r w:rsidRPr="004223DE">
        <w:rPr>
          <w:rFonts w:cstheme="minorHAnsi"/>
          <w:sz w:val="21"/>
          <w:szCs w:val="21"/>
        </w:rPr>
        <w:t xml:space="preserve">iquidity </w:t>
      </w:r>
      <w:r w:rsidR="0057500C">
        <w:rPr>
          <w:rFonts w:cstheme="minorHAnsi"/>
          <w:sz w:val="21"/>
          <w:szCs w:val="21"/>
        </w:rPr>
        <w:t>C</w:t>
      </w:r>
      <w:r w:rsidRPr="004223DE">
        <w:rPr>
          <w:rFonts w:cstheme="minorHAnsi"/>
          <w:sz w:val="21"/>
          <w:szCs w:val="21"/>
        </w:rPr>
        <w:t xml:space="preserve">overage </w:t>
      </w:r>
      <w:r w:rsidR="0057500C">
        <w:rPr>
          <w:rFonts w:cstheme="minorHAnsi"/>
          <w:sz w:val="21"/>
          <w:szCs w:val="21"/>
        </w:rPr>
        <w:t>R</w:t>
      </w:r>
      <w:r w:rsidRPr="004223DE">
        <w:rPr>
          <w:rFonts w:cstheme="minorHAnsi"/>
          <w:sz w:val="21"/>
          <w:szCs w:val="21"/>
        </w:rPr>
        <w:t>atio of 2</w:t>
      </w:r>
      <w:r w:rsidR="006D487A" w:rsidRPr="004223DE">
        <w:rPr>
          <w:rFonts w:cstheme="minorHAnsi"/>
          <w:sz w:val="21"/>
          <w:szCs w:val="21"/>
        </w:rPr>
        <w:t>3</w:t>
      </w:r>
      <w:r w:rsidR="00461A3A">
        <w:rPr>
          <w:rFonts w:cstheme="minorHAnsi"/>
          <w:sz w:val="21"/>
          <w:szCs w:val="21"/>
        </w:rPr>
        <w:t>2</w:t>
      </w:r>
      <w:r w:rsidRPr="004223DE">
        <w:rPr>
          <w:rFonts w:cstheme="minorHAnsi"/>
          <w:sz w:val="21"/>
          <w:szCs w:val="21"/>
        </w:rPr>
        <w:t xml:space="preserve">% at </w:t>
      </w:r>
      <w:r w:rsidR="0057500C">
        <w:rPr>
          <w:rFonts w:cstheme="minorHAnsi"/>
          <w:sz w:val="21"/>
          <w:szCs w:val="21"/>
        </w:rPr>
        <w:t>30</w:t>
      </w:r>
      <w:r w:rsidR="00BB47C8">
        <w:rPr>
          <w:rFonts w:cstheme="minorHAnsi"/>
          <w:sz w:val="21"/>
          <w:szCs w:val="21"/>
        </w:rPr>
        <w:t xml:space="preserve"> </w:t>
      </w:r>
      <w:r w:rsidR="00747ED0" w:rsidRPr="004223DE">
        <w:rPr>
          <w:rFonts w:cstheme="minorHAnsi"/>
          <w:sz w:val="21"/>
          <w:szCs w:val="21"/>
        </w:rPr>
        <w:t>June</w:t>
      </w:r>
      <w:r w:rsidRPr="004223DE">
        <w:rPr>
          <w:rFonts w:cstheme="minorHAnsi"/>
          <w:sz w:val="21"/>
          <w:szCs w:val="21"/>
        </w:rPr>
        <w:t xml:space="preserve"> 2024 provide</w:t>
      </w:r>
      <w:r w:rsidR="007B3E51">
        <w:rPr>
          <w:rFonts w:cstheme="minorHAnsi"/>
          <w:sz w:val="21"/>
          <w:szCs w:val="21"/>
        </w:rPr>
        <w:t>s</w:t>
      </w:r>
      <w:r w:rsidRPr="004223DE">
        <w:rPr>
          <w:rFonts w:cstheme="minorHAnsi"/>
          <w:sz w:val="21"/>
          <w:szCs w:val="21"/>
        </w:rPr>
        <w:t xml:space="preserve"> the Bank with a strong liquidity position and a secure funding source for future growth in lending volumes.</w:t>
      </w:r>
    </w:p>
    <w:p w14:paraId="2CF5A091" w14:textId="3D7CB216" w:rsidR="00120C22" w:rsidRPr="004223DE" w:rsidRDefault="00120C22" w:rsidP="004223DE">
      <w:pPr>
        <w:spacing w:before="240" w:after="120"/>
        <w:ind w:right="284"/>
        <w:jc w:val="both"/>
        <w:rPr>
          <w:rFonts w:cstheme="minorHAnsi"/>
          <w:b/>
          <w:sz w:val="21"/>
          <w:szCs w:val="21"/>
        </w:rPr>
      </w:pPr>
      <w:r w:rsidRPr="004223DE">
        <w:rPr>
          <w:rFonts w:cstheme="minorHAnsi"/>
          <w:b/>
          <w:sz w:val="21"/>
          <w:szCs w:val="21"/>
        </w:rPr>
        <w:t xml:space="preserve">Capital </w:t>
      </w:r>
    </w:p>
    <w:tbl>
      <w:tblPr>
        <w:tblStyle w:val="TableGrid"/>
        <w:tblW w:w="9016" w:type="dxa"/>
        <w:tblLook w:val="04A0" w:firstRow="1" w:lastRow="0" w:firstColumn="1" w:lastColumn="0" w:noHBand="0" w:noVBand="1"/>
      </w:tblPr>
      <w:tblGrid>
        <w:gridCol w:w="3120"/>
        <w:gridCol w:w="1953"/>
        <w:gridCol w:w="1966"/>
        <w:gridCol w:w="1977"/>
      </w:tblGrid>
      <w:tr w:rsidR="00B74CE1" w:rsidRPr="004223DE" w14:paraId="75580BDA" w14:textId="77777777" w:rsidTr="00B74CE1">
        <w:trPr>
          <w:trHeight w:val="114"/>
        </w:trPr>
        <w:tc>
          <w:tcPr>
            <w:tcW w:w="3120" w:type="dxa"/>
          </w:tcPr>
          <w:p w14:paraId="661DAC6C" w14:textId="77777777" w:rsidR="00B74CE1" w:rsidRPr="004223DE" w:rsidRDefault="00B74CE1" w:rsidP="00231D1F">
            <w:pPr>
              <w:spacing w:before="120" w:after="120" w:line="288" w:lineRule="auto"/>
              <w:ind w:left="29" w:right="-46"/>
              <w:rPr>
                <w:rFonts w:cstheme="minorHAnsi"/>
                <w:b/>
                <w:sz w:val="21"/>
                <w:szCs w:val="21"/>
              </w:rPr>
            </w:pPr>
            <w:r w:rsidRPr="004223DE">
              <w:rPr>
                <w:rFonts w:cstheme="minorHAnsi"/>
                <w:b/>
                <w:sz w:val="21"/>
                <w:szCs w:val="21"/>
              </w:rPr>
              <w:lastRenderedPageBreak/>
              <w:t>Capital Ratios (%)</w:t>
            </w:r>
          </w:p>
        </w:tc>
        <w:tc>
          <w:tcPr>
            <w:tcW w:w="1953" w:type="dxa"/>
          </w:tcPr>
          <w:p w14:paraId="5FB8DFF8" w14:textId="77777777" w:rsidR="00B74CE1" w:rsidRPr="004223DE" w:rsidRDefault="00B74CE1" w:rsidP="00D62E8F">
            <w:pPr>
              <w:spacing w:before="120" w:after="120" w:line="288" w:lineRule="auto"/>
              <w:ind w:left="-108" w:right="-46"/>
              <w:jc w:val="right"/>
              <w:rPr>
                <w:rFonts w:cstheme="minorHAnsi"/>
                <w:b/>
                <w:sz w:val="21"/>
                <w:szCs w:val="21"/>
              </w:rPr>
            </w:pPr>
            <w:r w:rsidRPr="004223DE">
              <w:rPr>
                <w:rFonts w:cstheme="minorHAnsi"/>
                <w:b/>
                <w:sz w:val="21"/>
                <w:szCs w:val="21"/>
              </w:rPr>
              <w:t xml:space="preserve">June 2024 </w:t>
            </w:r>
          </w:p>
          <w:p w14:paraId="3B09D16B" w14:textId="15EAE18C" w:rsidR="00B74CE1" w:rsidRPr="004223DE" w:rsidRDefault="00B74CE1" w:rsidP="00D62E8F">
            <w:pPr>
              <w:spacing w:before="120" w:after="120" w:line="288" w:lineRule="auto"/>
              <w:ind w:left="-108" w:right="-46"/>
              <w:jc w:val="right"/>
              <w:rPr>
                <w:rFonts w:cstheme="minorHAnsi"/>
                <w:b/>
                <w:sz w:val="21"/>
                <w:szCs w:val="21"/>
              </w:rPr>
            </w:pPr>
            <w:r w:rsidRPr="004223DE">
              <w:rPr>
                <w:rFonts w:cstheme="minorHAnsi"/>
                <w:b/>
                <w:sz w:val="21"/>
                <w:szCs w:val="21"/>
              </w:rPr>
              <w:t>(Pro forma)</w:t>
            </w:r>
            <w:r w:rsidR="00A12E93" w:rsidRPr="004223DE">
              <w:rPr>
                <w:rFonts w:cstheme="minorHAnsi"/>
                <w:b/>
                <w:sz w:val="21"/>
                <w:szCs w:val="21"/>
                <w:vertAlign w:val="superscript"/>
              </w:rPr>
              <w:t>1</w:t>
            </w:r>
          </w:p>
        </w:tc>
        <w:tc>
          <w:tcPr>
            <w:tcW w:w="1966" w:type="dxa"/>
            <w:shd w:val="clear" w:color="auto" w:fill="auto"/>
          </w:tcPr>
          <w:p w14:paraId="19B1CE2B" w14:textId="77777777" w:rsidR="00B74CE1" w:rsidRPr="004223DE" w:rsidRDefault="00B74CE1" w:rsidP="00B74CE1">
            <w:pPr>
              <w:spacing w:before="120" w:after="120" w:line="288" w:lineRule="auto"/>
              <w:ind w:left="-108" w:right="-46"/>
              <w:jc w:val="right"/>
              <w:rPr>
                <w:rFonts w:cstheme="minorHAnsi"/>
                <w:b/>
                <w:sz w:val="21"/>
                <w:szCs w:val="21"/>
              </w:rPr>
            </w:pPr>
            <w:r w:rsidRPr="004223DE">
              <w:rPr>
                <w:rFonts w:cstheme="minorHAnsi"/>
                <w:b/>
                <w:sz w:val="21"/>
                <w:szCs w:val="21"/>
              </w:rPr>
              <w:t>June 2024</w:t>
            </w:r>
          </w:p>
          <w:p w14:paraId="2E341053" w14:textId="015E4CB8" w:rsidR="00B74CE1" w:rsidRPr="004223DE" w:rsidRDefault="00B74CE1" w:rsidP="00B74CE1">
            <w:pPr>
              <w:spacing w:before="120" w:after="120" w:line="288" w:lineRule="auto"/>
              <w:ind w:left="-108" w:right="-46"/>
              <w:jc w:val="right"/>
              <w:rPr>
                <w:rFonts w:cstheme="minorHAnsi"/>
                <w:b/>
                <w:sz w:val="21"/>
                <w:szCs w:val="21"/>
              </w:rPr>
            </w:pPr>
            <w:r w:rsidRPr="004223DE">
              <w:rPr>
                <w:rFonts w:cstheme="minorHAnsi"/>
                <w:b/>
                <w:sz w:val="21"/>
                <w:szCs w:val="21"/>
              </w:rPr>
              <w:t>(Reported)</w:t>
            </w:r>
          </w:p>
        </w:tc>
        <w:tc>
          <w:tcPr>
            <w:tcW w:w="1977" w:type="dxa"/>
            <w:shd w:val="clear" w:color="auto" w:fill="auto"/>
            <w:vAlign w:val="center"/>
          </w:tcPr>
          <w:p w14:paraId="714111D8" w14:textId="77777777" w:rsidR="00B74CE1" w:rsidRPr="004223DE" w:rsidRDefault="00B74CE1" w:rsidP="00D62E8F">
            <w:pPr>
              <w:spacing w:before="120" w:after="120" w:line="288" w:lineRule="auto"/>
              <w:ind w:left="-108" w:right="-46"/>
              <w:jc w:val="right"/>
              <w:rPr>
                <w:rFonts w:cstheme="minorHAnsi"/>
                <w:b/>
                <w:sz w:val="21"/>
                <w:szCs w:val="21"/>
              </w:rPr>
            </w:pPr>
            <w:r w:rsidRPr="004223DE">
              <w:rPr>
                <w:rFonts w:cstheme="minorHAnsi"/>
                <w:b/>
                <w:sz w:val="21"/>
                <w:szCs w:val="21"/>
              </w:rPr>
              <w:t>December 2023</w:t>
            </w:r>
          </w:p>
          <w:p w14:paraId="58DAEE9C" w14:textId="7F810311" w:rsidR="00B74CE1" w:rsidRPr="004223DE" w:rsidRDefault="00B74CE1" w:rsidP="00D62E8F">
            <w:pPr>
              <w:spacing w:before="120" w:after="120" w:line="288" w:lineRule="auto"/>
              <w:ind w:left="-108" w:right="-46"/>
              <w:jc w:val="right"/>
              <w:rPr>
                <w:rFonts w:cstheme="minorHAnsi"/>
                <w:b/>
                <w:sz w:val="21"/>
                <w:szCs w:val="21"/>
              </w:rPr>
            </w:pPr>
            <w:r w:rsidRPr="004223DE">
              <w:rPr>
                <w:rFonts w:cstheme="minorHAnsi"/>
                <w:b/>
                <w:sz w:val="21"/>
                <w:szCs w:val="21"/>
              </w:rPr>
              <w:t>(Reported)</w:t>
            </w:r>
          </w:p>
        </w:tc>
      </w:tr>
      <w:tr w:rsidR="00B74CE1" w:rsidRPr="004223DE" w14:paraId="715E0F7D" w14:textId="77777777" w:rsidTr="00B74CE1">
        <w:trPr>
          <w:trHeight w:val="99"/>
        </w:trPr>
        <w:tc>
          <w:tcPr>
            <w:tcW w:w="3120" w:type="dxa"/>
            <w:vAlign w:val="center"/>
          </w:tcPr>
          <w:p w14:paraId="5337D874" w14:textId="77777777" w:rsidR="00B74CE1" w:rsidRPr="004223DE" w:rsidRDefault="00B74CE1" w:rsidP="00231D1F">
            <w:pPr>
              <w:spacing w:before="120" w:after="120" w:line="288" w:lineRule="auto"/>
              <w:ind w:left="29" w:right="-46"/>
              <w:rPr>
                <w:rFonts w:cstheme="minorHAnsi"/>
                <w:sz w:val="21"/>
                <w:szCs w:val="21"/>
              </w:rPr>
            </w:pPr>
            <w:r w:rsidRPr="004223DE">
              <w:rPr>
                <w:rFonts w:cstheme="minorHAnsi"/>
                <w:sz w:val="21"/>
                <w:szCs w:val="21"/>
              </w:rPr>
              <w:t>CET1</w:t>
            </w:r>
          </w:p>
        </w:tc>
        <w:tc>
          <w:tcPr>
            <w:tcW w:w="1953" w:type="dxa"/>
          </w:tcPr>
          <w:p w14:paraId="476DC834" w14:textId="4AEDB584" w:rsidR="00B74CE1" w:rsidRPr="004223DE" w:rsidRDefault="00C55F76" w:rsidP="00231D1F">
            <w:pPr>
              <w:spacing w:before="120" w:after="120" w:line="288" w:lineRule="auto"/>
              <w:ind w:left="-108" w:right="-46"/>
              <w:jc w:val="right"/>
              <w:rPr>
                <w:rFonts w:cstheme="minorHAnsi"/>
                <w:sz w:val="21"/>
                <w:szCs w:val="21"/>
              </w:rPr>
            </w:pPr>
            <w:r>
              <w:rPr>
                <w:rFonts w:cstheme="minorHAnsi"/>
                <w:sz w:val="21"/>
                <w:szCs w:val="21"/>
              </w:rPr>
              <w:t>14</w:t>
            </w:r>
            <w:r w:rsidR="00A12E93" w:rsidRPr="004223DE">
              <w:rPr>
                <w:rFonts w:cstheme="minorHAnsi"/>
                <w:sz w:val="21"/>
                <w:szCs w:val="21"/>
              </w:rPr>
              <w:t>.</w:t>
            </w:r>
            <w:r>
              <w:rPr>
                <w:rFonts w:cstheme="minorHAnsi"/>
                <w:sz w:val="21"/>
                <w:szCs w:val="21"/>
              </w:rPr>
              <w:t>9</w:t>
            </w:r>
            <w:r w:rsidR="00B74CE1" w:rsidRPr="004223DE">
              <w:rPr>
                <w:rFonts w:cstheme="minorHAnsi"/>
                <w:sz w:val="21"/>
                <w:szCs w:val="21"/>
              </w:rPr>
              <w:t>%</w:t>
            </w:r>
          </w:p>
        </w:tc>
        <w:tc>
          <w:tcPr>
            <w:tcW w:w="1966" w:type="dxa"/>
            <w:shd w:val="clear" w:color="auto" w:fill="auto"/>
            <w:vAlign w:val="center"/>
          </w:tcPr>
          <w:p w14:paraId="2077C48B" w14:textId="52E928BB" w:rsidR="00B74CE1" w:rsidRPr="004223DE" w:rsidRDefault="00B74CE1" w:rsidP="00231D1F">
            <w:pPr>
              <w:spacing w:before="120" w:after="120" w:line="288" w:lineRule="auto"/>
              <w:ind w:left="-108" w:right="-46"/>
              <w:jc w:val="right"/>
              <w:rPr>
                <w:rFonts w:cstheme="minorHAnsi"/>
                <w:sz w:val="21"/>
                <w:szCs w:val="21"/>
              </w:rPr>
            </w:pPr>
            <w:r w:rsidRPr="004223DE">
              <w:rPr>
                <w:rFonts w:cstheme="minorHAnsi"/>
                <w:sz w:val="21"/>
                <w:szCs w:val="21"/>
              </w:rPr>
              <w:t>14.</w:t>
            </w:r>
            <w:r w:rsidR="00C55F76">
              <w:rPr>
                <w:rFonts w:cstheme="minorHAnsi"/>
                <w:sz w:val="21"/>
                <w:szCs w:val="21"/>
              </w:rPr>
              <w:t>5</w:t>
            </w:r>
            <w:r w:rsidRPr="004223DE">
              <w:rPr>
                <w:rFonts w:cstheme="minorHAnsi"/>
                <w:sz w:val="21"/>
                <w:szCs w:val="21"/>
              </w:rPr>
              <w:t>%</w:t>
            </w:r>
          </w:p>
        </w:tc>
        <w:tc>
          <w:tcPr>
            <w:tcW w:w="1977" w:type="dxa"/>
            <w:shd w:val="clear" w:color="auto" w:fill="auto"/>
            <w:vAlign w:val="center"/>
          </w:tcPr>
          <w:p w14:paraId="2DBBB947" w14:textId="77777777" w:rsidR="00B74CE1" w:rsidRPr="004223DE" w:rsidRDefault="00B74CE1" w:rsidP="00231D1F">
            <w:pPr>
              <w:spacing w:before="120" w:after="120" w:line="288" w:lineRule="auto"/>
              <w:ind w:left="-108" w:right="-46"/>
              <w:jc w:val="right"/>
              <w:rPr>
                <w:rFonts w:cstheme="minorHAnsi"/>
                <w:sz w:val="21"/>
                <w:szCs w:val="21"/>
              </w:rPr>
            </w:pPr>
            <w:r w:rsidRPr="004223DE">
              <w:rPr>
                <w:rFonts w:cstheme="minorHAnsi"/>
                <w:sz w:val="21"/>
                <w:szCs w:val="21"/>
              </w:rPr>
              <w:t>14.0%</w:t>
            </w:r>
          </w:p>
        </w:tc>
      </w:tr>
      <w:tr w:rsidR="00B74CE1" w:rsidRPr="004223DE" w14:paraId="1A5905B4" w14:textId="77777777" w:rsidTr="00B74CE1">
        <w:trPr>
          <w:trHeight w:val="68"/>
        </w:trPr>
        <w:tc>
          <w:tcPr>
            <w:tcW w:w="3120" w:type="dxa"/>
            <w:vAlign w:val="center"/>
          </w:tcPr>
          <w:p w14:paraId="71E21450" w14:textId="77777777" w:rsidR="00B74CE1" w:rsidRPr="004223DE" w:rsidRDefault="00B74CE1" w:rsidP="00231D1F">
            <w:pPr>
              <w:spacing w:before="120" w:after="120" w:line="288" w:lineRule="auto"/>
              <w:ind w:left="29" w:right="-46"/>
              <w:rPr>
                <w:rFonts w:cstheme="minorHAnsi"/>
                <w:sz w:val="21"/>
                <w:szCs w:val="21"/>
              </w:rPr>
            </w:pPr>
            <w:r w:rsidRPr="004223DE">
              <w:rPr>
                <w:rFonts w:cstheme="minorHAnsi"/>
                <w:sz w:val="21"/>
                <w:szCs w:val="21"/>
              </w:rPr>
              <w:t xml:space="preserve">Total Capital </w:t>
            </w:r>
          </w:p>
        </w:tc>
        <w:tc>
          <w:tcPr>
            <w:tcW w:w="1953" w:type="dxa"/>
          </w:tcPr>
          <w:p w14:paraId="5AEED536" w14:textId="2A8F0A2C" w:rsidR="00B74CE1" w:rsidRPr="004223DE" w:rsidRDefault="00A12E93" w:rsidP="00231D1F">
            <w:pPr>
              <w:spacing w:before="120" w:after="120" w:line="288" w:lineRule="auto"/>
              <w:ind w:left="-108" w:right="-46"/>
              <w:jc w:val="right"/>
              <w:rPr>
                <w:rFonts w:cstheme="minorHAnsi"/>
                <w:sz w:val="21"/>
                <w:szCs w:val="21"/>
              </w:rPr>
            </w:pPr>
            <w:r w:rsidRPr="004223DE">
              <w:rPr>
                <w:rFonts w:cstheme="minorHAnsi"/>
                <w:sz w:val="21"/>
                <w:szCs w:val="21"/>
              </w:rPr>
              <w:t>20.</w:t>
            </w:r>
            <w:r w:rsidR="00C55F76">
              <w:rPr>
                <w:rFonts w:cstheme="minorHAnsi"/>
                <w:sz w:val="21"/>
                <w:szCs w:val="21"/>
              </w:rPr>
              <w:t>8</w:t>
            </w:r>
            <w:r w:rsidRPr="004223DE">
              <w:rPr>
                <w:rFonts w:cstheme="minorHAnsi"/>
                <w:sz w:val="21"/>
                <w:szCs w:val="21"/>
              </w:rPr>
              <w:t>%</w:t>
            </w:r>
          </w:p>
        </w:tc>
        <w:tc>
          <w:tcPr>
            <w:tcW w:w="1966" w:type="dxa"/>
            <w:shd w:val="clear" w:color="auto" w:fill="auto"/>
            <w:vAlign w:val="center"/>
          </w:tcPr>
          <w:p w14:paraId="0932282B" w14:textId="21817CE4" w:rsidR="00B74CE1" w:rsidRPr="004223DE" w:rsidRDefault="00B74CE1" w:rsidP="00231D1F">
            <w:pPr>
              <w:spacing w:before="120" w:after="120" w:line="288" w:lineRule="auto"/>
              <w:ind w:left="-108" w:right="-46"/>
              <w:jc w:val="right"/>
              <w:rPr>
                <w:rFonts w:cstheme="minorHAnsi"/>
                <w:sz w:val="21"/>
                <w:szCs w:val="21"/>
              </w:rPr>
            </w:pPr>
            <w:r w:rsidRPr="004223DE">
              <w:rPr>
                <w:rFonts w:cstheme="minorHAnsi"/>
                <w:sz w:val="21"/>
                <w:szCs w:val="21"/>
              </w:rPr>
              <w:t>20.</w:t>
            </w:r>
            <w:r w:rsidR="00C55F76">
              <w:rPr>
                <w:rFonts w:cstheme="minorHAnsi"/>
                <w:sz w:val="21"/>
                <w:szCs w:val="21"/>
              </w:rPr>
              <w:t>3</w:t>
            </w:r>
            <w:r w:rsidRPr="004223DE">
              <w:rPr>
                <w:rFonts w:cstheme="minorHAnsi"/>
                <w:sz w:val="21"/>
                <w:szCs w:val="21"/>
              </w:rPr>
              <w:t>%</w:t>
            </w:r>
          </w:p>
        </w:tc>
        <w:tc>
          <w:tcPr>
            <w:tcW w:w="1977" w:type="dxa"/>
            <w:shd w:val="clear" w:color="auto" w:fill="auto"/>
            <w:vAlign w:val="center"/>
          </w:tcPr>
          <w:p w14:paraId="643BAAB2" w14:textId="77777777" w:rsidR="00B74CE1" w:rsidRPr="004223DE" w:rsidRDefault="00B74CE1" w:rsidP="00231D1F">
            <w:pPr>
              <w:spacing w:before="120" w:after="120" w:line="288" w:lineRule="auto"/>
              <w:ind w:left="-108" w:right="-46"/>
              <w:jc w:val="right"/>
              <w:rPr>
                <w:rFonts w:cstheme="minorHAnsi"/>
                <w:sz w:val="21"/>
                <w:szCs w:val="21"/>
              </w:rPr>
            </w:pPr>
            <w:r w:rsidRPr="004223DE">
              <w:rPr>
                <w:rFonts w:cstheme="minorHAnsi"/>
                <w:sz w:val="21"/>
                <w:szCs w:val="21"/>
              </w:rPr>
              <w:t>19.7%</w:t>
            </w:r>
          </w:p>
        </w:tc>
      </w:tr>
    </w:tbl>
    <w:p w14:paraId="7A8AFF53" w14:textId="77777777" w:rsidR="0057500C" w:rsidRPr="004223DE" w:rsidRDefault="0057500C" w:rsidP="00FD2FD7">
      <w:pPr>
        <w:spacing w:before="120" w:after="120"/>
        <w:ind w:right="284"/>
        <w:jc w:val="both"/>
        <w:rPr>
          <w:rFonts w:cstheme="minorHAnsi"/>
          <w:sz w:val="21"/>
          <w:szCs w:val="21"/>
        </w:rPr>
      </w:pPr>
      <w:r w:rsidRPr="004223DE">
        <w:rPr>
          <w:rFonts w:cstheme="minorHAnsi"/>
          <w:sz w:val="21"/>
          <w:szCs w:val="21"/>
        </w:rPr>
        <w:t>From 1 January 2024, the Bank’s transitional and fully loaded capital ratios have fully converged. The 31 December 2023 capital ratios in the table above refer to the fully loaded position at that point in time.</w:t>
      </w:r>
    </w:p>
    <w:p w14:paraId="4667AA2A" w14:textId="3A133152" w:rsidR="004223DE" w:rsidRPr="004223DE" w:rsidRDefault="004223DE" w:rsidP="00FD2FD7">
      <w:pPr>
        <w:spacing w:before="120" w:after="120"/>
        <w:ind w:right="284"/>
        <w:jc w:val="both"/>
        <w:rPr>
          <w:rFonts w:cstheme="minorHAnsi"/>
          <w:sz w:val="21"/>
          <w:szCs w:val="21"/>
        </w:rPr>
      </w:pPr>
      <w:r w:rsidRPr="004223DE">
        <w:rPr>
          <w:rFonts w:cstheme="minorHAnsi"/>
          <w:sz w:val="21"/>
          <w:szCs w:val="21"/>
        </w:rPr>
        <w:t>Once the “Glas III” non-performing loan sale has been factored into the Bank</w:t>
      </w:r>
      <w:r w:rsidR="009C6408">
        <w:rPr>
          <w:rFonts w:cstheme="minorHAnsi"/>
          <w:sz w:val="21"/>
          <w:szCs w:val="21"/>
        </w:rPr>
        <w:t>’</w:t>
      </w:r>
      <w:r w:rsidRPr="004223DE">
        <w:rPr>
          <w:rFonts w:cstheme="minorHAnsi"/>
          <w:sz w:val="21"/>
          <w:szCs w:val="21"/>
        </w:rPr>
        <w:t xml:space="preserve">s </w:t>
      </w:r>
      <w:r w:rsidR="0057500C">
        <w:rPr>
          <w:rFonts w:cstheme="minorHAnsi"/>
          <w:sz w:val="21"/>
          <w:szCs w:val="21"/>
        </w:rPr>
        <w:t>c</w:t>
      </w:r>
      <w:r w:rsidR="00FD2FD7">
        <w:rPr>
          <w:rFonts w:cstheme="minorHAnsi"/>
          <w:sz w:val="21"/>
          <w:szCs w:val="21"/>
        </w:rPr>
        <w:t>a</w:t>
      </w:r>
      <w:r w:rsidRPr="004223DE">
        <w:rPr>
          <w:rFonts w:cstheme="minorHAnsi"/>
          <w:sz w:val="21"/>
          <w:szCs w:val="21"/>
        </w:rPr>
        <w:t xml:space="preserve">pital </w:t>
      </w:r>
      <w:r w:rsidR="0057500C">
        <w:rPr>
          <w:rFonts w:cstheme="minorHAnsi"/>
          <w:sz w:val="21"/>
          <w:szCs w:val="21"/>
        </w:rPr>
        <w:t>r</w:t>
      </w:r>
      <w:r w:rsidRPr="004223DE">
        <w:rPr>
          <w:rFonts w:cstheme="minorHAnsi"/>
          <w:sz w:val="21"/>
          <w:szCs w:val="21"/>
        </w:rPr>
        <w:t xml:space="preserve">atios, the Bank reports </w:t>
      </w:r>
      <w:r>
        <w:rPr>
          <w:rFonts w:cstheme="minorHAnsi"/>
          <w:sz w:val="21"/>
          <w:szCs w:val="21"/>
        </w:rPr>
        <w:t>pro forma</w:t>
      </w:r>
      <w:r w:rsidR="00BB47C8">
        <w:rPr>
          <w:rFonts w:cstheme="minorHAnsi"/>
          <w:sz w:val="21"/>
          <w:szCs w:val="21"/>
        </w:rPr>
        <w:t xml:space="preserve"> </w:t>
      </w:r>
      <w:r w:rsidR="004D49E4" w:rsidRPr="004223DE">
        <w:rPr>
          <w:rFonts w:cstheme="minorHAnsi"/>
          <w:sz w:val="21"/>
          <w:szCs w:val="21"/>
        </w:rPr>
        <w:t>CET1</w:t>
      </w:r>
      <w:r w:rsidR="00FD2FD7">
        <w:rPr>
          <w:rFonts w:cstheme="minorHAnsi"/>
          <w:sz w:val="21"/>
          <w:szCs w:val="21"/>
        </w:rPr>
        <w:t xml:space="preserve"> </w:t>
      </w:r>
      <w:r w:rsidR="0057500C">
        <w:rPr>
          <w:rFonts w:cstheme="minorHAnsi"/>
          <w:sz w:val="21"/>
          <w:szCs w:val="21"/>
        </w:rPr>
        <w:t>C</w:t>
      </w:r>
      <w:r>
        <w:rPr>
          <w:rFonts w:cstheme="minorHAnsi"/>
          <w:sz w:val="21"/>
          <w:szCs w:val="21"/>
        </w:rPr>
        <w:t xml:space="preserve">apital </w:t>
      </w:r>
      <w:r w:rsidR="0057500C">
        <w:rPr>
          <w:rFonts w:cstheme="minorHAnsi"/>
          <w:sz w:val="21"/>
          <w:szCs w:val="21"/>
        </w:rPr>
        <w:t>R</w:t>
      </w:r>
      <w:r>
        <w:rPr>
          <w:rFonts w:cstheme="minorHAnsi"/>
          <w:sz w:val="21"/>
          <w:szCs w:val="21"/>
        </w:rPr>
        <w:t>atio at 30 June 2024 of 1</w:t>
      </w:r>
      <w:r w:rsidR="00C55F76">
        <w:rPr>
          <w:rFonts w:cstheme="minorHAnsi"/>
          <w:sz w:val="21"/>
          <w:szCs w:val="21"/>
        </w:rPr>
        <w:t>4</w:t>
      </w:r>
      <w:r>
        <w:rPr>
          <w:rFonts w:cstheme="minorHAnsi"/>
          <w:sz w:val="21"/>
          <w:szCs w:val="21"/>
        </w:rPr>
        <w:t>.</w:t>
      </w:r>
      <w:r w:rsidR="00C55F76">
        <w:rPr>
          <w:rFonts w:cstheme="minorHAnsi"/>
          <w:sz w:val="21"/>
          <w:szCs w:val="21"/>
        </w:rPr>
        <w:t>9</w:t>
      </w:r>
      <w:r>
        <w:rPr>
          <w:rFonts w:cstheme="minorHAnsi"/>
          <w:sz w:val="21"/>
          <w:szCs w:val="21"/>
        </w:rPr>
        <w:t xml:space="preserve">% and a pro forma </w:t>
      </w:r>
      <w:r w:rsidR="00246F00">
        <w:rPr>
          <w:rFonts w:cstheme="minorHAnsi"/>
          <w:sz w:val="21"/>
          <w:szCs w:val="21"/>
        </w:rPr>
        <w:t xml:space="preserve">Total Capital </w:t>
      </w:r>
      <w:r w:rsidR="0057500C">
        <w:rPr>
          <w:rFonts w:cstheme="minorHAnsi"/>
          <w:sz w:val="21"/>
          <w:szCs w:val="21"/>
        </w:rPr>
        <w:t>R</w:t>
      </w:r>
      <w:r w:rsidR="00246F00">
        <w:rPr>
          <w:rFonts w:cstheme="minorHAnsi"/>
          <w:sz w:val="21"/>
          <w:szCs w:val="21"/>
        </w:rPr>
        <w:t>atio of 20.</w:t>
      </w:r>
      <w:r w:rsidR="00C55F76">
        <w:rPr>
          <w:rFonts w:cstheme="minorHAnsi"/>
          <w:sz w:val="21"/>
          <w:szCs w:val="21"/>
        </w:rPr>
        <w:t>8</w:t>
      </w:r>
      <w:r w:rsidR="00246F00">
        <w:rPr>
          <w:rFonts w:cstheme="minorHAnsi"/>
          <w:sz w:val="21"/>
          <w:szCs w:val="21"/>
        </w:rPr>
        <w:t>%, further strengthening the Bank</w:t>
      </w:r>
      <w:r w:rsidR="009C6408">
        <w:rPr>
          <w:rFonts w:cstheme="minorHAnsi"/>
          <w:sz w:val="21"/>
          <w:szCs w:val="21"/>
        </w:rPr>
        <w:t>’</w:t>
      </w:r>
      <w:r w:rsidR="00246F00">
        <w:rPr>
          <w:rFonts w:cstheme="minorHAnsi"/>
          <w:sz w:val="21"/>
          <w:szCs w:val="21"/>
        </w:rPr>
        <w:t>s capital base.</w:t>
      </w:r>
    </w:p>
    <w:p w14:paraId="28CA79FE" w14:textId="7F5B068B" w:rsidR="00120C22" w:rsidRPr="004223DE" w:rsidRDefault="00120C22" w:rsidP="002558ED">
      <w:pPr>
        <w:spacing w:before="120" w:after="120"/>
        <w:ind w:right="284"/>
        <w:jc w:val="both"/>
        <w:rPr>
          <w:rFonts w:cstheme="minorHAnsi"/>
          <w:sz w:val="21"/>
          <w:szCs w:val="21"/>
        </w:rPr>
      </w:pPr>
      <w:r w:rsidRPr="004223DE">
        <w:rPr>
          <w:rFonts w:cstheme="minorHAnsi"/>
          <w:sz w:val="21"/>
          <w:szCs w:val="21"/>
        </w:rPr>
        <w:t xml:space="preserve">The Bank's </w:t>
      </w:r>
      <w:r w:rsidR="00CF0D8F" w:rsidRPr="004223DE">
        <w:rPr>
          <w:rFonts w:cstheme="minorHAnsi"/>
          <w:sz w:val="21"/>
          <w:szCs w:val="21"/>
        </w:rPr>
        <w:t xml:space="preserve">reported </w:t>
      </w:r>
      <w:r w:rsidRPr="004223DE">
        <w:rPr>
          <w:rFonts w:cstheme="minorHAnsi"/>
          <w:sz w:val="21"/>
          <w:szCs w:val="21"/>
        </w:rPr>
        <w:t xml:space="preserve">CET1 </w:t>
      </w:r>
      <w:r w:rsidR="0057500C">
        <w:rPr>
          <w:rFonts w:cstheme="minorHAnsi"/>
          <w:sz w:val="21"/>
          <w:szCs w:val="21"/>
        </w:rPr>
        <w:t>R</w:t>
      </w:r>
      <w:r w:rsidRPr="004223DE">
        <w:rPr>
          <w:rFonts w:cstheme="minorHAnsi"/>
          <w:sz w:val="21"/>
          <w:szCs w:val="21"/>
        </w:rPr>
        <w:t xml:space="preserve">atio </w:t>
      </w:r>
      <w:r w:rsidR="0057500C">
        <w:rPr>
          <w:rFonts w:cstheme="minorHAnsi"/>
          <w:sz w:val="21"/>
          <w:szCs w:val="21"/>
        </w:rPr>
        <w:t>at</w:t>
      </w:r>
      <w:r w:rsidRPr="004223DE">
        <w:rPr>
          <w:rFonts w:cstheme="minorHAnsi"/>
          <w:sz w:val="21"/>
          <w:szCs w:val="21"/>
        </w:rPr>
        <w:t xml:space="preserve"> 3</w:t>
      </w:r>
      <w:r w:rsidR="00747ED0" w:rsidRPr="004223DE">
        <w:rPr>
          <w:rFonts w:cstheme="minorHAnsi"/>
          <w:sz w:val="21"/>
          <w:szCs w:val="21"/>
        </w:rPr>
        <w:t xml:space="preserve">0 June </w:t>
      </w:r>
      <w:r w:rsidRPr="004223DE">
        <w:rPr>
          <w:rFonts w:cstheme="minorHAnsi"/>
          <w:sz w:val="21"/>
          <w:szCs w:val="21"/>
        </w:rPr>
        <w:t>2024 remains strong at 14.</w:t>
      </w:r>
      <w:r w:rsidR="00693807">
        <w:rPr>
          <w:rFonts w:cstheme="minorHAnsi"/>
          <w:sz w:val="21"/>
          <w:szCs w:val="21"/>
        </w:rPr>
        <w:t>5</w:t>
      </w:r>
      <w:r w:rsidRPr="004223DE">
        <w:rPr>
          <w:rFonts w:cstheme="minorHAnsi"/>
          <w:sz w:val="21"/>
          <w:szCs w:val="21"/>
        </w:rPr>
        <w:t>%</w:t>
      </w:r>
      <w:r w:rsidR="002558ED" w:rsidRPr="004223DE">
        <w:rPr>
          <w:rFonts w:cstheme="minorHAnsi"/>
          <w:sz w:val="21"/>
          <w:szCs w:val="21"/>
        </w:rPr>
        <w:t xml:space="preserve">, </w:t>
      </w:r>
      <w:r w:rsidR="00483314" w:rsidRPr="004223DE">
        <w:rPr>
          <w:rFonts w:cstheme="minorHAnsi"/>
          <w:sz w:val="21"/>
          <w:szCs w:val="21"/>
        </w:rPr>
        <w:t xml:space="preserve">an increase of </w:t>
      </w:r>
      <w:r w:rsidR="00693807">
        <w:rPr>
          <w:rFonts w:cstheme="minorHAnsi"/>
          <w:sz w:val="21"/>
          <w:szCs w:val="21"/>
        </w:rPr>
        <w:t>5</w:t>
      </w:r>
      <w:r w:rsidRPr="004223DE">
        <w:rPr>
          <w:rFonts w:cstheme="minorHAnsi"/>
          <w:sz w:val="21"/>
          <w:szCs w:val="21"/>
        </w:rPr>
        <w:t xml:space="preserve">0bps </w:t>
      </w:r>
      <w:r w:rsidR="00483314" w:rsidRPr="004223DE">
        <w:rPr>
          <w:rFonts w:cstheme="minorHAnsi"/>
          <w:sz w:val="21"/>
          <w:szCs w:val="21"/>
        </w:rPr>
        <w:t>compared to</w:t>
      </w:r>
      <w:r w:rsidRPr="004223DE">
        <w:rPr>
          <w:rFonts w:cstheme="minorHAnsi"/>
          <w:sz w:val="21"/>
          <w:szCs w:val="21"/>
        </w:rPr>
        <w:t xml:space="preserve"> 31 December 2023. </w:t>
      </w:r>
    </w:p>
    <w:p w14:paraId="46C53023" w14:textId="2620322D" w:rsidR="00D62E8F" w:rsidRPr="004223DE" w:rsidRDefault="00120C22" w:rsidP="002558ED">
      <w:pPr>
        <w:spacing w:before="120" w:after="120"/>
        <w:ind w:right="284"/>
        <w:jc w:val="both"/>
        <w:rPr>
          <w:rFonts w:cstheme="minorHAnsi"/>
          <w:sz w:val="21"/>
          <w:szCs w:val="21"/>
        </w:rPr>
      </w:pPr>
      <w:r w:rsidRPr="004223DE">
        <w:rPr>
          <w:rFonts w:cstheme="minorHAnsi"/>
          <w:sz w:val="21"/>
          <w:szCs w:val="21"/>
        </w:rPr>
        <w:t xml:space="preserve">The </w:t>
      </w:r>
      <w:r w:rsidR="00CF0D8F" w:rsidRPr="004223DE">
        <w:rPr>
          <w:rFonts w:cstheme="minorHAnsi"/>
          <w:sz w:val="21"/>
          <w:szCs w:val="21"/>
        </w:rPr>
        <w:t xml:space="preserve">reported </w:t>
      </w:r>
      <w:r w:rsidRPr="004223DE">
        <w:rPr>
          <w:rFonts w:cstheme="minorHAnsi"/>
          <w:sz w:val="21"/>
          <w:szCs w:val="21"/>
        </w:rPr>
        <w:t xml:space="preserve">Total Capital </w:t>
      </w:r>
      <w:r w:rsidR="0057500C">
        <w:rPr>
          <w:rFonts w:cstheme="minorHAnsi"/>
          <w:sz w:val="21"/>
          <w:szCs w:val="21"/>
        </w:rPr>
        <w:t>R</w:t>
      </w:r>
      <w:r w:rsidRPr="004223DE">
        <w:rPr>
          <w:rFonts w:cstheme="minorHAnsi"/>
          <w:sz w:val="21"/>
          <w:szCs w:val="21"/>
        </w:rPr>
        <w:t xml:space="preserve">atio </w:t>
      </w:r>
      <w:r w:rsidR="00483314" w:rsidRPr="004223DE">
        <w:rPr>
          <w:rFonts w:cstheme="minorHAnsi"/>
          <w:sz w:val="21"/>
          <w:szCs w:val="21"/>
        </w:rPr>
        <w:t>is</w:t>
      </w:r>
      <w:r w:rsidRPr="004223DE">
        <w:rPr>
          <w:rFonts w:cstheme="minorHAnsi"/>
          <w:sz w:val="21"/>
          <w:szCs w:val="21"/>
        </w:rPr>
        <w:t xml:space="preserve"> 20.</w:t>
      </w:r>
      <w:r w:rsidR="00693807">
        <w:rPr>
          <w:rFonts w:cstheme="minorHAnsi"/>
          <w:sz w:val="21"/>
          <w:szCs w:val="21"/>
        </w:rPr>
        <w:t>3</w:t>
      </w:r>
      <w:r w:rsidRPr="004223DE">
        <w:rPr>
          <w:rFonts w:cstheme="minorHAnsi"/>
          <w:sz w:val="21"/>
          <w:szCs w:val="21"/>
        </w:rPr>
        <w:t xml:space="preserve">% </w:t>
      </w:r>
      <w:r w:rsidR="0057500C">
        <w:rPr>
          <w:rFonts w:cstheme="minorHAnsi"/>
          <w:sz w:val="21"/>
          <w:szCs w:val="21"/>
        </w:rPr>
        <w:t>at</w:t>
      </w:r>
      <w:r w:rsidRPr="004223DE">
        <w:rPr>
          <w:rFonts w:cstheme="minorHAnsi"/>
          <w:sz w:val="21"/>
          <w:szCs w:val="21"/>
        </w:rPr>
        <w:t xml:space="preserve"> </w:t>
      </w:r>
      <w:r w:rsidR="00747ED0" w:rsidRPr="004223DE">
        <w:rPr>
          <w:rFonts w:cstheme="minorHAnsi"/>
          <w:sz w:val="21"/>
          <w:szCs w:val="21"/>
        </w:rPr>
        <w:t>30 June</w:t>
      </w:r>
      <w:r w:rsidRPr="004223DE">
        <w:rPr>
          <w:rFonts w:cstheme="minorHAnsi"/>
          <w:sz w:val="21"/>
          <w:szCs w:val="21"/>
        </w:rPr>
        <w:t xml:space="preserve"> 2024, </w:t>
      </w:r>
      <w:r w:rsidR="00483314" w:rsidRPr="004223DE">
        <w:rPr>
          <w:rFonts w:cstheme="minorHAnsi"/>
          <w:sz w:val="21"/>
          <w:szCs w:val="21"/>
        </w:rPr>
        <w:t xml:space="preserve">an increase of </w:t>
      </w:r>
      <w:r w:rsidR="00693807">
        <w:rPr>
          <w:rFonts w:cstheme="minorHAnsi"/>
          <w:sz w:val="21"/>
          <w:szCs w:val="21"/>
        </w:rPr>
        <w:t>6</w:t>
      </w:r>
      <w:r w:rsidRPr="004223DE">
        <w:rPr>
          <w:rFonts w:cstheme="minorHAnsi"/>
          <w:sz w:val="21"/>
          <w:szCs w:val="21"/>
        </w:rPr>
        <w:t xml:space="preserve">0bps </w:t>
      </w:r>
      <w:r w:rsidR="00483314" w:rsidRPr="004223DE">
        <w:rPr>
          <w:rFonts w:cstheme="minorHAnsi"/>
          <w:sz w:val="21"/>
          <w:szCs w:val="21"/>
        </w:rPr>
        <w:t>compared to</w:t>
      </w:r>
      <w:r w:rsidRPr="004223DE">
        <w:rPr>
          <w:rFonts w:cstheme="minorHAnsi"/>
          <w:sz w:val="21"/>
          <w:szCs w:val="21"/>
        </w:rPr>
        <w:t xml:space="preserve"> 31 December 2023. </w:t>
      </w:r>
    </w:p>
    <w:p w14:paraId="0EE68448" w14:textId="0D57D98E" w:rsidR="001A2EAB" w:rsidRPr="00B86437" w:rsidRDefault="00BA3EE2" w:rsidP="00B86437">
      <w:pPr>
        <w:spacing w:before="120" w:after="120"/>
        <w:ind w:right="284"/>
        <w:jc w:val="both"/>
        <w:rPr>
          <w:rFonts w:cstheme="minorHAnsi"/>
          <w:sz w:val="21"/>
          <w:szCs w:val="21"/>
        </w:rPr>
      </w:pPr>
      <w:r w:rsidRPr="004223DE">
        <w:rPr>
          <w:rFonts w:cstheme="minorHAnsi"/>
          <w:sz w:val="21"/>
          <w:szCs w:val="21"/>
        </w:rPr>
        <w:t>From 30 June 2024, t</w:t>
      </w:r>
      <w:r w:rsidR="00BD3623" w:rsidRPr="004223DE">
        <w:rPr>
          <w:rFonts w:cstheme="minorHAnsi"/>
          <w:sz w:val="21"/>
          <w:szCs w:val="21"/>
        </w:rPr>
        <w:t>he CET1</w:t>
      </w:r>
      <w:r w:rsidR="00BB47C8">
        <w:rPr>
          <w:rFonts w:cstheme="minorHAnsi"/>
          <w:sz w:val="21"/>
          <w:szCs w:val="21"/>
        </w:rPr>
        <w:t xml:space="preserve"> </w:t>
      </w:r>
      <w:r w:rsidR="0057500C">
        <w:rPr>
          <w:rFonts w:cstheme="minorHAnsi"/>
          <w:sz w:val="21"/>
          <w:szCs w:val="21"/>
        </w:rPr>
        <w:t xml:space="preserve">Regulatory </w:t>
      </w:r>
      <w:r w:rsidR="00BD3623" w:rsidRPr="004223DE">
        <w:rPr>
          <w:rFonts w:cstheme="minorHAnsi"/>
          <w:sz w:val="21"/>
          <w:szCs w:val="21"/>
        </w:rPr>
        <w:t>requirement is 10.33%</w:t>
      </w:r>
      <w:r w:rsidR="00BD3623" w:rsidRPr="00693807">
        <w:rPr>
          <w:vertAlign w:val="superscript"/>
        </w:rPr>
        <w:footnoteReference w:id="8"/>
      </w:r>
      <w:r w:rsidR="00BD3623" w:rsidRPr="004223DE">
        <w:rPr>
          <w:rFonts w:cstheme="minorHAnsi"/>
          <w:sz w:val="21"/>
          <w:szCs w:val="21"/>
        </w:rPr>
        <w:t xml:space="preserve"> while the Total Capital</w:t>
      </w:r>
      <w:r w:rsidR="0057500C">
        <w:rPr>
          <w:rFonts w:cstheme="minorHAnsi"/>
          <w:sz w:val="21"/>
          <w:szCs w:val="21"/>
        </w:rPr>
        <w:t xml:space="preserve"> Regulatory </w:t>
      </w:r>
      <w:r w:rsidR="00BD3623" w:rsidRPr="004223DE">
        <w:rPr>
          <w:rFonts w:cstheme="minorHAnsi"/>
          <w:sz w:val="21"/>
          <w:szCs w:val="21"/>
        </w:rPr>
        <w:t>requirement is currently 15.</w:t>
      </w:r>
      <w:r w:rsidR="00841D5B">
        <w:rPr>
          <w:rFonts w:cstheme="minorHAnsi"/>
          <w:sz w:val="21"/>
          <w:szCs w:val="21"/>
        </w:rPr>
        <w:t>2</w:t>
      </w:r>
      <w:r w:rsidR="00BD3623" w:rsidRPr="004223DE">
        <w:rPr>
          <w:rFonts w:cstheme="minorHAnsi"/>
          <w:sz w:val="21"/>
          <w:szCs w:val="21"/>
        </w:rPr>
        <w:t xml:space="preserve">5%. </w:t>
      </w:r>
      <w:r w:rsidRPr="004223DE">
        <w:rPr>
          <w:rFonts w:cstheme="minorHAnsi"/>
          <w:sz w:val="21"/>
          <w:szCs w:val="21"/>
        </w:rPr>
        <w:t>Both</w:t>
      </w:r>
      <w:r w:rsidR="00BD3623" w:rsidRPr="004223DE">
        <w:rPr>
          <w:rFonts w:cstheme="minorHAnsi"/>
          <w:sz w:val="21"/>
          <w:szCs w:val="21"/>
        </w:rPr>
        <w:t xml:space="preserve"> requirements have increased by 50bps when compared to 31 December</w:t>
      </w:r>
      <w:r w:rsidR="0057500C">
        <w:rPr>
          <w:rFonts w:cstheme="minorHAnsi"/>
          <w:sz w:val="21"/>
          <w:szCs w:val="21"/>
        </w:rPr>
        <w:t xml:space="preserve"> 2023</w:t>
      </w:r>
      <w:r w:rsidR="00BD3623" w:rsidRPr="004223DE">
        <w:rPr>
          <w:rFonts w:cstheme="minorHAnsi"/>
          <w:sz w:val="21"/>
          <w:szCs w:val="21"/>
        </w:rPr>
        <w:t xml:space="preserve"> due to the final phase</w:t>
      </w:r>
      <w:r w:rsidR="0057500C">
        <w:rPr>
          <w:rFonts w:cstheme="minorHAnsi"/>
          <w:sz w:val="21"/>
          <w:szCs w:val="21"/>
        </w:rPr>
        <w:t>-</w:t>
      </w:r>
      <w:r w:rsidR="00BD3623" w:rsidRPr="004223DE">
        <w:rPr>
          <w:rFonts w:cstheme="minorHAnsi"/>
          <w:sz w:val="21"/>
          <w:szCs w:val="21"/>
        </w:rPr>
        <w:t>in of the Countercyclical Buffer (‘CCyB’)</w:t>
      </w:r>
      <w:r w:rsidRPr="004223DE">
        <w:rPr>
          <w:rFonts w:cstheme="minorHAnsi"/>
          <w:sz w:val="21"/>
          <w:szCs w:val="21"/>
        </w:rPr>
        <w:t xml:space="preserve"> in June 2024.</w:t>
      </w:r>
    </w:p>
    <w:p w14:paraId="3CE68C5B" w14:textId="135715A8" w:rsidR="00184B07" w:rsidRPr="00E6073D" w:rsidRDefault="00184B07" w:rsidP="00E6073D">
      <w:pPr>
        <w:spacing w:before="240" w:after="120"/>
        <w:ind w:right="284"/>
        <w:jc w:val="both"/>
        <w:rPr>
          <w:rFonts w:cstheme="minorHAnsi"/>
          <w:b/>
          <w:bCs/>
          <w:sz w:val="21"/>
          <w:szCs w:val="21"/>
        </w:rPr>
      </w:pPr>
      <w:r w:rsidRPr="00E6073D">
        <w:rPr>
          <w:rFonts w:cstheme="minorHAnsi"/>
          <w:b/>
          <w:bCs/>
          <w:sz w:val="21"/>
          <w:szCs w:val="21"/>
        </w:rPr>
        <w:t xml:space="preserve">Distribution Policy  </w:t>
      </w:r>
    </w:p>
    <w:p w14:paraId="5E46E569" w14:textId="77777777" w:rsidR="00A6487A" w:rsidRDefault="00662AB2" w:rsidP="00A6487A">
      <w:pPr>
        <w:spacing w:before="120" w:after="120"/>
        <w:ind w:right="284"/>
        <w:jc w:val="both"/>
        <w:rPr>
          <w:rFonts w:cstheme="minorHAnsi"/>
          <w:sz w:val="21"/>
          <w:szCs w:val="21"/>
        </w:rPr>
      </w:pPr>
      <w:r w:rsidRPr="00662AB2">
        <w:rPr>
          <w:rFonts w:cstheme="minorHAnsi"/>
          <w:sz w:val="21"/>
          <w:szCs w:val="21"/>
        </w:rPr>
        <w:t>The Bank’s ambition is to recommence shareholder distributions over the medium term subject to available surplus capital, regulatory and shareholder approval. It is anticipated the Bank will recommence with a modest distribution, building to</w:t>
      </w:r>
      <w:r w:rsidR="00467D76">
        <w:rPr>
          <w:rFonts w:cstheme="minorHAnsi"/>
          <w:sz w:val="21"/>
          <w:szCs w:val="21"/>
        </w:rPr>
        <w:t>wards</w:t>
      </w:r>
      <w:r w:rsidRPr="00662AB2">
        <w:rPr>
          <w:rFonts w:cstheme="minorHAnsi"/>
          <w:sz w:val="21"/>
          <w:szCs w:val="21"/>
        </w:rPr>
        <w:t xml:space="preserve"> a target pay-out ratio of </w:t>
      </w:r>
      <w:r w:rsidR="00B072A0">
        <w:rPr>
          <w:rFonts w:cstheme="minorHAnsi"/>
          <w:sz w:val="21"/>
          <w:szCs w:val="21"/>
        </w:rPr>
        <w:t xml:space="preserve">up to </w:t>
      </w:r>
      <w:r w:rsidRPr="00662AB2">
        <w:rPr>
          <w:rFonts w:cstheme="minorHAnsi"/>
          <w:sz w:val="21"/>
          <w:szCs w:val="21"/>
        </w:rPr>
        <w:t>c.</w:t>
      </w:r>
      <w:r w:rsidR="00467D76">
        <w:rPr>
          <w:rFonts w:cstheme="minorHAnsi"/>
          <w:sz w:val="21"/>
          <w:szCs w:val="21"/>
        </w:rPr>
        <w:t xml:space="preserve"> </w:t>
      </w:r>
      <w:r w:rsidRPr="00662AB2">
        <w:rPr>
          <w:rFonts w:cstheme="minorHAnsi"/>
          <w:sz w:val="21"/>
          <w:szCs w:val="21"/>
        </w:rPr>
        <w:t xml:space="preserve">40% of Profit Attributable to Shareholders </w:t>
      </w:r>
      <w:r w:rsidR="00467D76">
        <w:rPr>
          <w:rFonts w:cstheme="minorHAnsi"/>
          <w:sz w:val="21"/>
          <w:szCs w:val="21"/>
        </w:rPr>
        <w:t>through</w:t>
      </w:r>
      <w:r w:rsidRPr="00662AB2">
        <w:rPr>
          <w:rFonts w:cstheme="minorHAnsi"/>
          <w:sz w:val="21"/>
          <w:szCs w:val="21"/>
        </w:rPr>
        <w:t xml:space="preserve"> the medium term. The Bank will retain flexibility as to the distribution mix and will update the market in this regard in due course. Proposed distributions will be considered in line with the Bank’s Capital Management Framework considering availability of surplus capital at least annually. Distribution levels will reflect, amongst other things, the strength of the </w:t>
      </w:r>
      <w:r w:rsidR="0057500C">
        <w:rPr>
          <w:rFonts w:cstheme="minorHAnsi"/>
          <w:sz w:val="21"/>
          <w:szCs w:val="21"/>
        </w:rPr>
        <w:t>Banks</w:t>
      </w:r>
      <w:r w:rsidRPr="00662AB2">
        <w:rPr>
          <w:rFonts w:cstheme="minorHAnsi"/>
          <w:sz w:val="21"/>
          <w:szCs w:val="21"/>
        </w:rPr>
        <w:t xml:space="preserve"> capital and capital generation, the Board’s assessment of the growth and investment opportunities available, any capital the </w:t>
      </w:r>
      <w:r w:rsidR="0057500C">
        <w:rPr>
          <w:rFonts w:cstheme="minorHAnsi"/>
          <w:sz w:val="21"/>
          <w:szCs w:val="21"/>
        </w:rPr>
        <w:t>Bank</w:t>
      </w:r>
      <w:r w:rsidRPr="00662AB2">
        <w:rPr>
          <w:rFonts w:cstheme="minorHAnsi"/>
          <w:sz w:val="21"/>
          <w:szCs w:val="21"/>
        </w:rPr>
        <w:t xml:space="preserve"> retains to cover uncertainties (</w:t>
      </w:r>
      <w:r w:rsidR="00467D76" w:rsidRPr="00662AB2">
        <w:rPr>
          <w:rFonts w:cstheme="minorHAnsi"/>
          <w:sz w:val="21"/>
          <w:szCs w:val="21"/>
        </w:rPr>
        <w:t>e.g.,</w:t>
      </w:r>
      <w:r w:rsidRPr="00662AB2">
        <w:rPr>
          <w:rFonts w:cstheme="minorHAnsi"/>
          <w:sz w:val="21"/>
          <w:szCs w:val="21"/>
        </w:rPr>
        <w:t xml:space="preserve"> related to the economic outlook) and any impact from the evolving regulatory and accounting environments.</w:t>
      </w:r>
    </w:p>
    <w:p w14:paraId="6125352B" w14:textId="64099285" w:rsidR="00120C22" w:rsidRPr="00E6073D" w:rsidRDefault="00120C22" w:rsidP="00E6073D">
      <w:pPr>
        <w:spacing w:before="240" w:after="120"/>
        <w:ind w:right="284"/>
        <w:jc w:val="both"/>
        <w:rPr>
          <w:rFonts w:cstheme="minorHAnsi"/>
          <w:b/>
          <w:bCs/>
          <w:sz w:val="21"/>
          <w:szCs w:val="21"/>
        </w:rPr>
      </w:pPr>
      <w:r w:rsidRPr="00E6073D">
        <w:rPr>
          <w:rFonts w:cstheme="minorHAnsi"/>
          <w:b/>
          <w:bCs/>
          <w:sz w:val="21"/>
          <w:szCs w:val="21"/>
        </w:rPr>
        <w:t>2024 Outlook</w:t>
      </w:r>
    </w:p>
    <w:p w14:paraId="5F74F2E1" w14:textId="083B6444" w:rsidR="0057697C" w:rsidRPr="004223DE" w:rsidRDefault="0057697C" w:rsidP="00F96A98">
      <w:pPr>
        <w:spacing w:before="120" w:after="120"/>
        <w:ind w:right="284"/>
        <w:jc w:val="both"/>
        <w:rPr>
          <w:rFonts w:cstheme="minorHAnsi"/>
          <w:sz w:val="21"/>
          <w:szCs w:val="21"/>
        </w:rPr>
      </w:pPr>
      <w:r w:rsidRPr="004223DE">
        <w:rPr>
          <w:rFonts w:cstheme="minorHAnsi"/>
          <w:sz w:val="21"/>
          <w:szCs w:val="21"/>
        </w:rPr>
        <w:t>Performance in H1’24 has been strong, supported by the positive macroeconomic environment and strong asset quality</w:t>
      </w:r>
      <w:r>
        <w:rPr>
          <w:rFonts w:cstheme="minorHAnsi"/>
          <w:sz w:val="21"/>
          <w:szCs w:val="21"/>
        </w:rPr>
        <w:t xml:space="preserve">. </w:t>
      </w:r>
      <w:r w:rsidR="004A7434">
        <w:rPr>
          <w:rFonts w:cstheme="minorHAnsi"/>
          <w:sz w:val="21"/>
          <w:szCs w:val="21"/>
        </w:rPr>
        <w:t>Subject to no material change in economic conditions or outlook</w:t>
      </w:r>
      <w:r w:rsidRPr="004223DE">
        <w:rPr>
          <w:rFonts w:cstheme="minorHAnsi"/>
          <w:sz w:val="21"/>
          <w:szCs w:val="21"/>
        </w:rPr>
        <w:t>, the Bank is updating its expected cost of risk for FY</w:t>
      </w:r>
      <w:r>
        <w:rPr>
          <w:rFonts w:cstheme="minorHAnsi"/>
          <w:sz w:val="21"/>
          <w:szCs w:val="21"/>
        </w:rPr>
        <w:t>’</w:t>
      </w:r>
      <w:r w:rsidRPr="004223DE">
        <w:rPr>
          <w:rFonts w:cstheme="minorHAnsi"/>
          <w:sz w:val="21"/>
          <w:szCs w:val="21"/>
        </w:rPr>
        <w:t xml:space="preserve">24 to </w:t>
      </w:r>
      <w:r w:rsidR="00DC7FD8">
        <w:rPr>
          <w:rFonts w:cstheme="minorHAnsi"/>
          <w:sz w:val="21"/>
          <w:szCs w:val="21"/>
        </w:rPr>
        <w:t xml:space="preserve">c. </w:t>
      </w:r>
      <w:r w:rsidRPr="004223DE">
        <w:rPr>
          <w:rFonts w:cstheme="minorHAnsi"/>
          <w:sz w:val="21"/>
          <w:szCs w:val="21"/>
        </w:rPr>
        <w:t>-</w:t>
      </w:r>
      <w:r w:rsidR="00DC7FD8">
        <w:rPr>
          <w:rFonts w:cstheme="minorHAnsi"/>
          <w:sz w:val="21"/>
          <w:szCs w:val="21"/>
        </w:rPr>
        <w:t>10</w:t>
      </w:r>
      <w:r w:rsidRPr="004223DE">
        <w:rPr>
          <w:rFonts w:cstheme="minorHAnsi"/>
          <w:sz w:val="21"/>
          <w:szCs w:val="21"/>
        </w:rPr>
        <w:t>bps from +10bps previously. All other guidance for FY</w:t>
      </w:r>
      <w:r>
        <w:rPr>
          <w:rFonts w:cstheme="minorHAnsi"/>
          <w:sz w:val="21"/>
          <w:szCs w:val="21"/>
        </w:rPr>
        <w:t>’</w:t>
      </w:r>
      <w:r w:rsidRPr="004223DE">
        <w:rPr>
          <w:rFonts w:cstheme="minorHAnsi"/>
          <w:sz w:val="21"/>
          <w:szCs w:val="21"/>
        </w:rPr>
        <w:t xml:space="preserve">24 remains in line with prior market communications. Capital remains strong and having assessed a range of scenarios, the CET1 ratio will remain well above the Bank's minimum regulatory requirement. </w:t>
      </w:r>
    </w:p>
    <w:p w14:paraId="2F00AE64" w14:textId="77777777" w:rsidR="00285273" w:rsidRPr="004223DE" w:rsidRDefault="00285273" w:rsidP="002558ED">
      <w:pPr>
        <w:spacing w:before="120" w:after="120"/>
        <w:ind w:right="284"/>
        <w:jc w:val="center"/>
        <w:rPr>
          <w:rFonts w:cstheme="minorHAnsi"/>
          <w:b/>
          <w:sz w:val="21"/>
          <w:szCs w:val="21"/>
        </w:rPr>
      </w:pPr>
    </w:p>
    <w:p w14:paraId="34836DAA" w14:textId="4985D9C8" w:rsidR="00120C22" w:rsidRPr="004223DE" w:rsidRDefault="00120C22" w:rsidP="002558ED">
      <w:pPr>
        <w:spacing w:before="120" w:after="120"/>
        <w:ind w:right="284"/>
        <w:jc w:val="center"/>
        <w:rPr>
          <w:rFonts w:cstheme="minorHAnsi"/>
          <w:b/>
          <w:sz w:val="21"/>
          <w:szCs w:val="21"/>
        </w:rPr>
      </w:pPr>
      <w:r w:rsidRPr="004223DE">
        <w:rPr>
          <w:rFonts w:cstheme="minorHAnsi"/>
          <w:b/>
          <w:sz w:val="21"/>
          <w:szCs w:val="21"/>
        </w:rPr>
        <w:t>– Ends –</w:t>
      </w:r>
    </w:p>
    <w:p w14:paraId="00E5C152" w14:textId="77777777" w:rsidR="00247296" w:rsidRPr="004223DE" w:rsidRDefault="00247296" w:rsidP="00231D1F">
      <w:pPr>
        <w:spacing w:before="120" w:after="120"/>
        <w:ind w:right="284"/>
        <w:jc w:val="both"/>
        <w:rPr>
          <w:rFonts w:cstheme="minorHAnsi"/>
          <w:b/>
          <w:sz w:val="21"/>
          <w:szCs w:val="21"/>
        </w:rPr>
      </w:pPr>
    </w:p>
    <w:p w14:paraId="118B446D" w14:textId="482EF8E9" w:rsidR="0079204D" w:rsidRPr="004223DE" w:rsidRDefault="0079204D" w:rsidP="00231D1F">
      <w:pPr>
        <w:spacing w:before="120" w:after="120"/>
        <w:ind w:right="284"/>
        <w:jc w:val="both"/>
        <w:rPr>
          <w:rFonts w:cstheme="minorHAnsi"/>
          <w:b/>
          <w:sz w:val="21"/>
          <w:szCs w:val="21"/>
        </w:rPr>
      </w:pPr>
      <w:r w:rsidRPr="004223DE">
        <w:rPr>
          <w:rFonts w:cstheme="minorHAnsi"/>
          <w:b/>
          <w:sz w:val="21"/>
          <w:szCs w:val="21"/>
        </w:rPr>
        <w:t>For Further Information Please Contact:</w:t>
      </w:r>
    </w:p>
    <w:p w14:paraId="26CCBDC0" w14:textId="0072A17F" w:rsidR="000027FD" w:rsidRPr="004223DE" w:rsidRDefault="00E05A3B" w:rsidP="00231D1F">
      <w:pPr>
        <w:spacing w:after="0"/>
        <w:ind w:right="284"/>
        <w:jc w:val="both"/>
        <w:rPr>
          <w:rFonts w:cstheme="minorHAnsi"/>
          <w:sz w:val="21"/>
          <w:szCs w:val="21"/>
        </w:rPr>
      </w:pPr>
      <w:r w:rsidRPr="004223DE">
        <w:rPr>
          <w:rFonts w:cstheme="minorHAnsi"/>
          <w:sz w:val="21"/>
          <w:szCs w:val="21"/>
        </w:rPr>
        <w:t>Denis McGoldrick</w:t>
      </w:r>
      <w:r w:rsidR="000027FD" w:rsidRPr="004223DE">
        <w:rPr>
          <w:rFonts w:cstheme="minorHAnsi"/>
          <w:sz w:val="21"/>
          <w:szCs w:val="21"/>
        </w:rPr>
        <w:tab/>
      </w:r>
      <w:r w:rsidR="000027FD" w:rsidRPr="004223DE">
        <w:rPr>
          <w:rFonts w:cstheme="minorHAnsi"/>
          <w:sz w:val="21"/>
          <w:szCs w:val="21"/>
        </w:rPr>
        <w:tab/>
      </w:r>
      <w:r w:rsidR="000027FD" w:rsidRPr="004223DE">
        <w:rPr>
          <w:rFonts w:cstheme="minorHAnsi"/>
          <w:sz w:val="21"/>
          <w:szCs w:val="21"/>
        </w:rPr>
        <w:tab/>
      </w:r>
      <w:r w:rsidR="00C92FFF" w:rsidRPr="004223DE">
        <w:rPr>
          <w:rFonts w:cstheme="minorHAnsi"/>
          <w:sz w:val="21"/>
          <w:szCs w:val="21"/>
        </w:rPr>
        <w:t>Tr</w:t>
      </w:r>
      <w:r w:rsidR="0062541E">
        <w:rPr>
          <w:rFonts w:cstheme="minorHAnsi"/>
          <w:sz w:val="21"/>
          <w:szCs w:val="21"/>
        </w:rPr>
        <w:t>í</w:t>
      </w:r>
      <w:r w:rsidR="00C92FFF" w:rsidRPr="004223DE">
        <w:rPr>
          <w:rFonts w:cstheme="minorHAnsi"/>
          <w:sz w:val="21"/>
          <w:szCs w:val="21"/>
        </w:rPr>
        <w:t>ona Carroll</w:t>
      </w:r>
    </w:p>
    <w:p w14:paraId="1798326A" w14:textId="35E06B4C" w:rsidR="000027FD" w:rsidRPr="004223DE" w:rsidRDefault="00ED094C" w:rsidP="00231D1F">
      <w:pPr>
        <w:spacing w:after="0"/>
        <w:ind w:right="284"/>
        <w:jc w:val="both"/>
        <w:rPr>
          <w:rFonts w:cstheme="minorHAnsi"/>
          <w:sz w:val="21"/>
          <w:szCs w:val="21"/>
        </w:rPr>
      </w:pPr>
      <w:r w:rsidRPr="004223DE">
        <w:rPr>
          <w:rFonts w:cstheme="minorHAnsi"/>
          <w:sz w:val="21"/>
          <w:szCs w:val="21"/>
        </w:rPr>
        <w:t>Investor Relations</w:t>
      </w:r>
      <w:r w:rsidR="00967F8E" w:rsidRPr="004223DE">
        <w:rPr>
          <w:rFonts w:cstheme="minorHAnsi"/>
          <w:sz w:val="21"/>
          <w:szCs w:val="21"/>
        </w:rPr>
        <w:tab/>
      </w:r>
      <w:r w:rsidR="00967F8E" w:rsidRPr="004223DE">
        <w:rPr>
          <w:rFonts w:cstheme="minorHAnsi"/>
          <w:sz w:val="21"/>
          <w:szCs w:val="21"/>
        </w:rPr>
        <w:tab/>
      </w:r>
      <w:r w:rsidR="00967F8E" w:rsidRPr="004223DE">
        <w:rPr>
          <w:rFonts w:cstheme="minorHAnsi"/>
          <w:sz w:val="21"/>
          <w:szCs w:val="21"/>
        </w:rPr>
        <w:tab/>
      </w:r>
      <w:r w:rsidR="00C92FFF" w:rsidRPr="004223DE">
        <w:rPr>
          <w:rFonts w:cstheme="minorHAnsi"/>
          <w:sz w:val="21"/>
          <w:szCs w:val="21"/>
        </w:rPr>
        <w:t xml:space="preserve">Corporate </w:t>
      </w:r>
      <w:r w:rsidR="00EA0DFD" w:rsidRPr="004223DE">
        <w:rPr>
          <w:rFonts w:cstheme="minorHAnsi"/>
          <w:sz w:val="21"/>
          <w:szCs w:val="21"/>
        </w:rPr>
        <w:t>Affairs &amp; Communications</w:t>
      </w:r>
    </w:p>
    <w:p w14:paraId="44D2C0CF" w14:textId="7FA10460" w:rsidR="000027FD" w:rsidRPr="004223DE" w:rsidRDefault="000027FD" w:rsidP="00231D1F">
      <w:pPr>
        <w:spacing w:after="0"/>
        <w:ind w:right="284"/>
        <w:jc w:val="both"/>
        <w:rPr>
          <w:rFonts w:cstheme="minorHAnsi"/>
          <w:sz w:val="21"/>
          <w:szCs w:val="21"/>
        </w:rPr>
      </w:pPr>
      <w:r w:rsidRPr="004223DE">
        <w:rPr>
          <w:rFonts w:cstheme="minorHAnsi"/>
          <w:sz w:val="21"/>
          <w:szCs w:val="21"/>
        </w:rPr>
        <w:t xml:space="preserve">Email: </w:t>
      </w:r>
      <w:hyperlink r:id="rId11" w:history="1">
        <w:r w:rsidR="00C92FFF" w:rsidRPr="004223DE">
          <w:rPr>
            <w:rStyle w:val="Hyperlink"/>
            <w:rFonts w:cstheme="minorHAnsi"/>
            <w:sz w:val="21"/>
            <w:szCs w:val="21"/>
          </w:rPr>
          <w:t>denis.mcgoldrick@ptsb.ie</w:t>
        </w:r>
      </w:hyperlink>
      <w:r w:rsidRPr="004223DE">
        <w:rPr>
          <w:rFonts w:cstheme="minorHAnsi"/>
          <w:sz w:val="21"/>
          <w:szCs w:val="21"/>
        </w:rPr>
        <w:tab/>
      </w:r>
      <w:r w:rsidR="00C55F76">
        <w:rPr>
          <w:rFonts w:cstheme="minorHAnsi"/>
          <w:sz w:val="21"/>
          <w:szCs w:val="21"/>
        </w:rPr>
        <w:tab/>
      </w:r>
      <w:r w:rsidRPr="004223DE">
        <w:rPr>
          <w:rFonts w:cstheme="minorHAnsi"/>
          <w:sz w:val="21"/>
          <w:szCs w:val="21"/>
        </w:rPr>
        <w:t xml:space="preserve">Email: </w:t>
      </w:r>
      <w:hyperlink r:id="rId12" w:history="1">
        <w:r w:rsidR="00C92FFF" w:rsidRPr="004223DE">
          <w:rPr>
            <w:rStyle w:val="Hyperlink"/>
            <w:rFonts w:cstheme="minorHAnsi"/>
            <w:sz w:val="21"/>
            <w:szCs w:val="21"/>
          </w:rPr>
          <w:t>triona.carroll@ptsb.ie</w:t>
        </w:r>
      </w:hyperlink>
    </w:p>
    <w:p w14:paraId="5A3ABAB0" w14:textId="71116452" w:rsidR="00094A54" w:rsidRPr="004223DE" w:rsidRDefault="000027FD" w:rsidP="009F3068">
      <w:pPr>
        <w:spacing w:after="0"/>
        <w:ind w:right="284"/>
        <w:jc w:val="both"/>
        <w:rPr>
          <w:rFonts w:cstheme="minorHAnsi"/>
          <w:sz w:val="21"/>
          <w:szCs w:val="21"/>
        </w:rPr>
      </w:pPr>
      <w:r w:rsidRPr="004223DE">
        <w:rPr>
          <w:rFonts w:cstheme="minorHAnsi"/>
          <w:sz w:val="21"/>
          <w:szCs w:val="21"/>
        </w:rPr>
        <w:t xml:space="preserve">Phone: +353 87 </w:t>
      </w:r>
      <w:r w:rsidR="00E05A3B" w:rsidRPr="004223DE">
        <w:rPr>
          <w:rFonts w:cstheme="minorHAnsi"/>
          <w:sz w:val="21"/>
          <w:szCs w:val="21"/>
        </w:rPr>
        <w:t>928 5645</w:t>
      </w:r>
      <w:r w:rsidRPr="004223DE">
        <w:rPr>
          <w:rFonts w:cstheme="minorHAnsi"/>
          <w:sz w:val="21"/>
          <w:szCs w:val="21"/>
        </w:rPr>
        <w:tab/>
      </w:r>
      <w:r w:rsidRPr="004223DE">
        <w:rPr>
          <w:rFonts w:cstheme="minorHAnsi"/>
          <w:sz w:val="21"/>
          <w:szCs w:val="21"/>
        </w:rPr>
        <w:tab/>
        <w:t xml:space="preserve">Phone: +353 87 </w:t>
      </w:r>
      <w:r w:rsidR="00C92FFF" w:rsidRPr="004223DE">
        <w:rPr>
          <w:rFonts w:cstheme="minorHAnsi"/>
          <w:sz w:val="21"/>
          <w:szCs w:val="21"/>
        </w:rPr>
        <w:t>069</w:t>
      </w:r>
      <w:r w:rsidRPr="004223DE">
        <w:rPr>
          <w:rFonts w:cstheme="minorHAnsi"/>
          <w:sz w:val="21"/>
          <w:szCs w:val="21"/>
        </w:rPr>
        <w:t xml:space="preserve"> </w:t>
      </w:r>
      <w:r w:rsidR="00C92FFF" w:rsidRPr="004223DE">
        <w:rPr>
          <w:rFonts w:cstheme="minorHAnsi"/>
          <w:sz w:val="21"/>
          <w:szCs w:val="21"/>
        </w:rPr>
        <w:t>6348</w:t>
      </w:r>
    </w:p>
    <w:p w14:paraId="608BE3D0" w14:textId="77777777" w:rsidR="00EA0DFD" w:rsidRPr="004223DE" w:rsidRDefault="00EA0DFD" w:rsidP="002558ED">
      <w:pPr>
        <w:spacing w:before="120" w:after="120"/>
        <w:ind w:right="284"/>
        <w:jc w:val="both"/>
        <w:rPr>
          <w:rFonts w:cstheme="minorHAnsi"/>
          <w:b/>
          <w:sz w:val="21"/>
          <w:szCs w:val="21"/>
        </w:rPr>
      </w:pPr>
    </w:p>
    <w:p w14:paraId="5D14E287" w14:textId="77777777" w:rsidR="0079204D" w:rsidRPr="004223DE" w:rsidRDefault="0079204D" w:rsidP="002558ED">
      <w:pPr>
        <w:spacing w:before="120" w:after="120"/>
        <w:ind w:right="284"/>
        <w:jc w:val="both"/>
        <w:rPr>
          <w:rFonts w:cstheme="minorHAnsi"/>
          <w:b/>
          <w:sz w:val="21"/>
          <w:szCs w:val="21"/>
        </w:rPr>
      </w:pPr>
      <w:r w:rsidRPr="004223DE">
        <w:rPr>
          <w:rFonts w:cstheme="minorHAnsi"/>
          <w:b/>
          <w:sz w:val="21"/>
          <w:szCs w:val="21"/>
        </w:rPr>
        <w:t xml:space="preserve">Note </w:t>
      </w:r>
      <w:r w:rsidR="009A4131" w:rsidRPr="004223DE">
        <w:rPr>
          <w:rFonts w:cstheme="minorHAnsi"/>
          <w:b/>
          <w:sz w:val="21"/>
          <w:szCs w:val="21"/>
        </w:rPr>
        <w:t>o</w:t>
      </w:r>
      <w:r w:rsidRPr="004223DE">
        <w:rPr>
          <w:rFonts w:cstheme="minorHAnsi"/>
          <w:b/>
          <w:sz w:val="21"/>
          <w:szCs w:val="21"/>
        </w:rPr>
        <w:t xml:space="preserve">n Forward-Looking Information: </w:t>
      </w:r>
    </w:p>
    <w:p w14:paraId="42BDF1B6" w14:textId="72D55852" w:rsidR="001D4537" w:rsidRPr="004223DE" w:rsidRDefault="0079204D" w:rsidP="002558ED">
      <w:pPr>
        <w:spacing w:before="120" w:after="120"/>
        <w:ind w:right="284"/>
        <w:jc w:val="both"/>
        <w:rPr>
          <w:rFonts w:cstheme="minorHAnsi"/>
          <w:sz w:val="21"/>
          <w:szCs w:val="21"/>
        </w:rPr>
      </w:pPr>
      <w:r w:rsidRPr="004223DE">
        <w:rPr>
          <w:rFonts w:cstheme="minorHAnsi"/>
          <w:sz w:val="21"/>
          <w:szCs w:val="21"/>
        </w:rPr>
        <w:t>This announcement contains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Bank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Bank undertakes no obligation to release publicly any revision or updates to these forward-looking statements to reflect future events, circumstances, unanticipated events, new information or otherwise except as required by law or by any appropriate regulatory authority.</w:t>
      </w:r>
    </w:p>
    <w:sectPr w:rsidR="001D4537" w:rsidRPr="004223DE">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8E67" w14:textId="77777777" w:rsidR="00595B01" w:rsidRDefault="00595B01" w:rsidP="009B6CBF">
      <w:pPr>
        <w:spacing w:after="0" w:line="240" w:lineRule="auto"/>
      </w:pPr>
      <w:r>
        <w:separator/>
      </w:r>
    </w:p>
  </w:endnote>
  <w:endnote w:type="continuationSeparator" w:id="0">
    <w:p w14:paraId="0560FD1B" w14:textId="77777777" w:rsidR="00595B01" w:rsidRDefault="00595B01" w:rsidP="009B6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8F8B" w14:textId="6B61C55A" w:rsidR="007E2B37" w:rsidRDefault="007E2B37">
    <w:pPr>
      <w:pStyle w:val="Footer"/>
    </w:pPr>
    <w:r>
      <w:rPr>
        <w:noProof/>
        <w:lang w:eastAsia="en-IE"/>
      </w:rPr>
      <mc:AlternateContent>
        <mc:Choice Requires="wps">
          <w:drawing>
            <wp:anchor distT="0" distB="0" distL="0" distR="0" simplePos="0" relativeHeight="251659264" behindDoc="0" locked="0" layoutInCell="1" allowOverlap="1" wp14:anchorId="20DD0489" wp14:editId="5CE21EA8">
              <wp:simplePos x="635" y="635"/>
              <wp:positionH relativeFrom="page">
                <wp:align>left</wp:align>
              </wp:positionH>
              <wp:positionV relativeFrom="page">
                <wp:align>bottom</wp:align>
              </wp:positionV>
              <wp:extent cx="443865" cy="443865"/>
              <wp:effectExtent l="0" t="0" r="10160"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35DB88" w14:textId="6F33A8C0" w:rsidR="007E2B37" w:rsidRPr="007E2B37" w:rsidRDefault="007E2B37" w:rsidP="007E2B37">
                          <w:pPr>
                            <w:spacing w:after="0"/>
                            <w:rPr>
                              <w:rFonts w:ascii="Calibri" w:eastAsia="Calibri" w:hAnsi="Calibri" w:cs="Calibri"/>
                              <w:noProof/>
                              <w:color w:val="FF0000"/>
                              <w:sz w:val="20"/>
                              <w:szCs w:val="20"/>
                            </w:rPr>
                          </w:pPr>
                          <w:r w:rsidRPr="007E2B37">
                            <w:rPr>
                              <w:rFonts w:ascii="Calibri" w:eastAsia="Calibri" w:hAnsi="Calibri" w:cs="Calibri"/>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DD0489" id="_x0000_t202" coordsize="21600,21600" o:spt="202" path="m,l,21600r21600,l21600,xe">
              <v:stroke joinstyle="miter"/>
              <v:path gradientshapeok="t" o:connecttype="rect"/>
            </v:shapetype>
            <v:shape id="Text Box 2" o:spid="_x0000_s1026" type="#_x0000_t202" alt="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A35DB88" w14:textId="6F33A8C0" w:rsidR="007E2B37" w:rsidRPr="007E2B37" w:rsidRDefault="007E2B37" w:rsidP="007E2B37">
                    <w:pPr>
                      <w:spacing w:after="0"/>
                      <w:rPr>
                        <w:rFonts w:ascii="Calibri" w:eastAsia="Calibri" w:hAnsi="Calibri" w:cs="Calibri"/>
                        <w:noProof/>
                        <w:color w:val="FF0000"/>
                        <w:sz w:val="20"/>
                        <w:szCs w:val="20"/>
                      </w:rPr>
                    </w:pPr>
                    <w:r w:rsidRPr="007E2B37">
                      <w:rPr>
                        <w:rFonts w:ascii="Calibri" w:eastAsia="Calibri" w:hAnsi="Calibri" w:cs="Calibri"/>
                        <w:noProof/>
                        <w:color w:val="FF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A5C" w14:textId="5BD72117" w:rsidR="007E2B37" w:rsidRDefault="007E2B37">
    <w:pPr>
      <w:pStyle w:val="Footer"/>
    </w:pPr>
    <w:r>
      <w:rPr>
        <w:noProof/>
        <w:lang w:eastAsia="en-IE"/>
      </w:rPr>
      <mc:AlternateContent>
        <mc:Choice Requires="wps">
          <w:drawing>
            <wp:anchor distT="0" distB="0" distL="0" distR="0" simplePos="0" relativeHeight="251660288" behindDoc="0" locked="0" layoutInCell="1" allowOverlap="1" wp14:anchorId="671D4812" wp14:editId="5BCE8F40">
              <wp:simplePos x="914400" y="10073030"/>
              <wp:positionH relativeFrom="page">
                <wp:align>left</wp:align>
              </wp:positionH>
              <wp:positionV relativeFrom="page">
                <wp:align>bottom</wp:align>
              </wp:positionV>
              <wp:extent cx="443865" cy="443865"/>
              <wp:effectExtent l="0" t="0" r="10160"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AC0689" w14:textId="0D26A7E1" w:rsidR="007E2B37" w:rsidRPr="007E2B37" w:rsidRDefault="007E2B37" w:rsidP="007E2B37">
                          <w:pPr>
                            <w:spacing w:after="0"/>
                            <w:rPr>
                              <w:rFonts w:ascii="Calibri" w:eastAsia="Calibri" w:hAnsi="Calibri" w:cs="Calibri"/>
                              <w:noProof/>
                              <w:color w:val="FF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1D4812" id="_x0000_t202" coordsize="21600,21600" o:spt="202" path="m,l,21600r21600,l21600,xe">
              <v:stroke joinstyle="miter"/>
              <v:path gradientshapeok="t" o:connecttype="rect"/>
            </v:shapetype>
            <v:shape id="Text Box 3" o:spid="_x0000_s1027" type="#_x0000_t202" alt="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5AC0689" w14:textId="0D26A7E1" w:rsidR="007E2B37" w:rsidRPr="007E2B37" w:rsidRDefault="007E2B37" w:rsidP="007E2B37">
                    <w:pPr>
                      <w:spacing w:after="0"/>
                      <w:rPr>
                        <w:rFonts w:ascii="Calibri" w:eastAsia="Calibri" w:hAnsi="Calibri" w:cs="Calibri"/>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1D20" w14:textId="439E9F2B" w:rsidR="007E2B37" w:rsidRDefault="007E2B37">
    <w:pPr>
      <w:pStyle w:val="Footer"/>
    </w:pPr>
    <w:r>
      <w:rPr>
        <w:noProof/>
        <w:lang w:eastAsia="en-IE"/>
      </w:rPr>
      <mc:AlternateContent>
        <mc:Choice Requires="wps">
          <w:drawing>
            <wp:anchor distT="0" distB="0" distL="0" distR="0" simplePos="0" relativeHeight="251658240" behindDoc="0" locked="0" layoutInCell="1" allowOverlap="1" wp14:anchorId="374D144E" wp14:editId="14F9A9FF">
              <wp:simplePos x="635" y="635"/>
              <wp:positionH relativeFrom="page">
                <wp:align>left</wp:align>
              </wp:positionH>
              <wp:positionV relativeFrom="page">
                <wp:align>bottom</wp:align>
              </wp:positionV>
              <wp:extent cx="443865" cy="443865"/>
              <wp:effectExtent l="0" t="0" r="10160"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D23B9" w14:textId="65D035D0" w:rsidR="007E2B37" w:rsidRPr="007E2B37" w:rsidRDefault="007E2B37" w:rsidP="007E2B37">
                          <w:pPr>
                            <w:spacing w:after="0"/>
                            <w:rPr>
                              <w:rFonts w:ascii="Calibri" w:eastAsia="Calibri" w:hAnsi="Calibri" w:cs="Calibri"/>
                              <w:noProof/>
                              <w:color w:val="FF0000"/>
                              <w:sz w:val="20"/>
                              <w:szCs w:val="20"/>
                            </w:rPr>
                          </w:pPr>
                          <w:r w:rsidRPr="007E2B37">
                            <w:rPr>
                              <w:rFonts w:ascii="Calibri" w:eastAsia="Calibri" w:hAnsi="Calibri" w:cs="Calibri"/>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4D144E" id="_x0000_t202" coordsize="21600,21600" o:spt="202" path="m,l,21600r21600,l21600,xe">
              <v:stroke joinstyle="miter"/>
              <v:path gradientshapeok="t" o:connecttype="rect"/>
            </v:shapetype>
            <v:shape id="Text Box 1" o:spid="_x0000_s1028" type="#_x0000_t202" alt="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27D23B9" w14:textId="65D035D0" w:rsidR="007E2B37" w:rsidRPr="007E2B37" w:rsidRDefault="007E2B37" w:rsidP="007E2B37">
                    <w:pPr>
                      <w:spacing w:after="0"/>
                      <w:rPr>
                        <w:rFonts w:ascii="Calibri" w:eastAsia="Calibri" w:hAnsi="Calibri" w:cs="Calibri"/>
                        <w:noProof/>
                        <w:color w:val="FF0000"/>
                        <w:sz w:val="20"/>
                        <w:szCs w:val="20"/>
                      </w:rPr>
                    </w:pPr>
                    <w:r w:rsidRPr="007E2B37">
                      <w:rPr>
                        <w:rFonts w:ascii="Calibri" w:eastAsia="Calibri" w:hAnsi="Calibri" w:cs="Calibri"/>
                        <w:noProof/>
                        <w:color w:val="FF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D7B2" w14:textId="77777777" w:rsidR="00595B01" w:rsidRDefault="00595B01" w:rsidP="009B6CBF">
      <w:pPr>
        <w:spacing w:after="0" w:line="240" w:lineRule="auto"/>
      </w:pPr>
      <w:r>
        <w:separator/>
      </w:r>
    </w:p>
  </w:footnote>
  <w:footnote w:type="continuationSeparator" w:id="0">
    <w:p w14:paraId="054A86C7" w14:textId="77777777" w:rsidR="00595B01" w:rsidRDefault="00595B01" w:rsidP="009B6CBF">
      <w:pPr>
        <w:spacing w:after="0" w:line="240" w:lineRule="auto"/>
      </w:pPr>
      <w:r>
        <w:continuationSeparator/>
      </w:r>
    </w:p>
  </w:footnote>
  <w:footnote w:id="1">
    <w:p w14:paraId="0F6A689B" w14:textId="2AE8B52A" w:rsidR="00584673" w:rsidRPr="00BF3B7E" w:rsidRDefault="00584673" w:rsidP="00584673">
      <w:pPr>
        <w:pStyle w:val="FootnoteText"/>
        <w:rPr>
          <w:sz w:val="16"/>
          <w:szCs w:val="16"/>
        </w:rPr>
      </w:pPr>
      <w:r w:rsidRPr="00BF3B7E">
        <w:rPr>
          <w:rStyle w:val="FootnoteReference"/>
          <w:sz w:val="16"/>
          <w:szCs w:val="16"/>
        </w:rPr>
        <w:footnoteRef/>
      </w:r>
      <w:r>
        <w:t xml:space="preserve"> </w:t>
      </w:r>
      <w:r w:rsidRPr="00BF3B7E">
        <w:rPr>
          <w:sz w:val="16"/>
          <w:szCs w:val="16"/>
        </w:rPr>
        <w:t xml:space="preserve">Cost Income </w:t>
      </w:r>
      <w:r w:rsidR="004D49E4">
        <w:rPr>
          <w:sz w:val="16"/>
          <w:szCs w:val="16"/>
        </w:rPr>
        <w:t>R</w:t>
      </w:r>
      <w:r w:rsidRPr="00BF3B7E">
        <w:rPr>
          <w:sz w:val="16"/>
          <w:szCs w:val="16"/>
        </w:rPr>
        <w:t>atio is calculated as Operating Expenses (excl. Regulatory Charges/Fees and Exceptional Items) divided by Total</w:t>
      </w:r>
      <w:r w:rsidR="00F53480">
        <w:rPr>
          <w:sz w:val="16"/>
          <w:szCs w:val="16"/>
        </w:rPr>
        <w:t xml:space="preserve"> Operating</w:t>
      </w:r>
      <w:r w:rsidRPr="00BF3B7E">
        <w:rPr>
          <w:sz w:val="16"/>
          <w:szCs w:val="16"/>
        </w:rPr>
        <w:t xml:space="preserve"> Income</w:t>
      </w:r>
    </w:p>
  </w:footnote>
  <w:footnote w:id="2">
    <w:p w14:paraId="40473575" w14:textId="5252D952" w:rsidR="00B74CE1" w:rsidRDefault="00B74CE1">
      <w:pPr>
        <w:pStyle w:val="FootnoteText"/>
      </w:pPr>
      <w:r w:rsidRPr="00B74CE1">
        <w:rPr>
          <w:rStyle w:val="FootnoteReference"/>
          <w:sz w:val="16"/>
          <w:szCs w:val="16"/>
        </w:rPr>
        <w:footnoteRef/>
      </w:r>
      <w:r w:rsidRPr="00B74CE1">
        <w:rPr>
          <w:rStyle w:val="FootnoteReference"/>
          <w:sz w:val="16"/>
          <w:szCs w:val="16"/>
        </w:rPr>
        <w:t xml:space="preserve"> </w:t>
      </w:r>
      <w:r w:rsidRPr="00B74CE1">
        <w:rPr>
          <w:sz w:val="16"/>
          <w:szCs w:val="16"/>
        </w:rPr>
        <w:t>Pro forma CET1 ratio includes c. 35bps impact from the ‘Glas III’ N</w:t>
      </w:r>
      <w:r w:rsidR="004D49E4">
        <w:rPr>
          <w:sz w:val="16"/>
          <w:szCs w:val="16"/>
        </w:rPr>
        <w:t>on-Performing Loans</w:t>
      </w:r>
      <w:r w:rsidRPr="00B74CE1">
        <w:rPr>
          <w:sz w:val="16"/>
          <w:szCs w:val="16"/>
        </w:rPr>
        <w:t xml:space="preserve"> transaction</w:t>
      </w:r>
    </w:p>
  </w:footnote>
  <w:footnote w:id="3">
    <w:p w14:paraId="708C0517" w14:textId="6FC68EE8" w:rsidR="00B70415" w:rsidRDefault="00B70415">
      <w:pPr>
        <w:pStyle w:val="FootnoteText"/>
      </w:pPr>
      <w:r w:rsidRPr="00F719E9">
        <w:rPr>
          <w:rStyle w:val="FootnoteReference"/>
          <w:sz w:val="16"/>
          <w:szCs w:val="16"/>
        </w:rPr>
        <w:footnoteRef/>
      </w:r>
      <w:r>
        <w:t xml:space="preserve"> </w:t>
      </w:r>
      <w:r w:rsidRPr="00B70415">
        <w:rPr>
          <w:sz w:val="16"/>
          <w:szCs w:val="16"/>
        </w:rPr>
        <w:t>Excludes the impact of Glas III transaction</w:t>
      </w:r>
    </w:p>
  </w:footnote>
  <w:footnote w:id="4">
    <w:p w14:paraId="3C8B2E2E" w14:textId="3298B96C" w:rsidR="00191E4C" w:rsidRDefault="00191E4C">
      <w:pPr>
        <w:pStyle w:val="FootnoteText"/>
      </w:pPr>
      <w:r w:rsidRPr="00F719E9">
        <w:rPr>
          <w:rStyle w:val="FootnoteReference"/>
          <w:sz w:val="16"/>
          <w:szCs w:val="16"/>
        </w:rPr>
        <w:footnoteRef/>
      </w:r>
      <w:r w:rsidRPr="00BF3B7E">
        <w:rPr>
          <w:sz w:val="16"/>
          <w:szCs w:val="16"/>
        </w:rPr>
        <w:t xml:space="preserve"> Based on BPFI data </w:t>
      </w:r>
      <w:r w:rsidRPr="00191E4C">
        <w:rPr>
          <w:sz w:val="16"/>
          <w:szCs w:val="16"/>
        </w:rPr>
        <w:t>in</w:t>
      </w:r>
      <w:r w:rsidRPr="00BF3B7E">
        <w:rPr>
          <w:sz w:val="16"/>
          <w:szCs w:val="16"/>
        </w:rPr>
        <w:t xml:space="preserve"> </w:t>
      </w:r>
      <w:r w:rsidR="00747ED0">
        <w:rPr>
          <w:sz w:val="16"/>
          <w:szCs w:val="16"/>
        </w:rPr>
        <w:t>June</w:t>
      </w:r>
      <w:r w:rsidRPr="00BF3B7E">
        <w:rPr>
          <w:sz w:val="16"/>
          <w:szCs w:val="16"/>
        </w:rPr>
        <w:t xml:space="preserve"> 2024</w:t>
      </w:r>
    </w:p>
  </w:footnote>
  <w:footnote w:id="5">
    <w:p w14:paraId="12B33D5A" w14:textId="77777777" w:rsidR="00C97778" w:rsidRPr="00247296" w:rsidRDefault="00C97778" w:rsidP="00C97778">
      <w:pPr>
        <w:pStyle w:val="FootnoteText"/>
        <w:rPr>
          <w:rFonts w:ascii="Franklin Gothic Book" w:hAnsi="Franklin Gothic Book" w:cs="Franklin Gothic Book"/>
          <w:sz w:val="16"/>
          <w:szCs w:val="16"/>
        </w:rPr>
      </w:pPr>
      <w:r w:rsidRPr="00F719E9">
        <w:rPr>
          <w:rStyle w:val="FootnoteReference"/>
          <w:sz w:val="16"/>
          <w:szCs w:val="16"/>
        </w:rPr>
        <w:footnoteRef/>
      </w:r>
      <w:r w:rsidRPr="00310CA0">
        <w:rPr>
          <w:rStyle w:val="FootnoteReference"/>
        </w:rPr>
        <w:t xml:space="preserve"> </w:t>
      </w:r>
      <w:r w:rsidRPr="00FF1508">
        <w:rPr>
          <w:sz w:val="16"/>
          <w:szCs w:val="16"/>
        </w:rPr>
        <w:t>Interest bearing deposits refer to Notice, Term and Corporate Deposits with the remainder classified as non-interest bearing</w:t>
      </w:r>
    </w:p>
  </w:footnote>
  <w:footnote w:id="6">
    <w:p w14:paraId="6A340860" w14:textId="1928316A" w:rsidR="00591AE4" w:rsidRDefault="00591AE4">
      <w:pPr>
        <w:pStyle w:val="FootnoteText"/>
      </w:pPr>
      <w:r w:rsidRPr="00591AE4">
        <w:rPr>
          <w:rStyle w:val="FootnoteReference"/>
          <w:sz w:val="16"/>
          <w:szCs w:val="16"/>
        </w:rPr>
        <w:footnoteRef/>
      </w:r>
      <w:r w:rsidRPr="00591AE4">
        <w:rPr>
          <w:rStyle w:val="FootnoteReference"/>
          <w:sz w:val="16"/>
          <w:szCs w:val="16"/>
        </w:rPr>
        <w:t xml:space="preserve"> </w:t>
      </w:r>
      <w:r w:rsidR="008B7E8B">
        <w:rPr>
          <w:sz w:val="16"/>
          <w:szCs w:val="16"/>
        </w:rPr>
        <w:t xml:space="preserve">Source: </w:t>
      </w:r>
      <w:r w:rsidRPr="00591AE4">
        <w:rPr>
          <w:sz w:val="16"/>
          <w:szCs w:val="16"/>
        </w:rPr>
        <w:t>Goodbody</w:t>
      </w:r>
    </w:p>
  </w:footnote>
  <w:footnote w:id="7">
    <w:p w14:paraId="0942BA70" w14:textId="55A6021A" w:rsidR="00B637CB" w:rsidRPr="00FF17AA" w:rsidRDefault="00111026" w:rsidP="00B637CB">
      <w:pPr>
        <w:pStyle w:val="FootnoteText"/>
        <w:rPr>
          <w:b/>
          <w:bCs/>
          <w:i/>
          <w:iCs/>
        </w:rPr>
      </w:pPr>
      <w:r w:rsidRPr="00310CA0">
        <w:rPr>
          <w:rStyle w:val="FootnoteReference"/>
          <w:sz w:val="16"/>
          <w:szCs w:val="16"/>
        </w:rPr>
        <w:footnoteRef/>
      </w:r>
      <w:r w:rsidR="00B637CB" w:rsidRPr="00111026">
        <w:rPr>
          <w:sz w:val="16"/>
          <w:szCs w:val="16"/>
        </w:rPr>
        <w:t xml:space="preserve"> Based on Q1’24 EBA Risk Dashboard</w:t>
      </w:r>
    </w:p>
  </w:footnote>
  <w:footnote w:id="8">
    <w:p w14:paraId="3990A5E0" w14:textId="77777777" w:rsidR="00BD3623" w:rsidRDefault="00BD3623" w:rsidP="00BD3623">
      <w:pPr>
        <w:pStyle w:val="FootnoteText"/>
      </w:pPr>
      <w:r w:rsidRPr="007F0691">
        <w:rPr>
          <w:rStyle w:val="FootnoteReference"/>
          <w:sz w:val="16"/>
          <w:szCs w:val="16"/>
        </w:rPr>
        <w:footnoteRef/>
      </w:r>
      <w:r>
        <w:t xml:space="preserve"> </w:t>
      </w:r>
      <w:r w:rsidRPr="006A0B86">
        <w:rPr>
          <w:sz w:val="16"/>
        </w:rPr>
        <w:t>Regulatory requirements for both CET1 and Total Capital excludes P2G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286766"/>
    <w:multiLevelType w:val="hybridMultilevel"/>
    <w:tmpl w:val="8F77E8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84257"/>
    <w:multiLevelType w:val="hybridMultilevel"/>
    <w:tmpl w:val="EA00A5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FB5195"/>
    <w:multiLevelType w:val="hybridMultilevel"/>
    <w:tmpl w:val="FBA23C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8624E1"/>
    <w:multiLevelType w:val="hybridMultilevel"/>
    <w:tmpl w:val="0DE0B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7065EA"/>
    <w:multiLevelType w:val="hybridMultilevel"/>
    <w:tmpl w:val="0D329556"/>
    <w:lvl w:ilvl="0" w:tplc="FBA44A78">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F24676E"/>
    <w:multiLevelType w:val="multilevel"/>
    <w:tmpl w:val="71F644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02722A4"/>
    <w:multiLevelType w:val="hybridMultilevel"/>
    <w:tmpl w:val="846464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35A7374"/>
    <w:multiLevelType w:val="hybridMultilevel"/>
    <w:tmpl w:val="A31E67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9276B9A"/>
    <w:multiLevelType w:val="hybridMultilevel"/>
    <w:tmpl w:val="EF46EA3A"/>
    <w:lvl w:ilvl="0" w:tplc="18090001">
      <w:start w:val="1"/>
      <w:numFmt w:val="bullet"/>
      <w:lvlText w:val=""/>
      <w:lvlJc w:val="left"/>
      <w:pPr>
        <w:ind w:left="363" w:hanging="360"/>
      </w:pPr>
      <w:rPr>
        <w:rFonts w:ascii="Symbol" w:hAnsi="Symbol" w:hint="default"/>
      </w:rPr>
    </w:lvl>
    <w:lvl w:ilvl="1" w:tplc="18090003">
      <w:start w:val="1"/>
      <w:numFmt w:val="bullet"/>
      <w:lvlText w:val="o"/>
      <w:lvlJc w:val="left"/>
      <w:pPr>
        <w:ind w:left="1083" w:hanging="360"/>
      </w:pPr>
      <w:rPr>
        <w:rFonts w:ascii="Courier New" w:hAnsi="Courier New" w:cs="Courier New" w:hint="default"/>
      </w:rPr>
    </w:lvl>
    <w:lvl w:ilvl="2" w:tplc="18090005" w:tentative="1">
      <w:start w:val="1"/>
      <w:numFmt w:val="bullet"/>
      <w:lvlText w:val=""/>
      <w:lvlJc w:val="left"/>
      <w:pPr>
        <w:ind w:left="1803" w:hanging="360"/>
      </w:pPr>
      <w:rPr>
        <w:rFonts w:ascii="Wingdings" w:hAnsi="Wingdings" w:hint="default"/>
      </w:rPr>
    </w:lvl>
    <w:lvl w:ilvl="3" w:tplc="18090001" w:tentative="1">
      <w:start w:val="1"/>
      <w:numFmt w:val="bullet"/>
      <w:lvlText w:val=""/>
      <w:lvlJc w:val="left"/>
      <w:pPr>
        <w:ind w:left="2523" w:hanging="360"/>
      </w:pPr>
      <w:rPr>
        <w:rFonts w:ascii="Symbol" w:hAnsi="Symbol" w:hint="default"/>
      </w:rPr>
    </w:lvl>
    <w:lvl w:ilvl="4" w:tplc="18090003" w:tentative="1">
      <w:start w:val="1"/>
      <w:numFmt w:val="bullet"/>
      <w:lvlText w:val="o"/>
      <w:lvlJc w:val="left"/>
      <w:pPr>
        <w:ind w:left="3243" w:hanging="360"/>
      </w:pPr>
      <w:rPr>
        <w:rFonts w:ascii="Courier New" w:hAnsi="Courier New" w:cs="Courier New" w:hint="default"/>
      </w:rPr>
    </w:lvl>
    <w:lvl w:ilvl="5" w:tplc="18090005" w:tentative="1">
      <w:start w:val="1"/>
      <w:numFmt w:val="bullet"/>
      <w:lvlText w:val=""/>
      <w:lvlJc w:val="left"/>
      <w:pPr>
        <w:ind w:left="3963" w:hanging="360"/>
      </w:pPr>
      <w:rPr>
        <w:rFonts w:ascii="Wingdings" w:hAnsi="Wingdings" w:hint="default"/>
      </w:rPr>
    </w:lvl>
    <w:lvl w:ilvl="6" w:tplc="18090001" w:tentative="1">
      <w:start w:val="1"/>
      <w:numFmt w:val="bullet"/>
      <w:lvlText w:val=""/>
      <w:lvlJc w:val="left"/>
      <w:pPr>
        <w:ind w:left="4683" w:hanging="360"/>
      </w:pPr>
      <w:rPr>
        <w:rFonts w:ascii="Symbol" w:hAnsi="Symbol" w:hint="default"/>
      </w:rPr>
    </w:lvl>
    <w:lvl w:ilvl="7" w:tplc="18090003" w:tentative="1">
      <w:start w:val="1"/>
      <w:numFmt w:val="bullet"/>
      <w:lvlText w:val="o"/>
      <w:lvlJc w:val="left"/>
      <w:pPr>
        <w:ind w:left="5403" w:hanging="360"/>
      </w:pPr>
      <w:rPr>
        <w:rFonts w:ascii="Courier New" w:hAnsi="Courier New" w:cs="Courier New" w:hint="default"/>
      </w:rPr>
    </w:lvl>
    <w:lvl w:ilvl="8" w:tplc="18090005" w:tentative="1">
      <w:start w:val="1"/>
      <w:numFmt w:val="bullet"/>
      <w:lvlText w:val=""/>
      <w:lvlJc w:val="left"/>
      <w:pPr>
        <w:ind w:left="6123" w:hanging="360"/>
      </w:pPr>
      <w:rPr>
        <w:rFonts w:ascii="Wingdings" w:hAnsi="Wingdings" w:hint="default"/>
      </w:rPr>
    </w:lvl>
  </w:abstractNum>
  <w:abstractNum w:abstractNumId="9" w15:restartNumberingAfterBreak="0">
    <w:nsid w:val="2CDA5B01"/>
    <w:multiLevelType w:val="hybridMultilevel"/>
    <w:tmpl w:val="7584E7A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5BD6222"/>
    <w:multiLevelType w:val="hybridMultilevel"/>
    <w:tmpl w:val="DA6298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B35C78"/>
    <w:multiLevelType w:val="hybridMultilevel"/>
    <w:tmpl w:val="83200A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7E6CBB"/>
    <w:multiLevelType w:val="hybridMultilevel"/>
    <w:tmpl w:val="2D2A1016"/>
    <w:lvl w:ilvl="0" w:tplc="18090001">
      <w:start w:val="1"/>
      <w:numFmt w:val="bullet"/>
      <w:lvlText w:val=""/>
      <w:lvlJc w:val="left"/>
      <w:pPr>
        <w:ind w:left="363"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3F7135"/>
    <w:multiLevelType w:val="hybridMultilevel"/>
    <w:tmpl w:val="799CF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EDC5E2A"/>
    <w:multiLevelType w:val="hybridMultilevel"/>
    <w:tmpl w:val="864236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062767"/>
    <w:multiLevelType w:val="hybridMultilevel"/>
    <w:tmpl w:val="B53E9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2866D58"/>
    <w:multiLevelType w:val="hybridMultilevel"/>
    <w:tmpl w:val="11A2D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3B26D21"/>
    <w:multiLevelType w:val="hybridMultilevel"/>
    <w:tmpl w:val="A9E2B0E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3E8757A"/>
    <w:multiLevelType w:val="hybridMultilevel"/>
    <w:tmpl w:val="7AD8442E"/>
    <w:lvl w:ilvl="0" w:tplc="18090001">
      <w:start w:val="1"/>
      <w:numFmt w:val="bullet"/>
      <w:lvlText w:val=""/>
      <w:lvlJc w:val="left"/>
      <w:pPr>
        <w:ind w:left="360" w:hanging="360"/>
      </w:pPr>
      <w:rPr>
        <w:rFonts w:ascii="Symbol" w:hAnsi="Symbol" w:hint="default"/>
      </w:rPr>
    </w:lvl>
    <w:lvl w:ilvl="1" w:tplc="07407C34">
      <w:numFmt w:val="bullet"/>
      <w:lvlText w:val="·"/>
      <w:lvlJc w:val="left"/>
      <w:pPr>
        <w:ind w:left="1080" w:hanging="360"/>
      </w:pPr>
      <w:rPr>
        <w:rFonts w:ascii="Calibri" w:eastAsiaTheme="minorHAnsi" w:hAnsi="Calibri" w:cstheme="minorBid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6A516A33"/>
    <w:multiLevelType w:val="hybridMultilevel"/>
    <w:tmpl w:val="FE3E1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C73B2EE"/>
    <w:multiLevelType w:val="hybridMultilevel"/>
    <w:tmpl w:val="B18C49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B10802"/>
    <w:multiLevelType w:val="hybridMultilevel"/>
    <w:tmpl w:val="769CB2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EB705BC"/>
    <w:multiLevelType w:val="hybridMultilevel"/>
    <w:tmpl w:val="52ACE4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82781408">
    <w:abstractNumId w:val="8"/>
  </w:num>
  <w:num w:numId="2" w16cid:durableId="117451460">
    <w:abstractNumId w:val="16"/>
  </w:num>
  <w:num w:numId="3" w16cid:durableId="514610416">
    <w:abstractNumId w:val="10"/>
  </w:num>
  <w:num w:numId="4" w16cid:durableId="1021056479">
    <w:abstractNumId w:val="7"/>
  </w:num>
  <w:num w:numId="5" w16cid:durableId="385841346">
    <w:abstractNumId w:val="14"/>
  </w:num>
  <w:num w:numId="6" w16cid:durableId="611478772">
    <w:abstractNumId w:val="1"/>
  </w:num>
  <w:num w:numId="7" w16cid:durableId="613367859">
    <w:abstractNumId w:val="22"/>
  </w:num>
  <w:num w:numId="8" w16cid:durableId="1023556212">
    <w:abstractNumId w:val="19"/>
  </w:num>
  <w:num w:numId="9" w16cid:durableId="150558456">
    <w:abstractNumId w:val="4"/>
  </w:num>
  <w:num w:numId="10" w16cid:durableId="2118672387">
    <w:abstractNumId w:val="21"/>
  </w:num>
  <w:num w:numId="11" w16cid:durableId="644506844">
    <w:abstractNumId w:val="12"/>
  </w:num>
  <w:num w:numId="12" w16cid:durableId="776945467">
    <w:abstractNumId w:val="9"/>
  </w:num>
  <w:num w:numId="13" w16cid:durableId="1840582387">
    <w:abstractNumId w:val="17"/>
  </w:num>
  <w:num w:numId="14" w16cid:durableId="1144277865">
    <w:abstractNumId w:val="6"/>
  </w:num>
  <w:num w:numId="15" w16cid:durableId="340399354">
    <w:abstractNumId w:val="18"/>
  </w:num>
  <w:num w:numId="16" w16cid:durableId="750271728">
    <w:abstractNumId w:val="5"/>
  </w:num>
  <w:num w:numId="17" w16cid:durableId="896016900">
    <w:abstractNumId w:val="13"/>
  </w:num>
  <w:num w:numId="18" w16cid:durableId="1506550669">
    <w:abstractNumId w:val="3"/>
  </w:num>
  <w:num w:numId="19" w16cid:durableId="1442915930">
    <w:abstractNumId w:val="11"/>
  </w:num>
  <w:num w:numId="20" w16cid:durableId="1282960190">
    <w:abstractNumId w:val="15"/>
  </w:num>
  <w:num w:numId="21" w16cid:durableId="1358892616">
    <w:abstractNumId w:val="2"/>
  </w:num>
  <w:num w:numId="22" w16cid:durableId="2104759435">
    <w:abstractNumId w:val="20"/>
  </w:num>
  <w:num w:numId="23" w16cid:durableId="35370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04D"/>
    <w:rsid w:val="000027FD"/>
    <w:rsid w:val="00006600"/>
    <w:rsid w:val="0000733F"/>
    <w:rsid w:val="00010A5D"/>
    <w:rsid w:val="000113C4"/>
    <w:rsid w:val="000117AC"/>
    <w:rsid w:val="000127DA"/>
    <w:rsid w:val="00014A2C"/>
    <w:rsid w:val="00016127"/>
    <w:rsid w:val="00016DE5"/>
    <w:rsid w:val="0002321C"/>
    <w:rsid w:val="000239D6"/>
    <w:rsid w:val="00024C81"/>
    <w:rsid w:val="00027889"/>
    <w:rsid w:val="00032CB1"/>
    <w:rsid w:val="00033389"/>
    <w:rsid w:val="0003345A"/>
    <w:rsid w:val="00041440"/>
    <w:rsid w:val="00041F1F"/>
    <w:rsid w:val="000443DF"/>
    <w:rsid w:val="00050150"/>
    <w:rsid w:val="00052845"/>
    <w:rsid w:val="00065CD3"/>
    <w:rsid w:val="00065D1F"/>
    <w:rsid w:val="000719F9"/>
    <w:rsid w:val="00071F13"/>
    <w:rsid w:val="0007498C"/>
    <w:rsid w:val="00075E8C"/>
    <w:rsid w:val="0008740A"/>
    <w:rsid w:val="00094A54"/>
    <w:rsid w:val="000A059B"/>
    <w:rsid w:val="000A2AE6"/>
    <w:rsid w:val="000A3096"/>
    <w:rsid w:val="000A36B5"/>
    <w:rsid w:val="000A4823"/>
    <w:rsid w:val="000A51FA"/>
    <w:rsid w:val="000A58C4"/>
    <w:rsid w:val="000A615C"/>
    <w:rsid w:val="000A707C"/>
    <w:rsid w:val="000B0C5B"/>
    <w:rsid w:val="000B1EED"/>
    <w:rsid w:val="000B3515"/>
    <w:rsid w:val="000B40B9"/>
    <w:rsid w:val="000B616F"/>
    <w:rsid w:val="000B6268"/>
    <w:rsid w:val="000C182E"/>
    <w:rsid w:val="000C402B"/>
    <w:rsid w:val="000C56E0"/>
    <w:rsid w:val="000D0D62"/>
    <w:rsid w:val="000D5288"/>
    <w:rsid w:val="000E428D"/>
    <w:rsid w:val="000E6051"/>
    <w:rsid w:val="000F0F9B"/>
    <w:rsid w:val="000F3D83"/>
    <w:rsid w:val="000F45F3"/>
    <w:rsid w:val="000F5DB1"/>
    <w:rsid w:val="00101E7A"/>
    <w:rsid w:val="001020C8"/>
    <w:rsid w:val="0010411A"/>
    <w:rsid w:val="00111026"/>
    <w:rsid w:val="00116242"/>
    <w:rsid w:val="0011672E"/>
    <w:rsid w:val="00117A15"/>
    <w:rsid w:val="00120C22"/>
    <w:rsid w:val="00125C9E"/>
    <w:rsid w:val="00131447"/>
    <w:rsid w:val="001327D3"/>
    <w:rsid w:val="0014292A"/>
    <w:rsid w:val="00142CCB"/>
    <w:rsid w:val="00144B40"/>
    <w:rsid w:val="00145DDD"/>
    <w:rsid w:val="00170CEC"/>
    <w:rsid w:val="0017358B"/>
    <w:rsid w:val="001777E8"/>
    <w:rsid w:val="0018020B"/>
    <w:rsid w:val="00182993"/>
    <w:rsid w:val="00184B07"/>
    <w:rsid w:val="00184B36"/>
    <w:rsid w:val="001859FA"/>
    <w:rsid w:val="0019040A"/>
    <w:rsid w:val="001918FA"/>
    <w:rsid w:val="00191E4C"/>
    <w:rsid w:val="0019587B"/>
    <w:rsid w:val="001A2EAB"/>
    <w:rsid w:val="001A5A30"/>
    <w:rsid w:val="001A6A65"/>
    <w:rsid w:val="001A7927"/>
    <w:rsid w:val="001B3ED6"/>
    <w:rsid w:val="001B52E5"/>
    <w:rsid w:val="001D0331"/>
    <w:rsid w:val="001D4537"/>
    <w:rsid w:val="001D7415"/>
    <w:rsid w:val="001E0C88"/>
    <w:rsid w:val="001E2638"/>
    <w:rsid w:val="001E6950"/>
    <w:rsid w:val="001F3B82"/>
    <w:rsid w:val="001F6DEE"/>
    <w:rsid w:val="0020022D"/>
    <w:rsid w:val="00200B14"/>
    <w:rsid w:val="00207AB1"/>
    <w:rsid w:val="002103A4"/>
    <w:rsid w:val="002145BE"/>
    <w:rsid w:val="00214F9B"/>
    <w:rsid w:val="00215600"/>
    <w:rsid w:val="002170DA"/>
    <w:rsid w:val="0021728E"/>
    <w:rsid w:val="0022144C"/>
    <w:rsid w:val="0022351B"/>
    <w:rsid w:val="00231D1F"/>
    <w:rsid w:val="002326EF"/>
    <w:rsid w:val="00232E05"/>
    <w:rsid w:val="00243FF9"/>
    <w:rsid w:val="00246F00"/>
    <w:rsid w:val="00247296"/>
    <w:rsid w:val="00253C8F"/>
    <w:rsid w:val="002558ED"/>
    <w:rsid w:val="00257332"/>
    <w:rsid w:val="00267E10"/>
    <w:rsid w:val="0027004F"/>
    <w:rsid w:val="002712C2"/>
    <w:rsid w:val="0027274C"/>
    <w:rsid w:val="00275852"/>
    <w:rsid w:val="00275A60"/>
    <w:rsid w:val="0028004A"/>
    <w:rsid w:val="00281C68"/>
    <w:rsid w:val="00282889"/>
    <w:rsid w:val="00285273"/>
    <w:rsid w:val="00292412"/>
    <w:rsid w:val="002A0909"/>
    <w:rsid w:val="002A24A7"/>
    <w:rsid w:val="002A313C"/>
    <w:rsid w:val="002A690F"/>
    <w:rsid w:val="002A75A1"/>
    <w:rsid w:val="002B235A"/>
    <w:rsid w:val="002B272B"/>
    <w:rsid w:val="002B30BC"/>
    <w:rsid w:val="002B41A5"/>
    <w:rsid w:val="002B4F53"/>
    <w:rsid w:val="002B6157"/>
    <w:rsid w:val="002B63ED"/>
    <w:rsid w:val="002B7B5F"/>
    <w:rsid w:val="002C0892"/>
    <w:rsid w:val="002C7305"/>
    <w:rsid w:val="002D0B9E"/>
    <w:rsid w:val="002D118F"/>
    <w:rsid w:val="002E2041"/>
    <w:rsid w:val="002E6764"/>
    <w:rsid w:val="002F76EE"/>
    <w:rsid w:val="003022D0"/>
    <w:rsid w:val="00302DDA"/>
    <w:rsid w:val="003042FF"/>
    <w:rsid w:val="00304F90"/>
    <w:rsid w:val="0030620A"/>
    <w:rsid w:val="00310CA0"/>
    <w:rsid w:val="00314068"/>
    <w:rsid w:val="00323D6F"/>
    <w:rsid w:val="00325635"/>
    <w:rsid w:val="0032699F"/>
    <w:rsid w:val="00327CCE"/>
    <w:rsid w:val="00330F10"/>
    <w:rsid w:val="003334CE"/>
    <w:rsid w:val="00335D5D"/>
    <w:rsid w:val="00336AC6"/>
    <w:rsid w:val="00343214"/>
    <w:rsid w:val="00347F10"/>
    <w:rsid w:val="00350563"/>
    <w:rsid w:val="0036377B"/>
    <w:rsid w:val="00364EC7"/>
    <w:rsid w:val="003650B8"/>
    <w:rsid w:val="0037160B"/>
    <w:rsid w:val="0037284C"/>
    <w:rsid w:val="00374E98"/>
    <w:rsid w:val="0037635A"/>
    <w:rsid w:val="00376A8F"/>
    <w:rsid w:val="003806BD"/>
    <w:rsid w:val="00381CFE"/>
    <w:rsid w:val="00384FD8"/>
    <w:rsid w:val="0039119D"/>
    <w:rsid w:val="00393824"/>
    <w:rsid w:val="003941B9"/>
    <w:rsid w:val="003979CF"/>
    <w:rsid w:val="003A0D0F"/>
    <w:rsid w:val="003A1353"/>
    <w:rsid w:val="003A28B0"/>
    <w:rsid w:val="003A6420"/>
    <w:rsid w:val="003B11FC"/>
    <w:rsid w:val="003B1881"/>
    <w:rsid w:val="003B253E"/>
    <w:rsid w:val="003B79B4"/>
    <w:rsid w:val="003C594C"/>
    <w:rsid w:val="003C59FC"/>
    <w:rsid w:val="003C5E5D"/>
    <w:rsid w:val="003C6CB0"/>
    <w:rsid w:val="003D015E"/>
    <w:rsid w:val="003E1D14"/>
    <w:rsid w:val="003E2149"/>
    <w:rsid w:val="003E5929"/>
    <w:rsid w:val="003E67F0"/>
    <w:rsid w:val="003E6ACA"/>
    <w:rsid w:val="003E7EBF"/>
    <w:rsid w:val="003F02A5"/>
    <w:rsid w:val="003F1522"/>
    <w:rsid w:val="003F56F7"/>
    <w:rsid w:val="003F59EA"/>
    <w:rsid w:val="004028BD"/>
    <w:rsid w:val="00403861"/>
    <w:rsid w:val="00403C7C"/>
    <w:rsid w:val="00404265"/>
    <w:rsid w:val="00405451"/>
    <w:rsid w:val="004065C8"/>
    <w:rsid w:val="00413007"/>
    <w:rsid w:val="004132C7"/>
    <w:rsid w:val="004145B9"/>
    <w:rsid w:val="00416746"/>
    <w:rsid w:val="00417127"/>
    <w:rsid w:val="004219F3"/>
    <w:rsid w:val="00421FB2"/>
    <w:rsid w:val="004223DE"/>
    <w:rsid w:val="00424013"/>
    <w:rsid w:val="0042639E"/>
    <w:rsid w:val="00430B9B"/>
    <w:rsid w:val="004327EB"/>
    <w:rsid w:val="004349B7"/>
    <w:rsid w:val="00441F22"/>
    <w:rsid w:val="00442BEA"/>
    <w:rsid w:val="004432BD"/>
    <w:rsid w:val="00443392"/>
    <w:rsid w:val="00443A6A"/>
    <w:rsid w:val="004458ED"/>
    <w:rsid w:val="0045028C"/>
    <w:rsid w:val="00455AC8"/>
    <w:rsid w:val="00455B40"/>
    <w:rsid w:val="00455C72"/>
    <w:rsid w:val="00461A3A"/>
    <w:rsid w:val="00461E61"/>
    <w:rsid w:val="004634FB"/>
    <w:rsid w:val="00466B12"/>
    <w:rsid w:val="00467D76"/>
    <w:rsid w:val="00470D21"/>
    <w:rsid w:val="00472B37"/>
    <w:rsid w:val="00473505"/>
    <w:rsid w:val="004747CD"/>
    <w:rsid w:val="004804B9"/>
    <w:rsid w:val="00480C00"/>
    <w:rsid w:val="00481267"/>
    <w:rsid w:val="00483165"/>
    <w:rsid w:val="00483314"/>
    <w:rsid w:val="004840D4"/>
    <w:rsid w:val="00487F91"/>
    <w:rsid w:val="00493F31"/>
    <w:rsid w:val="004950C8"/>
    <w:rsid w:val="0049623D"/>
    <w:rsid w:val="004A1D99"/>
    <w:rsid w:val="004A247B"/>
    <w:rsid w:val="004A3A68"/>
    <w:rsid w:val="004A461A"/>
    <w:rsid w:val="004A4F65"/>
    <w:rsid w:val="004A7434"/>
    <w:rsid w:val="004A7899"/>
    <w:rsid w:val="004B4D6A"/>
    <w:rsid w:val="004B4FFF"/>
    <w:rsid w:val="004B5D2C"/>
    <w:rsid w:val="004C6C55"/>
    <w:rsid w:val="004C6F60"/>
    <w:rsid w:val="004C7402"/>
    <w:rsid w:val="004D092C"/>
    <w:rsid w:val="004D25B2"/>
    <w:rsid w:val="004D35D9"/>
    <w:rsid w:val="004D49E4"/>
    <w:rsid w:val="004D4ABE"/>
    <w:rsid w:val="004D5264"/>
    <w:rsid w:val="004D7373"/>
    <w:rsid w:val="004E5874"/>
    <w:rsid w:val="004E666A"/>
    <w:rsid w:val="00504ECE"/>
    <w:rsid w:val="005067AF"/>
    <w:rsid w:val="00512645"/>
    <w:rsid w:val="00513C3F"/>
    <w:rsid w:val="00514DAB"/>
    <w:rsid w:val="005162FB"/>
    <w:rsid w:val="005166FC"/>
    <w:rsid w:val="00517827"/>
    <w:rsid w:val="005243A0"/>
    <w:rsid w:val="00525577"/>
    <w:rsid w:val="0053798D"/>
    <w:rsid w:val="005406B1"/>
    <w:rsid w:val="00547733"/>
    <w:rsid w:val="005478E2"/>
    <w:rsid w:val="00550491"/>
    <w:rsid w:val="00553A82"/>
    <w:rsid w:val="00554A5B"/>
    <w:rsid w:val="0056409B"/>
    <w:rsid w:val="00574387"/>
    <w:rsid w:val="0057500C"/>
    <w:rsid w:val="0057697C"/>
    <w:rsid w:val="00576A1B"/>
    <w:rsid w:val="005776F6"/>
    <w:rsid w:val="005810B8"/>
    <w:rsid w:val="005829CA"/>
    <w:rsid w:val="00583B9E"/>
    <w:rsid w:val="00584673"/>
    <w:rsid w:val="00587BEA"/>
    <w:rsid w:val="005903D1"/>
    <w:rsid w:val="00591AE4"/>
    <w:rsid w:val="00593772"/>
    <w:rsid w:val="00595B01"/>
    <w:rsid w:val="00597674"/>
    <w:rsid w:val="005A2CD9"/>
    <w:rsid w:val="005A5863"/>
    <w:rsid w:val="005A6DAA"/>
    <w:rsid w:val="005B03FE"/>
    <w:rsid w:val="005B2788"/>
    <w:rsid w:val="005B3694"/>
    <w:rsid w:val="005B4E71"/>
    <w:rsid w:val="005B5D26"/>
    <w:rsid w:val="005B619D"/>
    <w:rsid w:val="005C1B14"/>
    <w:rsid w:val="005C319D"/>
    <w:rsid w:val="005C6432"/>
    <w:rsid w:val="005C7BC1"/>
    <w:rsid w:val="005D1203"/>
    <w:rsid w:val="005D7381"/>
    <w:rsid w:val="005E205C"/>
    <w:rsid w:val="005E62A7"/>
    <w:rsid w:val="005F243A"/>
    <w:rsid w:val="005F2493"/>
    <w:rsid w:val="005F63DB"/>
    <w:rsid w:val="005F7BAD"/>
    <w:rsid w:val="00601F12"/>
    <w:rsid w:val="0060367B"/>
    <w:rsid w:val="00607BE5"/>
    <w:rsid w:val="00610065"/>
    <w:rsid w:val="0061206D"/>
    <w:rsid w:val="00612689"/>
    <w:rsid w:val="00613792"/>
    <w:rsid w:val="00613FFF"/>
    <w:rsid w:val="0061706D"/>
    <w:rsid w:val="006175E7"/>
    <w:rsid w:val="00620786"/>
    <w:rsid w:val="00622656"/>
    <w:rsid w:val="00622930"/>
    <w:rsid w:val="006236E4"/>
    <w:rsid w:val="0062371F"/>
    <w:rsid w:val="00623C28"/>
    <w:rsid w:val="0062541E"/>
    <w:rsid w:val="006258D3"/>
    <w:rsid w:val="006337ED"/>
    <w:rsid w:val="0063552F"/>
    <w:rsid w:val="0063751F"/>
    <w:rsid w:val="00641E5B"/>
    <w:rsid w:val="00643E28"/>
    <w:rsid w:val="0064406D"/>
    <w:rsid w:val="0064677A"/>
    <w:rsid w:val="00647B0B"/>
    <w:rsid w:val="00651C19"/>
    <w:rsid w:val="0065362B"/>
    <w:rsid w:val="00657B15"/>
    <w:rsid w:val="00662AB2"/>
    <w:rsid w:val="00665A48"/>
    <w:rsid w:val="0067562F"/>
    <w:rsid w:val="00680123"/>
    <w:rsid w:val="00680AD8"/>
    <w:rsid w:val="00681DD9"/>
    <w:rsid w:val="00684926"/>
    <w:rsid w:val="00686231"/>
    <w:rsid w:val="006920BE"/>
    <w:rsid w:val="00692C23"/>
    <w:rsid w:val="00693807"/>
    <w:rsid w:val="006A0B86"/>
    <w:rsid w:val="006A13A0"/>
    <w:rsid w:val="006A3357"/>
    <w:rsid w:val="006A345B"/>
    <w:rsid w:val="006B0D72"/>
    <w:rsid w:val="006B3908"/>
    <w:rsid w:val="006B3B32"/>
    <w:rsid w:val="006B6AD5"/>
    <w:rsid w:val="006C0EE1"/>
    <w:rsid w:val="006C18A7"/>
    <w:rsid w:val="006C339A"/>
    <w:rsid w:val="006C4063"/>
    <w:rsid w:val="006C5628"/>
    <w:rsid w:val="006C6806"/>
    <w:rsid w:val="006C6913"/>
    <w:rsid w:val="006C7E04"/>
    <w:rsid w:val="006D3C3C"/>
    <w:rsid w:val="006D487A"/>
    <w:rsid w:val="006D6715"/>
    <w:rsid w:val="006E3A73"/>
    <w:rsid w:val="006E3A83"/>
    <w:rsid w:val="006E5644"/>
    <w:rsid w:val="006F1AEB"/>
    <w:rsid w:val="00700BB9"/>
    <w:rsid w:val="0070110A"/>
    <w:rsid w:val="00703273"/>
    <w:rsid w:val="00704692"/>
    <w:rsid w:val="00704DDA"/>
    <w:rsid w:val="0070538A"/>
    <w:rsid w:val="00707901"/>
    <w:rsid w:val="007102D8"/>
    <w:rsid w:val="007106AA"/>
    <w:rsid w:val="00710F59"/>
    <w:rsid w:val="00712BAB"/>
    <w:rsid w:val="007135BE"/>
    <w:rsid w:val="0071517A"/>
    <w:rsid w:val="00720794"/>
    <w:rsid w:val="007230A3"/>
    <w:rsid w:val="00725C3E"/>
    <w:rsid w:val="00727576"/>
    <w:rsid w:val="00732E38"/>
    <w:rsid w:val="007332E5"/>
    <w:rsid w:val="00744BE4"/>
    <w:rsid w:val="00746541"/>
    <w:rsid w:val="00747821"/>
    <w:rsid w:val="00747E93"/>
    <w:rsid w:val="00747ED0"/>
    <w:rsid w:val="00755059"/>
    <w:rsid w:val="00755E13"/>
    <w:rsid w:val="00760D0D"/>
    <w:rsid w:val="00762B37"/>
    <w:rsid w:val="007656C1"/>
    <w:rsid w:val="007768A9"/>
    <w:rsid w:val="00777923"/>
    <w:rsid w:val="00781492"/>
    <w:rsid w:val="007817E4"/>
    <w:rsid w:val="0078405C"/>
    <w:rsid w:val="00785FDE"/>
    <w:rsid w:val="0079144D"/>
    <w:rsid w:val="0079204D"/>
    <w:rsid w:val="00794B3B"/>
    <w:rsid w:val="0079641E"/>
    <w:rsid w:val="00797FBC"/>
    <w:rsid w:val="007A42A3"/>
    <w:rsid w:val="007B0769"/>
    <w:rsid w:val="007B326C"/>
    <w:rsid w:val="007B3889"/>
    <w:rsid w:val="007B3E51"/>
    <w:rsid w:val="007C4A98"/>
    <w:rsid w:val="007C7343"/>
    <w:rsid w:val="007D0E2F"/>
    <w:rsid w:val="007D2650"/>
    <w:rsid w:val="007D2F5C"/>
    <w:rsid w:val="007D51C3"/>
    <w:rsid w:val="007D58D1"/>
    <w:rsid w:val="007E2B37"/>
    <w:rsid w:val="007E649B"/>
    <w:rsid w:val="007E76E6"/>
    <w:rsid w:val="007F018A"/>
    <w:rsid w:val="007F02E6"/>
    <w:rsid w:val="007F0691"/>
    <w:rsid w:val="007F0DFD"/>
    <w:rsid w:val="007F2CF0"/>
    <w:rsid w:val="007F3664"/>
    <w:rsid w:val="007F4894"/>
    <w:rsid w:val="007F5C91"/>
    <w:rsid w:val="007F5E83"/>
    <w:rsid w:val="007F72F9"/>
    <w:rsid w:val="007F7B67"/>
    <w:rsid w:val="0080048E"/>
    <w:rsid w:val="008121EE"/>
    <w:rsid w:val="00821326"/>
    <w:rsid w:val="0082169A"/>
    <w:rsid w:val="00821876"/>
    <w:rsid w:val="00821A54"/>
    <w:rsid w:val="0082231B"/>
    <w:rsid w:val="008269AF"/>
    <w:rsid w:val="0082778F"/>
    <w:rsid w:val="0083118F"/>
    <w:rsid w:val="008400BA"/>
    <w:rsid w:val="008403D6"/>
    <w:rsid w:val="00840979"/>
    <w:rsid w:val="00841D5B"/>
    <w:rsid w:val="00842D2F"/>
    <w:rsid w:val="00843783"/>
    <w:rsid w:val="0085057B"/>
    <w:rsid w:val="00851D18"/>
    <w:rsid w:val="0085655B"/>
    <w:rsid w:val="00867285"/>
    <w:rsid w:val="00867502"/>
    <w:rsid w:val="00872905"/>
    <w:rsid w:val="0087352C"/>
    <w:rsid w:val="00874D3A"/>
    <w:rsid w:val="00876A14"/>
    <w:rsid w:val="008776F0"/>
    <w:rsid w:val="00881237"/>
    <w:rsid w:val="008821BC"/>
    <w:rsid w:val="008853AF"/>
    <w:rsid w:val="00886391"/>
    <w:rsid w:val="008917C0"/>
    <w:rsid w:val="008A05FE"/>
    <w:rsid w:val="008A1F6F"/>
    <w:rsid w:val="008A3954"/>
    <w:rsid w:val="008A3D8C"/>
    <w:rsid w:val="008A61F8"/>
    <w:rsid w:val="008B0188"/>
    <w:rsid w:val="008B3152"/>
    <w:rsid w:val="008B3D45"/>
    <w:rsid w:val="008B53F0"/>
    <w:rsid w:val="008B6095"/>
    <w:rsid w:val="008B61B6"/>
    <w:rsid w:val="008B7E8B"/>
    <w:rsid w:val="008C55B0"/>
    <w:rsid w:val="008D1D9D"/>
    <w:rsid w:val="008D30E7"/>
    <w:rsid w:val="008D3403"/>
    <w:rsid w:val="008D3B33"/>
    <w:rsid w:val="008D4A76"/>
    <w:rsid w:val="008D7073"/>
    <w:rsid w:val="008E0E89"/>
    <w:rsid w:val="008E6719"/>
    <w:rsid w:val="008F0A0B"/>
    <w:rsid w:val="008F497C"/>
    <w:rsid w:val="008F63F7"/>
    <w:rsid w:val="00902E15"/>
    <w:rsid w:val="00905BC9"/>
    <w:rsid w:val="00907EF9"/>
    <w:rsid w:val="00914185"/>
    <w:rsid w:val="00916232"/>
    <w:rsid w:val="0091777F"/>
    <w:rsid w:val="00926310"/>
    <w:rsid w:val="00926A0F"/>
    <w:rsid w:val="00932ED5"/>
    <w:rsid w:val="0093421F"/>
    <w:rsid w:val="00934BE3"/>
    <w:rsid w:val="0093629C"/>
    <w:rsid w:val="00940315"/>
    <w:rsid w:val="009409B4"/>
    <w:rsid w:val="00940AF4"/>
    <w:rsid w:val="00941CF9"/>
    <w:rsid w:val="00943AAC"/>
    <w:rsid w:val="00943EE9"/>
    <w:rsid w:val="009540BB"/>
    <w:rsid w:val="009568AB"/>
    <w:rsid w:val="0096061F"/>
    <w:rsid w:val="00963E11"/>
    <w:rsid w:val="00965276"/>
    <w:rsid w:val="00966538"/>
    <w:rsid w:val="00966F9C"/>
    <w:rsid w:val="00967F8E"/>
    <w:rsid w:val="00973186"/>
    <w:rsid w:val="009765F7"/>
    <w:rsid w:val="009808DE"/>
    <w:rsid w:val="0098303F"/>
    <w:rsid w:val="009915F3"/>
    <w:rsid w:val="00992D8B"/>
    <w:rsid w:val="009934F7"/>
    <w:rsid w:val="00997BC7"/>
    <w:rsid w:val="009A227A"/>
    <w:rsid w:val="009A36BD"/>
    <w:rsid w:val="009A4131"/>
    <w:rsid w:val="009B6CBF"/>
    <w:rsid w:val="009B7C43"/>
    <w:rsid w:val="009C089C"/>
    <w:rsid w:val="009C0B17"/>
    <w:rsid w:val="009C4EDA"/>
    <w:rsid w:val="009C5E22"/>
    <w:rsid w:val="009C6408"/>
    <w:rsid w:val="009C7250"/>
    <w:rsid w:val="009D029E"/>
    <w:rsid w:val="009D35DE"/>
    <w:rsid w:val="009D4B7C"/>
    <w:rsid w:val="009D58ED"/>
    <w:rsid w:val="009E45DF"/>
    <w:rsid w:val="009E52E8"/>
    <w:rsid w:val="009E6919"/>
    <w:rsid w:val="009F3068"/>
    <w:rsid w:val="009F5839"/>
    <w:rsid w:val="009F5A73"/>
    <w:rsid w:val="00A00B31"/>
    <w:rsid w:val="00A019EA"/>
    <w:rsid w:val="00A12E93"/>
    <w:rsid w:val="00A13558"/>
    <w:rsid w:val="00A1598C"/>
    <w:rsid w:val="00A1653D"/>
    <w:rsid w:val="00A16F04"/>
    <w:rsid w:val="00A178DF"/>
    <w:rsid w:val="00A22B30"/>
    <w:rsid w:val="00A23E75"/>
    <w:rsid w:val="00A260BD"/>
    <w:rsid w:val="00A26551"/>
    <w:rsid w:val="00A32737"/>
    <w:rsid w:val="00A35540"/>
    <w:rsid w:val="00A37DFD"/>
    <w:rsid w:val="00A438FF"/>
    <w:rsid w:val="00A43EE8"/>
    <w:rsid w:val="00A44AF3"/>
    <w:rsid w:val="00A5182B"/>
    <w:rsid w:val="00A52C36"/>
    <w:rsid w:val="00A53907"/>
    <w:rsid w:val="00A57F48"/>
    <w:rsid w:val="00A6487A"/>
    <w:rsid w:val="00A739C8"/>
    <w:rsid w:val="00A761EB"/>
    <w:rsid w:val="00A773D7"/>
    <w:rsid w:val="00A80983"/>
    <w:rsid w:val="00A81923"/>
    <w:rsid w:val="00A828FE"/>
    <w:rsid w:val="00A83BD1"/>
    <w:rsid w:val="00A86569"/>
    <w:rsid w:val="00A865A1"/>
    <w:rsid w:val="00A93513"/>
    <w:rsid w:val="00A95366"/>
    <w:rsid w:val="00A95DF7"/>
    <w:rsid w:val="00AA0BF9"/>
    <w:rsid w:val="00AA11FD"/>
    <w:rsid w:val="00AA63AE"/>
    <w:rsid w:val="00AA7524"/>
    <w:rsid w:val="00AB3F05"/>
    <w:rsid w:val="00AB6256"/>
    <w:rsid w:val="00AC33F6"/>
    <w:rsid w:val="00AC43CB"/>
    <w:rsid w:val="00AC5299"/>
    <w:rsid w:val="00AC5300"/>
    <w:rsid w:val="00AC62A0"/>
    <w:rsid w:val="00AD2B36"/>
    <w:rsid w:val="00AD46CB"/>
    <w:rsid w:val="00AD5AE8"/>
    <w:rsid w:val="00AE211C"/>
    <w:rsid w:val="00AE384E"/>
    <w:rsid w:val="00AE50B6"/>
    <w:rsid w:val="00AE5340"/>
    <w:rsid w:val="00AE550C"/>
    <w:rsid w:val="00B01053"/>
    <w:rsid w:val="00B072A0"/>
    <w:rsid w:val="00B135FD"/>
    <w:rsid w:val="00B13DFA"/>
    <w:rsid w:val="00B2112F"/>
    <w:rsid w:val="00B21650"/>
    <w:rsid w:val="00B21748"/>
    <w:rsid w:val="00B25188"/>
    <w:rsid w:val="00B31B47"/>
    <w:rsid w:val="00B33EBF"/>
    <w:rsid w:val="00B34388"/>
    <w:rsid w:val="00B34EFE"/>
    <w:rsid w:val="00B40A22"/>
    <w:rsid w:val="00B40F2A"/>
    <w:rsid w:val="00B449F2"/>
    <w:rsid w:val="00B45605"/>
    <w:rsid w:val="00B5286C"/>
    <w:rsid w:val="00B53FA6"/>
    <w:rsid w:val="00B561A3"/>
    <w:rsid w:val="00B637CB"/>
    <w:rsid w:val="00B6553A"/>
    <w:rsid w:val="00B66373"/>
    <w:rsid w:val="00B67AA1"/>
    <w:rsid w:val="00B70371"/>
    <w:rsid w:val="00B70415"/>
    <w:rsid w:val="00B720EE"/>
    <w:rsid w:val="00B74CE1"/>
    <w:rsid w:val="00B81F15"/>
    <w:rsid w:val="00B820E4"/>
    <w:rsid w:val="00B82A60"/>
    <w:rsid w:val="00B84D80"/>
    <w:rsid w:val="00B86437"/>
    <w:rsid w:val="00B903B9"/>
    <w:rsid w:val="00B90958"/>
    <w:rsid w:val="00B96C9D"/>
    <w:rsid w:val="00BA3EE2"/>
    <w:rsid w:val="00BA558A"/>
    <w:rsid w:val="00BA5916"/>
    <w:rsid w:val="00BA70FB"/>
    <w:rsid w:val="00BB2C24"/>
    <w:rsid w:val="00BB47C8"/>
    <w:rsid w:val="00BB4835"/>
    <w:rsid w:val="00BB62FB"/>
    <w:rsid w:val="00BB633F"/>
    <w:rsid w:val="00BB69AF"/>
    <w:rsid w:val="00BC0FD9"/>
    <w:rsid w:val="00BC46A0"/>
    <w:rsid w:val="00BC5EEC"/>
    <w:rsid w:val="00BD0781"/>
    <w:rsid w:val="00BD1631"/>
    <w:rsid w:val="00BD3623"/>
    <w:rsid w:val="00BD3BC4"/>
    <w:rsid w:val="00BD6391"/>
    <w:rsid w:val="00BE28A2"/>
    <w:rsid w:val="00BE6B32"/>
    <w:rsid w:val="00BF2204"/>
    <w:rsid w:val="00BF249C"/>
    <w:rsid w:val="00BF3B7E"/>
    <w:rsid w:val="00BF3BF2"/>
    <w:rsid w:val="00C019C2"/>
    <w:rsid w:val="00C0210A"/>
    <w:rsid w:val="00C0435F"/>
    <w:rsid w:val="00C04769"/>
    <w:rsid w:val="00C04E13"/>
    <w:rsid w:val="00C069C1"/>
    <w:rsid w:val="00C06B88"/>
    <w:rsid w:val="00C10FAE"/>
    <w:rsid w:val="00C1707D"/>
    <w:rsid w:val="00C176BE"/>
    <w:rsid w:val="00C213AD"/>
    <w:rsid w:val="00C25FDE"/>
    <w:rsid w:val="00C31158"/>
    <w:rsid w:val="00C3279C"/>
    <w:rsid w:val="00C377D0"/>
    <w:rsid w:val="00C37895"/>
    <w:rsid w:val="00C37E53"/>
    <w:rsid w:val="00C42829"/>
    <w:rsid w:val="00C42E6D"/>
    <w:rsid w:val="00C4310D"/>
    <w:rsid w:val="00C4704A"/>
    <w:rsid w:val="00C50859"/>
    <w:rsid w:val="00C55F76"/>
    <w:rsid w:val="00C60AB8"/>
    <w:rsid w:val="00C62FF6"/>
    <w:rsid w:val="00C657CE"/>
    <w:rsid w:val="00C66E72"/>
    <w:rsid w:val="00C67FD9"/>
    <w:rsid w:val="00C70DD4"/>
    <w:rsid w:val="00C72451"/>
    <w:rsid w:val="00C73061"/>
    <w:rsid w:val="00C73A42"/>
    <w:rsid w:val="00C74436"/>
    <w:rsid w:val="00C8016D"/>
    <w:rsid w:val="00C84657"/>
    <w:rsid w:val="00C92CBE"/>
    <w:rsid w:val="00C92FFF"/>
    <w:rsid w:val="00C933B1"/>
    <w:rsid w:val="00C97778"/>
    <w:rsid w:val="00CA3FF2"/>
    <w:rsid w:val="00CA7973"/>
    <w:rsid w:val="00CB0F4A"/>
    <w:rsid w:val="00CB3E3A"/>
    <w:rsid w:val="00CC2164"/>
    <w:rsid w:val="00CC4E82"/>
    <w:rsid w:val="00CC5212"/>
    <w:rsid w:val="00CC5310"/>
    <w:rsid w:val="00CC6602"/>
    <w:rsid w:val="00CD0A76"/>
    <w:rsid w:val="00CD2FE7"/>
    <w:rsid w:val="00CD3E7C"/>
    <w:rsid w:val="00CD68BB"/>
    <w:rsid w:val="00CD6CE9"/>
    <w:rsid w:val="00CE09B8"/>
    <w:rsid w:val="00CE18B6"/>
    <w:rsid w:val="00CE2A38"/>
    <w:rsid w:val="00CE509F"/>
    <w:rsid w:val="00CE79A6"/>
    <w:rsid w:val="00CF0103"/>
    <w:rsid w:val="00CF0D8F"/>
    <w:rsid w:val="00CF0F61"/>
    <w:rsid w:val="00CF1D1D"/>
    <w:rsid w:val="00CF29FE"/>
    <w:rsid w:val="00CF4E5F"/>
    <w:rsid w:val="00CF654D"/>
    <w:rsid w:val="00D0249F"/>
    <w:rsid w:val="00D12F46"/>
    <w:rsid w:val="00D17F6F"/>
    <w:rsid w:val="00D2100C"/>
    <w:rsid w:val="00D23784"/>
    <w:rsid w:val="00D247F7"/>
    <w:rsid w:val="00D26648"/>
    <w:rsid w:val="00D30D3E"/>
    <w:rsid w:val="00D30E5C"/>
    <w:rsid w:val="00D32182"/>
    <w:rsid w:val="00D33400"/>
    <w:rsid w:val="00D36AE4"/>
    <w:rsid w:val="00D518FF"/>
    <w:rsid w:val="00D53443"/>
    <w:rsid w:val="00D62E8F"/>
    <w:rsid w:val="00D71EB2"/>
    <w:rsid w:val="00D76310"/>
    <w:rsid w:val="00D80191"/>
    <w:rsid w:val="00D8073D"/>
    <w:rsid w:val="00D8347F"/>
    <w:rsid w:val="00D87FD1"/>
    <w:rsid w:val="00D930B0"/>
    <w:rsid w:val="00D93A42"/>
    <w:rsid w:val="00DA4142"/>
    <w:rsid w:val="00DA52B9"/>
    <w:rsid w:val="00DA64CE"/>
    <w:rsid w:val="00DB01B1"/>
    <w:rsid w:val="00DB23D2"/>
    <w:rsid w:val="00DB26BD"/>
    <w:rsid w:val="00DB3311"/>
    <w:rsid w:val="00DB3890"/>
    <w:rsid w:val="00DC20C1"/>
    <w:rsid w:val="00DC374C"/>
    <w:rsid w:val="00DC3DBD"/>
    <w:rsid w:val="00DC5789"/>
    <w:rsid w:val="00DC7FD8"/>
    <w:rsid w:val="00DD0D11"/>
    <w:rsid w:val="00DE1815"/>
    <w:rsid w:val="00DE6992"/>
    <w:rsid w:val="00DF3863"/>
    <w:rsid w:val="00DF3A5B"/>
    <w:rsid w:val="00DF4065"/>
    <w:rsid w:val="00DF5D39"/>
    <w:rsid w:val="00DF6277"/>
    <w:rsid w:val="00DF72CC"/>
    <w:rsid w:val="00E00BF4"/>
    <w:rsid w:val="00E05A3B"/>
    <w:rsid w:val="00E07CCB"/>
    <w:rsid w:val="00E23122"/>
    <w:rsid w:val="00E26533"/>
    <w:rsid w:val="00E311E1"/>
    <w:rsid w:val="00E355B9"/>
    <w:rsid w:val="00E37F82"/>
    <w:rsid w:val="00E44B95"/>
    <w:rsid w:val="00E4533A"/>
    <w:rsid w:val="00E5241B"/>
    <w:rsid w:val="00E53E2D"/>
    <w:rsid w:val="00E5438A"/>
    <w:rsid w:val="00E57657"/>
    <w:rsid w:val="00E57C71"/>
    <w:rsid w:val="00E57CAA"/>
    <w:rsid w:val="00E6073D"/>
    <w:rsid w:val="00E60EFB"/>
    <w:rsid w:val="00E67B13"/>
    <w:rsid w:val="00E74E85"/>
    <w:rsid w:val="00E756E0"/>
    <w:rsid w:val="00E76C90"/>
    <w:rsid w:val="00E84514"/>
    <w:rsid w:val="00E863D2"/>
    <w:rsid w:val="00E904BD"/>
    <w:rsid w:val="00E94C22"/>
    <w:rsid w:val="00E97799"/>
    <w:rsid w:val="00EA0DFD"/>
    <w:rsid w:val="00EA3340"/>
    <w:rsid w:val="00EA3917"/>
    <w:rsid w:val="00EA5AC7"/>
    <w:rsid w:val="00EA5ECA"/>
    <w:rsid w:val="00EB2A16"/>
    <w:rsid w:val="00EB3778"/>
    <w:rsid w:val="00EB5811"/>
    <w:rsid w:val="00EB58FB"/>
    <w:rsid w:val="00EB615C"/>
    <w:rsid w:val="00EC0424"/>
    <w:rsid w:val="00EC06F2"/>
    <w:rsid w:val="00EC2BFC"/>
    <w:rsid w:val="00EC314F"/>
    <w:rsid w:val="00EC4457"/>
    <w:rsid w:val="00EC69B1"/>
    <w:rsid w:val="00ED094C"/>
    <w:rsid w:val="00ED1C91"/>
    <w:rsid w:val="00ED269E"/>
    <w:rsid w:val="00ED3A26"/>
    <w:rsid w:val="00ED5933"/>
    <w:rsid w:val="00ED6659"/>
    <w:rsid w:val="00EE0653"/>
    <w:rsid w:val="00EE2AAA"/>
    <w:rsid w:val="00EE44B7"/>
    <w:rsid w:val="00EF09A9"/>
    <w:rsid w:val="00EF0E33"/>
    <w:rsid w:val="00EF434F"/>
    <w:rsid w:val="00EF59AD"/>
    <w:rsid w:val="00EF770C"/>
    <w:rsid w:val="00EF77C2"/>
    <w:rsid w:val="00F01BA1"/>
    <w:rsid w:val="00F02257"/>
    <w:rsid w:val="00F0583A"/>
    <w:rsid w:val="00F06B19"/>
    <w:rsid w:val="00F07222"/>
    <w:rsid w:val="00F11D86"/>
    <w:rsid w:val="00F13FDD"/>
    <w:rsid w:val="00F14F51"/>
    <w:rsid w:val="00F155CC"/>
    <w:rsid w:val="00F21F7B"/>
    <w:rsid w:val="00F221C8"/>
    <w:rsid w:val="00F2332A"/>
    <w:rsid w:val="00F2568F"/>
    <w:rsid w:val="00F31A5B"/>
    <w:rsid w:val="00F42D73"/>
    <w:rsid w:val="00F42EDB"/>
    <w:rsid w:val="00F44440"/>
    <w:rsid w:val="00F47353"/>
    <w:rsid w:val="00F509CC"/>
    <w:rsid w:val="00F50FBB"/>
    <w:rsid w:val="00F53480"/>
    <w:rsid w:val="00F56213"/>
    <w:rsid w:val="00F5735C"/>
    <w:rsid w:val="00F60730"/>
    <w:rsid w:val="00F63F8A"/>
    <w:rsid w:val="00F674FA"/>
    <w:rsid w:val="00F719E9"/>
    <w:rsid w:val="00F835A0"/>
    <w:rsid w:val="00F83EE9"/>
    <w:rsid w:val="00F86B02"/>
    <w:rsid w:val="00F92408"/>
    <w:rsid w:val="00F96A98"/>
    <w:rsid w:val="00FA21C6"/>
    <w:rsid w:val="00FA5889"/>
    <w:rsid w:val="00FA74CB"/>
    <w:rsid w:val="00FB20C3"/>
    <w:rsid w:val="00FB5A7F"/>
    <w:rsid w:val="00FC0E1A"/>
    <w:rsid w:val="00FC4308"/>
    <w:rsid w:val="00FC4D6F"/>
    <w:rsid w:val="00FC5E7E"/>
    <w:rsid w:val="00FD0886"/>
    <w:rsid w:val="00FD2FD7"/>
    <w:rsid w:val="00FD354F"/>
    <w:rsid w:val="00FD5E02"/>
    <w:rsid w:val="00FD6A78"/>
    <w:rsid w:val="00FE0F54"/>
    <w:rsid w:val="00FE40DD"/>
    <w:rsid w:val="00FE5016"/>
    <w:rsid w:val="00FE6B77"/>
    <w:rsid w:val="00FF1508"/>
    <w:rsid w:val="00FF212C"/>
    <w:rsid w:val="00FF4595"/>
    <w:rsid w:val="00FF4775"/>
    <w:rsid w:val="00FF4B20"/>
    <w:rsid w:val="00FF5481"/>
    <w:rsid w:val="00FF556E"/>
    <w:rsid w:val="00FF64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039C89"/>
  <w15:docId w15:val="{EB009365-D05F-4C28-AFBF-2595AA5F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9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4D"/>
    <w:pPr>
      <w:ind w:left="720"/>
      <w:contextualSpacing/>
    </w:pPr>
  </w:style>
  <w:style w:type="character" w:styleId="Hyperlink">
    <w:name w:val="Hyperlink"/>
    <w:basedOn w:val="DefaultParagraphFont"/>
    <w:uiPriority w:val="99"/>
    <w:unhideWhenUsed/>
    <w:rsid w:val="00BF2204"/>
    <w:rPr>
      <w:color w:val="0000FF" w:themeColor="hyperlink"/>
      <w:u w:val="single"/>
    </w:rPr>
  </w:style>
  <w:style w:type="paragraph" w:styleId="BalloonText">
    <w:name w:val="Balloon Text"/>
    <w:basedOn w:val="Normal"/>
    <w:link w:val="BalloonTextChar"/>
    <w:uiPriority w:val="99"/>
    <w:semiHidden/>
    <w:unhideWhenUsed/>
    <w:rsid w:val="00755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059"/>
    <w:rPr>
      <w:rFonts w:ascii="Tahoma" w:hAnsi="Tahoma" w:cs="Tahoma"/>
      <w:sz w:val="16"/>
      <w:szCs w:val="16"/>
    </w:rPr>
  </w:style>
  <w:style w:type="paragraph" w:styleId="FootnoteText">
    <w:name w:val="footnote text"/>
    <w:basedOn w:val="Normal"/>
    <w:link w:val="FootnoteTextChar"/>
    <w:unhideWhenUsed/>
    <w:rsid w:val="009B6CBF"/>
    <w:pPr>
      <w:spacing w:after="0" w:line="240" w:lineRule="auto"/>
    </w:pPr>
    <w:rPr>
      <w:sz w:val="20"/>
      <w:szCs w:val="20"/>
    </w:rPr>
  </w:style>
  <w:style w:type="character" w:customStyle="1" w:styleId="FootnoteTextChar">
    <w:name w:val="Footnote Text Char"/>
    <w:basedOn w:val="DefaultParagraphFont"/>
    <w:link w:val="FootnoteText"/>
    <w:rsid w:val="009B6CBF"/>
    <w:rPr>
      <w:sz w:val="20"/>
      <w:szCs w:val="20"/>
    </w:rPr>
  </w:style>
  <w:style w:type="character" w:styleId="FootnoteReference">
    <w:name w:val="footnote reference"/>
    <w:basedOn w:val="DefaultParagraphFont"/>
    <w:unhideWhenUsed/>
    <w:rsid w:val="009B6CBF"/>
    <w:rPr>
      <w:vertAlign w:val="superscript"/>
    </w:rPr>
  </w:style>
  <w:style w:type="table" w:styleId="TableGrid">
    <w:name w:val="Table Grid"/>
    <w:basedOn w:val="TableNormal"/>
    <w:uiPriority w:val="59"/>
    <w:rsid w:val="0069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5FDE"/>
    <w:pPr>
      <w:spacing w:after="0" w:line="240" w:lineRule="auto"/>
    </w:pPr>
  </w:style>
  <w:style w:type="paragraph" w:styleId="EndnoteText">
    <w:name w:val="endnote text"/>
    <w:basedOn w:val="Normal"/>
    <w:link w:val="EndnoteTextChar"/>
    <w:uiPriority w:val="99"/>
    <w:semiHidden/>
    <w:unhideWhenUsed/>
    <w:rsid w:val="00785F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5FDE"/>
    <w:rPr>
      <w:sz w:val="20"/>
      <w:szCs w:val="20"/>
    </w:rPr>
  </w:style>
  <w:style w:type="character" w:styleId="EndnoteReference">
    <w:name w:val="endnote reference"/>
    <w:basedOn w:val="DefaultParagraphFont"/>
    <w:uiPriority w:val="99"/>
    <w:semiHidden/>
    <w:unhideWhenUsed/>
    <w:rsid w:val="00785FDE"/>
    <w:rPr>
      <w:vertAlign w:val="superscript"/>
    </w:rPr>
  </w:style>
  <w:style w:type="character" w:styleId="CommentReference">
    <w:name w:val="annotation reference"/>
    <w:basedOn w:val="DefaultParagraphFont"/>
    <w:uiPriority w:val="99"/>
    <w:semiHidden/>
    <w:unhideWhenUsed/>
    <w:rsid w:val="00CC5212"/>
    <w:rPr>
      <w:sz w:val="16"/>
      <w:szCs w:val="16"/>
    </w:rPr>
  </w:style>
  <w:style w:type="paragraph" w:styleId="CommentText">
    <w:name w:val="annotation text"/>
    <w:basedOn w:val="Normal"/>
    <w:link w:val="CommentTextChar"/>
    <w:uiPriority w:val="99"/>
    <w:unhideWhenUsed/>
    <w:rsid w:val="00CC5212"/>
    <w:pPr>
      <w:spacing w:line="240" w:lineRule="auto"/>
    </w:pPr>
    <w:rPr>
      <w:sz w:val="20"/>
      <w:szCs w:val="20"/>
    </w:rPr>
  </w:style>
  <w:style w:type="character" w:customStyle="1" w:styleId="CommentTextChar">
    <w:name w:val="Comment Text Char"/>
    <w:basedOn w:val="DefaultParagraphFont"/>
    <w:link w:val="CommentText"/>
    <w:uiPriority w:val="99"/>
    <w:rsid w:val="00CC5212"/>
    <w:rPr>
      <w:sz w:val="20"/>
      <w:szCs w:val="20"/>
    </w:rPr>
  </w:style>
  <w:style w:type="paragraph" w:styleId="NormalWeb">
    <w:name w:val="Normal (Web)"/>
    <w:basedOn w:val="Normal"/>
    <w:uiPriority w:val="99"/>
    <w:unhideWhenUsed/>
    <w:rsid w:val="009A227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7D0E2F"/>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874D3A"/>
    <w:rPr>
      <w:b/>
      <w:bCs/>
    </w:rPr>
  </w:style>
  <w:style w:type="character" w:customStyle="1" w:styleId="CommentSubjectChar">
    <w:name w:val="Comment Subject Char"/>
    <w:basedOn w:val="CommentTextChar"/>
    <w:link w:val="CommentSubject"/>
    <w:uiPriority w:val="99"/>
    <w:semiHidden/>
    <w:rsid w:val="00874D3A"/>
    <w:rPr>
      <w:b/>
      <w:bCs/>
      <w:sz w:val="20"/>
      <w:szCs w:val="20"/>
    </w:rPr>
  </w:style>
  <w:style w:type="character" w:customStyle="1" w:styleId="Heading1Char">
    <w:name w:val="Heading 1 Char"/>
    <w:basedOn w:val="DefaultParagraphFont"/>
    <w:link w:val="Heading1"/>
    <w:uiPriority w:val="9"/>
    <w:rsid w:val="00A739C8"/>
    <w:rPr>
      <w:rFonts w:asciiTheme="majorHAnsi" w:eastAsiaTheme="majorEastAsia" w:hAnsiTheme="majorHAnsi" w:cstheme="majorBidi"/>
      <w:color w:val="365F91" w:themeColor="accent1" w:themeShade="BF"/>
      <w:sz w:val="32"/>
      <w:szCs w:val="32"/>
    </w:rPr>
  </w:style>
  <w:style w:type="paragraph" w:customStyle="1" w:styleId="ek">
    <w:name w:val="ek"/>
    <w:basedOn w:val="Normal"/>
    <w:rsid w:val="00876A1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de">
    <w:name w:val="de"/>
    <w:basedOn w:val="DefaultParagraphFont"/>
    <w:rsid w:val="00876A14"/>
  </w:style>
  <w:style w:type="paragraph" w:styleId="Footer">
    <w:name w:val="footer"/>
    <w:basedOn w:val="Normal"/>
    <w:link w:val="FooterChar"/>
    <w:uiPriority w:val="99"/>
    <w:unhideWhenUsed/>
    <w:rsid w:val="007E2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B37"/>
  </w:style>
  <w:style w:type="character" w:customStyle="1" w:styleId="UnresolvedMention1">
    <w:name w:val="Unresolved Mention1"/>
    <w:basedOn w:val="DefaultParagraphFont"/>
    <w:uiPriority w:val="99"/>
    <w:semiHidden/>
    <w:unhideWhenUsed/>
    <w:rsid w:val="00623C28"/>
    <w:rPr>
      <w:color w:val="605E5C"/>
      <w:shd w:val="clear" w:color="auto" w:fill="E1DFDD"/>
    </w:rPr>
  </w:style>
  <w:style w:type="paragraph" w:styleId="Header">
    <w:name w:val="header"/>
    <w:basedOn w:val="Normal"/>
    <w:link w:val="HeaderChar"/>
    <w:uiPriority w:val="99"/>
    <w:unhideWhenUsed/>
    <w:rsid w:val="00963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660">
      <w:bodyDiv w:val="1"/>
      <w:marLeft w:val="0"/>
      <w:marRight w:val="0"/>
      <w:marTop w:val="0"/>
      <w:marBottom w:val="0"/>
      <w:divBdr>
        <w:top w:val="none" w:sz="0" w:space="0" w:color="auto"/>
        <w:left w:val="none" w:sz="0" w:space="0" w:color="auto"/>
        <w:bottom w:val="none" w:sz="0" w:space="0" w:color="auto"/>
        <w:right w:val="none" w:sz="0" w:space="0" w:color="auto"/>
      </w:divBdr>
    </w:div>
    <w:div w:id="394008058">
      <w:bodyDiv w:val="1"/>
      <w:marLeft w:val="0"/>
      <w:marRight w:val="0"/>
      <w:marTop w:val="0"/>
      <w:marBottom w:val="0"/>
      <w:divBdr>
        <w:top w:val="none" w:sz="0" w:space="0" w:color="auto"/>
        <w:left w:val="none" w:sz="0" w:space="0" w:color="auto"/>
        <w:bottom w:val="none" w:sz="0" w:space="0" w:color="auto"/>
        <w:right w:val="none" w:sz="0" w:space="0" w:color="auto"/>
      </w:divBdr>
    </w:div>
    <w:div w:id="478769062">
      <w:bodyDiv w:val="1"/>
      <w:marLeft w:val="0"/>
      <w:marRight w:val="0"/>
      <w:marTop w:val="0"/>
      <w:marBottom w:val="0"/>
      <w:divBdr>
        <w:top w:val="none" w:sz="0" w:space="0" w:color="auto"/>
        <w:left w:val="none" w:sz="0" w:space="0" w:color="auto"/>
        <w:bottom w:val="none" w:sz="0" w:space="0" w:color="auto"/>
        <w:right w:val="none" w:sz="0" w:space="0" w:color="auto"/>
      </w:divBdr>
    </w:div>
    <w:div w:id="483468006">
      <w:bodyDiv w:val="1"/>
      <w:marLeft w:val="0"/>
      <w:marRight w:val="0"/>
      <w:marTop w:val="0"/>
      <w:marBottom w:val="0"/>
      <w:divBdr>
        <w:top w:val="none" w:sz="0" w:space="0" w:color="auto"/>
        <w:left w:val="none" w:sz="0" w:space="0" w:color="auto"/>
        <w:bottom w:val="none" w:sz="0" w:space="0" w:color="auto"/>
        <w:right w:val="none" w:sz="0" w:space="0" w:color="auto"/>
      </w:divBdr>
    </w:div>
    <w:div w:id="503210715">
      <w:bodyDiv w:val="1"/>
      <w:marLeft w:val="0"/>
      <w:marRight w:val="0"/>
      <w:marTop w:val="0"/>
      <w:marBottom w:val="0"/>
      <w:divBdr>
        <w:top w:val="none" w:sz="0" w:space="0" w:color="auto"/>
        <w:left w:val="none" w:sz="0" w:space="0" w:color="auto"/>
        <w:bottom w:val="none" w:sz="0" w:space="0" w:color="auto"/>
        <w:right w:val="none" w:sz="0" w:space="0" w:color="auto"/>
      </w:divBdr>
    </w:div>
    <w:div w:id="576324386">
      <w:bodyDiv w:val="1"/>
      <w:marLeft w:val="0"/>
      <w:marRight w:val="0"/>
      <w:marTop w:val="0"/>
      <w:marBottom w:val="0"/>
      <w:divBdr>
        <w:top w:val="none" w:sz="0" w:space="0" w:color="auto"/>
        <w:left w:val="none" w:sz="0" w:space="0" w:color="auto"/>
        <w:bottom w:val="none" w:sz="0" w:space="0" w:color="auto"/>
        <w:right w:val="none" w:sz="0" w:space="0" w:color="auto"/>
      </w:divBdr>
    </w:div>
    <w:div w:id="811405813">
      <w:bodyDiv w:val="1"/>
      <w:marLeft w:val="0"/>
      <w:marRight w:val="0"/>
      <w:marTop w:val="0"/>
      <w:marBottom w:val="0"/>
      <w:divBdr>
        <w:top w:val="none" w:sz="0" w:space="0" w:color="auto"/>
        <w:left w:val="none" w:sz="0" w:space="0" w:color="auto"/>
        <w:bottom w:val="none" w:sz="0" w:space="0" w:color="auto"/>
        <w:right w:val="none" w:sz="0" w:space="0" w:color="auto"/>
      </w:divBdr>
    </w:div>
    <w:div w:id="936672701">
      <w:bodyDiv w:val="1"/>
      <w:marLeft w:val="0"/>
      <w:marRight w:val="0"/>
      <w:marTop w:val="0"/>
      <w:marBottom w:val="0"/>
      <w:divBdr>
        <w:top w:val="none" w:sz="0" w:space="0" w:color="auto"/>
        <w:left w:val="none" w:sz="0" w:space="0" w:color="auto"/>
        <w:bottom w:val="none" w:sz="0" w:space="0" w:color="auto"/>
        <w:right w:val="none" w:sz="0" w:space="0" w:color="auto"/>
      </w:divBdr>
    </w:div>
    <w:div w:id="1405878801">
      <w:bodyDiv w:val="1"/>
      <w:marLeft w:val="0"/>
      <w:marRight w:val="0"/>
      <w:marTop w:val="0"/>
      <w:marBottom w:val="0"/>
      <w:divBdr>
        <w:top w:val="none" w:sz="0" w:space="0" w:color="auto"/>
        <w:left w:val="none" w:sz="0" w:space="0" w:color="auto"/>
        <w:bottom w:val="none" w:sz="0" w:space="0" w:color="auto"/>
        <w:right w:val="none" w:sz="0" w:space="0" w:color="auto"/>
      </w:divBdr>
    </w:div>
    <w:div w:id="1504322607">
      <w:bodyDiv w:val="1"/>
      <w:marLeft w:val="0"/>
      <w:marRight w:val="0"/>
      <w:marTop w:val="0"/>
      <w:marBottom w:val="0"/>
      <w:divBdr>
        <w:top w:val="none" w:sz="0" w:space="0" w:color="auto"/>
        <w:left w:val="none" w:sz="0" w:space="0" w:color="auto"/>
        <w:bottom w:val="none" w:sz="0" w:space="0" w:color="auto"/>
        <w:right w:val="none" w:sz="0" w:space="0" w:color="auto"/>
      </w:divBdr>
    </w:div>
    <w:div w:id="171612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iona.carroll@ptsb.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is.mcgoldrick@ptsb.i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2024-08-01T06:42:41+00:00</DateRece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964A8-EDF4-45F1-B01C-3BFCC8CD0384}">
  <ds:schemaRefs>
    <ds:schemaRef ds:uri="http://schemas.openxmlformats.org/officeDocument/2006/bibliography"/>
  </ds:schemaRefs>
</ds:datastoreItem>
</file>

<file path=customXml/itemProps2.xml><?xml version="1.0" encoding="utf-8"?>
<ds:datastoreItem xmlns:ds="http://schemas.openxmlformats.org/officeDocument/2006/customXml" ds:itemID="{12146C2A-3616-4D80-BBD2-EE5154DE85FF}">
  <ds:schemaRefs>
    <ds:schemaRef ds:uri="http://purl.org/dc/elements/1.1/"/>
    <ds:schemaRef ds:uri="http://schemas.microsoft.com/office/2006/metadata/properties"/>
    <ds:schemaRef ds:uri="59f456fd-31cc-4bb1-8302-24c0f87d9ef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eb214f-acdf-47fd-be34-2ce4fdc0815f"/>
    <ds:schemaRef ds:uri="http://www.w3.org/XML/1998/namespace"/>
    <ds:schemaRef ds:uri="http://purl.org/dc/dcmitype/"/>
  </ds:schemaRefs>
</ds:datastoreItem>
</file>

<file path=customXml/itemProps3.xml><?xml version="1.0" encoding="utf-8"?>
<ds:datastoreItem xmlns:ds="http://schemas.openxmlformats.org/officeDocument/2006/customXml" ds:itemID="{8333F277-24D8-45F9-A179-A9F0DEA177DE}">
  <ds:schemaRefs>
    <ds:schemaRef ds:uri="http://schemas.microsoft.com/sharepoint/v3/contenttype/forms"/>
  </ds:schemaRefs>
</ds:datastoreItem>
</file>

<file path=customXml/itemProps4.xml><?xml version="1.0" encoding="utf-8"?>
<ds:datastoreItem xmlns:ds="http://schemas.openxmlformats.org/officeDocument/2006/customXml" ds:itemID="{FEDD15F8-868F-438D-95D0-D648EFB73FFB}"/>
</file>

<file path=docProps/app.xml><?xml version="1.0" encoding="utf-8"?>
<Properties xmlns="http://schemas.openxmlformats.org/officeDocument/2006/extended-properties" xmlns:vt="http://schemas.openxmlformats.org/officeDocument/2006/docPropsVTypes">
  <Template>Normal</Template>
  <TotalTime>16</TotalTime>
  <Pages>6</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Permanent TSB</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Nicola</dc:creator>
  <cp:keywords/>
  <dc:description/>
  <cp:lastModifiedBy>Duddy, Niamh</cp:lastModifiedBy>
  <cp:revision>8</cp:revision>
  <cp:lastPrinted>2024-07-25T16:28:00Z</cp:lastPrinted>
  <dcterms:created xsi:type="dcterms:W3CDTF">2024-07-31T20:15:00Z</dcterms:created>
  <dcterms:modified xsi:type="dcterms:W3CDTF">2024-07-31T21:37:00Z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ClassificationContentMarkingFooterShapeIds">
    <vt:lpwstr>1,2,3</vt:lpwstr>
  </property>
  <property fmtid="{D5CDD505-2E9C-101B-9397-08002B2CF9AE}" pid="4" name="ClassificationContentMarkingFooterFontProps">
    <vt:lpwstr>#ff0000,10,Calibri</vt:lpwstr>
  </property>
  <property fmtid="{D5CDD505-2E9C-101B-9397-08002B2CF9AE}" pid="5" name="ClassificationContentMarkingFooterText">
    <vt:lpwstr>Confidential!</vt:lpwstr>
  </property>
  <property fmtid="{D5CDD505-2E9C-101B-9397-08002B2CF9AE}" pid="6" name="MSIP_Label_45149c40-6634-4ccb-8351-f65e48058dbc_Enabled">
    <vt:lpwstr>true</vt:lpwstr>
  </property>
  <property fmtid="{D5CDD505-2E9C-101B-9397-08002B2CF9AE}" pid="7" name="MSIP_Label_45149c40-6634-4ccb-8351-f65e48058dbc_SetDate">
    <vt:lpwstr>2024-07-19T18:28:33Z</vt:lpwstr>
  </property>
  <property fmtid="{D5CDD505-2E9C-101B-9397-08002B2CF9AE}" pid="8" name="MSIP_Label_45149c40-6634-4ccb-8351-f65e48058dbc_Method">
    <vt:lpwstr>Standard</vt:lpwstr>
  </property>
  <property fmtid="{D5CDD505-2E9C-101B-9397-08002B2CF9AE}" pid="9" name="MSIP_Label_45149c40-6634-4ccb-8351-f65e48058dbc_Name">
    <vt:lpwstr>PTSBSL02-M365</vt:lpwstr>
  </property>
  <property fmtid="{D5CDD505-2E9C-101B-9397-08002B2CF9AE}" pid="10" name="MSIP_Label_45149c40-6634-4ccb-8351-f65e48058dbc_SiteId">
    <vt:lpwstr>2b70841c-0d13-41c1-b3ac-15ef3536c49a</vt:lpwstr>
  </property>
  <property fmtid="{D5CDD505-2E9C-101B-9397-08002B2CF9AE}" pid="11" name="MSIP_Label_45149c40-6634-4ccb-8351-f65e48058dbc_ActionId">
    <vt:lpwstr>3c6061c1-766d-4f18-b4ed-cfc35d60f162</vt:lpwstr>
  </property>
  <property fmtid="{D5CDD505-2E9C-101B-9397-08002B2CF9AE}" pid="12" name="MSIP_Label_45149c40-6634-4ccb-8351-f65e48058dbc_ContentBits">
    <vt:lpwstr>2</vt:lpwstr>
  </property>
  <property fmtid="{D5CDD505-2E9C-101B-9397-08002B2CF9AE}" pid="13" name="_NewReviewCycle">
    <vt:lpwstr/>
  </property>
  <property fmtid="{D5CDD505-2E9C-101B-9397-08002B2CF9AE}" pid="14" name="MediaServiceImageTags">
    <vt:lpwstr/>
  </property>
</Properties>
</file>