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D9C4C" w14:textId="77777777" w:rsidR="007F6C0E" w:rsidRDefault="007F6C0E" w:rsidP="007A13AF">
      <w:pPr>
        <w:ind w:right="237"/>
        <w:jc w:val="both"/>
        <w:rPr>
          <w:rFonts w:cstheme="minorHAnsi"/>
          <w:b/>
          <w:sz w:val="21"/>
          <w:szCs w:val="21"/>
        </w:rPr>
      </w:pPr>
    </w:p>
    <w:p w14:paraId="6CC2B9FF" w14:textId="20C2185E" w:rsidR="0079204D" w:rsidRPr="00295CA2" w:rsidRDefault="000A0ED9" w:rsidP="007A13AF">
      <w:pPr>
        <w:ind w:right="237"/>
        <w:jc w:val="both"/>
        <w:rPr>
          <w:rFonts w:cstheme="minorHAnsi"/>
          <w:b/>
          <w:sz w:val="21"/>
          <w:szCs w:val="21"/>
        </w:rPr>
      </w:pPr>
      <w:r>
        <w:rPr>
          <w:rFonts w:cstheme="minorHAnsi"/>
          <w:b/>
          <w:sz w:val="21"/>
          <w:szCs w:val="21"/>
        </w:rPr>
        <w:t>31 July</w:t>
      </w:r>
      <w:r w:rsidR="007804D6" w:rsidRPr="00295CA2">
        <w:rPr>
          <w:rFonts w:cstheme="minorHAnsi"/>
          <w:b/>
          <w:sz w:val="21"/>
          <w:szCs w:val="21"/>
        </w:rPr>
        <w:t xml:space="preserve"> 202</w:t>
      </w:r>
      <w:r w:rsidR="00BE02A3">
        <w:rPr>
          <w:rFonts w:cstheme="minorHAnsi"/>
          <w:b/>
          <w:sz w:val="21"/>
          <w:szCs w:val="21"/>
        </w:rPr>
        <w:t>5</w:t>
      </w:r>
      <w:r w:rsidR="0079204D" w:rsidRPr="00295CA2">
        <w:rPr>
          <w:rFonts w:cstheme="minorHAnsi"/>
          <w:b/>
          <w:sz w:val="21"/>
          <w:szCs w:val="21"/>
        </w:rPr>
        <w:tab/>
      </w:r>
      <w:r w:rsidR="0079204D" w:rsidRPr="00295CA2">
        <w:rPr>
          <w:rFonts w:cstheme="minorHAnsi"/>
          <w:b/>
          <w:sz w:val="21"/>
          <w:szCs w:val="21"/>
        </w:rPr>
        <w:tab/>
      </w:r>
      <w:r w:rsidR="0079204D" w:rsidRPr="00295CA2">
        <w:rPr>
          <w:rFonts w:cstheme="minorHAnsi"/>
          <w:b/>
          <w:sz w:val="21"/>
          <w:szCs w:val="21"/>
        </w:rPr>
        <w:tab/>
        <w:t xml:space="preserve"> </w:t>
      </w:r>
      <w:r w:rsidR="0079204D" w:rsidRPr="00295CA2">
        <w:rPr>
          <w:rFonts w:cstheme="minorHAnsi"/>
          <w:b/>
          <w:sz w:val="21"/>
          <w:szCs w:val="21"/>
        </w:rPr>
        <w:tab/>
      </w:r>
      <w:r w:rsidR="0079204D" w:rsidRPr="00295CA2">
        <w:rPr>
          <w:rFonts w:cstheme="minorHAnsi"/>
          <w:b/>
          <w:sz w:val="21"/>
          <w:szCs w:val="21"/>
        </w:rPr>
        <w:tab/>
      </w:r>
      <w:r w:rsidR="0079204D" w:rsidRPr="00295CA2">
        <w:rPr>
          <w:rFonts w:cstheme="minorHAnsi"/>
          <w:b/>
          <w:sz w:val="21"/>
          <w:szCs w:val="21"/>
        </w:rPr>
        <w:tab/>
      </w:r>
      <w:r w:rsidR="0079204D" w:rsidRPr="00295CA2">
        <w:rPr>
          <w:rFonts w:cstheme="minorHAnsi"/>
          <w:b/>
          <w:sz w:val="21"/>
          <w:szCs w:val="21"/>
        </w:rPr>
        <w:tab/>
      </w:r>
    </w:p>
    <w:p w14:paraId="05666CF8" w14:textId="63C79A1E" w:rsidR="0079204D" w:rsidRPr="00295CA2" w:rsidRDefault="0079204D" w:rsidP="007A13AF">
      <w:pPr>
        <w:ind w:right="237"/>
        <w:rPr>
          <w:rFonts w:cstheme="minorHAnsi"/>
          <w:b/>
          <w:sz w:val="21"/>
          <w:szCs w:val="21"/>
        </w:rPr>
      </w:pPr>
      <w:r w:rsidRPr="00295CA2">
        <w:rPr>
          <w:rFonts w:cstheme="minorHAnsi"/>
          <w:b/>
          <w:sz w:val="21"/>
          <w:szCs w:val="21"/>
        </w:rPr>
        <w:t xml:space="preserve">Permanent TSB Group Holdings plc (‘the </w:t>
      </w:r>
      <w:r w:rsidR="00C35B13">
        <w:rPr>
          <w:rFonts w:cstheme="minorHAnsi"/>
          <w:b/>
          <w:sz w:val="21"/>
          <w:szCs w:val="21"/>
        </w:rPr>
        <w:t>Bank</w:t>
      </w:r>
      <w:r w:rsidRPr="00295CA2">
        <w:rPr>
          <w:rFonts w:cstheme="minorHAnsi"/>
          <w:b/>
          <w:sz w:val="21"/>
          <w:szCs w:val="21"/>
        </w:rPr>
        <w:t>’)</w:t>
      </w:r>
    </w:p>
    <w:p w14:paraId="456F06FD" w14:textId="4E473D0B" w:rsidR="0079204D" w:rsidRPr="00295CA2" w:rsidRDefault="000A0ED9" w:rsidP="007A13AF">
      <w:pPr>
        <w:pBdr>
          <w:bottom w:val="single" w:sz="4" w:space="1" w:color="auto"/>
        </w:pBdr>
        <w:ind w:right="237"/>
        <w:rPr>
          <w:rFonts w:cstheme="minorHAnsi"/>
          <w:b/>
          <w:sz w:val="21"/>
          <w:szCs w:val="21"/>
        </w:rPr>
      </w:pPr>
      <w:r>
        <w:rPr>
          <w:rFonts w:cstheme="minorHAnsi"/>
          <w:b/>
          <w:sz w:val="21"/>
          <w:szCs w:val="21"/>
        </w:rPr>
        <w:t>HALF YEAR</w:t>
      </w:r>
      <w:r w:rsidR="005C4C14">
        <w:rPr>
          <w:rFonts w:cstheme="minorHAnsi"/>
          <w:b/>
          <w:sz w:val="21"/>
          <w:szCs w:val="21"/>
        </w:rPr>
        <w:t xml:space="preserve"> RESULTS </w:t>
      </w:r>
      <w:r>
        <w:rPr>
          <w:rFonts w:cstheme="minorHAnsi"/>
          <w:b/>
          <w:sz w:val="21"/>
          <w:szCs w:val="21"/>
        </w:rPr>
        <w:t>TO JUNE</w:t>
      </w:r>
      <w:r w:rsidR="007804D6" w:rsidRPr="00295CA2">
        <w:rPr>
          <w:rFonts w:cstheme="minorHAnsi"/>
          <w:b/>
          <w:sz w:val="21"/>
          <w:szCs w:val="21"/>
        </w:rPr>
        <w:t xml:space="preserve"> 202</w:t>
      </w:r>
      <w:r>
        <w:rPr>
          <w:rFonts w:cstheme="minorHAnsi"/>
          <w:b/>
          <w:sz w:val="21"/>
          <w:szCs w:val="21"/>
        </w:rPr>
        <w:t>5</w:t>
      </w:r>
    </w:p>
    <w:p w14:paraId="35E4E416" w14:textId="1ED52330" w:rsidR="00B40F2A" w:rsidRPr="00295CA2" w:rsidRDefault="00F13FDD" w:rsidP="007A13AF">
      <w:pPr>
        <w:autoSpaceDE w:val="0"/>
        <w:autoSpaceDN w:val="0"/>
        <w:ind w:right="237"/>
        <w:jc w:val="both"/>
        <w:rPr>
          <w:rFonts w:cstheme="minorHAnsi"/>
          <w:b/>
          <w:bCs/>
          <w:i/>
          <w:iCs/>
          <w:sz w:val="21"/>
          <w:szCs w:val="21"/>
        </w:rPr>
      </w:pPr>
      <w:r w:rsidRPr="00295CA2">
        <w:rPr>
          <w:rFonts w:cstheme="minorHAnsi"/>
          <w:b/>
          <w:bCs/>
          <w:i/>
          <w:iCs/>
          <w:sz w:val="21"/>
          <w:szCs w:val="21"/>
        </w:rPr>
        <w:t xml:space="preserve">Comment by Eamonn Crowley, Chief Executive: </w:t>
      </w:r>
    </w:p>
    <w:p w14:paraId="1FB8DD38" w14:textId="2C0DC4F7" w:rsidR="004A26BE" w:rsidRDefault="00811CFA" w:rsidP="004A26BE">
      <w:pPr>
        <w:ind w:right="237"/>
        <w:jc w:val="both"/>
        <w:rPr>
          <w:rFonts w:cstheme="minorHAnsi"/>
          <w:i/>
          <w:iCs/>
          <w:sz w:val="21"/>
          <w:szCs w:val="21"/>
        </w:rPr>
      </w:pPr>
      <w:bookmarkStart w:id="0" w:name="_Hlk203671758"/>
      <w:r w:rsidRPr="004151D0">
        <w:rPr>
          <w:rFonts w:cstheme="minorHAnsi"/>
          <w:i/>
          <w:iCs/>
          <w:sz w:val="21"/>
          <w:szCs w:val="21"/>
        </w:rPr>
        <w:t>“</w:t>
      </w:r>
      <w:r w:rsidR="004A26BE">
        <w:rPr>
          <w:rFonts w:cstheme="minorHAnsi"/>
          <w:i/>
          <w:iCs/>
          <w:sz w:val="21"/>
          <w:szCs w:val="21"/>
        </w:rPr>
        <w:t xml:space="preserve">As PTSB completes the first six months of its three-year business strategy, I am pleased with the </w:t>
      </w:r>
      <w:r w:rsidR="004A26BE" w:rsidRPr="004151D0">
        <w:rPr>
          <w:rFonts w:cstheme="minorHAnsi"/>
          <w:i/>
          <w:iCs/>
          <w:sz w:val="21"/>
          <w:szCs w:val="21"/>
        </w:rPr>
        <w:t xml:space="preserve">performance </w:t>
      </w:r>
      <w:r w:rsidR="004A26BE">
        <w:rPr>
          <w:rFonts w:cstheme="minorHAnsi"/>
          <w:i/>
          <w:iCs/>
          <w:sz w:val="21"/>
          <w:szCs w:val="21"/>
        </w:rPr>
        <w:t xml:space="preserve">the Bank has delivered </w:t>
      </w:r>
      <w:r w:rsidR="004A26BE" w:rsidRPr="004151D0">
        <w:rPr>
          <w:rFonts w:cstheme="minorHAnsi"/>
          <w:i/>
          <w:iCs/>
          <w:sz w:val="21"/>
          <w:szCs w:val="21"/>
        </w:rPr>
        <w:t xml:space="preserve">in </w:t>
      </w:r>
      <w:r w:rsidR="00A84CBB">
        <w:rPr>
          <w:rFonts w:cstheme="minorHAnsi"/>
          <w:i/>
          <w:iCs/>
          <w:sz w:val="21"/>
          <w:szCs w:val="21"/>
        </w:rPr>
        <w:t xml:space="preserve">H1 </w:t>
      </w:r>
      <w:r w:rsidR="004A26BE">
        <w:rPr>
          <w:rFonts w:cstheme="minorHAnsi"/>
          <w:i/>
          <w:iCs/>
          <w:sz w:val="21"/>
          <w:szCs w:val="21"/>
        </w:rPr>
        <w:t xml:space="preserve">2025. While certain financial metrics are lower versus the previous year, this is in line with management expectations given the </w:t>
      </w:r>
      <w:r w:rsidR="004A26BE" w:rsidRPr="004151D0">
        <w:rPr>
          <w:rFonts w:cstheme="minorHAnsi"/>
          <w:i/>
          <w:iCs/>
          <w:sz w:val="21"/>
          <w:szCs w:val="21"/>
        </w:rPr>
        <w:t>more challenging interest rate environment</w:t>
      </w:r>
      <w:r w:rsidR="004A26BE">
        <w:rPr>
          <w:rFonts w:cstheme="minorHAnsi"/>
          <w:i/>
          <w:iCs/>
          <w:sz w:val="21"/>
          <w:szCs w:val="21"/>
        </w:rPr>
        <w:t xml:space="preserve"> we are operating in</w:t>
      </w:r>
      <w:r w:rsidR="004A26BE" w:rsidRPr="004151D0">
        <w:rPr>
          <w:rFonts w:cstheme="minorHAnsi"/>
          <w:i/>
          <w:iCs/>
          <w:sz w:val="21"/>
          <w:szCs w:val="21"/>
        </w:rPr>
        <w:t>.</w:t>
      </w:r>
    </w:p>
    <w:p w14:paraId="120B7714" w14:textId="012BD54B" w:rsidR="004A26BE" w:rsidRPr="004151D0" w:rsidRDefault="005F3981" w:rsidP="004A26BE">
      <w:pPr>
        <w:ind w:right="237"/>
        <w:jc w:val="both"/>
        <w:rPr>
          <w:rFonts w:cstheme="minorHAnsi"/>
          <w:i/>
          <w:iCs/>
          <w:sz w:val="21"/>
          <w:szCs w:val="21"/>
        </w:rPr>
      </w:pPr>
      <w:r>
        <w:rPr>
          <w:rFonts w:cstheme="minorHAnsi"/>
          <w:i/>
          <w:iCs/>
          <w:sz w:val="21"/>
          <w:szCs w:val="21"/>
        </w:rPr>
        <w:t>W</w:t>
      </w:r>
      <w:r w:rsidR="004A26BE">
        <w:rPr>
          <w:rFonts w:cstheme="minorHAnsi"/>
          <w:i/>
          <w:iCs/>
          <w:sz w:val="21"/>
          <w:szCs w:val="21"/>
        </w:rPr>
        <w:t xml:space="preserve">e have made great progress in providing customers with much-needed competition with new mortgage lending up 84% </w:t>
      </w:r>
      <w:r w:rsidR="00DF14F2">
        <w:rPr>
          <w:rFonts w:cstheme="minorHAnsi"/>
          <w:i/>
          <w:iCs/>
          <w:sz w:val="21"/>
          <w:szCs w:val="21"/>
        </w:rPr>
        <w:t xml:space="preserve">year on year </w:t>
      </w:r>
      <w:r w:rsidR="004A26BE">
        <w:rPr>
          <w:rFonts w:cstheme="minorHAnsi"/>
          <w:i/>
          <w:iCs/>
          <w:sz w:val="21"/>
          <w:szCs w:val="21"/>
        </w:rPr>
        <w:t>and new Business Banking lending up 23%. This progress is also evident in our book growth, with deposits up 7%, our mortgage book up 3% and our Business Banking book up 1</w:t>
      </w:r>
      <w:r w:rsidR="00DE16E7">
        <w:rPr>
          <w:rFonts w:cstheme="minorHAnsi"/>
          <w:i/>
          <w:iCs/>
          <w:sz w:val="21"/>
          <w:szCs w:val="21"/>
        </w:rPr>
        <w:t>4</w:t>
      </w:r>
      <w:r w:rsidR="004A26BE">
        <w:rPr>
          <w:rFonts w:cstheme="minorHAnsi"/>
          <w:i/>
          <w:iCs/>
          <w:sz w:val="21"/>
          <w:szCs w:val="21"/>
        </w:rPr>
        <w:t>%.</w:t>
      </w:r>
    </w:p>
    <w:p w14:paraId="5CE3E38D" w14:textId="224145DE" w:rsidR="004A26BE" w:rsidRDefault="004A26BE" w:rsidP="004A26BE">
      <w:pPr>
        <w:ind w:right="237"/>
        <w:jc w:val="both"/>
        <w:rPr>
          <w:rFonts w:ascii="Calibri" w:eastAsia="Times New Roman" w:hAnsi="Calibri" w:cs="Calibri"/>
          <w:i/>
          <w:iCs/>
          <w:sz w:val="21"/>
          <w:szCs w:val="21"/>
          <w:lang w:eastAsia="en-IE"/>
        </w:rPr>
      </w:pPr>
      <w:r>
        <w:rPr>
          <w:rFonts w:cstheme="minorHAnsi"/>
          <w:i/>
          <w:iCs/>
          <w:sz w:val="21"/>
          <w:szCs w:val="21"/>
        </w:rPr>
        <w:t xml:space="preserve">We are also improving </w:t>
      </w:r>
      <w:r w:rsidR="00A84CBB">
        <w:rPr>
          <w:rFonts w:cstheme="minorHAnsi"/>
          <w:i/>
          <w:iCs/>
          <w:sz w:val="21"/>
          <w:szCs w:val="21"/>
        </w:rPr>
        <w:t xml:space="preserve">our </w:t>
      </w:r>
      <w:r>
        <w:rPr>
          <w:rFonts w:cstheme="minorHAnsi"/>
          <w:i/>
          <w:iCs/>
          <w:sz w:val="21"/>
          <w:szCs w:val="21"/>
        </w:rPr>
        <w:t xml:space="preserve">efficiency, with operating expenses reduced by </w:t>
      </w:r>
      <w:r w:rsidR="00DE6234">
        <w:rPr>
          <w:rFonts w:cstheme="minorHAnsi"/>
          <w:i/>
          <w:iCs/>
          <w:sz w:val="21"/>
          <w:szCs w:val="21"/>
        </w:rPr>
        <w:t>1</w:t>
      </w:r>
      <w:r>
        <w:rPr>
          <w:rFonts w:cstheme="minorHAnsi"/>
          <w:i/>
          <w:iCs/>
          <w:sz w:val="21"/>
          <w:szCs w:val="21"/>
        </w:rPr>
        <w:t>%. O</w:t>
      </w:r>
      <w:r w:rsidRPr="004151D0">
        <w:rPr>
          <w:rFonts w:ascii="Calibri" w:eastAsia="Times New Roman" w:hAnsi="Calibri" w:cs="Calibri"/>
          <w:i/>
          <w:iCs/>
          <w:sz w:val="21"/>
          <w:szCs w:val="21"/>
          <w:lang w:eastAsia="en-IE"/>
        </w:rPr>
        <w:t>ur liquidity</w:t>
      </w:r>
      <w:r>
        <w:rPr>
          <w:rFonts w:ascii="Calibri" w:eastAsia="Times New Roman" w:hAnsi="Calibri" w:cs="Calibri"/>
          <w:i/>
          <w:iCs/>
          <w:sz w:val="21"/>
          <w:szCs w:val="21"/>
          <w:lang w:eastAsia="en-IE"/>
        </w:rPr>
        <w:t xml:space="preserve"> and</w:t>
      </w:r>
      <w:r w:rsidRPr="004151D0">
        <w:rPr>
          <w:rFonts w:ascii="Calibri" w:eastAsia="Times New Roman" w:hAnsi="Calibri" w:cs="Calibri"/>
          <w:i/>
          <w:iCs/>
          <w:sz w:val="21"/>
          <w:szCs w:val="21"/>
          <w:lang w:eastAsia="en-IE"/>
        </w:rPr>
        <w:t xml:space="preserve"> capital positions remain strong</w:t>
      </w:r>
      <w:r>
        <w:rPr>
          <w:rFonts w:ascii="Calibri" w:eastAsia="Times New Roman" w:hAnsi="Calibri" w:cs="Calibri"/>
          <w:i/>
          <w:iCs/>
          <w:sz w:val="21"/>
          <w:szCs w:val="21"/>
          <w:lang w:eastAsia="en-IE"/>
        </w:rPr>
        <w:t xml:space="preserve">, with our CET1 ratio reaching 15.5% at the end of June. There is also </w:t>
      </w:r>
      <w:r w:rsidR="00210C89">
        <w:rPr>
          <w:rFonts w:ascii="Calibri" w:eastAsia="Times New Roman" w:hAnsi="Calibri" w:cs="Calibri"/>
          <w:i/>
          <w:iCs/>
          <w:sz w:val="21"/>
          <w:szCs w:val="21"/>
          <w:lang w:eastAsia="en-IE"/>
        </w:rPr>
        <w:t xml:space="preserve">a </w:t>
      </w:r>
      <w:r w:rsidR="0023717D">
        <w:rPr>
          <w:rFonts w:ascii="Calibri" w:eastAsia="Times New Roman" w:hAnsi="Calibri" w:cs="Calibri"/>
          <w:i/>
          <w:iCs/>
          <w:sz w:val="21"/>
          <w:szCs w:val="21"/>
          <w:lang w:eastAsia="en-IE"/>
        </w:rPr>
        <w:t>strong mark</w:t>
      </w:r>
      <w:r>
        <w:rPr>
          <w:rFonts w:ascii="Calibri" w:eastAsia="Times New Roman" w:hAnsi="Calibri" w:cs="Calibri"/>
          <w:i/>
          <w:iCs/>
          <w:sz w:val="21"/>
          <w:szCs w:val="21"/>
          <w:lang w:eastAsia="en-IE"/>
        </w:rPr>
        <w:t>et appetite to invest in PTSB, as can be seen from the success of NatWest’s recent share disposal which marked another important step towards normalising the composition of our shareholder base.</w:t>
      </w:r>
    </w:p>
    <w:p w14:paraId="5E456F39" w14:textId="1B82106F" w:rsidR="00811CFA" w:rsidRDefault="004A26BE" w:rsidP="002D2F94">
      <w:pPr>
        <w:ind w:right="237"/>
        <w:jc w:val="both"/>
        <w:rPr>
          <w:rFonts w:cstheme="minorHAnsi"/>
          <w:i/>
          <w:iCs/>
          <w:sz w:val="21"/>
          <w:szCs w:val="21"/>
        </w:rPr>
      </w:pPr>
      <w:r>
        <w:rPr>
          <w:rFonts w:ascii="Calibri" w:eastAsia="Times New Roman" w:hAnsi="Calibri" w:cs="Calibri"/>
          <w:i/>
          <w:iCs/>
          <w:sz w:val="21"/>
          <w:szCs w:val="21"/>
          <w:lang w:eastAsia="en-IE"/>
        </w:rPr>
        <w:t xml:space="preserve">Our guidance for 2025 remains unchanged, as does </w:t>
      </w:r>
      <w:r w:rsidRPr="004151D0">
        <w:rPr>
          <w:rFonts w:ascii="Calibri" w:eastAsia="Times New Roman" w:hAnsi="Calibri" w:cs="Calibri"/>
          <w:i/>
          <w:iCs/>
          <w:sz w:val="21"/>
          <w:szCs w:val="21"/>
          <w:lang w:eastAsia="en-IE"/>
        </w:rPr>
        <w:t xml:space="preserve">our </w:t>
      </w:r>
      <w:r>
        <w:rPr>
          <w:rFonts w:ascii="Calibri" w:eastAsia="Times New Roman" w:hAnsi="Calibri" w:cs="Calibri"/>
          <w:i/>
          <w:iCs/>
          <w:sz w:val="21"/>
          <w:szCs w:val="21"/>
          <w:lang w:eastAsia="en-IE"/>
        </w:rPr>
        <w:t>intention</w:t>
      </w:r>
      <w:r w:rsidRPr="004151D0">
        <w:rPr>
          <w:rFonts w:ascii="Calibri" w:eastAsia="Times New Roman" w:hAnsi="Calibri" w:cs="Calibri"/>
          <w:i/>
          <w:iCs/>
          <w:sz w:val="21"/>
          <w:szCs w:val="21"/>
          <w:lang w:eastAsia="en-IE"/>
        </w:rPr>
        <w:t xml:space="preserve"> to restart dividend payments to our shareholders next </w:t>
      </w:r>
      <w:r w:rsidRPr="005D1903">
        <w:rPr>
          <w:rFonts w:ascii="Calibri" w:eastAsia="Times New Roman" w:hAnsi="Calibri" w:cs="Calibri"/>
          <w:i/>
          <w:iCs/>
          <w:sz w:val="21"/>
          <w:szCs w:val="21"/>
          <w:lang w:eastAsia="en-IE"/>
        </w:rPr>
        <w:t>year</w:t>
      </w:r>
      <w:bookmarkEnd w:id="0"/>
      <w:r w:rsidR="001158E0">
        <w:rPr>
          <w:rFonts w:ascii="Calibri" w:eastAsia="Times New Roman" w:hAnsi="Calibri" w:cs="Calibri"/>
          <w:i/>
          <w:iCs/>
          <w:sz w:val="21"/>
          <w:szCs w:val="21"/>
          <w:lang w:eastAsia="en-IE"/>
        </w:rPr>
        <w:t>,</w:t>
      </w:r>
      <w:r w:rsidR="005D1903" w:rsidRPr="005D1903">
        <w:rPr>
          <w:rFonts w:cstheme="minorHAnsi"/>
          <w:i/>
          <w:iCs/>
          <w:sz w:val="21"/>
          <w:szCs w:val="21"/>
        </w:rPr>
        <w:t xml:space="preserve"> subject to financial position and required approval</w:t>
      </w:r>
      <w:r w:rsidR="005D1903">
        <w:rPr>
          <w:rFonts w:cstheme="minorHAnsi"/>
          <w:i/>
          <w:iCs/>
          <w:sz w:val="21"/>
          <w:szCs w:val="21"/>
        </w:rPr>
        <w:t>s</w:t>
      </w:r>
      <w:r w:rsidRPr="005D1903">
        <w:rPr>
          <w:rFonts w:cstheme="minorHAnsi"/>
          <w:i/>
          <w:iCs/>
          <w:sz w:val="21"/>
          <w:szCs w:val="21"/>
        </w:rPr>
        <w:t>.</w:t>
      </w:r>
      <w:r w:rsidR="00811CFA" w:rsidRPr="005D1903">
        <w:rPr>
          <w:rFonts w:ascii="Calibri" w:eastAsia="Times New Roman" w:hAnsi="Calibri" w:cs="Calibri"/>
          <w:i/>
          <w:iCs/>
          <w:sz w:val="21"/>
          <w:szCs w:val="21"/>
          <w:lang w:eastAsia="en-IE"/>
        </w:rPr>
        <w:t>”</w:t>
      </w:r>
      <w:r w:rsidR="00811CFA" w:rsidRPr="004151D0">
        <w:rPr>
          <w:rFonts w:ascii="Calibri" w:eastAsia="Times New Roman" w:hAnsi="Calibri" w:cs="Calibri"/>
          <w:i/>
          <w:iCs/>
          <w:sz w:val="21"/>
          <w:szCs w:val="21"/>
          <w:lang w:eastAsia="en-IE"/>
        </w:rPr>
        <w:t xml:space="preserve"> </w:t>
      </w:r>
    </w:p>
    <w:p w14:paraId="52B574C5" w14:textId="50E8C4B9" w:rsidR="0079204D" w:rsidRPr="00295CA2" w:rsidRDefault="005C4C14" w:rsidP="007A13AF">
      <w:pPr>
        <w:spacing w:before="120" w:after="240"/>
        <w:ind w:right="237"/>
        <w:jc w:val="both"/>
        <w:rPr>
          <w:rFonts w:cstheme="minorHAnsi"/>
          <w:b/>
          <w:sz w:val="21"/>
          <w:szCs w:val="21"/>
        </w:rPr>
      </w:pPr>
      <w:r>
        <w:rPr>
          <w:rFonts w:cstheme="minorHAnsi"/>
          <w:b/>
          <w:sz w:val="21"/>
          <w:szCs w:val="21"/>
        </w:rPr>
        <w:t xml:space="preserve">KEY FINANCIAL HIGHLIGHTS </w:t>
      </w:r>
      <w:r w:rsidRPr="002E7620">
        <w:rPr>
          <w:rFonts w:cstheme="minorHAnsi"/>
          <w:b/>
          <w:sz w:val="18"/>
          <w:szCs w:val="18"/>
        </w:rPr>
        <w:t>(</w:t>
      </w:r>
      <w:r w:rsidRPr="002E7620">
        <w:rPr>
          <w:rFonts w:cstheme="minorHAnsi"/>
          <w:b/>
          <w:i/>
          <w:iCs/>
          <w:sz w:val="18"/>
          <w:szCs w:val="18"/>
        </w:rPr>
        <w:t xml:space="preserve">all comparisons vs. </w:t>
      </w:r>
      <w:r w:rsidR="000A0ED9">
        <w:rPr>
          <w:rFonts w:cstheme="minorHAnsi"/>
          <w:b/>
          <w:i/>
          <w:iCs/>
          <w:sz w:val="18"/>
          <w:szCs w:val="18"/>
        </w:rPr>
        <w:t>H1 2024</w:t>
      </w:r>
      <w:r w:rsidRPr="002E7620">
        <w:rPr>
          <w:rFonts w:cstheme="minorHAnsi"/>
          <w:b/>
          <w:i/>
          <w:iCs/>
          <w:sz w:val="18"/>
          <w:szCs w:val="18"/>
        </w:rPr>
        <w:t xml:space="preserve"> unless otherwise stated)</w:t>
      </w:r>
      <w:r w:rsidR="0079204D" w:rsidRPr="00295CA2">
        <w:rPr>
          <w:rFonts w:cstheme="minorHAnsi"/>
          <w:b/>
          <w:sz w:val="21"/>
          <w:szCs w:val="21"/>
        </w:rPr>
        <w:t>:</w:t>
      </w:r>
    </w:p>
    <w:p w14:paraId="5BC6F76C" w14:textId="1CA1F7A3" w:rsidR="00C27388" w:rsidRPr="0044735C" w:rsidRDefault="00C27388" w:rsidP="00C27388">
      <w:pPr>
        <w:pStyle w:val="Default"/>
        <w:numPr>
          <w:ilvl w:val="0"/>
          <w:numId w:val="14"/>
        </w:numPr>
        <w:ind w:left="568" w:right="237" w:hanging="284"/>
        <w:jc w:val="both"/>
        <w:rPr>
          <w:rFonts w:cstheme="minorHAnsi"/>
          <w:b/>
          <w:sz w:val="21"/>
          <w:szCs w:val="21"/>
        </w:rPr>
      </w:pPr>
      <w:r w:rsidRPr="0044735C">
        <w:rPr>
          <w:rFonts w:asciiTheme="minorHAnsi" w:hAnsiTheme="minorHAnsi" w:cstheme="minorHAnsi"/>
          <w:color w:val="auto"/>
          <w:sz w:val="21"/>
          <w:szCs w:val="21"/>
        </w:rPr>
        <w:t>CET1 ratio of 15.</w:t>
      </w:r>
      <w:r w:rsidR="00EF389A">
        <w:rPr>
          <w:rFonts w:asciiTheme="minorHAnsi" w:hAnsiTheme="minorHAnsi" w:cstheme="minorHAnsi"/>
          <w:color w:val="auto"/>
          <w:sz w:val="21"/>
          <w:szCs w:val="21"/>
        </w:rPr>
        <w:t>5</w:t>
      </w:r>
      <w:r w:rsidRPr="0044735C">
        <w:rPr>
          <w:rFonts w:asciiTheme="minorHAnsi" w:hAnsiTheme="minorHAnsi" w:cstheme="minorHAnsi"/>
          <w:color w:val="auto"/>
          <w:sz w:val="21"/>
          <w:szCs w:val="21"/>
        </w:rPr>
        <w:t>% on a CRR3</w:t>
      </w:r>
      <w:r w:rsidR="00CB1918">
        <w:rPr>
          <w:rStyle w:val="FootnoteReference"/>
          <w:rFonts w:asciiTheme="minorHAnsi" w:hAnsiTheme="minorHAnsi" w:cstheme="minorHAnsi"/>
          <w:color w:val="auto"/>
          <w:sz w:val="21"/>
          <w:szCs w:val="21"/>
        </w:rPr>
        <w:footnoteReference w:id="1"/>
      </w:r>
      <w:r w:rsidRPr="0044735C">
        <w:rPr>
          <w:rFonts w:asciiTheme="minorHAnsi" w:hAnsiTheme="minorHAnsi" w:cstheme="minorHAnsi"/>
          <w:color w:val="auto"/>
          <w:sz w:val="21"/>
          <w:szCs w:val="21"/>
        </w:rPr>
        <w:t xml:space="preserve"> basis </w:t>
      </w:r>
      <w:r w:rsidRPr="00163B6C">
        <w:rPr>
          <w:rFonts w:asciiTheme="minorHAnsi" w:hAnsiTheme="minorHAnsi" w:cstheme="minorHAnsi"/>
          <w:color w:val="auto"/>
          <w:sz w:val="21"/>
          <w:szCs w:val="21"/>
        </w:rPr>
        <w:t>(December 2024</w:t>
      </w:r>
      <w:r w:rsidR="00811CFA">
        <w:rPr>
          <w:rFonts w:asciiTheme="minorHAnsi" w:hAnsiTheme="minorHAnsi" w:cstheme="minorHAnsi"/>
          <w:color w:val="auto"/>
          <w:sz w:val="21"/>
          <w:szCs w:val="21"/>
        </w:rPr>
        <w:t xml:space="preserve"> 14.7%</w:t>
      </w:r>
      <w:r w:rsidRPr="00163B6C">
        <w:rPr>
          <w:rFonts w:asciiTheme="minorHAnsi" w:hAnsiTheme="minorHAnsi" w:cstheme="minorHAnsi"/>
          <w:color w:val="auto"/>
          <w:sz w:val="21"/>
          <w:szCs w:val="21"/>
        </w:rPr>
        <w:t>)</w:t>
      </w:r>
    </w:p>
    <w:p w14:paraId="02DE3802" w14:textId="20B58C12" w:rsidR="00C27388" w:rsidRPr="0044735C" w:rsidRDefault="00C27388" w:rsidP="00C27388">
      <w:pPr>
        <w:pStyle w:val="Default"/>
        <w:numPr>
          <w:ilvl w:val="0"/>
          <w:numId w:val="14"/>
        </w:numPr>
        <w:ind w:left="568" w:right="237" w:hanging="284"/>
        <w:jc w:val="both"/>
        <w:rPr>
          <w:rFonts w:cstheme="minorHAnsi"/>
          <w:b/>
          <w:sz w:val="21"/>
          <w:szCs w:val="21"/>
        </w:rPr>
      </w:pPr>
      <w:r w:rsidRPr="0044735C">
        <w:rPr>
          <w:rFonts w:cstheme="minorHAnsi"/>
          <w:sz w:val="21"/>
          <w:szCs w:val="21"/>
        </w:rPr>
        <w:t xml:space="preserve">Customer deposits of €25.2 billion, up 7% </w:t>
      </w:r>
    </w:p>
    <w:p w14:paraId="7367CE08" w14:textId="181AA606" w:rsidR="00C27388" w:rsidRPr="0044735C" w:rsidRDefault="00C27388" w:rsidP="00C27388">
      <w:pPr>
        <w:pStyle w:val="ListParagraph"/>
        <w:numPr>
          <w:ilvl w:val="0"/>
          <w:numId w:val="14"/>
        </w:numPr>
        <w:spacing w:after="0"/>
        <w:ind w:left="567" w:right="237" w:hanging="283"/>
        <w:contextualSpacing w:val="0"/>
        <w:jc w:val="both"/>
        <w:rPr>
          <w:rFonts w:cstheme="minorHAnsi"/>
          <w:sz w:val="21"/>
          <w:szCs w:val="21"/>
        </w:rPr>
      </w:pPr>
      <w:r w:rsidRPr="0043670C">
        <w:rPr>
          <w:rFonts w:eastAsia="Times New Roman" w:cstheme="minorHAnsi"/>
          <w:sz w:val="21"/>
          <w:szCs w:val="21"/>
          <w:lang w:eastAsia="en-IE"/>
        </w:rPr>
        <w:t xml:space="preserve">Total </w:t>
      </w:r>
      <w:r>
        <w:rPr>
          <w:rFonts w:eastAsia="Times New Roman" w:cstheme="minorHAnsi"/>
          <w:sz w:val="21"/>
          <w:szCs w:val="21"/>
          <w:lang w:eastAsia="en-IE"/>
        </w:rPr>
        <w:t>G</w:t>
      </w:r>
      <w:r w:rsidRPr="0043670C">
        <w:rPr>
          <w:rFonts w:eastAsia="Times New Roman" w:cstheme="minorHAnsi"/>
          <w:sz w:val="21"/>
          <w:szCs w:val="21"/>
          <w:lang w:eastAsia="en-IE"/>
        </w:rPr>
        <w:t xml:space="preserve">ross </w:t>
      </w:r>
      <w:r>
        <w:rPr>
          <w:rFonts w:eastAsia="Times New Roman" w:cstheme="minorHAnsi"/>
          <w:sz w:val="21"/>
          <w:szCs w:val="21"/>
          <w:lang w:eastAsia="en-IE"/>
        </w:rPr>
        <w:t>L</w:t>
      </w:r>
      <w:r w:rsidRPr="0043670C">
        <w:rPr>
          <w:rFonts w:eastAsia="Times New Roman" w:cstheme="minorHAnsi"/>
          <w:sz w:val="21"/>
          <w:szCs w:val="21"/>
          <w:lang w:eastAsia="en-IE"/>
        </w:rPr>
        <w:t>oans of €2</w:t>
      </w:r>
      <w:r>
        <w:rPr>
          <w:rFonts w:eastAsia="Times New Roman" w:cstheme="minorHAnsi"/>
          <w:sz w:val="21"/>
          <w:szCs w:val="21"/>
          <w:lang w:eastAsia="en-IE"/>
        </w:rPr>
        <w:t>2.</w:t>
      </w:r>
      <w:r w:rsidR="007E78B8">
        <w:rPr>
          <w:rFonts w:eastAsia="Times New Roman" w:cstheme="minorHAnsi"/>
          <w:sz w:val="21"/>
          <w:szCs w:val="21"/>
          <w:lang w:eastAsia="en-IE"/>
        </w:rPr>
        <w:t>2</w:t>
      </w:r>
      <w:r w:rsidRPr="0043670C">
        <w:rPr>
          <w:rFonts w:eastAsia="Times New Roman" w:cstheme="minorHAnsi"/>
          <w:sz w:val="21"/>
          <w:szCs w:val="21"/>
          <w:lang w:eastAsia="en-IE"/>
        </w:rPr>
        <w:t xml:space="preserve"> billion</w:t>
      </w:r>
      <w:r w:rsidR="00DB296F">
        <w:rPr>
          <w:rFonts w:eastAsia="Times New Roman" w:cstheme="minorHAnsi"/>
          <w:sz w:val="21"/>
          <w:szCs w:val="21"/>
          <w:lang w:eastAsia="en-IE"/>
        </w:rPr>
        <w:t>,</w:t>
      </w:r>
      <w:r w:rsidRPr="0043670C">
        <w:rPr>
          <w:rFonts w:eastAsia="Times New Roman" w:cstheme="minorHAnsi"/>
          <w:sz w:val="21"/>
          <w:szCs w:val="21"/>
          <w:lang w:eastAsia="en-IE"/>
        </w:rPr>
        <w:t xml:space="preserve"> up </w:t>
      </w:r>
      <w:r w:rsidR="00DE16E7">
        <w:rPr>
          <w:rFonts w:eastAsia="Times New Roman" w:cstheme="minorHAnsi"/>
          <w:sz w:val="21"/>
          <w:szCs w:val="21"/>
          <w:lang w:eastAsia="en-IE"/>
        </w:rPr>
        <w:t>4</w:t>
      </w:r>
      <w:r>
        <w:rPr>
          <w:rFonts w:eastAsia="Times New Roman" w:cstheme="minorHAnsi"/>
          <w:sz w:val="21"/>
          <w:szCs w:val="21"/>
          <w:lang w:eastAsia="en-IE"/>
        </w:rPr>
        <w:t xml:space="preserve">% </w:t>
      </w:r>
    </w:p>
    <w:p w14:paraId="25BB81CA" w14:textId="2E4FA0C2" w:rsidR="00D15F2B" w:rsidRPr="00EF71A3" w:rsidRDefault="00D15F2B" w:rsidP="007A13AF">
      <w:pPr>
        <w:pStyle w:val="ListParagraph"/>
        <w:numPr>
          <w:ilvl w:val="0"/>
          <w:numId w:val="14"/>
        </w:numPr>
        <w:spacing w:after="0"/>
        <w:ind w:left="568" w:right="237" w:hanging="284"/>
        <w:contextualSpacing w:val="0"/>
        <w:jc w:val="both"/>
        <w:rPr>
          <w:rFonts w:cstheme="minorHAnsi"/>
          <w:sz w:val="21"/>
          <w:szCs w:val="21"/>
        </w:rPr>
      </w:pPr>
      <w:r w:rsidRPr="00295CA2">
        <w:rPr>
          <w:rFonts w:cstheme="minorHAnsi"/>
          <w:sz w:val="21"/>
          <w:szCs w:val="21"/>
        </w:rPr>
        <w:t>Underlying Profit Before Tax</w:t>
      </w:r>
      <w:r w:rsidRPr="00295CA2">
        <w:rPr>
          <w:rFonts w:cstheme="minorHAnsi"/>
          <w:sz w:val="21"/>
          <w:szCs w:val="21"/>
          <w:vertAlign w:val="superscript"/>
        </w:rPr>
        <w:footnoteReference w:id="2"/>
      </w:r>
      <w:r w:rsidRPr="00295CA2">
        <w:rPr>
          <w:rFonts w:cstheme="minorHAnsi"/>
          <w:sz w:val="21"/>
          <w:szCs w:val="21"/>
        </w:rPr>
        <w:t xml:space="preserve"> </w:t>
      </w:r>
      <w:r w:rsidR="008F5EA7">
        <w:rPr>
          <w:rFonts w:cstheme="minorHAnsi"/>
          <w:sz w:val="21"/>
          <w:szCs w:val="21"/>
        </w:rPr>
        <w:t>of €5</w:t>
      </w:r>
      <w:r w:rsidR="00DE6234">
        <w:rPr>
          <w:rFonts w:cstheme="minorHAnsi"/>
          <w:sz w:val="21"/>
          <w:szCs w:val="21"/>
        </w:rPr>
        <w:t>1</w:t>
      </w:r>
      <w:r w:rsidR="008F5EA7">
        <w:rPr>
          <w:rFonts w:cstheme="minorHAnsi"/>
          <w:sz w:val="21"/>
          <w:szCs w:val="21"/>
        </w:rPr>
        <w:t xml:space="preserve"> million</w:t>
      </w:r>
      <w:r w:rsidR="00495DAE" w:rsidRPr="00EF71A3">
        <w:rPr>
          <w:rFonts w:cstheme="minorHAnsi"/>
          <w:sz w:val="21"/>
          <w:szCs w:val="21"/>
        </w:rPr>
        <w:t>, 38% lower</w:t>
      </w:r>
    </w:p>
    <w:p w14:paraId="14C79C1C" w14:textId="5B9208CF" w:rsidR="007213BB" w:rsidRDefault="007213BB" w:rsidP="0015507F">
      <w:pPr>
        <w:pStyle w:val="ListParagraph"/>
        <w:numPr>
          <w:ilvl w:val="0"/>
          <w:numId w:val="14"/>
        </w:numPr>
        <w:spacing w:after="0"/>
        <w:ind w:left="568" w:right="237" w:hanging="284"/>
        <w:contextualSpacing w:val="0"/>
        <w:jc w:val="both"/>
        <w:rPr>
          <w:rFonts w:cstheme="minorHAnsi"/>
          <w:sz w:val="21"/>
          <w:szCs w:val="21"/>
        </w:rPr>
      </w:pPr>
      <w:r>
        <w:rPr>
          <w:rFonts w:cstheme="minorHAnsi"/>
          <w:sz w:val="21"/>
          <w:szCs w:val="21"/>
        </w:rPr>
        <w:t>Reported PBT</w:t>
      </w:r>
      <w:r w:rsidR="00EF71A3">
        <w:rPr>
          <w:rFonts w:cstheme="minorHAnsi"/>
          <w:sz w:val="21"/>
          <w:szCs w:val="21"/>
        </w:rPr>
        <w:t xml:space="preserve"> €19 million, d</w:t>
      </w:r>
      <w:r>
        <w:rPr>
          <w:rFonts w:cstheme="minorHAnsi"/>
          <w:sz w:val="21"/>
          <w:szCs w:val="21"/>
        </w:rPr>
        <w:t>riven by exceptionals</w:t>
      </w:r>
    </w:p>
    <w:p w14:paraId="42E99F26" w14:textId="0F12897C" w:rsidR="0015507F" w:rsidRDefault="0015507F" w:rsidP="0015507F">
      <w:pPr>
        <w:pStyle w:val="ListParagraph"/>
        <w:numPr>
          <w:ilvl w:val="0"/>
          <w:numId w:val="14"/>
        </w:numPr>
        <w:spacing w:after="0"/>
        <w:ind w:left="568" w:right="237" w:hanging="284"/>
        <w:contextualSpacing w:val="0"/>
        <w:jc w:val="both"/>
        <w:rPr>
          <w:rFonts w:cstheme="minorHAnsi"/>
          <w:sz w:val="21"/>
          <w:szCs w:val="21"/>
        </w:rPr>
      </w:pPr>
      <w:r>
        <w:rPr>
          <w:rFonts w:cstheme="minorHAnsi"/>
          <w:sz w:val="21"/>
          <w:szCs w:val="21"/>
        </w:rPr>
        <w:t xml:space="preserve">Operating </w:t>
      </w:r>
      <w:r w:rsidR="00D03FD6">
        <w:rPr>
          <w:rFonts w:cstheme="minorHAnsi"/>
          <w:sz w:val="21"/>
          <w:szCs w:val="21"/>
        </w:rPr>
        <w:t xml:space="preserve">Profit </w:t>
      </w:r>
      <w:r>
        <w:rPr>
          <w:rFonts w:cstheme="minorHAnsi"/>
          <w:sz w:val="21"/>
          <w:szCs w:val="21"/>
        </w:rPr>
        <w:t>of €5</w:t>
      </w:r>
      <w:r w:rsidR="00DE6234">
        <w:rPr>
          <w:rFonts w:cstheme="minorHAnsi"/>
          <w:sz w:val="21"/>
          <w:szCs w:val="21"/>
        </w:rPr>
        <w:t>1</w:t>
      </w:r>
      <w:r>
        <w:rPr>
          <w:rFonts w:cstheme="minorHAnsi"/>
          <w:sz w:val="21"/>
          <w:szCs w:val="21"/>
        </w:rPr>
        <w:t xml:space="preserve"> million</w:t>
      </w:r>
      <w:r w:rsidR="004E528B">
        <w:rPr>
          <w:rFonts w:cstheme="minorHAnsi"/>
          <w:sz w:val="21"/>
          <w:szCs w:val="21"/>
        </w:rPr>
        <w:t>,</w:t>
      </w:r>
      <w:r>
        <w:rPr>
          <w:rFonts w:cstheme="minorHAnsi"/>
          <w:sz w:val="21"/>
          <w:szCs w:val="21"/>
        </w:rPr>
        <w:t xml:space="preserve"> </w:t>
      </w:r>
      <w:r w:rsidR="00F4290E">
        <w:rPr>
          <w:rFonts w:cstheme="minorHAnsi"/>
          <w:sz w:val="21"/>
          <w:szCs w:val="21"/>
        </w:rPr>
        <w:t>1</w:t>
      </w:r>
      <w:r w:rsidR="00DE6234">
        <w:rPr>
          <w:rFonts w:cstheme="minorHAnsi"/>
          <w:sz w:val="21"/>
          <w:szCs w:val="21"/>
        </w:rPr>
        <w:t>7</w:t>
      </w:r>
      <w:r>
        <w:rPr>
          <w:rFonts w:cstheme="minorHAnsi"/>
          <w:sz w:val="21"/>
          <w:szCs w:val="21"/>
        </w:rPr>
        <w:t>%</w:t>
      </w:r>
      <w:r w:rsidR="0044124C">
        <w:rPr>
          <w:rFonts w:cstheme="minorHAnsi"/>
          <w:sz w:val="21"/>
          <w:szCs w:val="21"/>
        </w:rPr>
        <w:t xml:space="preserve"> lower</w:t>
      </w:r>
    </w:p>
    <w:p w14:paraId="47D26A73" w14:textId="736A7607" w:rsidR="008E33AA" w:rsidRDefault="008E33AA" w:rsidP="00E46CCC">
      <w:pPr>
        <w:pStyle w:val="ListParagraph"/>
        <w:numPr>
          <w:ilvl w:val="0"/>
          <w:numId w:val="14"/>
        </w:numPr>
        <w:spacing w:after="0"/>
        <w:ind w:left="568" w:right="237" w:hanging="284"/>
        <w:contextualSpacing w:val="0"/>
        <w:jc w:val="both"/>
        <w:rPr>
          <w:rFonts w:cstheme="minorHAnsi"/>
          <w:sz w:val="21"/>
          <w:szCs w:val="21"/>
        </w:rPr>
      </w:pPr>
      <w:r>
        <w:rPr>
          <w:rFonts w:cstheme="minorHAnsi"/>
          <w:sz w:val="21"/>
          <w:szCs w:val="21"/>
        </w:rPr>
        <w:t xml:space="preserve">Total </w:t>
      </w:r>
      <w:r w:rsidR="00E26732">
        <w:rPr>
          <w:rFonts w:cstheme="minorHAnsi"/>
          <w:sz w:val="21"/>
          <w:szCs w:val="21"/>
        </w:rPr>
        <w:t>I</w:t>
      </w:r>
      <w:r>
        <w:rPr>
          <w:rFonts w:cstheme="minorHAnsi"/>
          <w:sz w:val="21"/>
          <w:szCs w:val="21"/>
        </w:rPr>
        <w:t xml:space="preserve">ncome </w:t>
      </w:r>
      <w:r w:rsidR="00D471CA">
        <w:rPr>
          <w:rFonts w:cstheme="minorHAnsi"/>
          <w:sz w:val="21"/>
          <w:szCs w:val="21"/>
        </w:rPr>
        <w:t>of €</w:t>
      </w:r>
      <w:r w:rsidR="008F5EA7">
        <w:rPr>
          <w:rFonts w:cstheme="minorHAnsi"/>
          <w:sz w:val="21"/>
          <w:szCs w:val="21"/>
        </w:rPr>
        <w:t>32</w:t>
      </w:r>
      <w:r w:rsidR="00F12C11">
        <w:rPr>
          <w:rFonts w:cstheme="minorHAnsi"/>
          <w:sz w:val="21"/>
          <w:szCs w:val="21"/>
        </w:rPr>
        <w:t>2</w:t>
      </w:r>
      <w:r w:rsidR="00863BBB">
        <w:rPr>
          <w:rFonts w:cstheme="minorHAnsi"/>
          <w:sz w:val="21"/>
          <w:szCs w:val="21"/>
        </w:rPr>
        <w:t xml:space="preserve"> </w:t>
      </w:r>
      <w:r w:rsidR="00D471CA">
        <w:rPr>
          <w:rFonts w:cstheme="minorHAnsi"/>
          <w:sz w:val="21"/>
          <w:szCs w:val="21"/>
        </w:rPr>
        <w:t>m</w:t>
      </w:r>
      <w:r w:rsidR="00863BBB">
        <w:rPr>
          <w:rFonts w:cstheme="minorHAnsi"/>
          <w:sz w:val="21"/>
          <w:szCs w:val="21"/>
        </w:rPr>
        <w:t>illion</w:t>
      </w:r>
      <w:r w:rsidR="00E26732">
        <w:rPr>
          <w:rFonts w:cstheme="minorHAnsi"/>
          <w:sz w:val="21"/>
          <w:szCs w:val="21"/>
        </w:rPr>
        <w:t>,</w:t>
      </w:r>
      <w:r w:rsidR="00D471CA">
        <w:rPr>
          <w:rFonts w:cstheme="minorHAnsi"/>
          <w:sz w:val="21"/>
          <w:szCs w:val="21"/>
        </w:rPr>
        <w:t xml:space="preserve"> </w:t>
      </w:r>
      <w:r w:rsidR="000D6906">
        <w:rPr>
          <w:rFonts w:cstheme="minorHAnsi"/>
          <w:sz w:val="21"/>
          <w:szCs w:val="21"/>
        </w:rPr>
        <w:t>4</w:t>
      </w:r>
      <w:r w:rsidR="00735AFE">
        <w:rPr>
          <w:rFonts w:cstheme="minorHAnsi"/>
          <w:sz w:val="21"/>
          <w:szCs w:val="21"/>
        </w:rPr>
        <w:t xml:space="preserve">% </w:t>
      </w:r>
      <w:r w:rsidR="0044124C">
        <w:rPr>
          <w:rFonts w:cstheme="minorHAnsi"/>
          <w:sz w:val="21"/>
          <w:szCs w:val="21"/>
        </w:rPr>
        <w:t>lower</w:t>
      </w:r>
    </w:p>
    <w:p w14:paraId="596DE17C" w14:textId="461F7A60" w:rsidR="00E46CCC" w:rsidRPr="00295CA2" w:rsidRDefault="00E46CCC" w:rsidP="00E46CCC">
      <w:pPr>
        <w:pStyle w:val="ListParagraph"/>
        <w:numPr>
          <w:ilvl w:val="0"/>
          <w:numId w:val="14"/>
        </w:numPr>
        <w:spacing w:after="0"/>
        <w:ind w:left="568" w:right="237" w:hanging="284"/>
        <w:contextualSpacing w:val="0"/>
        <w:jc w:val="both"/>
        <w:rPr>
          <w:rFonts w:cstheme="minorHAnsi"/>
          <w:sz w:val="21"/>
          <w:szCs w:val="21"/>
        </w:rPr>
      </w:pPr>
      <w:r w:rsidRPr="00295CA2">
        <w:rPr>
          <w:rFonts w:cstheme="minorHAnsi"/>
          <w:sz w:val="21"/>
          <w:szCs w:val="21"/>
        </w:rPr>
        <w:t xml:space="preserve">Net Interest Income </w:t>
      </w:r>
      <w:r w:rsidR="00D471CA">
        <w:rPr>
          <w:rFonts w:cstheme="minorHAnsi"/>
          <w:sz w:val="21"/>
          <w:szCs w:val="21"/>
        </w:rPr>
        <w:t>of €</w:t>
      </w:r>
      <w:r w:rsidR="00F4290E">
        <w:rPr>
          <w:rFonts w:cstheme="minorHAnsi"/>
          <w:sz w:val="21"/>
          <w:szCs w:val="21"/>
        </w:rPr>
        <w:t>28</w:t>
      </w:r>
      <w:r w:rsidR="00DE6234">
        <w:rPr>
          <w:rFonts w:cstheme="minorHAnsi"/>
          <w:sz w:val="21"/>
          <w:szCs w:val="21"/>
        </w:rPr>
        <w:t>8</w:t>
      </w:r>
      <w:r w:rsidR="00F4290E">
        <w:rPr>
          <w:rFonts w:cstheme="minorHAnsi"/>
          <w:sz w:val="21"/>
          <w:szCs w:val="21"/>
        </w:rPr>
        <w:t xml:space="preserve"> </w:t>
      </w:r>
      <w:r w:rsidR="00D471CA">
        <w:rPr>
          <w:rFonts w:cstheme="minorHAnsi"/>
          <w:sz w:val="21"/>
          <w:szCs w:val="21"/>
        </w:rPr>
        <w:t>m</w:t>
      </w:r>
      <w:r w:rsidR="00863BBB">
        <w:rPr>
          <w:rFonts w:cstheme="minorHAnsi"/>
          <w:sz w:val="21"/>
          <w:szCs w:val="21"/>
        </w:rPr>
        <w:t>illion</w:t>
      </w:r>
      <w:r w:rsidR="00A52777">
        <w:rPr>
          <w:rFonts w:cstheme="minorHAnsi"/>
          <w:sz w:val="21"/>
          <w:szCs w:val="21"/>
        </w:rPr>
        <w:t>,</w:t>
      </w:r>
      <w:r w:rsidR="00D471CA">
        <w:rPr>
          <w:rFonts w:cstheme="minorHAnsi"/>
          <w:sz w:val="21"/>
          <w:szCs w:val="21"/>
        </w:rPr>
        <w:t xml:space="preserve"> </w:t>
      </w:r>
      <w:r w:rsidR="00DE6234">
        <w:rPr>
          <w:rFonts w:cstheme="minorHAnsi"/>
          <w:sz w:val="21"/>
          <w:szCs w:val="21"/>
        </w:rPr>
        <w:t>7</w:t>
      </w:r>
      <w:r w:rsidRPr="00295CA2">
        <w:rPr>
          <w:rFonts w:cstheme="minorHAnsi"/>
          <w:sz w:val="21"/>
          <w:szCs w:val="21"/>
        </w:rPr>
        <w:t>%</w:t>
      </w:r>
      <w:r w:rsidR="00A52777">
        <w:rPr>
          <w:rFonts w:cstheme="minorHAnsi"/>
          <w:sz w:val="21"/>
          <w:szCs w:val="21"/>
        </w:rPr>
        <w:t xml:space="preserve"> </w:t>
      </w:r>
      <w:r w:rsidR="00BE7630">
        <w:rPr>
          <w:rFonts w:cstheme="minorHAnsi"/>
          <w:sz w:val="21"/>
          <w:szCs w:val="21"/>
        </w:rPr>
        <w:t>lower</w:t>
      </w:r>
    </w:p>
    <w:p w14:paraId="677028A9" w14:textId="4C779C82" w:rsidR="00E46CCC" w:rsidRPr="00295CA2" w:rsidRDefault="00E46CCC" w:rsidP="00E46CCC">
      <w:pPr>
        <w:pStyle w:val="ListParagraph"/>
        <w:numPr>
          <w:ilvl w:val="0"/>
          <w:numId w:val="14"/>
        </w:numPr>
        <w:spacing w:after="0"/>
        <w:ind w:left="568" w:right="237" w:hanging="284"/>
        <w:contextualSpacing w:val="0"/>
        <w:jc w:val="both"/>
        <w:rPr>
          <w:rFonts w:cstheme="minorHAnsi"/>
          <w:sz w:val="21"/>
          <w:szCs w:val="21"/>
        </w:rPr>
      </w:pPr>
      <w:r w:rsidRPr="00295CA2">
        <w:rPr>
          <w:rFonts w:cstheme="minorHAnsi"/>
          <w:sz w:val="21"/>
          <w:szCs w:val="21"/>
        </w:rPr>
        <w:t>Net Interest Margin (NIM) of 2.</w:t>
      </w:r>
      <w:r w:rsidR="00A27164">
        <w:rPr>
          <w:rFonts w:cstheme="minorHAnsi"/>
          <w:sz w:val="21"/>
          <w:szCs w:val="21"/>
        </w:rPr>
        <w:t>0</w:t>
      </w:r>
      <w:r w:rsidR="00DE6234">
        <w:rPr>
          <w:rFonts w:cstheme="minorHAnsi"/>
          <w:sz w:val="21"/>
          <w:szCs w:val="21"/>
        </w:rPr>
        <w:t>2</w:t>
      </w:r>
      <w:r w:rsidRPr="00295CA2">
        <w:rPr>
          <w:rFonts w:cstheme="minorHAnsi"/>
          <w:sz w:val="21"/>
          <w:szCs w:val="21"/>
        </w:rPr>
        <w:t>%</w:t>
      </w:r>
      <w:r w:rsidR="002D2F94">
        <w:rPr>
          <w:rFonts w:cstheme="minorHAnsi"/>
          <w:sz w:val="21"/>
          <w:szCs w:val="21"/>
        </w:rPr>
        <w:t xml:space="preserve"> (2.</w:t>
      </w:r>
      <w:r w:rsidR="00A27164">
        <w:rPr>
          <w:rFonts w:cstheme="minorHAnsi"/>
          <w:sz w:val="21"/>
          <w:szCs w:val="21"/>
        </w:rPr>
        <w:t>27</w:t>
      </w:r>
      <w:r w:rsidR="002D2F94">
        <w:rPr>
          <w:rFonts w:cstheme="minorHAnsi"/>
          <w:sz w:val="21"/>
          <w:szCs w:val="21"/>
        </w:rPr>
        <w:t xml:space="preserve">%) </w:t>
      </w:r>
    </w:p>
    <w:p w14:paraId="022A2B1C" w14:textId="60D32A6B" w:rsidR="00BE7630" w:rsidRDefault="00E46CCC" w:rsidP="000E4255">
      <w:pPr>
        <w:pStyle w:val="ListParagraph"/>
        <w:numPr>
          <w:ilvl w:val="0"/>
          <w:numId w:val="14"/>
        </w:numPr>
        <w:spacing w:after="0"/>
        <w:ind w:left="568" w:right="237" w:hanging="284"/>
        <w:contextualSpacing w:val="0"/>
        <w:jc w:val="both"/>
        <w:rPr>
          <w:rFonts w:cstheme="minorHAnsi"/>
          <w:sz w:val="21"/>
          <w:szCs w:val="21"/>
        </w:rPr>
      </w:pPr>
      <w:r w:rsidRPr="000E4255">
        <w:rPr>
          <w:rFonts w:cstheme="minorHAnsi"/>
          <w:sz w:val="21"/>
          <w:szCs w:val="21"/>
        </w:rPr>
        <w:t>Operating Expenses</w:t>
      </w:r>
      <w:r w:rsidR="00D471CA" w:rsidRPr="000E4255">
        <w:rPr>
          <w:rFonts w:cstheme="minorHAnsi"/>
          <w:sz w:val="21"/>
          <w:szCs w:val="21"/>
        </w:rPr>
        <w:t xml:space="preserve"> of</w:t>
      </w:r>
      <w:r w:rsidRPr="000E4255">
        <w:rPr>
          <w:rFonts w:cstheme="minorHAnsi"/>
          <w:sz w:val="21"/>
          <w:szCs w:val="21"/>
        </w:rPr>
        <w:t xml:space="preserve"> </w:t>
      </w:r>
      <w:r w:rsidR="00D471CA" w:rsidRPr="000E4255">
        <w:rPr>
          <w:rFonts w:cstheme="minorHAnsi"/>
          <w:sz w:val="21"/>
          <w:szCs w:val="21"/>
        </w:rPr>
        <w:t>€</w:t>
      </w:r>
      <w:r w:rsidR="004350BB">
        <w:rPr>
          <w:rFonts w:cstheme="minorHAnsi"/>
          <w:sz w:val="21"/>
          <w:szCs w:val="21"/>
        </w:rPr>
        <w:t>2</w:t>
      </w:r>
      <w:r w:rsidR="00DE6234">
        <w:rPr>
          <w:rFonts w:cstheme="minorHAnsi"/>
          <w:sz w:val="21"/>
          <w:szCs w:val="21"/>
        </w:rPr>
        <w:t>71</w:t>
      </w:r>
      <w:r w:rsidR="00D471CA" w:rsidRPr="000E4255">
        <w:rPr>
          <w:rFonts w:cstheme="minorHAnsi"/>
          <w:sz w:val="21"/>
          <w:szCs w:val="21"/>
        </w:rPr>
        <w:t xml:space="preserve"> million</w:t>
      </w:r>
      <w:r w:rsidR="00DB296F">
        <w:rPr>
          <w:rFonts w:cstheme="minorHAnsi"/>
          <w:sz w:val="21"/>
          <w:szCs w:val="21"/>
        </w:rPr>
        <w:t>,</w:t>
      </w:r>
      <w:r w:rsidR="00D471CA" w:rsidRPr="000E4255">
        <w:rPr>
          <w:rFonts w:cstheme="minorHAnsi"/>
          <w:sz w:val="21"/>
          <w:szCs w:val="21"/>
        </w:rPr>
        <w:t xml:space="preserve"> </w:t>
      </w:r>
      <w:r w:rsidR="00DE6234">
        <w:rPr>
          <w:rFonts w:cstheme="minorHAnsi"/>
          <w:sz w:val="21"/>
          <w:szCs w:val="21"/>
        </w:rPr>
        <w:t>1</w:t>
      </w:r>
      <w:r w:rsidR="000D752E" w:rsidRPr="000E4255">
        <w:rPr>
          <w:rFonts w:cstheme="minorHAnsi"/>
          <w:sz w:val="21"/>
          <w:szCs w:val="21"/>
        </w:rPr>
        <w:t>%</w:t>
      </w:r>
      <w:r w:rsidR="00BE7630">
        <w:rPr>
          <w:rFonts w:cstheme="minorHAnsi"/>
          <w:sz w:val="21"/>
          <w:szCs w:val="21"/>
        </w:rPr>
        <w:t xml:space="preserve"> </w:t>
      </w:r>
      <w:r w:rsidR="00DB296F">
        <w:rPr>
          <w:rFonts w:cstheme="minorHAnsi"/>
          <w:sz w:val="21"/>
          <w:szCs w:val="21"/>
        </w:rPr>
        <w:t>lower</w:t>
      </w:r>
    </w:p>
    <w:p w14:paraId="1C8746C8" w14:textId="77777777" w:rsidR="00C27388" w:rsidRDefault="000D752E" w:rsidP="00C27388">
      <w:pPr>
        <w:pStyle w:val="ListParagraph"/>
        <w:numPr>
          <w:ilvl w:val="0"/>
          <w:numId w:val="14"/>
        </w:numPr>
        <w:spacing w:after="0"/>
        <w:ind w:left="568" w:right="237" w:hanging="284"/>
        <w:contextualSpacing w:val="0"/>
        <w:jc w:val="both"/>
        <w:rPr>
          <w:rFonts w:cstheme="minorHAnsi"/>
          <w:sz w:val="21"/>
          <w:szCs w:val="21"/>
        </w:rPr>
      </w:pPr>
      <w:r w:rsidRPr="000E4255">
        <w:rPr>
          <w:rFonts w:cstheme="minorHAnsi"/>
          <w:sz w:val="21"/>
          <w:szCs w:val="21"/>
        </w:rPr>
        <w:t>C</w:t>
      </w:r>
      <w:r w:rsidR="00E46CCC" w:rsidRPr="000E4255">
        <w:rPr>
          <w:rFonts w:cstheme="minorHAnsi"/>
          <w:sz w:val="21"/>
          <w:szCs w:val="21"/>
        </w:rPr>
        <w:t xml:space="preserve">ost </w:t>
      </w:r>
      <w:r w:rsidR="00E26732">
        <w:rPr>
          <w:rFonts w:cstheme="minorHAnsi"/>
          <w:sz w:val="21"/>
          <w:szCs w:val="21"/>
        </w:rPr>
        <w:t>I</w:t>
      </w:r>
      <w:r w:rsidR="00E46CCC" w:rsidRPr="000E4255">
        <w:rPr>
          <w:rFonts w:cstheme="minorHAnsi"/>
          <w:sz w:val="21"/>
          <w:szCs w:val="21"/>
        </w:rPr>
        <w:t xml:space="preserve">ncome </w:t>
      </w:r>
      <w:r w:rsidR="00E26732">
        <w:rPr>
          <w:rFonts w:cstheme="minorHAnsi"/>
          <w:sz w:val="21"/>
          <w:szCs w:val="21"/>
        </w:rPr>
        <w:t>R</w:t>
      </w:r>
      <w:r w:rsidR="00E46CCC" w:rsidRPr="000E4255">
        <w:rPr>
          <w:rFonts w:cstheme="minorHAnsi"/>
          <w:sz w:val="21"/>
          <w:szCs w:val="21"/>
        </w:rPr>
        <w:t>atio</w:t>
      </w:r>
      <w:r w:rsidR="00E46CCC">
        <w:rPr>
          <w:rStyle w:val="FootnoteReference"/>
          <w:rFonts w:cstheme="minorHAnsi"/>
          <w:sz w:val="21"/>
          <w:szCs w:val="21"/>
        </w:rPr>
        <w:footnoteReference w:id="3"/>
      </w:r>
      <w:r w:rsidR="00E46CCC" w:rsidRPr="000E4255">
        <w:rPr>
          <w:rFonts w:cstheme="minorHAnsi"/>
          <w:sz w:val="21"/>
          <w:szCs w:val="21"/>
        </w:rPr>
        <w:t xml:space="preserve"> of </w:t>
      </w:r>
      <w:r w:rsidR="00FD62E1" w:rsidRPr="000E4255">
        <w:rPr>
          <w:rFonts w:cstheme="minorHAnsi"/>
          <w:sz w:val="21"/>
          <w:szCs w:val="21"/>
        </w:rPr>
        <w:t>7</w:t>
      </w:r>
      <w:r w:rsidR="00CB75DD">
        <w:rPr>
          <w:rFonts w:cstheme="minorHAnsi"/>
          <w:sz w:val="21"/>
          <w:szCs w:val="21"/>
        </w:rPr>
        <w:t>6</w:t>
      </w:r>
      <w:r w:rsidR="00E46CCC" w:rsidRPr="000E4255">
        <w:rPr>
          <w:rFonts w:cstheme="minorHAnsi"/>
          <w:sz w:val="21"/>
          <w:szCs w:val="21"/>
        </w:rPr>
        <w:t xml:space="preserve">%, </w:t>
      </w:r>
      <w:r w:rsidR="00CB75DD">
        <w:rPr>
          <w:rFonts w:cstheme="minorHAnsi"/>
          <w:sz w:val="21"/>
          <w:szCs w:val="21"/>
        </w:rPr>
        <w:t>3</w:t>
      </w:r>
      <w:r w:rsidRPr="000E4255">
        <w:rPr>
          <w:rFonts w:cstheme="minorHAnsi"/>
          <w:sz w:val="21"/>
          <w:szCs w:val="21"/>
        </w:rPr>
        <w:t xml:space="preserve"> </w:t>
      </w:r>
      <w:r w:rsidR="00E46CCC" w:rsidRPr="000E4255">
        <w:rPr>
          <w:rFonts w:cstheme="minorHAnsi"/>
          <w:sz w:val="21"/>
          <w:szCs w:val="21"/>
        </w:rPr>
        <w:t xml:space="preserve">ppt </w:t>
      </w:r>
      <w:r w:rsidRPr="000E4255">
        <w:rPr>
          <w:rFonts w:cstheme="minorHAnsi"/>
          <w:sz w:val="21"/>
          <w:szCs w:val="21"/>
        </w:rPr>
        <w:t>higher</w:t>
      </w:r>
      <w:r w:rsidR="00E46CCC" w:rsidRPr="000E4255">
        <w:rPr>
          <w:rFonts w:cstheme="minorHAnsi"/>
          <w:sz w:val="21"/>
          <w:szCs w:val="21"/>
        </w:rPr>
        <w:t xml:space="preserve"> </w:t>
      </w:r>
    </w:p>
    <w:p w14:paraId="711CADCF" w14:textId="62595E14" w:rsidR="000E4255" w:rsidRPr="00996066" w:rsidRDefault="00C27388" w:rsidP="00EF3EE1">
      <w:pPr>
        <w:pStyle w:val="ListParagraph"/>
        <w:numPr>
          <w:ilvl w:val="0"/>
          <w:numId w:val="14"/>
        </w:numPr>
        <w:spacing w:after="0"/>
        <w:ind w:left="568" w:right="237" w:hanging="284"/>
        <w:contextualSpacing w:val="0"/>
        <w:jc w:val="both"/>
        <w:rPr>
          <w:rFonts w:cstheme="minorHAnsi"/>
          <w:b/>
          <w:sz w:val="21"/>
          <w:szCs w:val="21"/>
        </w:rPr>
      </w:pPr>
      <w:r w:rsidRPr="00996066">
        <w:rPr>
          <w:rFonts w:cstheme="minorHAnsi"/>
          <w:sz w:val="21"/>
          <w:szCs w:val="21"/>
        </w:rPr>
        <w:t xml:space="preserve">Asset Quality remains strong with </w:t>
      </w:r>
      <w:r w:rsidR="00C56C93">
        <w:rPr>
          <w:rFonts w:cstheme="minorHAnsi"/>
          <w:sz w:val="21"/>
          <w:szCs w:val="21"/>
        </w:rPr>
        <w:t xml:space="preserve">no </w:t>
      </w:r>
      <w:r w:rsidRPr="00996066">
        <w:rPr>
          <w:rFonts w:cstheme="minorHAnsi"/>
          <w:sz w:val="21"/>
          <w:szCs w:val="21"/>
        </w:rPr>
        <w:t>impairment charge in H1 (0bps Cost of Risk); Non-performing loans (NPLs) were €</w:t>
      </w:r>
      <w:r w:rsidR="0048768B">
        <w:rPr>
          <w:rFonts w:cstheme="minorHAnsi"/>
          <w:sz w:val="21"/>
          <w:szCs w:val="21"/>
        </w:rPr>
        <w:t>387</w:t>
      </w:r>
      <w:r w:rsidRPr="00996066">
        <w:rPr>
          <w:rFonts w:cstheme="minorHAnsi"/>
          <w:sz w:val="21"/>
          <w:szCs w:val="21"/>
        </w:rPr>
        <w:t xml:space="preserve"> </w:t>
      </w:r>
      <w:r w:rsidR="00894899" w:rsidRPr="00996066">
        <w:rPr>
          <w:rFonts w:cstheme="minorHAnsi"/>
          <w:sz w:val="21"/>
          <w:szCs w:val="21"/>
        </w:rPr>
        <w:t>million</w:t>
      </w:r>
      <w:r w:rsidRPr="00996066">
        <w:rPr>
          <w:rFonts w:cstheme="minorHAnsi"/>
          <w:sz w:val="21"/>
          <w:szCs w:val="21"/>
        </w:rPr>
        <w:t xml:space="preserve"> (</w:t>
      </w:r>
      <w:r w:rsidR="009771FE">
        <w:rPr>
          <w:rFonts w:cstheme="minorHAnsi"/>
          <w:sz w:val="21"/>
          <w:szCs w:val="21"/>
        </w:rPr>
        <w:t>1.</w:t>
      </w:r>
      <w:r w:rsidR="00E46F26">
        <w:rPr>
          <w:rFonts w:cstheme="minorHAnsi"/>
          <w:sz w:val="21"/>
          <w:szCs w:val="21"/>
        </w:rPr>
        <w:t>8</w:t>
      </w:r>
      <w:r w:rsidRPr="00996066">
        <w:rPr>
          <w:rFonts w:cstheme="minorHAnsi"/>
          <w:sz w:val="21"/>
          <w:szCs w:val="21"/>
        </w:rPr>
        <w:t xml:space="preserve">% of gross loans) </w:t>
      </w:r>
    </w:p>
    <w:p w14:paraId="6A6E3186" w14:textId="4A60F1B6" w:rsidR="00E46CCC" w:rsidRPr="004223DE" w:rsidRDefault="005C4C14" w:rsidP="00E46CCC">
      <w:pPr>
        <w:spacing w:before="240" w:after="120"/>
        <w:ind w:right="284"/>
        <w:jc w:val="both"/>
        <w:rPr>
          <w:rFonts w:cstheme="minorHAnsi"/>
          <w:b/>
          <w:sz w:val="21"/>
          <w:szCs w:val="21"/>
        </w:rPr>
      </w:pPr>
      <w:r>
        <w:rPr>
          <w:rFonts w:cstheme="minorHAnsi"/>
          <w:b/>
          <w:sz w:val="21"/>
          <w:szCs w:val="21"/>
        </w:rPr>
        <w:t>OTHER HIGHLIGHTS</w:t>
      </w:r>
      <w:r w:rsidR="00E46CCC" w:rsidRPr="004223DE">
        <w:rPr>
          <w:rFonts w:cstheme="minorHAnsi"/>
          <w:b/>
          <w:sz w:val="21"/>
          <w:szCs w:val="21"/>
        </w:rPr>
        <w:t xml:space="preserve">: </w:t>
      </w:r>
    </w:p>
    <w:p w14:paraId="7638FDA0" w14:textId="200F4708" w:rsidR="00C27388" w:rsidRDefault="00C27388" w:rsidP="00C27388">
      <w:pPr>
        <w:pStyle w:val="ListParagraph"/>
        <w:numPr>
          <w:ilvl w:val="0"/>
          <w:numId w:val="23"/>
        </w:numPr>
        <w:spacing w:before="120" w:after="120"/>
        <w:ind w:right="284"/>
        <w:jc w:val="both"/>
        <w:rPr>
          <w:rFonts w:cstheme="minorHAnsi"/>
          <w:sz w:val="21"/>
          <w:szCs w:val="21"/>
        </w:rPr>
      </w:pPr>
      <w:r>
        <w:rPr>
          <w:rFonts w:cstheme="minorHAnsi"/>
          <w:sz w:val="21"/>
          <w:szCs w:val="21"/>
        </w:rPr>
        <w:t xml:space="preserve">Our </w:t>
      </w:r>
      <w:r w:rsidRPr="00F63092">
        <w:rPr>
          <w:rFonts w:cstheme="minorHAnsi"/>
          <w:sz w:val="21"/>
          <w:szCs w:val="21"/>
        </w:rPr>
        <w:t xml:space="preserve">IRB </w:t>
      </w:r>
      <w:r>
        <w:rPr>
          <w:rFonts w:cstheme="minorHAnsi"/>
          <w:sz w:val="21"/>
          <w:szCs w:val="21"/>
        </w:rPr>
        <w:t xml:space="preserve">mortgage </w:t>
      </w:r>
      <w:r w:rsidRPr="00F63092">
        <w:rPr>
          <w:rFonts w:cstheme="minorHAnsi"/>
          <w:sz w:val="21"/>
          <w:szCs w:val="21"/>
        </w:rPr>
        <w:t xml:space="preserve">model </w:t>
      </w:r>
      <w:r w:rsidR="00F074C1">
        <w:rPr>
          <w:rFonts w:cstheme="minorHAnsi"/>
          <w:sz w:val="21"/>
          <w:szCs w:val="21"/>
        </w:rPr>
        <w:t xml:space="preserve">application </w:t>
      </w:r>
      <w:r>
        <w:rPr>
          <w:rFonts w:cstheme="minorHAnsi"/>
          <w:sz w:val="21"/>
          <w:szCs w:val="21"/>
        </w:rPr>
        <w:t>was</w:t>
      </w:r>
      <w:r w:rsidRPr="00F63092">
        <w:rPr>
          <w:rFonts w:cstheme="minorHAnsi"/>
          <w:sz w:val="21"/>
          <w:szCs w:val="21"/>
        </w:rPr>
        <w:t xml:space="preserve"> submi</w:t>
      </w:r>
      <w:r>
        <w:rPr>
          <w:rFonts w:cstheme="minorHAnsi"/>
          <w:sz w:val="21"/>
          <w:szCs w:val="21"/>
        </w:rPr>
        <w:t>tted</w:t>
      </w:r>
      <w:r w:rsidRPr="00F63092">
        <w:rPr>
          <w:rFonts w:cstheme="minorHAnsi"/>
          <w:sz w:val="21"/>
          <w:szCs w:val="21"/>
        </w:rPr>
        <w:t xml:space="preserve"> to the Central Bank of Ireland </w:t>
      </w:r>
      <w:r>
        <w:rPr>
          <w:rFonts w:cstheme="minorHAnsi"/>
          <w:sz w:val="21"/>
          <w:szCs w:val="21"/>
        </w:rPr>
        <w:t>on May 30</w:t>
      </w:r>
      <w:r w:rsidRPr="00F074C1">
        <w:rPr>
          <w:rFonts w:cstheme="minorHAnsi"/>
          <w:sz w:val="21"/>
          <w:szCs w:val="21"/>
          <w:vertAlign w:val="superscript"/>
        </w:rPr>
        <w:t>th</w:t>
      </w:r>
    </w:p>
    <w:p w14:paraId="3B97C7E5" w14:textId="602D353F" w:rsidR="00C27388" w:rsidRDefault="004A26BE" w:rsidP="009217D7">
      <w:pPr>
        <w:pStyle w:val="ListParagraph"/>
        <w:numPr>
          <w:ilvl w:val="0"/>
          <w:numId w:val="23"/>
        </w:numPr>
        <w:spacing w:before="120" w:after="120"/>
        <w:ind w:right="237"/>
        <w:jc w:val="both"/>
        <w:rPr>
          <w:rFonts w:cstheme="minorHAnsi"/>
          <w:sz w:val="21"/>
          <w:szCs w:val="21"/>
        </w:rPr>
      </w:pPr>
      <w:r>
        <w:rPr>
          <w:rFonts w:cstheme="minorHAnsi"/>
          <w:sz w:val="21"/>
          <w:szCs w:val="21"/>
        </w:rPr>
        <w:lastRenderedPageBreak/>
        <w:t>The Bank continues to expect a reduction in staff numbers of c. 300 in 2025 through a combination of the Bank’s voluntary severance scheme</w:t>
      </w:r>
      <w:r w:rsidR="00C56C93">
        <w:rPr>
          <w:rFonts w:cstheme="minorHAnsi"/>
          <w:sz w:val="21"/>
          <w:szCs w:val="21"/>
        </w:rPr>
        <w:t xml:space="preserve"> </w:t>
      </w:r>
      <w:r>
        <w:rPr>
          <w:rFonts w:cstheme="minorHAnsi"/>
          <w:sz w:val="21"/>
          <w:szCs w:val="21"/>
        </w:rPr>
        <w:t>and natural attrition</w:t>
      </w:r>
    </w:p>
    <w:p w14:paraId="02AA2468" w14:textId="70083988" w:rsidR="00C3356E" w:rsidRPr="00C3356E" w:rsidRDefault="008207A6" w:rsidP="00C3356E">
      <w:pPr>
        <w:pStyle w:val="ListParagraph"/>
        <w:numPr>
          <w:ilvl w:val="0"/>
          <w:numId w:val="23"/>
        </w:numPr>
        <w:spacing w:before="120" w:after="120"/>
        <w:ind w:right="237"/>
        <w:jc w:val="both"/>
        <w:rPr>
          <w:rFonts w:cstheme="minorHAnsi"/>
          <w:sz w:val="21"/>
          <w:szCs w:val="21"/>
        </w:rPr>
      </w:pPr>
      <w:r w:rsidRPr="00C27388">
        <w:rPr>
          <w:rFonts w:cstheme="minorHAnsi"/>
          <w:sz w:val="21"/>
          <w:szCs w:val="21"/>
        </w:rPr>
        <w:t>Total new lending of €</w:t>
      </w:r>
      <w:r w:rsidR="007E2217" w:rsidRPr="00C27388">
        <w:rPr>
          <w:rFonts w:cstheme="minorHAnsi"/>
          <w:sz w:val="21"/>
          <w:szCs w:val="21"/>
        </w:rPr>
        <w:t>1.6</w:t>
      </w:r>
      <w:r w:rsidRPr="00C27388">
        <w:rPr>
          <w:rFonts w:cstheme="minorHAnsi"/>
          <w:sz w:val="21"/>
          <w:szCs w:val="21"/>
        </w:rPr>
        <w:t xml:space="preserve"> billion</w:t>
      </w:r>
      <w:r w:rsidR="00C56C93">
        <w:rPr>
          <w:rFonts w:cstheme="minorHAnsi"/>
          <w:sz w:val="21"/>
          <w:szCs w:val="21"/>
        </w:rPr>
        <w:t>,</w:t>
      </w:r>
      <w:r w:rsidR="00C44753" w:rsidRPr="00C27388">
        <w:rPr>
          <w:rFonts w:cstheme="minorHAnsi"/>
          <w:sz w:val="21"/>
          <w:szCs w:val="21"/>
        </w:rPr>
        <w:t xml:space="preserve"> </w:t>
      </w:r>
      <w:r w:rsidR="00F60AA1" w:rsidRPr="00C27388">
        <w:rPr>
          <w:rFonts w:cstheme="minorHAnsi"/>
          <w:sz w:val="21"/>
          <w:szCs w:val="21"/>
        </w:rPr>
        <w:t>up 6</w:t>
      </w:r>
      <w:r w:rsidR="00114820" w:rsidRPr="00C27388">
        <w:rPr>
          <w:rFonts w:cstheme="minorHAnsi"/>
          <w:sz w:val="21"/>
          <w:szCs w:val="21"/>
        </w:rPr>
        <w:t>6</w:t>
      </w:r>
      <w:r w:rsidR="00F60AA1" w:rsidRPr="00C27388">
        <w:rPr>
          <w:rFonts w:cstheme="minorHAnsi"/>
          <w:sz w:val="21"/>
          <w:szCs w:val="21"/>
        </w:rPr>
        <w:t>%</w:t>
      </w:r>
    </w:p>
    <w:p w14:paraId="32166CB1" w14:textId="5A7B383B" w:rsidR="002B0D0E" w:rsidRDefault="008207A6" w:rsidP="006C521C">
      <w:pPr>
        <w:pStyle w:val="ListParagraph"/>
        <w:numPr>
          <w:ilvl w:val="0"/>
          <w:numId w:val="23"/>
        </w:numPr>
        <w:spacing w:before="120" w:after="120"/>
        <w:ind w:left="714" w:right="284" w:hanging="357"/>
        <w:jc w:val="both"/>
        <w:rPr>
          <w:rFonts w:cstheme="minorHAnsi"/>
          <w:sz w:val="21"/>
          <w:szCs w:val="21"/>
        </w:rPr>
      </w:pPr>
      <w:r w:rsidRPr="002B0D0E">
        <w:rPr>
          <w:rFonts w:cstheme="minorHAnsi"/>
          <w:sz w:val="21"/>
          <w:szCs w:val="21"/>
        </w:rPr>
        <w:t>New Mortgage lending of €</w:t>
      </w:r>
      <w:r w:rsidR="007E2217" w:rsidRPr="002B0D0E">
        <w:rPr>
          <w:rFonts w:cstheme="minorHAnsi"/>
          <w:sz w:val="21"/>
          <w:szCs w:val="21"/>
        </w:rPr>
        <w:t>1.3</w:t>
      </w:r>
      <w:r w:rsidRPr="002B0D0E">
        <w:rPr>
          <w:rFonts w:cstheme="minorHAnsi"/>
          <w:sz w:val="21"/>
          <w:szCs w:val="21"/>
        </w:rPr>
        <w:t xml:space="preserve"> billion</w:t>
      </w:r>
      <w:r w:rsidR="0044735C" w:rsidRPr="002B0D0E">
        <w:rPr>
          <w:rFonts w:cstheme="minorHAnsi"/>
          <w:sz w:val="21"/>
          <w:szCs w:val="21"/>
        </w:rPr>
        <w:t xml:space="preserve"> up </w:t>
      </w:r>
      <w:r w:rsidR="001F040F" w:rsidRPr="002B0D0E">
        <w:rPr>
          <w:rFonts w:cstheme="minorHAnsi"/>
          <w:sz w:val="21"/>
          <w:szCs w:val="21"/>
        </w:rPr>
        <w:t>84</w:t>
      </w:r>
      <w:r w:rsidR="0044735C" w:rsidRPr="002B0D0E">
        <w:rPr>
          <w:rFonts w:cstheme="minorHAnsi"/>
          <w:sz w:val="21"/>
          <w:szCs w:val="21"/>
        </w:rPr>
        <w:t>%</w:t>
      </w:r>
      <w:r w:rsidR="00CB13BB" w:rsidRPr="002B0D0E">
        <w:rPr>
          <w:rFonts w:cstheme="minorHAnsi"/>
          <w:sz w:val="21"/>
          <w:szCs w:val="21"/>
        </w:rPr>
        <w:t xml:space="preserve"> </w:t>
      </w:r>
      <w:r w:rsidR="004D5320">
        <w:rPr>
          <w:rFonts w:cstheme="minorHAnsi"/>
          <w:sz w:val="21"/>
          <w:szCs w:val="21"/>
        </w:rPr>
        <w:t>and our</w:t>
      </w:r>
      <w:r w:rsidR="00C5348E" w:rsidRPr="002B0D0E">
        <w:rPr>
          <w:rFonts w:cstheme="minorHAnsi"/>
          <w:sz w:val="21"/>
          <w:szCs w:val="21"/>
        </w:rPr>
        <w:t xml:space="preserve"> share</w:t>
      </w:r>
      <w:r w:rsidR="00CF1ACA" w:rsidRPr="002B0D0E">
        <w:rPr>
          <w:rFonts w:cstheme="minorHAnsi"/>
          <w:sz w:val="21"/>
          <w:szCs w:val="21"/>
        </w:rPr>
        <w:t xml:space="preserve"> </w:t>
      </w:r>
      <w:r w:rsidR="004D5320">
        <w:rPr>
          <w:rFonts w:cstheme="minorHAnsi"/>
          <w:sz w:val="21"/>
          <w:szCs w:val="21"/>
        </w:rPr>
        <w:t xml:space="preserve">of this market </w:t>
      </w:r>
      <w:r w:rsidR="00942FA3" w:rsidRPr="002B0D0E">
        <w:rPr>
          <w:rFonts w:cstheme="minorHAnsi"/>
          <w:sz w:val="21"/>
          <w:szCs w:val="21"/>
        </w:rPr>
        <w:t xml:space="preserve">increased to </w:t>
      </w:r>
      <w:r w:rsidR="006B154C" w:rsidRPr="002B0D0E">
        <w:rPr>
          <w:rFonts w:cstheme="minorHAnsi"/>
          <w:sz w:val="21"/>
          <w:szCs w:val="21"/>
        </w:rPr>
        <w:t xml:space="preserve">over </w:t>
      </w:r>
      <w:r w:rsidR="00942FA3" w:rsidRPr="002B0D0E">
        <w:rPr>
          <w:rFonts w:cstheme="minorHAnsi"/>
          <w:sz w:val="21"/>
          <w:szCs w:val="21"/>
        </w:rPr>
        <w:t>20%</w:t>
      </w:r>
      <w:r w:rsidR="009054E2">
        <w:rPr>
          <w:rStyle w:val="FootnoteReference"/>
          <w:rFonts w:cstheme="minorHAnsi"/>
          <w:sz w:val="21"/>
          <w:szCs w:val="21"/>
        </w:rPr>
        <w:footnoteReference w:id="4"/>
      </w:r>
      <w:r w:rsidR="00942FA3" w:rsidRPr="002B0D0E">
        <w:rPr>
          <w:rFonts w:cstheme="minorHAnsi"/>
          <w:sz w:val="21"/>
          <w:szCs w:val="21"/>
        </w:rPr>
        <w:t xml:space="preserve"> in </w:t>
      </w:r>
      <w:r w:rsidR="006B154C" w:rsidRPr="002B0D0E">
        <w:rPr>
          <w:rFonts w:cstheme="minorHAnsi"/>
          <w:sz w:val="21"/>
          <w:szCs w:val="21"/>
        </w:rPr>
        <w:t>H1</w:t>
      </w:r>
      <w:r w:rsidR="00C44753" w:rsidRPr="002B0D0E">
        <w:rPr>
          <w:rFonts w:cstheme="minorHAnsi"/>
          <w:sz w:val="21"/>
          <w:szCs w:val="21"/>
        </w:rPr>
        <w:t xml:space="preserve"> </w:t>
      </w:r>
      <w:r w:rsidR="006B154C" w:rsidRPr="002B0D0E">
        <w:rPr>
          <w:rFonts w:cstheme="minorHAnsi"/>
          <w:sz w:val="21"/>
          <w:szCs w:val="21"/>
        </w:rPr>
        <w:t>(13.5%</w:t>
      </w:r>
      <w:r w:rsidR="00C0221F">
        <w:rPr>
          <w:rFonts w:cstheme="minorHAnsi"/>
          <w:sz w:val="21"/>
          <w:szCs w:val="21"/>
        </w:rPr>
        <w:t xml:space="preserve"> in H1 2024</w:t>
      </w:r>
      <w:r w:rsidR="006B154C" w:rsidRPr="002B0D0E">
        <w:rPr>
          <w:rFonts w:cstheme="minorHAnsi"/>
          <w:sz w:val="21"/>
          <w:szCs w:val="21"/>
        </w:rPr>
        <w:t>)</w:t>
      </w:r>
      <w:r w:rsidR="00C533DE">
        <w:rPr>
          <w:rFonts w:cstheme="minorHAnsi"/>
          <w:sz w:val="21"/>
          <w:szCs w:val="21"/>
        </w:rPr>
        <w:t xml:space="preserve">. </w:t>
      </w:r>
      <w:r w:rsidR="004A1856">
        <w:rPr>
          <w:rFonts w:cstheme="minorHAnsi"/>
          <w:sz w:val="21"/>
          <w:szCs w:val="21"/>
        </w:rPr>
        <w:t xml:space="preserve">Our </w:t>
      </w:r>
      <w:r w:rsidR="001158E0">
        <w:rPr>
          <w:rFonts w:cstheme="minorHAnsi"/>
          <w:sz w:val="21"/>
          <w:szCs w:val="21"/>
        </w:rPr>
        <w:t>G</w:t>
      </w:r>
      <w:r w:rsidR="00C3356E">
        <w:rPr>
          <w:rFonts w:cstheme="minorHAnsi"/>
          <w:sz w:val="21"/>
          <w:szCs w:val="21"/>
        </w:rPr>
        <w:t>ross</w:t>
      </w:r>
      <w:r w:rsidR="004A1856">
        <w:rPr>
          <w:rFonts w:cstheme="minorHAnsi"/>
          <w:sz w:val="21"/>
          <w:szCs w:val="21"/>
        </w:rPr>
        <w:t xml:space="preserve"> </w:t>
      </w:r>
      <w:r w:rsidR="001158E0">
        <w:rPr>
          <w:rFonts w:cstheme="minorHAnsi"/>
          <w:sz w:val="21"/>
          <w:szCs w:val="21"/>
        </w:rPr>
        <w:t>M</w:t>
      </w:r>
      <w:r w:rsidR="00C533DE">
        <w:rPr>
          <w:rFonts w:cstheme="minorHAnsi"/>
          <w:sz w:val="21"/>
          <w:szCs w:val="21"/>
        </w:rPr>
        <w:t xml:space="preserve">ortgage </w:t>
      </w:r>
      <w:r w:rsidR="004A1856">
        <w:rPr>
          <w:rFonts w:cstheme="minorHAnsi"/>
          <w:sz w:val="21"/>
          <w:szCs w:val="21"/>
        </w:rPr>
        <w:t>book grew</w:t>
      </w:r>
      <w:r w:rsidR="00C533DE">
        <w:rPr>
          <w:rFonts w:cstheme="minorHAnsi"/>
          <w:sz w:val="21"/>
          <w:szCs w:val="21"/>
        </w:rPr>
        <w:t xml:space="preserve"> 3%</w:t>
      </w:r>
    </w:p>
    <w:p w14:paraId="5ECCF18B" w14:textId="2EAEB328" w:rsidR="002B0D0E" w:rsidRDefault="00E715BF" w:rsidP="009F7E8D">
      <w:pPr>
        <w:pStyle w:val="ListParagraph"/>
        <w:numPr>
          <w:ilvl w:val="0"/>
          <w:numId w:val="23"/>
        </w:numPr>
        <w:spacing w:before="120" w:after="120"/>
        <w:ind w:left="714" w:right="284" w:hanging="357"/>
        <w:jc w:val="both"/>
        <w:rPr>
          <w:rFonts w:cstheme="minorHAnsi"/>
          <w:sz w:val="21"/>
          <w:szCs w:val="21"/>
        </w:rPr>
      </w:pPr>
      <w:r>
        <w:rPr>
          <w:rFonts w:cstheme="minorHAnsi"/>
          <w:sz w:val="21"/>
          <w:szCs w:val="21"/>
        </w:rPr>
        <w:t xml:space="preserve">New </w:t>
      </w:r>
      <w:r w:rsidRPr="002B0D0E">
        <w:rPr>
          <w:rFonts w:cstheme="minorHAnsi"/>
          <w:sz w:val="21"/>
          <w:szCs w:val="21"/>
        </w:rPr>
        <w:t xml:space="preserve">lending </w:t>
      </w:r>
      <w:r>
        <w:rPr>
          <w:rFonts w:cstheme="minorHAnsi"/>
          <w:sz w:val="21"/>
          <w:szCs w:val="21"/>
        </w:rPr>
        <w:t xml:space="preserve">in </w:t>
      </w:r>
      <w:r w:rsidR="00C2640E" w:rsidRPr="002B0D0E">
        <w:rPr>
          <w:rFonts w:cstheme="minorHAnsi"/>
          <w:sz w:val="21"/>
          <w:szCs w:val="21"/>
        </w:rPr>
        <w:t>Business Banking (</w:t>
      </w:r>
      <w:r w:rsidR="002D2F94" w:rsidRPr="002B0D0E">
        <w:rPr>
          <w:rFonts w:cstheme="minorHAnsi"/>
          <w:sz w:val="21"/>
          <w:szCs w:val="21"/>
        </w:rPr>
        <w:t>SME</w:t>
      </w:r>
      <w:r w:rsidR="00C2640E" w:rsidRPr="002B0D0E">
        <w:rPr>
          <w:rFonts w:cstheme="minorHAnsi"/>
          <w:sz w:val="21"/>
          <w:szCs w:val="21"/>
        </w:rPr>
        <w:t xml:space="preserve"> </w:t>
      </w:r>
      <w:r w:rsidR="009771FE">
        <w:rPr>
          <w:rFonts w:cstheme="minorHAnsi"/>
          <w:sz w:val="21"/>
          <w:szCs w:val="21"/>
        </w:rPr>
        <w:t>&amp;</w:t>
      </w:r>
      <w:r w:rsidR="00C2640E" w:rsidRPr="002B0D0E">
        <w:rPr>
          <w:rFonts w:cstheme="minorHAnsi"/>
          <w:sz w:val="21"/>
          <w:szCs w:val="21"/>
        </w:rPr>
        <w:t xml:space="preserve"> Asset Finance) </w:t>
      </w:r>
      <w:r>
        <w:rPr>
          <w:rFonts w:cstheme="minorHAnsi"/>
          <w:sz w:val="21"/>
          <w:szCs w:val="21"/>
        </w:rPr>
        <w:t xml:space="preserve">up 23% and growth in the </w:t>
      </w:r>
      <w:r w:rsidR="004A1856">
        <w:rPr>
          <w:rFonts w:cstheme="minorHAnsi"/>
          <w:sz w:val="21"/>
          <w:szCs w:val="21"/>
        </w:rPr>
        <w:t>book</w:t>
      </w:r>
      <w:r>
        <w:rPr>
          <w:rFonts w:cstheme="minorHAnsi"/>
          <w:sz w:val="21"/>
          <w:szCs w:val="21"/>
        </w:rPr>
        <w:t xml:space="preserve"> of </w:t>
      </w:r>
      <w:r w:rsidR="00E23831">
        <w:rPr>
          <w:rFonts w:cstheme="minorHAnsi"/>
          <w:sz w:val="21"/>
          <w:szCs w:val="21"/>
        </w:rPr>
        <w:t>14</w:t>
      </w:r>
      <w:r w:rsidR="004A1856">
        <w:rPr>
          <w:rFonts w:cstheme="minorHAnsi"/>
          <w:sz w:val="21"/>
          <w:szCs w:val="21"/>
        </w:rPr>
        <w:t>%</w:t>
      </w:r>
    </w:p>
    <w:p w14:paraId="74DE2580" w14:textId="103B3A5B" w:rsidR="002B0D0E" w:rsidRDefault="00C82AC4" w:rsidP="00B51DEE">
      <w:pPr>
        <w:pStyle w:val="ListParagraph"/>
        <w:numPr>
          <w:ilvl w:val="0"/>
          <w:numId w:val="23"/>
        </w:numPr>
        <w:spacing w:before="120" w:after="120"/>
        <w:ind w:left="714" w:right="284" w:hanging="357"/>
        <w:jc w:val="both"/>
        <w:rPr>
          <w:rFonts w:cstheme="minorHAnsi"/>
          <w:sz w:val="21"/>
          <w:szCs w:val="21"/>
        </w:rPr>
      </w:pPr>
      <w:r w:rsidRPr="002B0D0E">
        <w:rPr>
          <w:rFonts w:eastAsia="Times New Roman"/>
          <w:sz w:val="21"/>
          <w:szCs w:val="21"/>
          <w:lang w:eastAsia="en-IE"/>
        </w:rPr>
        <w:t>Fitch further upgraded the rating of PTSB Group Holdings by one notch to BBB</w:t>
      </w:r>
    </w:p>
    <w:p w14:paraId="1B6D07F5" w14:textId="7DEC68A6" w:rsidR="004A26BE" w:rsidRDefault="00716984" w:rsidP="00B0427C">
      <w:pPr>
        <w:pStyle w:val="ListParagraph"/>
        <w:numPr>
          <w:ilvl w:val="0"/>
          <w:numId w:val="23"/>
        </w:numPr>
        <w:spacing w:before="120" w:after="120"/>
        <w:ind w:left="714" w:right="284" w:hanging="357"/>
        <w:jc w:val="both"/>
        <w:rPr>
          <w:rFonts w:cstheme="minorHAnsi"/>
          <w:sz w:val="21"/>
          <w:szCs w:val="21"/>
        </w:rPr>
      </w:pPr>
      <w:r>
        <w:rPr>
          <w:rFonts w:cstheme="minorHAnsi"/>
          <w:sz w:val="21"/>
          <w:szCs w:val="21"/>
        </w:rPr>
        <w:t>NatWest</w:t>
      </w:r>
      <w:r w:rsidR="004A26BE">
        <w:rPr>
          <w:rFonts w:cstheme="minorHAnsi"/>
          <w:sz w:val="21"/>
          <w:szCs w:val="21"/>
        </w:rPr>
        <w:t xml:space="preserve"> sold its remaining 11.7% </w:t>
      </w:r>
      <w:r w:rsidR="00A84CBB">
        <w:rPr>
          <w:rFonts w:cstheme="minorHAnsi"/>
          <w:sz w:val="21"/>
          <w:szCs w:val="21"/>
        </w:rPr>
        <w:t>stake</w:t>
      </w:r>
      <w:r w:rsidR="004A26BE">
        <w:rPr>
          <w:rFonts w:cstheme="minorHAnsi"/>
          <w:sz w:val="21"/>
          <w:szCs w:val="21"/>
        </w:rPr>
        <w:t xml:space="preserve"> bringing the Bank’s free float shareholding to 42.5% and marking another important step in normalising the composition of our share</w:t>
      </w:r>
      <w:r w:rsidR="00A84CBB">
        <w:rPr>
          <w:rFonts w:cstheme="minorHAnsi"/>
          <w:sz w:val="21"/>
          <w:szCs w:val="21"/>
        </w:rPr>
        <w:t xml:space="preserve"> register</w:t>
      </w:r>
    </w:p>
    <w:p w14:paraId="02B147CB" w14:textId="44290706" w:rsidR="00C27388" w:rsidRDefault="00C27388" w:rsidP="00B0427C">
      <w:pPr>
        <w:pStyle w:val="ListParagraph"/>
        <w:numPr>
          <w:ilvl w:val="0"/>
          <w:numId w:val="23"/>
        </w:numPr>
        <w:spacing w:before="120" w:after="120"/>
        <w:ind w:left="714" w:right="284" w:hanging="357"/>
        <w:jc w:val="both"/>
        <w:rPr>
          <w:rFonts w:cstheme="minorHAnsi"/>
          <w:sz w:val="21"/>
          <w:szCs w:val="21"/>
        </w:rPr>
      </w:pPr>
      <w:r w:rsidRPr="002B0D0E">
        <w:rPr>
          <w:rFonts w:cstheme="minorHAnsi"/>
          <w:sz w:val="21"/>
          <w:szCs w:val="21"/>
        </w:rPr>
        <w:t>The Bank expects to return to making shareholder distributions next year</w:t>
      </w:r>
      <w:r w:rsidR="00C56C93">
        <w:rPr>
          <w:rFonts w:cstheme="minorHAnsi"/>
          <w:sz w:val="21"/>
          <w:szCs w:val="21"/>
        </w:rPr>
        <w:t xml:space="preserve"> (2026)</w:t>
      </w:r>
      <w:r w:rsidR="001158E0">
        <w:rPr>
          <w:rFonts w:cstheme="minorHAnsi"/>
          <w:sz w:val="21"/>
          <w:szCs w:val="21"/>
        </w:rPr>
        <w:t>,</w:t>
      </w:r>
      <w:r w:rsidRPr="002B0D0E">
        <w:rPr>
          <w:rFonts w:cstheme="minorHAnsi"/>
          <w:sz w:val="21"/>
          <w:szCs w:val="21"/>
        </w:rPr>
        <w:t xml:space="preserve"> subject to financial position and required approval</w:t>
      </w:r>
      <w:r w:rsidR="004A26BE">
        <w:rPr>
          <w:rFonts w:cstheme="minorHAnsi"/>
          <w:sz w:val="21"/>
          <w:szCs w:val="21"/>
        </w:rPr>
        <w:t>s</w:t>
      </w:r>
    </w:p>
    <w:p w14:paraId="2EC8EAFA" w14:textId="77777777" w:rsidR="004A26BE" w:rsidRPr="002B0D0E" w:rsidRDefault="004A26BE" w:rsidP="004A26BE">
      <w:pPr>
        <w:pStyle w:val="ListParagraph"/>
        <w:spacing w:before="120" w:after="120"/>
        <w:ind w:left="714" w:right="284"/>
        <w:jc w:val="both"/>
        <w:rPr>
          <w:rFonts w:cstheme="minorHAnsi"/>
          <w:sz w:val="21"/>
          <w:szCs w:val="21"/>
        </w:rPr>
      </w:pPr>
    </w:p>
    <w:p w14:paraId="4587AB15" w14:textId="5183D38C" w:rsidR="005C4C14" w:rsidRDefault="005C4C14" w:rsidP="00ED1484">
      <w:pPr>
        <w:spacing w:after="0" w:line="230" w:lineRule="atLeast"/>
        <w:ind w:right="238"/>
        <w:rPr>
          <w:rFonts w:cstheme="minorHAnsi"/>
          <w:b/>
          <w:sz w:val="21"/>
          <w:szCs w:val="21"/>
        </w:rPr>
      </w:pPr>
      <w:bookmarkStart w:id="1" w:name="_Hlk204612372"/>
      <w:r>
        <w:rPr>
          <w:rFonts w:cstheme="minorHAnsi"/>
          <w:b/>
          <w:sz w:val="21"/>
          <w:szCs w:val="21"/>
        </w:rPr>
        <w:t>FINANCIAL PERFORMANCE</w:t>
      </w:r>
    </w:p>
    <w:p w14:paraId="6771BE42" w14:textId="6774B0A9" w:rsidR="00BE02A3" w:rsidRPr="002E7620" w:rsidRDefault="005C4C14" w:rsidP="00ED1484">
      <w:pPr>
        <w:spacing w:after="0" w:line="230" w:lineRule="atLeast"/>
        <w:ind w:right="238"/>
        <w:rPr>
          <w:rFonts w:cstheme="minorHAnsi"/>
          <w:b/>
          <w:sz w:val="18"/>
          <w:szCs w:val="18"/>
        </w:rPr>
      </w:pPr>
      <w:r w:rsidRPr="002E7620">
        <w:rPr>
          <w:rFonts w:cstheme="minorHAnsi"/>
          <w:b/>
          <w:sz w:val="18"/>
          <w:szCs w:val="18"/>
        </w:rPr>
        <w:t>(</w:t>
      </w:r>
      <w:r w:rsidRPr="002E7620">
        <w:rPr>
          <w:rFonts w:cstheme="minorHAnsi"/>
          <w:b/>
          <w:i/>
          <w:iCs/>
          <w:sz w:val="18"/>
          <w:szCs w:val="18"/>
        </w:rPr>
        <w:t xml:space="preserve">all comparisons vs. </w:t>
      </w:r>
      <w:r w:rsidR="000A0ED9">
        <w:rPr>
          <w:rFonts w:cstheme="minorHAnsi"/>
          <w:b/>
          <w:i/>
          <w:iCs/>
          <w:sz w:val="18"/>
          <w:szCs w:val="18"/>
        </w:rPr>
        <w:t xml:space="preserve">H1 </w:t>
      </w:r>
      <w:r w:rsidRPr="002E7620">
        <w:rPr>
          <w:rFonts w:cstheme="minorHAnsi"/>
          <w:b/>
          <w:i/>
          <w:iCs/>
          <w:sz w:val="18"/>
          <w:szCs w:val="18"/>
        </w:rPr>
        <w:t>202</w:t>
      </w:r>
      <w:r w:rsidR="000A0ED9">
        <w:rPr>
          <w:rFonts w:cstheme="minorHAnsi"/>
          <w:b/>
          <w:i/>
          <w:iCs/>
          <w:sz w:val="18"/>
          <w:szCs w:val="18"/>
        </w:rPr>
        <w:t>4</w:t>
      </w:r>
      <w:r w:rsidRPr="002E7620">
        <w:rPr>
          <w:rFonts w:cstheme="minorHAnsi"/>
          <w:b/>
          <w:i/>
          <w:iCs/>
          <w:sz w:val="18"/>
          <w:szCs w:val="18"/>
        </w:rPr>
        <w:t xml:space="preserve"> unless otherwise stated</w:t>
      </w:r>
      <w:r w:rsidRPr="002E7620">
        <w:rPr>
          <w:rFonts w:cstheme="minorHAnsi"/>
          <w:b/>
          <w:sz w:val="18"/>
          <w:szCs w:val="18"/>
        </w:rPr>
        <w:t>)</w:t>
      </w:r>
    </w:p>
    <w:p w14:paraId="131EA437" w14:textId="666FBB4F" w:rsidR="00083DDA" w:rsidRPr="00295CA2" w:rsidRDefault="00083DDA" w:rsidP="00ED1484">
      <w:pPr>
        <w:spacing w:before="120" w:after="240" w:line="230" w:lineRule="atLeast"/>
        <w:ind w:right="237"/>
        <w:jc w:val="both"/>
        <w:rPr>
          <w:rFonts w:cstheme="minorHAnsi"/>
          <w:sz w:val="21"/>
          <w:szCs w:val="21"/>
          <w:highlight w:val="cyan"/>
        </w:rPr>
      </w:pPr>
      <w:r w:rsidRPr="00295CA2">
        <w:rPr>
          <w:rFonts w:cstheme="minorHAnsi"/>
          <w:b/>
          <w:sz w:val="21"/>
          <w:szCs w:val="21"/>
        </w:rPr>
        <w:t>Income</w:t>
      </w:r>
    </w:p>
    <w:p w14:paraId="208006EA" w14:textId="2713C070" w:rsidR="003B1C17" w:rsidRDefault="003B1C17" w:rsidP="003B1C17">
      <w:pPr>
        <w:spacing w:after="0" w:line="230" w:lineRule="atLeast"/>
        <w:ind w:right="238"/>
        <w:jc w:val="both"/>
        <w:rPr>
          <w:rFonts w:eastAsia="Times New Roman" w:cstheme="minorHAnsi"/>
          <w:color w:val="000000"/>
          <w:sz w:val="21"/>
          <w:szCs w:val="21"/>
          <w:lang w:eastAsia="en-IE"/>
        </w:rPr>
      </w:pPr>
      <w:bookmarkStart w:id="2" w:name="_Hlk202792079"/>
      <w:r w:rsidRPr="002E038C">
        <w:rPr>
          <w:rFonts w:eastAsia="Times New Roman" w:cstheme="minorHAnsi"/>
          <w:color w:val="000000"/>
          <w:sz w:val="21"/>
          <w:szCs w:val="21"/>
          <w:lang w:eastAsia="en-IE"/>
        </w:rPr>
        <w:t xml:space="preserve">Net </w:t>
      </w:r>
      <w:r>
        <w:rPr>
          <w:rFonts w:eastAsia="Times New Roman" w:cstheme="minorHAnsi"/>
          <w:color w:val="000000"/>
          <w:sz w:val="21"/>
          <w:szCs w:val="21"/>
          <w:lang w:eastAsia="en-IE"/>
        </w:rPr>
        <w:t>i</w:t>
      </w:r>
      <w:r w:rsidRPr="002E038C">
        <w:rPr>
          <w:rFonts w:eastAsia="Times New Roman" w:cstheme="minorHAnsi"/>
          <w:color w:val="000000"/>
          <w:sz w:val="21"/>
          <w:szCs w:val="21"/>
          <w:lang w:eastAsia="en-IE"/>
        </w:rPr>
        <w:t xml:space="preserve">nterest </w:t>
      </w:r>
      <w:r>
        <w:rPr>
          <w:rFonts w:eastAsia="Times New Roman" w:cstheme="minorHAnsi"/>
          <w:color w:val="000000"/>
          <w:sz w:val="21"/>
          <w:szCs w:val="21"/>
          <w:lang w:eastAsia="en-IE"/>
        </w:rPr>
        <w:t>i</w:t>
      </w:r>
      <w:r w:rsidRPr="002E038C">
        <w:rPr>
          <w:rFonts w:eastAsia="Times New Roman" w:cstheme="minorHAnsi"/>
          <w:color w:val="000000"/>
          <w:sz w:val="21"/>
          <w:szCs w:val="21"/>
          <w:lang w:eastAsia="en-IE"/>
        </w:rPr>
        <w:t xml:space="preserve">ncome </w:t>
      </w:r>
      <w:r>
        <w:rPr>
          <w:rFonts w:eastAsia="Times New Roman" w:cstheme="minorHAnsi"/>
          <w:color w:val="000000"/>
          <w:sz w:val="21"/>
          <w:szCs w:val="21"/>
          <w:lang w:eastAsia="en-IE"/>
        </w:rPr>
        <w:t>of €</w:t>
      </w:r>
      <w:r w:rsidR="002A1BBD">
        <w:rPr>
          <w:rFonts w:eastAsia="Times New Roman" w:cstheme="minorHAnsi"/>
          <w:color w:val="000000"/>
          <w:sz w:val="21"/>
          <w:szCs w:val="21"/>
          <w:lang w:eastAsia="en-IE"/>
        </w:rPr>
        <w:t>28</w:t>
      </w:r>
      <w:r w:rsidR="00DE6234">
        <w:rPr>
          <w:rFonts w:eastAsia="Times New Roman" w:cstheme="minorHAnsi"/>
          <w:color w:val="000000"/>
          <w:sz w:val="21"/>
          <w:szCs w:val="21"/>
          <w:lang w:eastAsia="en-IE"/>
        </w:rPr>
        <w:t>8</w:t>
      </w:r>
      <w:r>
        <w:rPr>
          <w:rFonts w:eastAsia="Times New Roman" w:cstheme="minorHAnsi"/>
          <w:color w:val="000000"/>
          <w:sz w:val="21"/>
          <w:szCs w:val="21"/>
          <w:lang w:eastAsia="en-IE"/>
        </w:rPr>
        <w:t xml:space="preserve"> million reduced</w:t>
      </w:r>
      <w:r w:rsidRPr="002E038C">
        <w:rPr>
          <w:rFonts w:eastAsia="Times New Roman" w:cstheme="minorHAnsi"/>
          <w:color w:val="000000"/>
          <w:sz w:val="21"/>
          <w:szCs w:val="21"/>
          <w:lang w:eastAsia="en-IE"/>
        </w:rPr>
        <w:t xml:space="preserve"> </w:t>
      </w:r>
      <w:r w:rsidR="00DE6234">
        <w:rPr>
          <w:rFonts w:eastAsia="Times New Roman" w:cstheme="minorHAnsi"/>
          <w:color w:val="000000"/>
          <w:sz w:val="21"/>
          <w:szCs w:val="21"/>
          <w:lang w:eastAsia="en-IE"/>
        </w:rPr>
        <w:t>7</w:t>
      </w:r>
      <w:r w:rsidRPr="002E038C">
        <w:rPr>
          <w:rFonts w:eastAsia="Times New Roman" w:cstheme="minorHAnsi"/>
          <w:color w:val="000000"/>
          <w:sz w:val="21"/>
          <w:szCs w:val="21"/>
          <w:lang w:eastAsia="en-IE"/>
        </w:rPr>
        <w:t>%</w:t>
      </w:r>
      <w:r>
        <w:rPr>
          <w:rFonts w:eastAsia="Times New Roman" w:cstheme="minorHAnsi"/>
          <w:color w:val="000000"/>
          <w:sz w:val="21"/>
          <w:szCs w:val="21"/>
          <w:lang w:eastAsia="en-IE"/>
        </w:rPr>
        <w:t xml:space="preserve"> as the effects of lower interest rates on our margin offset higher average interest</w:t>
      </w:r>
      <w:r w:rsidR="002B0D0E">
        <w:rPr>
          <w:rFonts w:eastAsia="Times New Roman" w:cstheme="minorHAnsi"/>
          <w:color w:val="000000"/>
          <w:sz w:val="21"/>
          <w:szCs w:val="21"/>
          <w:lang w:eastAsia="en-IE"/>
        </w:rPr>
        <w:t xml:space="preserve"> </w:t>
      </w:r>
      <w:r>
        <w:rPr>
          <w:rFonts w:eastAsia="Times New Roman" w:cstheme="minorHAnsi"/>
          <w:color w:val="000000"/>
          <w:sz w:val="21"/>
          <w:szCs w:val="21"/>
          <w:lang w:eastAsia="en-IE"/>
        </w:rPr>
        <w:t>earning assets</w:t>
      </w:r>
      <w:r w:rsidRPr="002E038C">
        <w:rPr>
          <w:rFonts w:eastAsia="Times New Roman" w:cstheme="minorHAnsi"/>
          <w:color w:val="000000"/>
          <w:sz w:val="21"/>
          <w:szCs w:val="21"/>
          <w:lang w:eastAsia="en-IE"/>
        </w:rPr>
        <w:t>.</w:t>
      </w:r>
      <w:r>
        <w:rPr>
          <w:rFonts w:eastAsia="Times New Roman" w:cstheme="minorHAnsi"/>
          <w:color w:val="000000"/>
          <w:sz w:val="21"/>
          <w:szCs w:val="21"/>
          <w:lang w:eastAsia="en-IE"/>
        </w:rPr>
        <w:t xml:space="preserve"> </w:t>
      </w:r>
      <w:r w:rsidRPr="00D75C07">
        <w:rPr>
          <w:rFonts w:eastAsia="Times New Roman" w:cstheme="minorHAnsi"/>
          <w:color w:val="000000"/>
          <w:sz w:val="21"/>
          <w:szCs w:val="21"/>
          <w:lang w:eastAsia="en-IE"/>
        </w:rPr>
        <w:t>NIM was 2.0</w:t>
      </w:r>
      <w:r w:rsidR="00DE6234">
        <w:rPr>
          <w:rFonts w:eastAsia="Times New Roman" w:cstheme="minorHAnsi"/>
          <w:color w:val="000000"/>
          <w:sz w:val="21"/>
          <w:szCs w:val="21"/>
          <w:lang w:eastAsia="en-IE"/>
        </w:rPr>
        <w:t>2</w:t>
      </w:r>
      <w:r w:rsidRPr="00D75C07">
        <w:rPr>
          <w:rFonts w:eastAsia="Times New Roman" w:cstheme="minorHAnsi"/>
          <w:color w:val="000000"/>
          <w:sz w:val="21"/>
          <w:szCs w:val="21"/>
          <w:lang w:eastAsia="en-IE"/>
        </w:rPr>
        <w:t>%</w:t>
      </w:r>
      <w:r w:rsidR="002B0D0E">
        <w:rPr>
          <w:rFonts w:eastAsia="Times New Roman" w:cstheme="minorHAnsi"/>
          <w:color w:val="000000"/>
          <w:sz w:val="21"/>
          <w:szCs w:val="21"/>
          <w:lang w:eastAsia="en-IE"/>
        </w:rPr>
        <w:t>,</w:t>
      </w:r>
      <w:r w:rsidRPr="00D75C07">
        <w:rPr>
          <w:rFonts w:eastAsia="Times New Roman" w:cstheme="minorHAnsi"/>
          <w:color w:val="000000"/>
          <w:sz w:val="21"/>
          <w:szCs w:val="21"/>
          <w:lang w:eastAsia="en-IE"/>
        </w:rPr>
        <w:t xml:space="preserve"> which </w:t>
      </w:r>
      <w:r>
        <w:rPr>
          <w:rFonts w:eastAsia="Times New Roman" w:cstheme="minorHAnsi"/>
          <w:color w:val="000000"/>
          <w:sz w:val="21"/>
          <w:szCs w:val="21"/>
          <w:lang w:eastAsia="en-IE"/>
        </w:rPr>
        <w:t>compares with 2.27% for</w:t>
      </w:r>
      <w:r w:rsidRPr="00D75C07">
        <w:rPr>
          <w:rFonts w:eastAsia="Times New Roman" w:cstheme="minorHAnsi"/>
          <w:color w:val="000000"/>
          <w:sz w:val="21"/>
          <w:szCs w:val="21"/>
          <w:lang w:eastAsia="en-IE"/>
        </w:rPr>
        <w:t xml:space="preserve"> </w:t>
      </w:r>
      <w:r>
        <w:rPr>
          <w:rFonts w:eastAsia="Times New Roman" w:cstheme="minorHAnsi"/>
          <w:color w:val="000000"/>
          <w:sz w:val="21"/>
          <w:szCs w:val="21"/>
          <w:lang w:eastAsia="en-IE"/>
        </w:rPr>
        <w:t>H1 2024</w:t>
      </w:r>
      <w:r w:rsidR="002B0D0E">
        <w:rPr>
          <w:rFonts w:eastAsia="Times New Roman" w:cstheme="minorHAnsi"/>
          <w:color w:val="000000"/>
          <w:sz w:val="21"/>
          <w:szCs w:val="21"/>
          <w:lang w:eastAsia="en-IE"/>
        </w:rPr>
        <w:t xml:space="preserve">. </w:t>
      </w:r>
      <w:r w:rsidR="002B0D0E" w:rsidRPr="002B0D0E">
        <w:t xml:space="preserve"> </w:t>
      </w:r>
    </w:p>
    <w:p w14:paraId="6A9607E9" w14:textId="77777777" w:rsidR="003B1C17" w:rsidRDefault="003B1C17" w:rsidP="003B1C17">
      <w:pPr>
        <w:spacing w:after="0" w:line="230" w:lineRule="atLeast"/>
        <w:ind w:right="238"/>
        <w:jc w:val="both"/>
        <w:rPr>
          <w:rFonts w:eastAsia="Times New Roman" w:cstheme="minorHAnsi"/>
          <w:color w:val="000000"/>
          <w:sz w:val="21"/>
          <w:szCs w:val="21"/>
          <w:lang w:eastAsia="en-IE"/>
        </w:rPr>
      </w:pPr>
    </w:p>
    <w:p w14:paraId="024CCEF2" w14:textId="1FC9457F" w:rsidR="00107878" w:rsidRDefault="003B1C17" w:rsidP="003B1C17">
      <w:pPr>
        <w:spacing w:after="0" w:line="230" w:lineRule="atLeast"/>
        <w:ind w:right="238"/>
        <w:jc w:val="both"/>
        <w:rPr>
          <w:rFonts w:eastAsia="Times New Roman" w:cstheme="minorHAnsi"/>
          <w:color w:val="000000"/>
          <w:sz w:val="21"/>
          <w:szCs w:val="21"/>
          <w:lang w:eastAsia="en-IE"/>
        </w:rPr>
      </w:pPr>
      <w:r>
        <w:rPr>
          <w:rFonts w:eastAsia="Times New Roman" w:cstheme="minorHAnsi"/>
          <w:color w:val="000000"/>
          <w:sz w:val="21"/>
          <w:szCs w:val="21"/>
          <w:lang w:eastAsia="en-IE"/>
        </w:rPr>
        <w:t xml:space="preserve">The reduction in NIM </w:t>
      </w:r>
      <w:r w:rsidRPr="00D75C07">
        <w:rPr>
          <w:rFonts w:eastAsia="Times New Roman" w:cstheme="minorHAnsi"/>
          <w:color w:val="000000"/>
          <w:sz w:val="21"/>
          <w:szCs w:val="21"/>
          <w:lang w:eastAsia="en-IE"/>
        </w:rPr>
        <w:t xml:space="preserve">primarily reflects the impact of lower interest rates across our lending and treasury assets and higher term deposit </w:t>
      </w:r>
      <w:r>
        <w:rPr>
          <w:rFonts w:eastAsia="Times New Roman" w:cstheme="minorHAnsi"/>
          <w:color w:val="000000"/>
          <w:sz w:val="21"/>
          <w:szCs w:val="21"/>
          <w:lang w:eastAsia="en-IE"/>
        </w:rPr>
        <w:t>costs</w:t>
      </w:r>
      <w:bookmarkEnd w:id="2"/>
      <w:r w:rsidRPr="00D75C07">
        <w:rPr>
          <w:rFonts w:eastAsia="Times New Roman" w:cstheme="minorHAnsi"/>
          <w:color w:val="000000"/>
          <w:sz w:val="21"/>
          <w:szCs w:val="21"/>
          <w:lang w:eastAsia="en-IE"/>
        </w:rPr>
        <w:t xml:space="preserve">. NIM is </w:t>
      </w:r>
      <w:r w:rsidR="00DE6234">
        <w:rPr>
          <w:rFonts w:eastAsia="Times New Roman" w:cstheme="minorHAnsi"/>
          <w:color w:val="000000"/>
          <w:sz w:val="21"/>
          <w:szCs w:val="21"/>
          <w:lang w:eastAsia="en-IE"/>
        </w:rPr>
        <w:t>8</w:t>
      </w:r>
      <w:r w:rsidRPr="00D75C07">
        <w:rPr>
          <w:rFonts w:eastAsia="Times New Roman" w:cstheme="minorHAnsi"/>
          <w:color w:val="000000"/>
          <w:sz w:val="21"/>
          <w:szCs w:val="21"/>
          <w:lang w:eastAsia="en-IE"/>
        </w:rPr>
        <w:t xml:space="preserve">bps lower than the Q4 2024 figure of 2.10%, driven by ECB rate </w:t>
      </w:r>
      <w:r w:rsidR="00A84CBB">
        <w:rPr>
          <w:rFonts w:eastAsia="Times New Roman" w:cstheme="minorHAnsi"/>
          <w:color w:val="000000"/>
          <w:sz w:val="21"/>
          <w:szCs w:val="21"/>
          <w:lang w:eastAsia="en-IE"/>
        </w:rPr>
        <w:t>reductions</w:t>
      </w:r>
      <w:r w:rsidR="00CB75DD">
        <w:rPr>
          <w:rFonts w:eastAsia="Times New Roman" w:cstheme="minorHAnsi"/>
          <w:color w:val="000000"/>
          <w:sz w:val="21"/>
          <w:szCs w:val="21"/>
          <w:lang w:eastAsia="en-IE"/>
        </w:rPr>
        <w:t>,</w:t>
      </w:r>
      <w:r w:rsidRPr="00D75C07">
        <w:rPr>
          <w:rFonts w:eastAsia="Times New Roman" w:cstheme="minorHAnsi"/>
          <w:color w:val="000000"/>
          <w:sz w:val="21"/>
          <w:szCs w:val="21"/>
          <w:lang w:eastAsia="en-IE"/>
        </w:rPr>
        <w:t xml:space="preserve"> the mortgage rate reductions announced by the Bank </w:t>
      </w:r>
      <w:r>
        <w:rPr>
          <w:rFonts w:eastAsia="Times New Roman" w:cstheme="minorHAnsi"/>
          <w:color w:val="000000"/>
          <w:sz w:val="21"/>
          <w:szCs w:val="21"/>
          <w:lang w:eastAsia="en-IE"/>
        </w:rPr>
        <w:t>in</w:t>
      </w:r>
      <w:r w:rsidRPr="00D75C07">
        <w:rPr>
          <w:rFonts w:eastAsia="Times New Roman" w:cstheme="minorHAnsi"/>
          <w:color w:val="000000"/>
          <w:sz w:val="21"/>
          <w:szCs w:val="21"/>
          <w:lang w:eastAsia="en-IE"/>
        </w:rPr>
        <w:t xml:space="preserve"> January</w:t>
      </w:r>
      <w:r w:rsidR="00CB75DD">
        <w:rPr>
          <w:rFonts w:eastAsia="Times New Roman" w:cstheme="minorHAnsi"/>
          <w:color w:val="000000"/>
          <w:sz w:val="21"/>
          <w:szCs w:val="21"/>
          <w:lang w:eastAsia="en-IE"/>
        </w:rPr>
        <w:t xml:space="preserve"> </w:t>
      </w:r>
      <w:r w:rsidR="00CB75DD" w:rsidRPr="00AC5896">
        <w:rPr>
          <w:rFonts w:eastAsia="Times New Roman" w:cstheme="minorHAnsi"/>
          <w:color w:val="000000"/>
          <w:sz w:val="21"/>
          <w:szCs w:val="21"/>
          <w:lang w:eastAsia="en-IE"/>
        </w:rPr>
        <w:t>and strong deposit growth</w:t>
      </w:r>
      <w:r w:rsidRPr="00AC5896">
        <w:rPr>
          <w:rFonts w:eastAsia="Times New Roman" w:cstheme="minorHAnsi"/>
          <w:color w:val="000000"/>
          <w:sz w:val="21"/>
          <w:szCs w:val="21"/>
          <w:lang w:eastAsia="en-IE"/>
        </w:rPr>
        <w:t>.</w:t>
      </w:r>
    </w:p>
    <w:p w14:paraId="76EA505E" w14:textId="77777777" w:rsidR="00107878" w:rsidRDefault="00107878" w:rsidP="003B1C17">
      <w:pPr>
        <w:spacing w:after="0" w:line="230" w:lineRule="atLeast"/>
        <w:ind w:right="238"/>
        <w:jc w:val="both"/>
        <w:rPr>
          <w:rFonts w:eastAsia="Times New Roman" w:cstheme="minorHAnsi"/>
          <w:color w:val="000000"/>
          <w:sz w:val="21"/>
          <w:szCs w:val="21"/>
          <w:lang w:eastAsia="en-IE"/>
        </w:rPr>
      </w:pPr>
    </w:p>
    <w:p w14:paraId="18BA6BBC" w14:textId="0E7FF2CB" w:rsidR="003B1C17" w:rsidRPr="002E038C" w:rsidRDefault="003B1C17" w:rsidP="003B1C17">
      <w:pPr>
        <w:spacing w:after="0" w:line="230" w:lineRule="atLeast"/>
        <w:ind w:right="238"/>
        <w:jc w:val="both"/>
        <w:rPr>
          <w:rFonts w:eastAsia="Times New Roman" w:cstheme="minorHAnsi"/>
          <w:color w:val="000000"/>
          <w:sz w:val="21"/>
          <w:szCs w:val="21"/>
          <w:lang w:eastAsia="en-IE"/>
        </w:rPr>
      </w:pPr>
      <w:r w:rsidRPr="00D75C07">
        <w:rPr>
          <w:rFonts w:eastAsia="Times New Roman" w:cstheme="minorHAnsi"/>
          <w:color w:val="000000"/>
          <w:sz w:val="21"/>
          <w:szCs w:val="21"/>
          <w:lang w:eastAsia="en-IE"/>
        </w:rPr>
        <w:t xml:space="preserve">Recent deposit rate reductions </w:t>
      </w:r>
      <w:r>
        <w:rPr>
          <w:rFonts w:eastAsia="Times New Roman" w:cstheme="minorHAnsi"/>
          <w:color w:val="000000"/>
          <w:sz w:val="21"/>
          <w:szCs w:val="21"/>
          <w:lang w:eastAsia="en-IE"/>
        </w:rPr>
        <w:t xml:space="preserve">by the Bank </w:t>
      </w:r>
      <w:r w:rsidRPr="00D75C07">
        <w:rPr>
          <w:rFonts w:eastAsia="Times New Roman" w:cstheme="minorHAnsi"/>
          <w:color w:val="000000"/>
          <w:sz w:val="21"/>
          <w:szCs w:val="21"/>
          <w:lang w:eastAsia="en-IE"/>
        </w:rPr>
        <w:t>which b</w:t>
      </w:r>
      <w:r>
        <w:rPr>
          <w:rFonts w:eastAsia="Times New Roman" w:cstheme="minorHAnsi"/>
          <w:color w:val="000000"/>
          <w:sz w:val="21"/>
          <w:szCs w:val="21"/>
          <w:lang w:eastAsia="en-IE"/>
        </w:rPr>
        <w:t>e</w:t>
      </w:r>
      <w:r w:rsidRPr="00D75C07">
        <w:rPr>
          <w:rFonts w:eastAsia="Times New Roman" w:cstheme="minorHAnsi"/>
          <w:color w:val="000000"/>
          <w:sz w:val="21"/>
          <w:szCs w:val="21"/>
          <w:lang w:eastAsia="en-IE"/>
        </w:rPr>
        <w:t>c</w:t>
      </w:r>
      <w:r>
        <w:rPr>
          <w:rFonts w:eastAsia="Times New Roman" w:cstheme="minorHAnsi"/>
          <w:color w:val="000000"/>
          <w:sz w:val="21"/>
          <w:szCs w:val="21"/>
          <w:lang w:eastAsia="en-IE"/>
        </w:rPr>
        <w:t>a</w:t>
      </w:r>
      <w:r w:rsidRPr="00D75C07">
        <w:rPr>
          <w:rFonts w:eastAsia="Times New Roman" w:cstheme="minorHAnsi"/>
          <w:color w:val="000000"/>
          <w:sz w:val="21"/>
          <w:szCs w:val="21"/>
          <w:lang w:eastAsia="en-IE"/>
        </w:rPr>
        <w:t xml:space="preserve">me effective </w:t>
      </w:r>
      <w:r>
        <w:rPr>
          <w:rFonts w:eastAsia="Times New Roman" w:cstheme="minorHAnsi"/>
          <w:color w:val="000000"/>
          <w:sz w:val="21"/>
          <w:szCs w:val="21"/>
          <w:lang w:eastAsia="en-IE"/>
        </w:rPr>
        <w:t>from</w:t>
      </w:r>
      <w:r w:rsidRPr="00D75C07">
        <w:rPr>
          <w:rFonts w:eastAsia="Times New Roman" w:cstheme="minorHAnsi"/>
          <w:color w:val="000000"/>
          <w:sz w:val="21"/>
          <w:szCs w:val="21"/>
          <w:lang w:eastAsia="en-IE"/>
        </w:rPr>
        <w:t xml:space="preserve"> April </w:t>
      </w:r>
      <w:r>
        <w:rPr>
          <w:rFonts w:eastAsia="Times New Roman" w:cstheme="minorHAnsi"/>
          <w:color w:val="000000"/>
          <w:sz w:val="21"/>
          <w:szCs w:val="21"/>
          <w:lang w:eastAsia="en-IE"/>
        </w:rPr>
        <w:t>2</w:t>
      </w:r>
      <w:r w:rsidRPr="001B325D">
        <w:rPr>
          <w:rFonts w:eastAsia="Times New Roman" w:cstheme="minorHAnsi"/>
          <w:color w:val="000000"/>
          <w:sz w:val="21"/>
          <w:szCs w:val="21"/>
          <w:vertAlign w:val="superscript"/>
          <w:lang w:eastAsia="en-IE"/>
        </w:rPr>
        <w:t>nd</w:t>
      </w:r>
      <w:r>
        <w:rPr>
          <w:rFonts w:eastAsia="Times New Roman" w:cstheme="minorHAnsi"/>
          <w:color w:val="000000"/>
          <w:sz w:val="21"/>
          <w:szCs w:val="21"/>
          <w:lang w:eastAsia="en-IE"/>
        </w:rPr>
        <w:t xml:space="preserve"> have</w:t>
      </w:r>
      <w:r w:rsidRPr="00D75C07">
        <w:rPr>
          <w:rFonts w:eastAsia="Times New Roman" w:cstheme="minorHAnsi"/>
          <w:color w:val="000000"/>
          <w:sz w:val="21"/>
          <w:szCs w:val="21"/>
          <w:lang w:eastAsia="en-IE"/>
        </w:rPr>
        <w:t xml:space="preserve"> help</w:t>
      </w:r>
      <w:r>
        <w:rPr>
          <w:rFonts w:eastAsia="Times New Roman" w:cstheme="minorHAnsi"/>
          <w:color w:val="000000"/>
          <w:sz w:val="21"/>
          <w:szCs w:val="21"/>
          <w:lang w:eastAsia="en-IE"/>
        </w:rPr>
        <w:t>ed</w:t>
      </w:r>
      <w:r w:rsidRPr="00D75C07">
        <w:rPr>
          <w:rFonts w:eastAsia="Times New Roman" w:cstheme="minorHAnsi"/>
          <w:color w:val="000000"/>
          <w:sz w:val="21"/>
          <w:szCs w:val="21"/>
          <w:lang w:eastAsia="en-IE"/>
        </w:rPr>
        <w:t xml:space="preserve"> negate the effect of </w:t>
      </w:r>
      <w:r>
        <w:rPr>
          <w:rFonts w:eastAsia="Times New Roman" w:cstheme="minorHAnsi"/>
          <w:color w:val="000000"/>
          <w:sz w:val="21"/>
          <w:szCs w:val="21"/>
          <w:lang w:eastAsia="en-IE"/>
        </w:rPr>
        <w:t>two further 25bps</w:t>
      </w:r>
      <w:r w:rsidRPr="00D75C07">
        <w:rPr>
          <w:rFonts w:eastAsia="Times New Roman" w:cstheme="minorHAnsi"/>
          <w:color w:val="000000"/>
          <w:sz w:val="21"/>
          <w:szCs w:val="21"/>
          <w:lang w:eastAsia="en-IE"/>
        </w:rPr>
        <w:t xml:space="preserve"> </w:t>
      </w:r>
      <w:r>
        <w:rPr>
          <w:rFonts w:eastAsia="Times New Roman" w:cstheme="minorHAnsi"/>
          <w:color w:val="000000"/>
          <w:sz w:val="21"/>
          <w:szCs w:val="21"/>
          <w:lang w:eastAsia="en-IE"/>
        </w:rPr>
        <w:t>reductions in ECB base rates</w:t>
      </w:r>
      <w:r w:rsidRPr="00D75C07">
        <w:rPr>
          <w:rFonts w:eastAsia="Times New Roman" w:cstheme="minorHAnsi"/>
          <w:color w:val="000000"/>
          <w:sz w:val="21"/>
          <w:szCs w:val="21"/>
          <w:lang w:eastAsia="en-IE"/>
        </w:rPr>
        <w:t xml:space="preserve"> </w:t>
      </w:r>
      <w:r>
        <w:rPr>
          <w:rFonts w:eastAsia="Times New Roman" w:cstheme="minorHAnsi"/>
          <w:color w:val="000000"/>
          <w:sz w:val="21"/>
          <w:szCs w:val="21"/>
          <w:lang w:eastAsia="en-IE"/>
        </w:rPr>
        <w:t>in April and June</w:t>
      </w:r>
      <w:r w:rsidRPr="00D75C07">
        <w:rPr>
          <w:rFonts w:eastAsia="Times New Roman" w:cstheme="minorHAnsi"/>
          <w:color w:val="000000"/>
          <w:sz w:val="21"/>
          <w:szCs w:val="21"/>
          <w:lang w:eastAsia="en-IE"/>
        </w:rPr>
        <w:t>.</w:t>
      </w:r>
      <w:r>
        <w:rPr>
          <w:rFonts w:eastAsia="Times New Roman" w:cstheme="minorHAnsi"/>
          <w:color w:val="000000"/>
          <w:sz w:val="21"/>
          <w:szCs w:val="21"/>
          <w:lang w:eastAsia="en-IE"/>
        </w:rPr>
        <w:t xml:space="preserve"> </w:t>
      </w:r>
      <w:r w:rsidR="00107878">
        <w:rPr>
          <w:rFonts w:eastAsia="Times New Roman" w:cstheme="minorHAnsi"/>
          <w:color w:val="000000"/>
          <w:sz w:val="21"/>
          <w:szCs w:val="21"/>
          <w:lang w:eastAsia="en-IE"/>
        </w:rPr>
        <w:t xml:space="preserve">We expect little change in NIM over the second </w:t>
      </w:r>
      <w:proofErr w:type="gramStart"/>
      <w:r w:rsidR="00107878">
        <w:rPr>
          <w:rFonts w:eastAsia="Times New Roman" w:cstheme="minorHAnsi"/>
          <w:color w:val="000000"/>
          <w:sz w:val="21"/>
          <w:szCs w:val="21"/>
          <w:lang w:eastAsia="en-IE"/>
        </w:rPr>
        <w:t>half</w:t>
      </w:r>
      <w:proofErr w:type="gramEnd"/>
      <w:r w:rsidR="00107878">
        <w:rPr>
          <w:rFonts w:eastAsia="Times New Roman" w:cstheme="minorHAnsi"/>
          <w:color w:val="000000"/>
          <w:sz w:val="21"/>
          <w:szCs w:val="21"/>
          <w:lang w:eastAsia="en-IE"/>
        </w:rPr>
        <w:t xml:space="preserve"> and we</w:t>
      </w:r>
      <w:r w:rsidR="002D70CB">
        <w:rPr>
          <w:rFonts w:eastAsia="Times New Roman" w:cstheme="minorHAnsi"/>
          <w:color w:val="000000"/>
          <w:sz w:val="21"/>
          <w:szCs w:val="21"/>
          <w:lang w:eastAsia="en-IE"/>
        </w:rPr>
        <w:t xml:space="preserve"> therefore</w:t>
      </w:r>
      <w:r w:rsidR="00107878">
        <w:rPr>
          <w:rFonts w:eastAsia="Times New Roman" w:cstheme="minorHAnsi"/>
          <w:color w:val="000000"/>
          <w:sz w:val="21"/>
          <w:szCs w:val="21"/>
          <w:lang w:eastAsia="en-IE"/>
        </w:rPr>
        <w:t xml:space="preserve"> reiterat</w:t>
      </w:r>
      <w:r w:rsidR="002D70CB">
        <w:rPr>
          <w:rFonts w:eastAsia="Times New Roman" w:cstheme="minorHAnsi"/>
          <w:color w:val="000000"/>
          <w:sz w:val="21"/>
          <w:szCs w:val="21"/>
          <w:lang w:eastAsia="en-IE"/>
        </w:rPr>
        <w:t>e</w:t>
      </w:r>
      <w:r w:rsidR="00107878">
        <w:rPr>
          <w:rFonts w:eastAsia="Times New Roman" w:cstheme="minorHAnsi"/>
          <w:color w:val="000000"/>
          <w:sz w:val="21"/>
          <w:szCs w:val="21"/>
          <w:lang w:eastAsia="en-IE"/>
        </w:rPr>
        <w:t xml:space="preserve"> our guidance of &gt;2.0% for the full year.</w:t>
      </w:r>
      <w:r w:rsidR="00C50445">
        <w:rPr>
          <w:rFonts w:eastAsia="Times New Roman" w:cstheme="minorHAnsi"/>
          <w:color w:val="000000"/>
          <w:sz w:val="21"/>
          <w:szCs w:val="21"/>
          <w:lang w:eastAsia="en-IE"/>
        </w:rPr>
        <w:t xml:space="preserve"> This </w:t>
      </w:r>
      <w:proofErr w:type="gramStart"/>
      <w:r w:rsidR="00C50445">
        <w:rPr>
          <w:rFonts w:eastAsia="Times New Roman" w:cstheme="minorHAnsi"/>
          <w:color w:val="000000"/>
          <w:sz w:val="21"/>
          <w:szCs w:val="21"/>
          <w:lang w:eastAsia="en-IE"/>
        </w:rPr>
        <w:t>is based on the assumption</w:t>
      </w:r>
      <w:proofErr w:type="gramEnd"/>
      <w:r w:rsidR="00C50445">
        <w:rPr>
          <w:rFonts w:eastAsia="Times New Roman" w:cstheme="minorHAnsi"/>
          <w:color w:val="000000"/>
          <w:sz w:val="21"/>
          <w:szCs w:val="21"/>
          <w:lang w:eastAsia="en-IE"/>
        </w:rPr>
        <w:t xml:space="preserve"> that the ECB deposit rate remains at 2.0%. The </w:t>
      </w:r>
      <w:r w:rsidR="00A84CBB">
        <w:rPr>
          <w:rFonts w:eastAsia="Times New Roman" w:cstheme="minorHAnsi"/>
          <w:color w:val="000000"/>
          <w:sz w:val="21"/>
          <w:szCs w:val="21"/>
          <w:lang w:eastAsia="en-IE"/>
        </w:rPr>
        <w:t>B</w:t>
      </w:r>
      <w:r w:rsidR="00C50445">
        <w:rPr>
          <w:rFonts w:eastAsia="Times New Roman" w:cstheme="minorHAnsi"/>
          <w:color w:val="000000"/>
          <w:sz w:val="21"/>
          <w:szCs w:val="21"/>
          <w:lang w:eastAsia="en-IE"/>
        </w:rPr>
        <w:t xml:space="preserve">ank’s interest rate sensitivity continues to reduce and every </w:t>
      </w:r>
      <w:r w:rsidR="00541B18">
        <w:rPr>
          <w:rFonts w:eastAsia="Times New Roman" w:cstheme="minorHAnsi"/>
          <w:color w:val="000000"/>
          <w:sz w:val="21"/>
          <w:szCs w:val="21"/>
          <w:lang w:eastAsia="en-IE"/>
        </w:rPr>
        <w:t>1</w:t>
      </w:r>
      <w:r w:rsidR="00C50445">
        <w:rPr>
          <w:rFonts w:eastAsia="Times New Roman" w:cstheme="minorHAnsi"/>
          <w:color w:val="000000"/>
          <w:sz w:val="21"/>
          <w:szCs w:val="21"/>
          <w:lang w:eastAsia="en-IE"/>
        </w:rPr>
        <w:t>% reduction in base rates reduces net interest income by c. €</w:t>
      </w:r>
      <w:r w:rsidR="00541B18">
        <w:rPr>
          <w:rFonts w:eastAsia="Times New Roman" w:cstheme="minorHAnsi"/>
          <w:color w:val="000000"/>
          <w:sz w:val="21"/>
          <w:szCs w:val="21"/>
          <w:lang w:eastAsia="en-IE"/>
        </w:rPr>
        <w:t>9</w:t>
      </w:r>
      <w:r w:rsidR="00C50445">
        <w:rPr>
          <w:rFonts w:eastAsia="Times New Roman" w:cstheme="minorHAnsi"/>
          <w:color w:val="000000"/>
          <w:sz w:val="21"/>
          <w:szCs w:val="21"/>
          <w:lang w:eastAsia="en-IE"/>
        </w:rPr>
        <w:t>m</w:t>
      </w:r>
      <w:r w:rsidR="00C50445">
        <w:rPr>
          <w:rStyle w:val="FootnoteReference"/>
          <w:rFonts w:eastAsia="Times New Roman" w:cstheme="minorHAnsi"/>
          <w:color w:val="000000"/>
          <w:sz w:val="21"/>
          <w:szCs w:val="21"/>
          <w:lang w:eastAsia="en-IE"/>
        </w:rPr>
        <w:footnoteReference w:id="5"/>
      </w:r>
      <w:r w:rsidR="00C50445">
        <w:rPr>
          <w:rFonts w:eastAsia="Times New Roman" w:cstheme="minorHAnsi"/>
          <w:color w:val="000000"/>
          <w:sz w:val="21"/>
          <w:szCs w:val="21"/>
          <w:lang w:eastAsia="en-IE"/>
        </w:rPr>
        <w:t>.</w:t>
      </w:r>
    </w:p>
    <w:p w14:paraId="053B3044" w14:textId="3C4BBEB2" w:rsidR="00E41677" w:rsidRDefault="003B1C17" w:rsidP="003B1C17">
      <w:pPr>
        <w:spacing w:before="120" w:after="240" w:line="230" w:lineRule="atLeast"/>
        <w:ind w:right="284"/>
        <w:jc w:val="both"/>
        <w:rPr>
          <w:rFonts w:ascii="Calibri" w:eastAsia="Times New Roman" w:hAnsi="Calibri" w:cs="Calibri"/>
          <w:color w:val="000000"/>
          <w:sz w:val="21"/>
          <w:szCs w:val="21"/>
          <w:lang w:eastAsia="en-IE"/>
        </w:rPr>
      </w:pPr>
      <w:r w:rsidRPr="0002472B">
        <w:rPr>
          <w:rFonts w:ascii="Calibri" w:eastAsia="Times New Roman" w:hAnsi="Calibri" w:cs="Calibri"/>
          <w:color w:val="000000"/>
          <w:sz w:val="21"/>
          <w:szCs w:val="21"/>
          <w:lang w:eastAsia="en-IE"/>
        </w:rPr>
        <w:t>Net fees and commission</w:t>
      </w:r>
      <w:r>
        <w:rPr>
          <w:rFonts w:ascii="Calibri" w:eastAsia="Times New Roman" w:hAnsi="Calibri" w:cs="Calibri"/>
          <w:color w:val="000000"/>
          <w:sz w:val="21"/>
          <w:szCs w:val="21"/>
          <w:lang w:eastAsia="en-IE"/>
        </w:rPr>
        <w:t>s</w:t>
      </w:r>
      <w:r w:rsidRPr="0002472B">
        <w:rPr>
          <w:rFonts w:ascii="Calibri" w:eastAsia="Times New Roman" w:hAnsi="Calibri" w:cs="Calibri"/>
          <w:color w:val="000000"/>
          <w:sz w:val="21"/>
          <w:szCs w:val="21"/>
          <w:lang w:eastAsia="en-IE"/>
        </w:rPr>
        <w:t xml:space="preserve"> </w:t>
      </w:r>
      <w:r>
        <w:rPr>
          <w:rFonts w:ascii="Calibri" w:eastAsia="Times New Roman" w:hAnsi="Calibri" w:cs="Calibri"/>
          <w:color w:val="000000"/>
          <w:sz w:val="21"/>
          <w:szCs w:val="21"/>
          <w:lang w:eastAsia="en-IE"/>
        </w:rPr>
        <w:t xml:space="preserve">were up </w:t>
      </w:r>
      <w:r w:rsidR="002A1BBD">
        <w:rPr>
          <w:rFonts w:ascii="Calibri" w:eastAsia="Times New Roman" w:hAnsi="Calibri" w:cs="Calibri"/>
          <w:color w:val="000000"/>
          <w:sz w:val="21"/>
          <w:szCs w:val="21"/>
          <w:lang w:eastAsia="en-IE"/>
        </w:rPr>
        <w:t>35</w:t>
      </w:r>
      <w:r>
        <w:rPr>
          <w:rFonts w:ascii="Calibri" w:eastAsia="Times New Roman" w:hAnsi="Calibri" w:cs="Calibri"/>
          <w:color w:val="000000"/>
          <w:sz w:val="21"/>
          <w:szCs w:val="21"/>
          <w:lang w:eastAsia="en-IE"/>
        </w:rPr>
        <w:t xml:space="preserve">% in </w:t>
      </w:r>
      <w:r w:rsidR="00AC0056">
        <w:rPr>
          <w:rFonts w:ascii="Calibri" w:eastAsia="Times New Roman" w:hAnsi="Calibri" w:cs="Calibri"/>
          <w:color w:val="000000"/>
          <w:sz w:val="21"/>
          <w:szCs w:val="21"/>
          <w:lang w:eastAsia="en-IE"/>
        </w:rPr>
        <w:t>H</w:t>
      </w:r>
      <w:r>
        <w:rPr>
          <w:rFonts w:ascii="Calibri" w:eastAsia="Times New Roman" w:hAnsi="Calibri" w:cs="Calibri"/>
          <w:color w:val="000000"/>
          <w:sz w:val="21"/>
          <w:szCs w:val="21"/>
          <w:lang w:eastAsia="en-IE"/>
        </w:rPr>
        <w:t xml:space="preserve">1. </w:t>
      </w:r>
      <w:bookmarkStart w:id="3" w:name="_Hlk202799595"/>
      <w:r w:rsidR="00DC6378">
        <w:rPr>
          <w:rFonts w:ascii="Calibri" w:eastAsia="Times New Roman" w:hAnsi="Calibri" w:cs="Calibri"/>
          <w:color w:val="000000"/>
          <w:sz w:val="21"/>
          <w:szCs w:val="21"/>
          <w:lang w:eastAsia="en-IE"/>
        </w:rPr>
        <w:t>T</w:t>
      </w:r>
      <w:r w:rsidR="002A1BBD">
        <w:rPr>
          <w:rFonts w:ascii="Calibri" w:eastAsia="Times New Roman" w:hAnsi="Calibri" w:cs="Calibri"/>
          <w:color w:val="000000"/>
          <w:sz w:val="21"/>
          <w:szCs w:val="21"/>
          <w:lang w:eastAsia="en-IE"/>
        </w:rPr>
        <w:t>his reflects</w:t>
      </w:r>
      <w:r w:rsidR="002A1BBD" w:rsidRPr="002E038C">
        <w:rPr>
          <w:rFonts w:ascii="Calibri" w:eastAsia="Times New Roman" w:hAnsi="Calibri" w:cs="Calibri"/>
          <w:color w:val="000000"/>
          <w:sz w:val="21"/>
          <w:szCs w:val="21"/>
          <w:lang w:eastAsia="en-IE"/>
        </w:rPr>
        <w:t xml:space="preserve"> </w:t>
      </w:r>
      <w:r w:rsidR="00DC6378">
        <w:rPr>
          <w:rFonts w:ascii="Calibri" w:eastAsia="Times New Roman" w:hAnsi="Calibri" w:cs="Calibri"/>
          <w:color w:val="000000"/>
          <w:sz w:val="21"/>
          <w:szCs w:val="21"/>
          <w:lang w:eastAsia="en-IE"/>
        </w:rPr>
        <w:t>modest growth in</w:t>
      </w:r>
      <w:r w:rsidR="002A1BBD">
        <w:rPr>
          <w:rFonts w:ascii="Calibri" w:eastAsia="Times New Roman" w:hAnsi="Calibri" w:cs="Calibri"/>
          <w:color w:val="000000"/>
          <w:sz w:val="21"/>
          <w:szCs w:val="21"/>
          <w:lang w:eastAsia="en-IE"/>
        </w:rPr>
        <w:t xml:space="preserve"> underlying activity</w:t>
      </w:r>
      <w:r w:rsidR="00DC6378">
        <w:rPr>
          <w:rFonts w:ascii="Calibri" w:eastAsia="Times New Roman" w:hAnsi="Calibri" w:cs="Calibri"/>
          <w:color w:val="000000"/>
          <w:sz w:val="21"/>
          <w:szCs w:val="21"/>
          <w:lang w:eastAsia="en-IE"/>
        </w:rPr>
        <w:t xml:space="preserve"> </w:t>
      </w:r>
      <w:r w:rsidR="008050DD">
        <w:rPr>
          <w:rFonts w:ascii="Calibri" w:eastAsia="Times New Roman" w:hAnsi="Calibri" w:cs="Calibri"/>
          <w:color w:val="000000"/>
          <w:sz w:val="21"/>
          <w:szCs w:val="21"/>
          <w:lang w:eastAsia="en-IE"/>
        </w:rPr>
        <w:t xml:space="preserve">with income </w:t>
      </w:r>
      <w:r w:rsidR="00E41677">
        <w:rPr>
          <w:rFonts w:ascii="Calibri" w:eastAsia="Times New Roman" w:hAnsi="Calibri" w:cs="Calibri"/>
          <w:vanish/>
          <w:color w:val="000000"/>
          <w:sz w:val="21"/>
          <w:szCs w:val="21"/>
          <w:lang w:eastAsia="en-IE"/>
        </w:rPr>
        <w:t>1H1</w:t>
      </w:r>
      <w:r w:rsidR="00E41677" w:rsidRPr="00E41677">
        <w:rPr>
          <w:rFonts w:ascii="Calibri" w:eastAsia="Times New Roman" w:hAnsi="Calibri" w:cs="Calibri"/>
          <w:color w:val="000000"/>
          <w:sz w:val="21"/>
          <w:szCs w:val="21"/>
          <w:lang w:eastAsia="en-IE"/>
        </w:rPr>
        <w:t xml:space="preserve">boosted by </w:t>
      </w:r>
      <w:r w:rsidR="008050DD">
        <w:rPr>
          <w:rFonts w:ascii="Calibri" w:eastAsia="Times New Roman" w:hAnsi="Calibri" w:cs="Calibri"/>
          <w:color w:val="000000"/>
          <w:sz w:val="21"/>
          <w:szCs w:val="21"/>
          <w:lang w:eastAsia="en-IE"/>
        </w:rPr>
        <w:t xml:space="preserve">the </w:t>
      </w:r>
      <w:r w:rsidR="00E41677" w:rsidRPr="00E41677">
        <w:rPr>
          <w:rFonts w:ascii="Calibri" w:eastAsia="Times New Roman" w:hAnsi="Calibri" w:cs="Calibri"/>
          <w:color w:val="000000"/>
          <w:sz w:val="21"/>
          <w:szCs w:val="21"/>
          <w:lang w:eastAsia="en-IE"/>
        </w:rPr>
        <w:t>earlier recognition of</w:t>
      </w:r>
      <w:r w:rsidR="00E41677">
        <w:rPr>
          <w:rFonts w:ascii="Calibri" w:eastAsia="Times New Roman" w:hAnsi="Calibri" w:cs="Calibri"/>
          <w:color w:val="000000"/>
          <w:sz w:val="21"/>
          <w:szCs w:val="21"/>
          <w:lang w:eastAsia="en-IE"/>
        </w:rPr>
        <w:t xml:space="preserve"> a</w:t>
      </w:r>
      <w:r w:rsidR="00E46F48">
        <w:rPr>
          <w:rFonts w:ascii="Calibri" w:eastAsia="Times New Roman" w:hAnsi="Calibri" w:cs="Calibri"/>
          <w:color w:val="000000"/>
          <w:sz w:val="21"/>
          <w:szCs w:val="21"/>
          <w:lang w:eastAsia="en-IE"/>
        </w:rPr>
        <w:t xml:space="preserve"> </w:t>
      </w:r>
      <w:r w:rsidR="00E41677" w:rsidRPr="00E41677">
        <w:rPr>
          <w:rFonts w:ascii="Calibri" w:eastAsia="Times New Roman" w:hAnsi="Calibri" w:cs="Calibri"/>
          <w:color w:val="000000"/>
          <w:sz w:val="21"/>
          <w:szCs w:val="21"/>
          <w:lang w:eastAsia="en-IE"/>
        </w:rPr>
        <w:t>receipt in our payments business (</w:t>
      </w:r>
      <w:r w:rsidR="00E41677">
        <w:rPr>
          <w:rFonts w:ascii="Calibri" w:eastAsia="Times New Roman" w:hAnsi="Calibri" w:cs="Calibri"/>
          <w:color w:val="000000"/>
          <w:sz w:val="21"/>
          <w:szCs w:val="21"/>
          <w:lang w:eastAsia="en-IE"/>
        </w:rPr>
        <w:t xml:space="preserve">c. €4 million, usually </w:t>
      </w:r>
      <w:r w:rsidR="00E41677" w:rsidRPr="00E41677">
        <w:rPr>
          <w:rFonts w:ascii="Calibri" w:eastAsia="Times New Roman" w:hAnsi="Calibri" w:cs="Calibri"/>
          <w:color w:val="000000"/>
          <w:sz w:val="21"/>
          <w:szCs w:val="21"/>
          <w:lang w:eastAsia="en-IE"/>
        </w:rPr>
        <w:t>recognised in H2</w:t>
      </w:r>
      <w:r w:rsidR="00DB296F">
        <w:rPr>
          <w:rFonts w:ascii="Calibri" w:eastAsia="Times New Roman" w:hAnsi="Calibri" w:cs="Calibri"/>
          <w:color w:val="000000"/>
          <w:sz w:val="21"/>
          <w:szCs w:val="21"/>
          <w:lang w:eastAsia="en-IE"/>
        </w:rPr>
        <w:t>)</w:t>
      </w:r>
      <w:r w:rsidR="0037587B">
        <w:rPr>
          <w:rFonts w:ascii="Calibri" w:eastAsia="Times New Roman" w:hAnsi="Calibri" w:cs="Calibri"/>
          <w:color w:val="000000"/>
          <w:sz w:val="21"/>
          <w:szCs w:val="21"/>
          <w:lang w:eastAsia="en-IE"/>
        </w:rPr>
        <w:t>,</w:t>
      </w:r>
      <w:r w:rsidR="00E41677" w:rsidRPr="00E41677">
        <w:rPr>
          <w:rFonts w:ascii="Calibri" w:eastAsia="Times New Roman" w:hAnsi="Calibri" w:cs="Calibri"/>
          <w:color w:val="000000"/>
          <w:sz w:val="21"/>
          <w:szCs w:val="21"/>
          <w:lang w:eastAsia="en-IE"/>
        </w:rPr>
        <w:t xml:space="preserve"> </w:t>
      </w:r>
      <w:r w:rsidR="00E41677">
        <w:rPr>
          <w:rFonts w:ascii="Calibri" w:eastAsia="Times New Roman" w:hAnsi="Calibri" w:cs="Calibri"/>
          <w:color w:val="000000"/>
          <w:sz w:val="21"/>
          <w:szCs w:val="21"/>
          <w:lang w:eastAsia="en-IE"/>
        </w:rPr>
        <w:t>and the full period effect of</w:t>
      </w:r>
      <w:r w:rsidR="002A1BBD">
        <w:rPr>
          <w:rFonts w:ascii="Calibri" w:eastAsia="Times New Roman" w:hAnsi="Calibri" w:cs="Calibri"/>
          <w:color w:val="000000"/>
          <w:sz w:val="21"/>
          <w:szCs w:val="21"/>
          <w:lang w:eastAsia="en-IE"/>
        </w:rPr>
        <w:t xml:space="preserve"> changes in</w:t>
      </w:r>
      <w:r w:rsidR="002A1BBD" w:rsidRPr="002E038C">
        <w:rPr>
          <w:rFonts w:ascii="Calibri" w:eastAsia="Times New Roman" w:hAnsi="Calibri" w:cs="Calibri"/>
          <w:color w:val="000000"/>
          <w:sz w:val="21"/>
          <w:szCs w:val="21"/>
          <w:lang w:eastAsia="en-IE"/>
        </w:rPr>
        <w:t xml:space="preserve"> current account </w:t>
      </w:r>
      <w:r w:rsidR="002A1BBD">
        <w:rPr>
          <w:rFonts w:ascii="Calibri" w:eastAsia="Times New Roman" w:hAnsi="Calibri" w:cs="Calibri"/>
          <w:color w:val="000000"/>
          <w:sz w:val="21"/>
          <w:szCs w:val="21"/>
          <w:lang w:eastAsia="en-IE"/>
        </w:rPr>
        <w:t>pricing introduced in April 2024</w:t>
      </w:r>
      <w:bookmarkEnd w:id="3"/>
      <w:r w:rsidR="00E41677">
        <w:rPr>
          <w:rFonts w:ascii="Calibri" w:eastAsia="Times New Roman" w:hAnsi="Calibri" w:cs="Calibri"/>
          <w:color w:val="000000"/>
          <w:sz w:val="21"/>
          <w:szCs w:val="21"/>
          <w:lang w:eastAsia="en-IE"/>
        </w:rPr>
        <w:t>.</w:t>
      </w:r>
    </w:p>
    <w:bookmarkEnd w:id="1"/>
    <w:p w14:paraId="6E1F6292" w14:textId="53965C50" w:rsidR="00083DDA" w:rsidRPr="007B2FE5" w:rsidRDefault="00A453DC" w:rsidP="00ED1484">
      <w:pPr>
        <w:spacing w:before="120" w:after="240" w:line="230" w:lineRule="atLeast"/>
        <w:ind w:right="237"/>
        <w:jc w:val="both"/>
        <w:rPr>
          <w:rFonts w:cstheme="minorHAnsi"/>
          <w:b/>
          <w:sz w:val="21"/>
          <w:szCs w:val="21"/>
        </w:rPr>
      </w:pPr>
      <w:r>
        <w:rPr>
          <w:rFonts w:cstheme="minorHAnsi"/>
          <w:b/>
          <w:sz w:val="21"/>
          <w:szCs w:val="21"/>
        </w:rPr>
        <w:t xml:space="preserve">Operating </w:t>
      </w:r>
      <w:r w:rsidR="00275A44">
        <w:rPr>
          <w:rFonts w:cstheme="minorHAnsi"/>
          <w:b/>
          <w:sz w:val="21"/>
          <w:szCs w:val="21"/>
        </w:rPr>
        <w:t>E</w:t>
      </w:r>
      <w:r>
        <w:rPr>
          <w:rFonts w:cstheme="minorHAnsi"/>
          <w:b/>
          <w:sz w:val="21"/>
          <w:szCs w:val="21"/>
        </w:rPr>
        <w:t>xpenses</w:t>
      </w:r>
      <w:r w:rsidR="007A13AF">
        <w:rPr>
          <w:rFonts w:cstheme="minorHAnsi"/>
          <w:b/>
          <w:sz w:val="21"/>
          <w:szCs w:val="21"/>
        </w:rPr>
        <w:t xml:space="preserve">  </w:t>
      </w:r>
    </w:p>
    <w:p w14:paraId="1B7657F0" w14:textId="7EA979E9" w:rsidR="002D70CB" w:rsidRDefault="003B1C17" w:rsidP="002D70CB">
      <w:pPr>
        <w:spacing w:after="0" w:line="230" w:lineRule="atLeast"/>
        <w:ind w:right="238"/>
        <w:jc w:val="both"/>
        <w:rPr>
          <w:rFonts w:cstheme="minorHAnsi"/>
          <w:sz w:val="21"/>
          <w:szCs w:val="21"/>
        </w:rPr>
      </w:pPr>
      <w:bookmarkStart w:id="4" w:name="_Hlk196215252"/>
      <w:r>
        <w:rPr>
          <w:rFonts w:eastAsia="Times New Roman" w:cstheme="minorHAnsi"/>
          <w:color w:val="000000"/>
          <w:sz w:val="21"/>
          <w:szCs w:val="21"/>
          <w:lang w:eastAsia="en-IE"/>
        </w:rPr>
        <w:t>Total o</w:t>
      </w:r>
      <w:r w:rsidRPr="00956BEB">
        <w:rPr>
          <w:rFonts w:eastAsia="Times New Roman" w:cstheme="minorHAnsi"/>
          <w:color w:val="000000"/>
          <w:sz w:val="21"/>
          <w:szCs w:val="21"/>
          <w:lang w:eastAsia="en-IE"/>
        </w:rPr>
        <w:t xml:space="preserve">perating expenses </w:t>
      </w:r>
      <w:r w:rsidR="00F766D3">
        <w:rPr>
          <w:rFonts w:eastAsia="Times New Roman" w:cstheme="minorHAnsi"/>
          <w:color w:val="000000"/>
          <w:sz w:val="21"/>
          <w:szCs w:val="21"/>
          <w:lang w:eastAsia="en-IE"/>
        </w:rPr>
        <w:t>reduced</w:t>
      </w:r>
      <w:r>
        <w:rPr>
          <w:rFonts w:eastAsia="Times New Roman" w:cstheme="minorHAnsi"/>
          <w:color w:val="000000"/>
          <w:sz w:val="21"/>
          <w:szCs w:val="21"/>
          <w:lang w:eastAsia="en-IE"/>
        </w:rPr>
        <w:t xml:space="preserve"> </w:t>
      </w:r>
      <w:r w:rsidR="00DE6234">
        <w:rPr>
          <w:rFonts w:eastAsia="Times New Roman" w:cstheme="minorHAnsi"/>
          <w:color w:val="000000"/>
          <w:sz w:val="21"/>
          <w:szCs w:val="21"/>
          <w:lang w:eastAsia="en-IE"/>
        </w:rPr>
        <w:t>1</w:t>
      </w:r>
      <w:r>
        <w:rPr>
          <w:rFonts w:eastAsia="Times New Roman" w:cstheme="minorHAnsi"/>
          <w:color w:val="000000"/>
          <w:sz w:val="21"/>
          <w:szCs w:val="21"/>
          <w:lang w:eastAsia="en-IE"/>
        </w:rPr>
        <w:t xml:space="preserve">% in H1 </w:t>
      </w:r>
      <w:r w:rsidR="00F766D3">
        <w:rPr>
          <w:rFonts w:eastAsia="Times New Roman" w:cstheme="minorHAnsi"/>
          <w:color w:val="000000"/>
          <w:sz w:val="21"/>
          <w:szCs w:val="21"/>
          <w:lang w:eastAsia="en-IE"/>
        </w:rPr>
        <w:t xml:space="preserve">2025 </w:t>
      </w:r>
      <w:r w:rsidR="00FC3763">
        <w:rPr>
          <w:rFonts w:eastAsia="Times New Roman" w:cstheme="minorHAnsi"/>
          <w:color w:val="000000"/>
          <w:sz w:val="21"/>
          <w:szCs w:val="21"/>
          <w:lang w:eastAsia="en-IE"/>
        </w:rPr>
        <w:t xml:space="preserve">to €271 million, </w:t>
      </w:r>
      <w:r>
        <w:rPr>
          <w:rFonts w:eastAsia="Times New Roman" w:cstheme="minorHAnsi"/>
          <w:color w:val="000000"/>
          <w:sz w:val="21"/>
          <w:szCs w:val="21"/>
          <w:lang w:eastAsia="en-IE"/>
        </w:rPr>
        <w:t>with underlying costs ex</w:t>
      </w:r>
      <w:r w:rsidR="00F766D3">
        <w:rPr>
          <w:rFonts w:eastAsia="Times New Roman" w:cstheme="minorHAnsi"/>
          <w:color w:val="000000"/>
          <w:sz w:val="21"/>
          <w:szCs w:val="21"/>
          <w:lang w:eastAsia="en-IE"/>
        </w:rPr>
        <w:t>cluding</w:t>
      </w:r>
      <w:r>
        <w:rPr>
          <w:rFonts w:eastAsia="Times New Roman" w:cstheme="minorHAnsi"/>
          <w:color w:val="000000"/>
          <w:sz w:val="21"/>
          <w:szCs w:val="21"/>
          <w:lang w:eastAsia="en-IE"/>
        </w:rPr>
        <w:t xml:space="preserve"> regulatory charges </w:t>
      </w:r>
      <w:r w:rsidR="00DE6234">
        <w:rPr>
          <w:rFonts w:eastAsia="Times New Roman" w:cstheme="minorHAnsi"/>
          <w:color w:val="000000"/>
          <w:sz w:val="21"/>
          <w:szCs w:val="21"/>
          <w:lang w:eastAsia="en-IE"/>
        </w:rPr>
        <w:t>unchanged</w:t>
      </w:r>
      <w:r>
        <w:rPr>
          <w:rFonts w:eastAsia="Times New Roman" w:cstheme="minorHAnsi"/>
          <w:color w:val="000000"/>
          <w:sz w:val="21"/>
          <w:szCs w:val="21"/>
          <w:lang w:eastAsia="en-IE"/>
        </w:rPr>
        <w:t xml:space="preserve">. </w:t>
      </w:r>
      <w:bookmarkStart w:id="5" w:name="_Hlk191475127"/>
      <w:bookmarkEnd w:id="4"/>
      <w:r w:rsidR="00243CCA">
        <w:rPr>
          <w:rFonts w:cstheme="minorHAnsi"/>
          <w:sz w:val="21"/>
          <w:szCs w:val="21"/>
        </w:rPr>
        <w:t xml:space="preserve">Regulatory </w:t>
      </w:r>
      <w:r w:rsidR="0038581F">
        <w:rPr>
          <w:rFonts w:cstheme="minorHAnsi"/>
          <w:sz w:val="21"/>
          <w:szCs w:val="21"/>
        </w:rPr>
        <w:t>charges</w:t>
      </w:r>
      <w:r w:rsidR="00243CCA">
        <w:rPr>
          <w:rFonts w:cstheme="minorHAnsi"/>
          <w:sz w:val="21"/>
          <w:szCs w:val="21"/>
        </w:rPr>
        <w:t xml:space="preserve"> were €</w:t>
      </w:r>
      <w:r w:rsidR="000D286B">
        <w:rPr>
          <w:rFonts w:cstheme="minorHAnsi"/>
          <w:sz w:val="21"/>
          <w:szCs w:val="21"/>
        </w:rPr>
        <w:t>25</w:t>
      </w:r>
      <w:r w:rsidR="00456EDA">
        <w:rPr>
          <w:rFonts w:cstheme="minorHAnsi"/>
          <w:sz w:val="21"/>
          <w:szCs w:val="21"/>
        </w:rPr>
        <w:t xml:space="preserve"> million</w:t>
      </w:r>
      <w:r w:rsidR="00243CCA">
        <w:rPr>
          <w:rFonts w:cstheme="minorHAnsi"/>
          <w:sz w:val="21"/>
          <w:szCs w:val="21"/>
        </w:rPr>
        <w:t xml:space="preserve"> </w:t>
      </w:r>
      <w:r w:rsidR="00A84CBB">
        <w:rPr>
          <w:rFonts w:cstheme="minorHAnsi"/>
          <w:sz w:val="21"/>
          <w:szCs w:val="21"/>
        </w:rPr>
        <w:t>reduced</w:t>
      </w:r>
      <w:r w:rsidR="00243CCA">
        <w:rPr>
          <w:rFonts w:cstheme="minorHAnsi"/>
          <w:sz w:val="21"/>
          <w:szCs w:val="21"/>
        </w:rPr>
        <w:t xml:space="preserve"> from €</w:t>
      </w:r>
      <w:r>
        <w:rPr>
          <w:rFonts w:cstheme="minorHAnsi"/>
          <w:sz w:val="21"/>
          <w:szCs w:val="21"/>
        </w:rPr>
        <w:t>29</w:t>
      </w:r>
      <w:r w:rsidR="00456EDA">
        <w:rPr>
          <w:rFonts w:cstheme="minorHAnsi"/>
          <w:sz w:val="21"/>
          <w:szCs w:val="21"/>
        </w:rPr>
        <w:t xml:space="preserve"> million</w:t>
      </w:r>
      <w:r w:rsidR="00243CCA">
        <w:rPr>
          <w:rFonts w:cstheme="minorHAnsi"/>
          <w:sz w:val="21"/>
          <w:szCs w:val="21"/>
        </w:rPr>
        <w:t xml:space="preserve"> in </w:t>
      </w:r>
      <w:r>
        <w:rPr>
          <w:rFonts w:cstheme="minorHAnsi"/>
          <w:sz w:val="21"/>
          <w:szCs w:val="21"/>
        </w:rPr>
        <w:t>H1 2024</w:t>
      </w:r>
      <w:bookmarkEnd w:id="5"/>
      <w:r w:rsidR="001040F9">
        <w:rPr>
          <w:rFonts w:cstheme="minorHAnsi"/>
          <w:sz w:val="21"/>
          <w:szCs w:val="21"/>
        </w:rPr>
        <w:t xml:space="preserve">. </w:t>
      </w:r>
      <w:r w:rsidR="006D5E21">
        <w:rPr>
          <w:rFonts w:cstheme="minorHAnsi"/>
          <w:sz w:val="21"/>
          <w:szCs w:val="21"/>
        </w:rPr>
        <w:t>E</w:t>
      </w:r>
      <w:r w:rsidR="00243CCA">
        <w:rPr>
          <w:rFonts w:cstheme="minorHAnsi"/>
          <w:sz w:val="21"/>
          <w:szCs w:val="21"/>
        </w:rPr>
        <w:t>xcluding these charges, t</w:t>
      </w:r>
      <w:r w:rsidR="007A13AF" w:rsidRPr="007B2FE5">
        <w:rPr>
          <w:rFonts w:cstheme="minorHAnsi"/>
          <w:sz w:val="21"/>
          <w:szCs w:val="21"/>
        </w:rPr>
        <w:t>he</w:t>
      </w:r>
      <w:r w:rsidR="002D2F94">
        <w:rPr>
          <w:rFonts w:cstheme="minorHAnsi"/>
          <w:sz w:val="21"/>
          <w:szCs w:val="21"/>
        </w:rPr>
        <w:t xml:space="preserve"> Bank’s</w:t>
      </w:r>
      <w:r w:rsidR="007A13AF" w:rsidRPr="007B2FE5">
        <w:rPr>
          <w:rFonts w:cstheme="minorHAnsi"/>
          <w:sz w:val="21"/>
          <w:szCs w:val="21"/>
        </w:rPr>
        <w:t xml:space="preserve"> </w:t>
      </w:r>
      <w:r w:rsidR="007A13AF">
        <w:rPr>
          <w:rFonts w:cstheme="minorHAnsi"/>
          <w:sz w:val="21"/>
          <w:szCs w:val="21"/>
        </w:rPr>
        <w:t>Cost Income Ratio</w:t>
      </w:r>
      <w:r w:rsidR="007A13AF">
        <w:rPr>
          <w:rFonts w:cstheme="minorHAnsi"/>
          <w:sz w:val="21"/>
          <w:szCs w:val="21"/>
          <w:vertAlign w:val="superscript"/>
        </w:rPr>
        <w:t xml:space="preserve"> </w:t>
      </w:r>
      <w:r w:rsidR="00243CCA">
        <w:rPr>
          <w:rFonts w:cstheme="minorHAnsi"/>
          <w:sz w:val="21"/>
          <w:szCs w:val="21"/>
        </w:rPr>
        <w:t>was 7</w:t>
      </w:r>
      <w:r w:rsidR="004476E5">
        <w:rPr>
          <w:rFonts w:cstheme="minorHAnsi"/>
          <w:sz w:val="21"/>
          <w:szCs w:val="21"/>
        </w:rPr>
        <w:t>6</w:t>
      </w:r>
      <w:r w:rsidR="007A13AF" w:rsidRPr="007B2FE5">
        <w:rPr>
          <w:rFonts w:cstheme="minorHAnsi"/>
          <w:sz w:val="21"/>
          <w:szCs w:val="21"/>
        </w:rPr>
        <w:t>%</w:t>
      </w:r>
      <w:r w:rsidR="002D70CB">
        <w:rPr>
          <w:rFonts w:cstheme="minorHAnsi"/>
          <w:sz w:val="21"/>
          <w:szCs w:val="21"/>
        </w:rPr>
        <w:t xml:space="preserve"> and the Bank remains focused on reducing this ratio in the coming years. </w:t>
      </w:r>
    </w:p>
    <w:p w14:paraId="6FF11330" w14:textId="77777777" w:rsidR="00A84CBB" w:rsidRDefault="00A84CBB" w:rsidP="002D70CB">
      <w:pPr>
        <w:spacing w:after="0" w:line="230" w:lineRule="atLeast"/>
        <w:ind w:right="238"/>
        <w:jc w:val="both"/>
        <w:rPr>
          <w:rFonts w:cstheme="minorHAnsi"/>
          <w:sz w:val="21"/>
          <w:szCs w:val="21"/>
        </w:rPr>
      </w:pPr>
    </w:p>
    <w:p w14:paraId="704ABA8D" w14:textId="3DF001CE" w:rsidR="00A84CBB" w:rsidRDefault="00A84CBB" w:rsidP="00A84CBB">
      <w:pPr>
        <w:spacing w:before="120" w:after="240" w:line="230" w:lineRule="atLeast"/>
        <w:ind w:right="238"/>
        <w:jc w:val="both"/>
        <w:rPr>
          <w:rFonts w:cstheme="minorHAnsi"/>
          <w:sz w:val="21"/>
          <w:szCs w:val="21"/>
        </w:rPr>
      </w:pPr>
      <w:r w:rsidRPr="007366D7">
        <w:rPr>
          <w:rFonts w:cstheme="minorHAnsi"/>
          <w:sz w:val="21"/>
          <w:szCs w:val="21"/>
        </w:rPr>
        <w:t xml:space="preserve">The Bank is implementing a number </w:t>
      </w:r>
      <w:r>
        <w:rPr>
          <w:rFonts w:cstheme="minorHAnsi"/>
          <w:sz w:val="21"/>
          <w:szCs w:val="21"/>
        </w:rPr>
        <w:t>of initiatives under</w:t>
      </w:r>
      <w:r w:rsidRPr="007366D7">
        <w:rPr>
          <w:rFonts w:cstheme="minorHAnsi"/>
          <w:sz w:val="21"/>
          <w:szCs w:val="21"/>
        </w:rPr>
        <w:t xml:space="preserve"> its Strategic Business Transformation (SBT) Programme</w:t>
      </w:r>
      <w:r>
        <w:rPr>
          <w:rFonts w:cstheme="minorHAnsi"/>
          <w:sz w:val="21"/>
          <w:szCs w:val="21"/>
        </w:rPr>
        <w:t xml:space="preserve">. These include </w:t>
      </w:r>
      <w:r w:rsidRPr="007366D7">
        <w:rPr>
          <w:rFonts w:cstheme="minorHAnsi"/>
          <w:sz w:val="21"/>
          <w:szCs w:val="21"/>
        </w:rPr>
        <w:t>the development of an end-to-end in-life mortgage servicing platform to enable process simplification and self-serve capabilities, a rationalisation of our software and IT suppliers, the introduction of a new contact centre platform to improve both colleague and customer experience</w:t>
      </w:r>
      <w:r w:rsidR="00350E5E">
        <w:rPr>
          <w:rFonts w:cstheme="minorHAnsi"/>
          <w:sz w:val="21"/>
          <w:szCs w:val="21"/>
        </w:rPr>
        <w:t xml:space="preserve"> and </w:t>
      </w:r>
      <w:r w:rsidR="00350E5E" w:rsidRPr="007366D7">
        <w:rPr>
          <w:rFonts w:cstheme="minorHAnsi"/>
          <w:sz w:val="21"/>
          <w:szCs w:val="21"/>
        </w:rPr>
        <w:t>customer correspondence via email to reduce paper usage</w:t>
      </w:r>
      <w:r w:rsidR="00350E5E">
        <w:rPr>
          <w:rFonts w:cstheme="minorHAnsi"/>
          <w:sz w:val="21"/>
          <w:szCs w:val="21"/>
        </w:rPr>
        <w:t>.</w:t>
      </w:r>
    </w:p>
    <w:p w14:paraId="42BFDAD4" w14:textId="0D4D570E" w:rsidR="008C706C" w:rsidRDefault="00A84CBB" w:rsidP="008C706C">
      <w:pPr>
        <w:spacing w:before="120" w:after="240" w:line="230" w:lineRule="atLeast"/>
        <w:ind w:right="238"/>
        <w:jc w:val="both"/>
        <w:rPr>
          <w:rFonts w:cstheme="minorHAnsi"/>
          <w:sz w:val="21"/>
          <w:szCs w:val="21"/>
        </w:rPr>
      </w:pPr>
      <w:r>
        <w:rPr>
          <w:rFonts w:cstheme="minorHAnsi"/>
          <w:sz w:val="21"/>
          <w:szCs w:val="21"/>
        </w:rPr>
        <w:lastRenderedPageBreak/>
        <w:t xml:space="preserve">The </w:t>
      </w:r>
      <w:r w:rsidRPr="007366D7">
        <w:rPr>
          <w:rFonts w:cstheme="minorHAnsi"/>
          <w:sz w:val="21"/>
          <w:szCs w:val="21"/>
        </w:rPr>
        <w:t>Bank's voluntary severance scheme</w:t>
      </w:r>
      <w:r>
        <w:rPr>
          <w:rFonts w:cstheme="minorHAnsi"/>
          <w:sz w:val="21"/>
          <w:szCs w:val="21"/>
        </w:rPr>
        <w:t>, another initiative under SBT,</w:t>
      </w:r>
      <w:r w:rsidRPr="007366D7">
        <w:rPr>
          <w:rFonts w:cstheme="minorHAnsi"/>
          <w:sz w:val="21"/>
          <w:szCs w:val="21"/>
        </w:rPr>
        <w:t xml:space="preserve"> is at an advanced stage and when combined with natural attrition, we continue to expect a reduction in staff numbers of c. 300 in 2025</w:t>
      </w:r>
      <w:r>
        <w:rPr>
          <w:rFonts w:cstheme="minorHAnsi"/>
          <w:sz w:val="21"/>
          <w:szCs w:val="21"/>
        </w:rPr>
        <w:t xml:space="preserve">. The </w:t>
      </w:r>
      <w:r w:rsidR="00F074C1">
        <w:rPr>
          <w:rFonts w:cstheme="minorHAnsi"/>
          <w:sz w:val="21"/>
          <w:szCs w:val="21"/>
        </w:rPr>
        <w:t xml:space="preserve">severance </w:t>
      </w:r>
      <w:r>
        <w:rPr>
          <w:rFonts w:cstheme="minorHAnsi"/>
          <w:sz w:val="21"/>
          <w:szCs w:val="21"/>
        </w:rPr>
        <w:t xml:space="preserve">scheme </w:t>
      </w:r>
      <w:r w:rsidRPr="009D04FC">
        <w:rPr>
          <w:rFonts w:cstheme="minorHAnsi"/>
          <w:sz w:val="21"/>
          <w:szCs w:val="21"/>
        </w:rPr>
        <w:t xml:space="preserve">will generate annualised cost savings of </w:t>
      </w:r>
      <w:r w:rsidR="00525A82">
        <w:rPr>
          <w:rFonts w:cstheme="minorHAnsi"/>
          <w:sz w:val="21"/>
          <w:szCs w:val="21"/>
        </w:rPr>
        <w:t>c.</w:t>
      </w:r>
      <w:r w:rsidRPr="009D04FC">
        <w:rPr>
          <w:rFonts w:cstheme="minorHAnsi"/>
          <w:sz w:val="21"/>
          <w:szCs w:val="21"/>
        </w:rPr>
        <w:t xml:space="preserve"> €</w:t>
      </w:r>
      <w:r>
        <w:rPr>
          <w:rFonts w:cstheme="minorHAnsi"/>
          <w:sz w:val="21"/>
          <w:szCs w:val="21"/>
        </w:rPr>
        <w:t>1</w:t>
      </w:r>
      <w:r w:rsidR="00525A82">
        <w:rPr>
          <w:rFonts w:cstheme="minorHAnsi"/>
          <w:sz w:val="21"/>
          <w:szCs w:val="21"/>
        </w:rPr>
        <w:t>9</w:t>
      </w:r>
      <w:r w:rsidRPr="009D04FC">
        <w:rPr>
          <w:rFonts w:cstheme="minorHAnsi"/>
          <w:sz w:val="21"/>
          <w:szCs w:val="21"/>
        </w:rPr>
        <w:t xml:space="preserve"> million per annum</w:t>
      </w:r>
      <w:r>
        <w:rPr>
          <w:rFonts w:cstheme="minorHAnsi"/>
          <w:sz w:val="21"/>
          <w:szCs w:val="21"/>
        </w:rPr>
        <w:t>,</w:t>
      </w:r>
      <w:r w:rsidRPr="009D04FC">
        <w:rPr>
          <w:rFonts w:cstheme="minorHAnsi"/>
          <w:sz w:val="21"/>
          <w:szCs w:val="21"/>
        </w:rPr>
        <w:t xml:space="preserve"> and</w:t>
      </w:r>
      <w:r>
        <w:rPr>
          <w:rFonts w:cstheme="minorHAnsi"/>
          <w:sz w:val="21"/>
          <w:szCs w:val="21"/>
        </w:rPr>
        <w:t xml:space="preserve"> a</w:t>
      </w:r>
      <w:r w:rsidRPr="00CD4917">
        <w:rPr>
          <w:rFonts w:cstheme="minorHAnsi"/>
          <w:sz w:val="21"/>
          <w:szCs w:val="21"/>
        </w:rPr>
        <w:t>n exceptional charge of €</w:t>
      </w:r>
      <w:r>
        <w:rPr>
          <w:rFonts w:cstheme="minorHAnsi"/>
          <w:sz w:val="21"/>
          <w:szCs w:val="21"/>
        </w:rPr>
        <w:t>29 million</w:t>
      </w:r>
      <w:r w:rsidRPr="00CD4917">
        <w:rPr>
          <w:rFonts w:cstheme="minorHAnsi"/>
          <w:sz w:val="21"/>
          <w:szCs w:val="21"/>
        </w:rPr>
        <w:t xml:space="preserve"> associated with </w:t>
      </w:r>
      <w:r>
        <w:rPr>
          <w:rFonts w:cstheme="minorHAnsi"/>
          <w:sz w:val="21"/>
          <w:szCs w:val="21"/>
        </w:rPr>
        <w:t>it</w:t>
      </w:r>
      <w:r w:rsidRPr="00CD4917">
        <w:rPr>
          <w:rFonts w:cstheme="minorHAnsi"/>
          <w:sz w:val="21"/>
          <w:szCs w:val="21"/>
        </w:rPr>
        <w:t xml:space="preserve"> </w:t>
      </w:r>
      <w:r>
        <w:rPr>
          <w:rFonts w:cstheme="minorHAnsi"/>
          <w:sz w:val="21"/>
          <w:szCs w:val="21"/>
        </w:rPr>
        <w:t>was recognised in the first half.</w:t>
      </w:r>
      <w:r w:rsidR="008C706C">
        <w:rPr>
          <w:rFonts w:cstheme="minorHAnsi"/>
          <w:sz w:val="21"/>
          <w:szCs w:val="21"/>
        </w:rPr>
        <w:t xml:space="preserve"> Staff numbers at the end of June were 3,085</w:t>
      </w:r>
      <w:r w:rsidR="00006FF4">
        <w:rPr>
          <w:rFonts w:cstheme="minorHAnsi"/>
          <w:sz w:val="21"/>
          <w:szCs w:val="21"/>
        </w:rPr>
        <w:t>,</w:t>
      </w:r>
      <w:r w:rsidR="008C706C">
        <w:rPr>
          <w:rFonts w:cstheme="minorHAnsi"/>
          <w:sz w:val="21"/>
          <w:szCs w:val="21"/>
        </w:rPr>
        <w:t xml:space="preserve"> down 162 or 5% compared with 3,247 at year</w:t>
      </w:r>
      <w:r w:rsidR="00C56C93">
        <w:rPr>
          <w:rFonts w:cstheme="minorHAnsi"/>
          <w:sz w:val="21"/>
          <w:szCs w:val="21"/>
        </w:rPr>
        <w:t>-</w:t>
      </w:r>
      <w:r w:rsidR="008C706C">
        <w:rPr>
          <w:rFonts w:cstheme="minorHAnsi"/>
          <w:sz w:val="21"/>
          <w:szCs w:val="21"/>
        </w:rPr>
        <w:t>end.</w:t>
      </w:r>
    </w:p>
    <w:p w14:paraId="551DA176" w14:textId="499703C2" w:rsidR="00D75C49" w:rsidRDefault="00D75C49" w:rsidP="00800F87">
      <w:pPr>
        <w:spacing w:before="120" w:after="240" w:line="230" w:lineRule="atLeast"/>
        <w:ind w:right="238"/>
        <w:jc w:val="both"/>
        <w:rPr>
          <w:rFonts w:cstheme="minorHAnsi"/>
          <w:sz w:val="21"/>
          <w:szCs w:val="21"/>
        </w:rPr>
      </w:pPr>
      <w:r>
        <w:rPr>
          <w:rFonts w:eastAsia="Times New Roman" w:cstheme="minorHAnsi"/>
          <w:color w:val="000000"/>
          <w:sz w:val="21"/>
          <w:szCs w:val="21"/>
          <w:lang w:eastAsia="en-IE"/>
        </w:rPr>
        <w:t>For full year 2025, we remain on track to meet our cost target of €525 million</w:t>
      </w:r>
      <w:r w:rsidR="00067F3C">
        <w:rPr>
          <w:rFonts w:eastAsia="Times New Roman" w:cstheme="minorHAnsi"/>
          <w:color w:val="000000"/>
          <w:sz w:val="21"/>
          <w:szCs w:val="21"/>
          <w:lang w:eastAsia="en-IE"/>
        </w:rPr>
        <w:t>.</w:t>
      </w:r>
    </w:p>
    <w:p w14:paraId="22C9290B" w14:textId="0AE62D63" w:rsidR="007B2FE5" w:rsidRPr="007B2FE5" w:rsidRDefault="007B2FE5" w:rsidP="00ED1484">
      <w:pPr>
        <w:spacing w:before="120" w:after="240" w:line="230" w:lineRule="atLeast"/>
        <w:ind w:right="237"/>
        <w:jc w:val="both"/>
        <w:rPr>
          <w:rFonts w:cstheme="minorHAnsi"/>
          <w:b/>
          <w:sz w:val="21"/>
          <w:szCs w:val="21"/>
        </w:rPr>
      </w:pPr>
      <w:r w:rsidRPr="007B2FE5">
        <w:rPr>
          <w:rFonts w:cstheme="minorHAnsi"/>
          <w:b/>
          <w:sz w:val="21"/>
          <w:szCs w:val="21"/>
        </w:rPr>
        <w:t>Asset Quality</w:t>
      </w:r>
    </w:p>
    <w:p w14:paraId="61760E9D" w14:textId="7A4BF0C3" w:rsidR="00063B7F" w:rsidRDefault="00083DDA" w:rsidP="00ED1484">
      <w:pPr>
        <w:spacing w:before="120" w:after="240" w:line="230" w:lineRule="atLeast"/>
        <w:ind w:right="237"/>
        <w:jc w:val="both"/>
        <w:rPr>
          <w:rFonts w:cstheme="minorHAnsi"/>
          <w:sz w:val="21"/>
          <w:szCs w:val="21"/>
        </w:rPr>
      </w:pPr>
      <w:r w:rsidRPr="00295CA2">
        <w:rPr>
          <w:rFonts w:cstheme="minorHAnsi"/>
          <w:sz w:val="21"/>
          <w:szCs w:val="21"/>
        </w:rPr>
        <w:t xml:space="preserve">Asset Quality remains </w:t>
      </w:r>
      <w:proofErr w:type="gramStart"/>
      <w:r w:rsidR="00DC467D">
        <w:rPr>
          <w:rFonts w:cstheme="minorHAnsi"/>
          <w:sz w:val="21"/>
          <w:szCs w:val="21"/>
        </w:rPr>
        <w:t>strong</w:t>
      </w:r>
      <w:proofErr w:type="gramEnd"/>
      <w:r w:rsidR="008973E4">
        <w:rPr>
          <w:rFonts w:cstheme="minorHAnsi"/>
          <w:sz w:val="21"/>
          <w:szCs w:val="21"/>
        </w:rPr>
        <w:t xml:space="preserve"> </w:t>
      </w:r>
      <w:r w:rsidR="00063B7F">
        <w:rPr>
          <w:rFonts w:cstheme="minorHAnsi"/>
          <w:sz w:val="21"/>
          <w:szCs w:val="21"/>
        </w:rPr>
        <w:t>and</w:t>
      </w:r>
      <w:r w:rsidR="008973E4">
        <w:rPr>
          <w:rFonts w:cstheme="minorHAnsi"/>
          <w:sz w:val="21"/>
          <w:szCs w:val="21"/>
        </w:rPr>
        <w:t xml:space="preserve"> we recorded a</w:t>
      </w:r>
      <w:r w:rsidR="00063B7F">
        <w:rPr>
          <w:rFonts w:cstheme="minorHAnsi"/>
          <w:sz w:val="21"/>
          <w:szCs w:val="21"/>
        </w:rPr>
        <w:t xml:space="preserve"> </w:t>
      </w:r>
      <w:r w:rsidR="00DE16E7">
        <w:rPr>
          <w:rFonts w:cstheme="minorHAnsi"/>
          <w:sz w:val="21"/>
          <w:szCs w:val="21"/>
        </w:rPr>
        <w:t>nil</w:t>
      </w:r>
      <w:r w:rsidR="008E455E">
        <w:rPr>
          <w:rFonts w:cstheme="minorHAnsi"/>
          <w:sz w:val="21"/>
          <w:szCs w:val="21"/>
        </w:rPr>
        <w:t xml:space="preserve"> charge</w:t>
      </w:r>
      <w:r w:rsidR="008973E4">
        <w:rPr>
          <w:rFonts w:cstheme="minorHAnsi"/>
          <w:sz w:val="21"/>
          <w:szCs w:val="21"/>
        </w:rPr>
        <w:t xml:space="preserve"> in the income statement </w:t>
      </w:r>
      <w:r w:rsidR="008E455E">
        <w:rPr>
          <w:rFonts w:cstheme="minorHAnsi"/>
          <w:sz w:val="21"/>
          <w:szCs w:val="21"/>
        </w:rPr>
        <w:t>for the first half (0</w:t>
      </w:r>
      <w:r w:rsidR="00063B7F">
        <w:rPr>
          <w:rFonts w:cstheme="minorHAnsi"/>
          <w:sz w:val="21"/>
          <w:szCs w:val="21"/>
        </w:rPr>
        <w:t>b</w:t>
      </w:r>
      <w:r w:rsidR="008973E4">
        <w:rPr>
          <w:rFonts w:cstheme="minorHAnsi"/>
          <w:sz w:val="21"/>
          <w:szCs w:val="21"/>
        </w:rPr>
        <w:t>ps</w:t>
      </w:r>
      <w:r w:rsidR="0052247F">
        <w:rPr>
          <w:rFonts w:cstheme="minorHAnsi"/>
          <w:sz w:val="21"/>
          <w:szCs w:val="21"/>
        </w:rPr>
        <w:t xml:space="preserve"> cost of risk</w:t>
      </w:r>
      <w:r w:rsidR="008973E4">
        <w:rPr>
          <w:rFonts w:cstheme="minorHAnsi"/>
          <w:sz w:val="21"/>
          <w:szCs w:val="21"/>
        </w:rPr>
        <w:t>).</w:t>
      </w:r>
      <w:r w:rsidRPr="00295CA2">
        <w:rPr>
          <w:rFonts w:cstheme="minorHAnsi"/>
          <w:sz w:val="21"/>
          <w:szCs w:val="21"/>
        </w:rPr>
        <w:t xml:space="preserve"> </w:t>
      </w:r>
      <w:r w:rsidR="00E27E24">
        <w:rPr>
          <w:rFonts w:cstheme="minorHAnsi"/>
          <w:sz w:val="21"/>
          <w:szCs w:val="21"/>
        </w:rPr>
        <w:t xml:space="preserve">While macro-economic risk and uncertainty have increased since year end, we have made </w:t>
      </w:r>
      <w:r w:rsidR="00590076">
        <w:rPr>
          <w:rFonts w:cstheme="minorHAnsi"/>
          <w:sz w:val="21"/>
          <w:szCs w:val="21"/>
        </w:rPr>
        <w:t xml:space="preserve">only </w:t>
      </w:r>
      <w:r w:rsidR="00E27E24">
        <w:rPr>
          <w:rFonts w:cstheme="minorHAnsi"/>
          <w:sz w:val="21"/>
          <w:szCs w:val="21"/>
        </w:rPr>
        <w:t>modest changes to our impairment forecasting scenarios given they already incorporate</w:t>
      </w:r>
      <w:r w:rsidR="005C0E5F">
        <w:rPr>
          <w:rFonts w:cstheme="minorHAnsi"/>
          <w:sz w:val="21"/>
          <w:szCs w:val="21"/>
        </w:rPr>
        <w:t>d</w:t>
      </w:r>
      <w:r w:rsidR="00E27E24">
        <w:rPr>
          <w:rFonts w:cstheme="minorHAnsi"/>
          <w:sz w:val="21"/>
          <w:szCs w:val="21"/>
        </w:rPr>
        <w:t xml:space="preserve"> a trade tariff </w:t>
      </w:r>
      <w:r w:rsidR="00E27E24" w:rsidRPr="007213BB">
        <w:rPr>
          <w:rFonts w:cstheme="minorHAnsi"/>
          <w:sz w:val="21"/>
          <w:szCs w:val="21"/>
        </w:rPr>
        <w:t>shock</w:t>
      </w:r>
      <w:r w:rsidR="00FC3763" w:rsidRPr="007213BB">
        <w:rPr>
          <w:rFonts w:cstheme="minorHAnsi"/>
          <w:sz w:val="21"/>
          <w:szCs w:val="21"/>
        </w:rPr>
        <w:t xml:space="preserve"> of 15%-20%</w:t>
      </w:r>
      <w:r w:rsidR="00E27E24" w:rsidRPr="007213BB">
        <w:rPr>
          <w:rFonts w:cstheme="minorHAnsi"/>
          <w:sz w:val="21"/>
          <w:szCs w:val="21"/>
        </w:rPr>
        <w:t>.</w:t>
      </w:r>
    </w:p>
    <w:p w14:paraId="00EC2E83" w14:textId="684F8BC9" w:rsidR="00F97276" w:rsidRDefault="00083DDA" w:rsidP="00ED1484">
      <w:pPr>
        <w:spacing w:before="120" w:after="240" w:line="230" w:lineRule="atLeast"/>
        <w:ind w:right="237"/>
        <w:jc w:val="both"/>
        <w:rPr>
          <w:rFonts w:cstheme="minorHAnsi"/>
          <w:sz w:val="21"/>
          <w:szCs w:val="21"/>
        </w:rPr>
      </w:pPr>
      <w:r w:rsidRPr="00295CA2">
        <w:rPr>
          <w:rFonts w:cstheme="minorHAnsi"/>
          <w:sz w:val="21"/>
          <w:szCs w:val="21"/>
        </w:rPr>
        <w:t xml:space="preserve">Non-Performing Loans </w:t>
      </w:r>
      <w:r w:rsidR="0048768B">
        <w:rPr>
          <w:rFonts w:cstheme="minorHAnsi"/>
          <w:sz w:val="21"/>
          <w:szCs w:val="21"/>
        </w:rPr>
        <w:t>were little changed in the period</w:t>
      </w:r>
      <w:r w:rsidR="007E75A2">
        <w:rPr>
          <w:rFonts w:cstheme="minorHAnsi"/>
          <w:sz w:val="21"/>
          <w:szCs w:val="21"/>
        </w:rPr>
        <w:t xml:space="preserve"> </w:t>
      </w:r>
      <w:r w:rsidR="0048768B">
        <w:rPr>
          <w:rFonts w:cstheme="minorHAnsi"/>
          <w:sz w:val="21"/>
          <w:szCs w:val="21"/>
        </w:rPr>
        <w:t>at €387 million</w:t>
      </w:r>
      <w:r w:rsidR="00DF257B">
        <w:rPr>
          <w:rFonts w:cstheme="minorHAnsi"/>
          <w:sz w:val="21"/>
          <w:szCs w:val="21"/>
        </w:rPr>
        <w:t xml:space="preserve"> </w:t>
      </w:r>
      <w:r w:rsidR="00037AED">
        <w:rPr>
          <w:rFonts w:cstheme="minorHAnsi"/>
          <w:sz w:val="21"/>
          <w:szCs w:val="21"/>
        </w:rPr>
        <w:t xml:space="preserve">at end June 2025 </w:t>
      </w:r>
      <w:r w:rsidR="00063B7F">
        <w:rPr>
          <w:rFonts w:cstheme="minorHAnsi"/>
          <w:sz w:val="21"/>
          <w:szCs w:val="21"/>
        </w:rPr>
        <w:t>and t</w:t>
      </w:r>
      <w:r w:rsidR="00526A94">
        <w:rPr>
          <w:rFonts w:cstheme="minorHAnsi"/>
          <w:sz w:val="21"/>
          <w:szCs w:val="21"/>
        </w:rPr>
        <w:t xml:space="preserve">his represents </w:t>
      </w:r>
      <w:r w:rsidR="0048768B">
        <w:rPr>
          <w:rFonts w:cstheme="minorHAnsi"/>
          <w:sz w:val="21"/>
          <w:szCs w:val="21"/>
        </w:rPr>
        <w:t>1.</w:t>
      </w:r>
      <w:r w:rsidR="00E46F26">
        <w:rPr>
          <w:rFonts w:cstheme="minorHAnsi"/>
          <w:sz w:val="21"/>
          <w:szCs w:val="21"/>
        </w:rPr>
        <w:t>8</w:t>
      </w:r>
      <w:r w:rsidR="00526A94">
        <w:rPr>
          <w:rFonts w:cstheme="minorHAnsi"/>
          <w:sz w:val="21"/>
          <w:szCs w:val="21"/>
        </w:rPr>
        <w:t xml:space="preserve">% of </w:t>
      </w:r>
      <w:r w:rsidR="00386D5A">
        <w:rPr>
          <w:rFonts w:cstheme="minorHAnsi"/>
          <w:sz w:val="21"/>
          <w:szCs w:val="21"/>
        </w:rPr>
        <w:t xml:space="preserve">gross </w:t>
      </w:r>
      <w:r w:rsidR="00526A94">
        <w:rPr>
          <w:rFonts w:cstheme="minorHAnsi"/>
          <w:sz w:val="21"/>
          <w:szCs w:val="21"/>
        </w:rPr>
        <w:t>loans.</w:t>
      </w:r>
      <w:r w:rsidR="007D0B57">
        <w:rPr>
          <w:rFonts w:cstheme="minorHAnsi"/>
          <w:sz w:val="21"/>
          <w:szCs w:val="21"/>
        </w:rPr>
        <w:t xml:space="preserve"> </w:t>
      </w:r>
      <w:r w:rsidR="006641A7">
        <w:rPr>
          <w:rFonts w:cstheme="minorHAnsi"/>
          <w:sz w:val="21"/>
          <w:szCs w:val="21"/>
        </w:rPr>
        <w:t>Our total provision</w:t>
      </w:r>
      <w:r w:rsidR="00037AED">
        <w:rPr>
          <w:rFonts w:cstheme="minorHAnsi"/>
          <w:sz w:val="21"/>
          <w:szCs w:val="21"/>
        </w:rPr>
        <w:t>s were €389 million</w:t>
      </w:r>
      <w:r w:rsidR="006641A7">
        <w:rPr>
          <w:rFonts w:cstheme="minorHAnsi"/>
          <w:sz w:val="21"/>
          <w:szCs w:val="21"/>
        </w:rPr>
        <w:t xml:space="preserve"> </w:t>
      </w:r>
      <w:r w:rsidR="00037AED">
        <w:rPr>
          <w:rFonts w:cstheme="minorHAnsi"/>
          <w:sz w:val="21"/>
          <w:szCs w:val="21"/>
        </w:rPr>
        <w:t>(</w:t>
      </w:r>
      <w:r w:rsidR="006641A7">
        <w:rPr>
          <w:rFonts w:cstheme="minorHAnsi"/>
          <w:sz w:val="21"/>
          <w:szCs w:val="21"/>
        </w:rPr>
        <w:t xml:space="preserve">coverage </w:t>
      </w:r>
      <w:r w:rsidR="00037AED">
        <w:rPr>
          <w:rFonts w:cstheme="minorHAnsi"/>
          <w:sz w:val="21"/>
          <w:szCs w:val="21"/>
        </w:rPr>
        <w:t>of</w:t>
      </w:r>
      <w:r w:rsidR="006641A7">
        <w:rPr>
          <w:rFonts w:cstheme="minorHAnsi"/>
          <w:sz w:val="21"/>
          <w:szCs w:val="21"/>
        </w:rPr>
        <w:t xml:space="preserve"> </w:t>
      </w:r>
      <w:r w:rsidR="00496AC0">
        <w:rPr>
          <w:rFonts w:cstheme="minorHAnsi"/>
          <w:sz w:val="21"/>
          <w:szCs w:val="21"/>
        </w:rPr>
        <w:t>1.</w:t>
      </w:r>
      <w:r w:rsidR="00E46F26">
        <w:rPr>
          <w:rFonts w:cstheme="minorHAnsi"/>
          <w:sz w:val="21"/>
          <w:szCs w:val="21"/>
        </w:rPr>
        <w:t>8</w:t>
      </w:r>
      <w:r w:rsidR="006641A7">
        <w:rPr>
          <w:rFonts w:cstheme="minorHAnsi"/>
          <w:sz w:val="21"/>
          <w:szCs w:val="21"/>
        </w:rPr>
        <w:t>%</w:t>
      </w:r>
      <w:r w:rsidR="00037AED">
        <w:rPr>
          <w:rFonts w:cstheme="minorHAnsi"/>
          <w:sz w:val="21"/>
          <w:szCs w:val="21"/>
        </w:rPr>
        <w:t>)</w:t>
      </w:r>
      <w:r w:rsidR="006641A7">
        <w:rPr>
          <w:rFonts w:cstheme="minorHAnsi"/>
          <w:sz w:val="21"/>
          <w:szCs w:val="21"/>
        </w:rPr>
        <w:t xml:space="preserve"> </w:t>
      </w:r>
      <w:r w:rsidR="00775223">
        <w:rPr>
          <w:rFonts w:cstheme="minorHAnsi"/>
          <w:sz w:val="21"/>
          <w:szCs w:val="21"/>
        </w:rPr>
        <w:t>which includ</w:t>
      </w:r>
      <w:r w:rsidR="00D03241">
        <w:rPr>
          <w:rFonts w:cstheme="minorHAnsi"/>
          <w:sz w:val="21"/>
          <w:szCs w:val="21"/>
        </w:rPr>
        <w:t>es</w:t>
      </w:r>
      <w:r w:rsidR="00775223">
        <w:rPr>
          <w:rFonts w:cstheme="minorHAnsi"/>
          <w:sz w:val="21"/>
          <w:szCs w:val="21"/>
        </w:rPr>
        <w:t xml:space="preserve"> </w:t>
      </w:r>
      <w:r w:rsidR="00037AED" w:rsidRPr="007213BB">
        <w:rPr>
          <w:rFonts w:cstheme="minorHAnsi"/>
          <w:sz w:val="21"/>
          <w:szCs w:val="21"/>
        </w:rPr>
        <w:t xml:space="preserve">€43 million of in-model adjustments and </w:t>
      </w:r>
      <w:r w:rsidR="00775223" w:rsidRPr="007213BB">
        <w:rPr>
          <w:rFonts w:cstheme="minorHAnsi"/>
          <w:sz w:val="21"/>
          <w:szCs w:val="21"/>
        </w:rPr>
        <w:t>€</w:t>
      </w:r>
      <w:r w:rsidR="00B30536" w:rsidRPr="007213BB">
        <w:rPr>
          <w:rFonts w:cstheme="minorHAnsi"/>
          <w:sz w:val="21"/>
          <w:szCs w:val="21"/>
        </w:rPr>
        <w:t>101</w:t>
      </w:r>
      <w:r w:rsidR="00775223" w:rsidRPr="007213BB">
        <w:rPr>
          <w:rFonts w:cstheme="minorHAnsi"/>
          <w:sz w:val="21"/>
          <w:szCs w:val="21"/>
        </w:rPr>
        <w:t xml:space="preserve"> million </w:t>
      </w:r>
      <w:r w:rsidR="00037AED" w:rsidRPr="007213BB">
        <w:rPr>
          <w:rFonts w:cstheme="minorHAnsi"/>
          <w:sz w:val="21"/>
          <w:szCs w:val="21"/>
        </w:rPr>
        <w:t xml:space="preserve">of </w:t>
      </w:r>
      <w:r w:rsidR="00AE3FD0" w:rsidRPr="007213BB">
        <w:rPr>
          <w:rFonts w:cstheme="minorHAnsi"/>
          <w:sz w:val="21"/>
          <w:szCs w:val="21"/>
        </w:rPr>
        <w:t xml:space="preserve">model </w:t>
      </w:r>
      <w:r w:rsidR="00C508B3" w:rsidRPr="007213BB">
        <w:rPr>
          <w:rFonts w:cstheme="minorHAnsi"/>
          <w:sz w:val="21"/>
          <w:szCs w:val="21"/>
        </w:rPr>
        <w:t>overlays</w:t>
      </w:r>
      <w:r w:rsidR="002749C5" w:rsidRPr="007213BB">
        <w:rPr>
          <w:rFonts w:ascii="Calibri" w:eastAsia="Times New Roman" w:hAnsi="Calibri" w:cs="Calibri"/>
          <w:color w:val="000000"/>
          <w:sz w:val="21"/>
          <w:szCs w:val="21"/>
          <w:lang w:eastAsia="en-IE"/>
        </w:rPr>
        <w:t xml:space="preserve">. </w:t>
      </w:r>
      <w:bookmarkStart w:id="6" w:name="_Hlk204013798"/>
      <w:r w:rsidR="00DE31E2" w:rsidRPr="007213BB">
        <w:rPr>
          <w:rFonts w:ascii="Calibri" w:eastAsia="Times New Roman" w:hAnsi="Calibri" w:cs="Calibri"/>
          <w:color w:val="000000"/>
          <w:sz w:val="21"/>
          <w:szCs w:val="21"/>
          <w:lang w:eastAsia="en-IE"/>
        </w:rPr>
        <w:t>As previously indicated, a review is taking place of our IFRS9 models which will capture the recent experience of our loan book</w:t>
      </w:r>
      <w:r w:rsidR="00505793" w:rsidRPr="007213BB">
        <w:rPr>
          <w:rFonts w:ascii="Calibri" w:eastAsia="Times New Roman" w:hAnsi="Calibri" w:cs="Calibri"/>
          <w:color w:val="000000"/>
          <w:sz w:val="21"/>
          <w:szCs w:val="21"/>
          <w:lang w:eastAsia="en-IE"/>
        </w:rPr>
        <w:t xml:space="preserve"> </w:t>
      </w:r>
      <w:bookmarkEnd w:id="6"/>
      <w:r w:rsidR="00505793" w:rsidRPr="007213BB">
        <w:rPr>
          <w:rFonts w:ascii="Calibri" w:eastAsia="Times New Roman" w:hAnsi="Calibri" w:cs="Calibri"/>
          <w:sz w:val="21"/>
          <w:szCs w:val="21"/>
          <w:lang w:eastAsia="en-IE"/>
        </w:rPr>
        <w:t xml:space="preserve">with an outcome expected for </w:t>
      </w:r>
      <w:r w:rsidR="002F4D3D" w:rsidRPr="007213BB">
        <w:rPr>
          <w:rFonts w:ascii="Calibri" w:eastAsia="Times New Roman" w:hAnsi="Calibri" w:cs="Calibri"/>
          <w:sz w:val="21"/>
          <w:szCs w:val="21"/>
          <w:lang w:eastAsia="en-IE"/>
        </w:rPr>
        <w:t>residential</w:t>
      </w:r>
      <w:r w:rsidR="00505793" w:rsidRPr="007213BB">
        <w:rPr>
          <w:rFonts w:ascii="Calibri" w:eastAsia="Times New Roman" w:hAnsi="Calibri" w:cs="Calibri"/>
          <w:sz w:val="21"/>
          <w:szCs w:val="21"/>
          <w:lang w:eastAsia="en-IE"/>
        </w:rPr>
        <w:t xml:space="preserve"> mortgages in 2025</w:t>
      </w:r>
      <w:r w:rsidR="007213BB" w:rsidRPr="007213BB">
        <w:rPr>
          <w:rFonts w:ascii="Calibri" w:eastAsia="Times New Roman" w:hAnsi="Calibri" w:cs="Calibri"/>
          <w:sz w:val="21"/>
          <w:szCs w:val="21"/>
          <w:lang w:eastAsia="en-IE"/>
        </w:rPr>
        <w:t>.</w:t>
      </w:r>
      <w:r w:rsidR="00505793" w:rsidRPr="007213BB">
        <w:rPr>
          <w:rFonts w:ascii="Calibri" w:eastAsia="Times New Roman" w:hAnsi="Calibri" w:cs="Calibri"/>
          <w:sz w:val="21"/>
          <w:szCs w:val="21"/>
          <w:lang w:eastAsia="en-IE"/>
        </w:rPr>
        <w:t xml:space="preserve"> </w:t>
      </w:r>
    </w:p>
    <w:p w14:paraId="6481FE74" w14:textId="5B38ACA3" w:rsidR="001E27DD" w:rsidRDefault="005C4C14" w:rsidP="00ED1484">
      <w:pPr>
        <w:spacing w:before="120" w:after="240" w:line="230" w:lineRule="atLeast"/>
        <w:ind w:right="237"/>
        <w:rPr>
          <w:rFonts w:cstheme="minorHAnsi"/>
          <w:sz w:val="21"/>
          <w:szCs w:val="21"/>
        </w:rPr>
      </w:pPr>
      <w:r>
        <w:rPr>
          <w:rFonts w:cstheme="minorHAnsi"/>
          <w:b/>
          <w:sz w:val="21"/>
          <w:szCs w:val="21"/>
        </w:rPr>
        <w:t>BALANCE SHEET</w:t>
      </w:r>
      <w:r w:rsidR="009E7244">
        <w:rPr>
          <w:rFonts w:cstheme="minorHAnsi"/>
          <w:b/>
          <w:sz w:val="21"/>
          <w:szCs w:val="21"/>
        </w:rPr>
        <w:t xml:space="preserve"> &amp; BUSINESS PERFORMANCE</w:t>
      </w:r>
    </w:p>
    <w:p w14:paraId="5AF69BAE" w14:textId="1089B350" w:rsidR="009171E2" w:rsidRPr="00295CA2" w:rsidRDefault="001A0E9E" w:rsidP="00ED1484">
      <w:pPr>
        <w:spacing w:before="120" w:after="240" w:line="230" w:lineRule="atLeast"/>
        <w:ind w:right="238"/>
        <w:jc w:val="both"/>
        <w:rPr>
          <w:rFonts w:cstheme="minorHAnsi"/>
          <w:b/>
          <w:sz w:val="21"/>
          <w:szCs w:val="21"/>
        </w:rPr>
      </w:pPr>
      <w:r>
        <w:rPr>
          <w:rFonts w:cstheme="minorHAnsi"/>
          <w:b/>
          <w:sz w:val="21"/>
          <w:szCs w:val="21"/>
        </w:rPr>
        <w:t xml:space="preserve">Customer </w:t>
      </w:r>
      <w:r w:rsidR="00275A44">
        <w:rPr>
          <w:rFonts w:cstheme="minorHAnsi"/>
          <w:b/>
          <w:sz w:val="21"/>
          <w:szCs w:val="21"/>
        </w:rPr>
        <w:t>L</w:t>
      </w:r>
      <w:r>
        <w:rPr>
          <w:rFonts w:cstheme="minorHAnsi"/>
          <w:b/>
          <w:sz w:val="21"/>
          <w:szCs w:val="21"/>
        </w:rPr>
        <w:t>oans</w:t>
      </w:r>
    </w:p>
    <w:p w14:paraId="7053613E" w14:textId="3D89D9EB" w:rsidR="001C32DD" w:rsidRDefault="001C32DD" w:rsidP="001C32DD">
      <w:pPr>
        <w:spacing w:before="120" w:after="240" w:line="230" w:lineRule="atLeast"/>
        <w:ind w:right="284"/>
        <w:jc w:val="both"/>
        <w:rPr>
          <w:rFonts w:eastAsia="Times New Roman" w:cstheme="minorHAnsi"/>
          <w:sz w:val="21"/>
          <w:szCs w:val="21"/>
          <w:lang w:eastAsia="en-IE"/>
        </w:rPr>
      </w:pPr>
      <w:r w:rsidRPr="005C1BAA">
        <w:rPr>
          <w:rFonts w:eastAsia="Times New Roman" w:cstheme="minorHAnsi"/>
          <w:sz w:val="21"/>
          <w:szCs w:val="21"/>
          <w:lang w:eastAsia="en-IE"/>
        </w:rPr>
        <w:t>Total gross loans rose to €2</w:t>
      </w:r>
      <w:r>
        <w:rPr>
          <w:rFonts w:eastAsia="Times New Roman" w:cstheme="minorHAnsi"/>
          <w:sz w:val="21"/>
          <w:szCs w:val="21"/>
          <w:lang w:eastAsia="en-IE"/>
        </w:rPr>
        <w:t>2.</w:t>
      </w:r>
      <w:r w:rsidR="008C69BF">
        <w:rPr>
          <w:rFonts w:eastAsia="Times New Roman" w:cstheme="minorHAnsi"/>
          <w:sz w:val="21"/>
          <w:szCs w:val="21"/>
          <w:lang w:eastAsia="en-IE"/>
        </w:rPr>
        <w:t>2</w:t>
      </w:r>
      <w:r w:rsidRPr="005C1BAA">
        <w:rPr>
          <w:rFonts w:eastAsia="Times New Roman" w:cstheme="minorHAnsi"/>
          <w:sz w:val="21"/>
          <w:szCs w:val="21"/>
          <w:lang w:eastAsia="en-IE"/>
        </w:rPr>
        <w:t xml:space="preserve"> billion</w:t>
      </w:r>
      <w:r w:rsidR="00CF1D5C">
        <w:rPr>
          <w:rFonts w:eastAsia="Times New Roman" w:cstheme="minorHAnsi"/>
          <w:sz w:val="21"/>
          <w:szCs w:val="21"/>
          <w:lang w:eastAsia="en-IE"/>
        </w:rPr>
        <w:t xml:space="preserve"> up</w:t>
      </w:r>
      <w:r w:rsidR="00394641">
        <w:rPr>
          <w:rFonts w:eastAsia="Times New Roman" w:cstheme="minorHAnsi"/>
          <w:sz w:val="21"/>
          <w:szCs w:val="21"/>
          <w:lang w:eastAsia="en-IE"/>
        </w:rPr>
        <w:t xml:space="preserve"> </w:t>
      </w:r>
      <w:r w:rsidR="00FC7ABB">
        <w:rPr>
          <w:rFonts w:eastAsia="Times New Roman" w:cstheme="minorHAnsi"/>
          <w:sz w:val="21"/>
          <w:szCs w:val="21"/>
          <w:lang w:eastAsia="en-IE"/>
        </w:rPr>
        <w:t xml:space="preserve">c. </w:t>
      </w:r>
      <w:r w:rsidR="00570F2D">
        <w:rPr>
          <w:rFonts w:eastAsia="Times New Roman" w:cstheme="minorHAnsi"/>
          <w:sz w:val="21"/>
          <w:szCs w:val="21"/>
          <w:lang w:eastAsia="en-IE"/>
        </w:rPr>
        <w:t>2</w:t>
      </w:r>
      <w:r w:rsidR="00394641">
        <w:rPr>
          <w:rFonts w:eastAsia="Times New Roman" w:cstheme="minorHAnsi"/>
          <w:sz w:val="21"/>
          <w:szCs w:val="21"/>
          <w:lang w:eastAsia="en-IE"/>
        </w:rPr>
        <w:t>% year to date and</w:t>
      </w:r>
      <w:r w:rsidR="00CF1D5C">
        <w:rPr>
          <w:rFonts w:eastAsia="Times New Roman" w:cstheme="minorHAnsi"/>
          <w:sz w:val="21"/>
          <w:szCs w:val="21"/>
          <w:lang w:eastAsia="en-IE"/>
        </w:rPr>
        <w:t xml:space="preserve"> </w:t>
      </w:r>
      <w:r w:rsidR="00DE16E7">
        <w:rPr>
          <w:rFonts w:eastAsia="Times New Roman" w:cstheme="minorHAnsi"/>
          <w:sz w:val="21"/>
          <w:szCs w:val="21"/>
          <w:lang w:eastAsia="en-IE"/>
        </w:rPr>
        <w:t>close to 4</w:t>
      </w:r>
      <w:r>
        <w:rPr>
          <w:rFonts w:eastAsia="Times New Roman" w:cstheme="minorHAnsi"/>
          <w:sz w:val="21"/>
          <w:szCs w:val="21"/>
          <w:lang w:eastAsia="en-IE"/>
        </w:rPr>
        <w:t xml:space="preserve">% </w:t>
      </w:r>
      <w:r w:rsidR="00570F2D">
        <w:rPr>
          <w:rFonts w:eastAsia="Times New Roman" w:cstheme="minorHAnsi"/>
          <w:sz w:val="21"/>
          <w:szCs w:val="21"/>
          <w:lang w:eastAsia="en-IE"/>
        </w:rPr>
        <w:t>year-on-year (</w:t>
      </w:r>
      <w:r>
        <w:rPr>
          <w:rFonts w:eastAsia="Times New Roman" w:cstheme="minorHAnsi"/>
          <w:sz w:val="21"/>
          <w:szCs w:val="21"/>
          <w:lang w:eastAsia="en-IE"/>
        </w:rPr>
        <w:t>YoY</w:t>
      </w:r>
      <w:r w:rsidR="00570F2D">
        <w:rPr>
          <w:rFonts w:eastAsia="Times New Roman" w:cstheme="minorHAnsi"/>
          <w:sz w:val="21"/>
          <w:szCs w:val="21"/>
          <w:lang w:eastAsia="en-IE"/>
        </w:rPr>
        <w:t>)</w:t>
      </w:r>
      <w:r>
        <w:rPr>
          <w:rFonts w:eastAsia="Times New Roman" w:cstheme="minorHAnsi"/>
          <w:sz w:val="21"/>
          <w:szCs w:val="21"/>
          <w:lang w:eastAsia="en-IE"/>
        </w:rPr>
        <w:t xml:space="preserve">. </w:t>
      </w:r>
      <w:r w:rsidR="00821E44">
        <w:rPr>
          <w:rFonts w:eastAsia="Times New Roman" w:cstheme="minorHAnsi"/>
          <w:sz w:val="21"/>
          <w:szCs w:val="21"/>
          <w:lang w:eastAsia="en-IE"/>
        </w:rPr>
        <w:t xml:space="preserve"> </w:t>
      </w:r>
      <w:r>
        <w:rPr>
          <w:rFonts w:eastAsia="Times New Roman" w:cstheme="minorHAnsi"/>
          <w:sz w:val="21"/>
          <w:szCs w:val="21"/>
          <w:lang w:eastAsia="en-IE"/>
        </w:rPr>
        <w:t>Our share of new mortgage drawdowns in H1</w:t>
      </w:r>
      <w:r w:rsidR="00F766D3">
        <w:rPr>
          <w:rFonts w:eastAsia="Times New Roman" w:cstheme="minorHAnsi"/>
          <w:sz w:val="21"/>
          <w:szCs w:val="21"/>
          <w:lang w:eastAsia="en-IE"/>
        </w:rPr>
        <w:t xml:space="preserve"> 2025</w:t>
      </w:r>
      <w:r>
        <w:rPr>
          <w:rFonts w:eastAsia="Times New Roman" w:cstheme="minorHAnsi"/>
          <w:sz w:val="21"/>
          <w:szCs w:val="21"/>
          <w:lang w:eastAsia="en-IE"/>
        </w:rPr>
        <w:t xml:space="preserve"> was </w:t>
      </w:r>
      <w:r w:rsidRPr="00CE37A3">
        <w:rPr>
          <w:rFonts w:eastAsia="Times New Roman" w:cstheme="minorHAnsi"/>
          <w:sz w:val="21"/>
          <w:szCs w:val="21"/>
          <w:lang w:eastAsia="en-IE"/>
        </w:rPr>
        <w:t>over 20%, up</w:t>
      </w:r>
      <w:r>
        <w:rPr>
          <w:rFonts w:eastAsia="Times New Roman" w:cstheme="minorHAnsi"/>
          <w:sz w:val="21"/>
          <w:szCs w:val="21"/>
          <w:lang w:eastAsia="en-IE"/>
        </w:rPr>
        <w:t xml:space="preserve"> significantly on H1 2024 (13.5</w:t>
      </w:r>
      <w:r w:rsidRPr="00DA6259">
        <w:rPr>
          <w:rFonts w:eastAsia="Times New Roman" w:cstheme="minorHAnsi"/>
          <w:sz w:val="21"/>
          <w:szCs w:val="21"/>
          <w:lang w:eastAsia="en-IE"/>
        </w:rPr>
        <w:t xml:space="preserve">%). Green mortgage lending accounted for </w:t>
      </w:r>
      <w:r w:rsidRPr="00B22CF3">
        <w:rPr>
          <w:rFonts w:eastAsia="Times New Roman" w:cstheme="minorHAnsi"/>
          <w:sz w:val="21"/>
          <w:szCs w:val="21"/>
          <w:lang w:eastAsia="en-IE"/>
        </w:rPr>
        <w:t>4</w:t>
      </w:r>
      <w:r w:rsidR="00B22CF3" w:rsidRPr="00B22CF3">
        <w:rPr>
          <w:rFonts w:eastAsia="Times New Roman" w:cstheme="minorHAnsi"/>
          <w:sz w:val="21"/>
          <w:szCs w:val="21"/>
          <w:lang w:eastAsia="en-IE"/>
        </w:rPr>
        <w:t>3</w:t>
      </w:r>
      <w:r w:rsidRPr="00DA6259">
        <w:rPr>
          <w:rFonts w:eastAsia="Times New Roman" w:cstheme="minorHAnsi"/>
          <w:sz w:val="21"/>
          <w:szCs w:val="21"/>
          <w:lang w:eastAsia="en-IE"/>
        </w:rPr>
        <w:t xml:space="preserve">% of all new </w:t>
      </w:r>
      <w:r w:rsidR="001D622E">
        <w:rPr>
          <w:rFonts w:eastAsia="Times New Roman" w:cstheme="minorHAnsi"/>
          <w:sz w:val="21"/>
          <w:szCs w:val="21"/>
          <w:lang w:eastAsia="en-IE"/>
        </w:rPr>
        <w:t xml:space="preserve">mortgage </w:t>
      </w:r>
      <w:r w:rsidRPr="00DA6259">
        <w:rPr>
          <w:rFonts w:eastAsia="Times New Roman" w:cstheme="minorHAnsi"/>
          <w:sz w:val="21"/>
          <w:szCs w:val="21"/>
          <w:lang w:eastAsia="en-IE"/>
        </w:rPr>
        <w:t xml:space="preserve">loans as we </w:t>
      </w:r>
      <w:r w:rsidR="00800F87">
        <w:rPr>
          <w:rFonts w:eastAsia="Times New Roman" w:cstheme="minorHAnsi"/>
          <w:sz w:val="21"/>
          <w:szCs w:val="21"/>
          <w:lang w:eastAsia="en-IE"/>
        </w:rPr>
        <w:t xml:space="preserve">continue to </w:t>
      </w:r>
      <w:r w:rsidRPr="00DA6259">
        <w:rPr>
          <w:rFonts w:eastAsia="Times New Roman" w:cstheme="minorHAnsi"/>
          <w:sz w:val="21"/>
          <w:szCs w:val="21"/>
          <w:lang w:eastAsia="en-IE"/>
        </w:rPr>
        <w:t xml:space="preserve">support customers </w:t>
      </w:r>
      <w:r w:rsidR="00A84CBB">
        <w:rPr>
          <w:rFonts w:eastAsia="Times New Roman" w:cstheme="minorHAnsi"/>
          <w:sz w:val="21"/>
          <w:szCs w:val="21"/>
          <w:lang w:eastAsia="en-IE"/>
        </w:rPr>
        <w:t>with</w:t>
      </w:r>
      <w:r w:rsidRPr="00DA6259">
        <w:rPr>
          <w:rFonts w:eastAsia="Times New Roman" w:cstheme="minorHAnsi"/>
          <w:sz w:val="21"/>
          <w:szCs w:val="21"/>
          <w:lang w:eastAsia="en-IE"/>
        </w:rPr>
        <w:t xml:space="preserve"> their transition to a low-carbon economy. The reduction in mortgage fixed rates that were announced in</w:t>
      </w:r>
      <w:r>
        <w:rPr>
          <w:rFonts w:eastAsia="Times New Roman" w:cstheme="minorHAnsi"/>
          <w:sz w:val="21"/>
          <w:szCs w:val="21"/>
          <w:lang w:eastAsia="en-IE"/>
        </w:rPr>
        <w:t xml:space="preserve"> mid-January continues to support our effort to maintain our competitive presence in the market while securing a very high level of retentions on our back book. </w:t>
      </w:r>
    </w:p>
    <w:p w14:paraId="4CA2550F" w14:textId="7F1BD9D2" w:rsidR="0043670C" w:rsidRPr="00FA0D96" w:rsidRDefault="001C32DD" w:rsidP="003542BF">
      <w:pPr>
        <w:spacing w:before="120" w:after="240" w:line="230" w:lineRule="atLeast"/>
        <w:ind w:right="284"/>
        <w:jc w:val="both"/>
        <w:rPr>
          <w:rFonts w:cstheme="minorHAnsi"/>
          <w:sz w:val="21"/>
          <w:szCs w:val="21"/>
        </w:rPr>
      </w:pPr>
      <w:r>
        <w:rPr>
          <w:rFonts w:eastAsia="Times New Roman" w:cstheme="minorHAnsi"/>
          <w:sz w:val="21"/>
          <w:szCs w:val="21"/>
          <w:lang w:eastAsia="en-IE"/>
        </w:rPr>
        <w:t xml:space="preserve">Meanwhile we continue to make strong progress in diversifying our income with new lending in Business Banking </w:t>
      </w:r>
      <w:r w:rsidR="003542BF">
        <w:rPr>
          <w:rFonts w:eastAsia="Times New Roman" w:cstheme="minorHAnsi"/>
          <w:sz w:val="21"/>
          <w:szCs w:val="21"/>
          <w:lang w:eastAsia="en-IE"/>
        </w:rPr>
        <w:t>(</w:t>
      </w:r>
      <w:r w:rsidR="003542BF">
        <w:rPr>
          <w:rFonts w:cstheme="minorHAnsi"/>
          <w:sz w:val="21"/>
          <w:szCs w:val="21"/>
        </w:rPr>
        <w:t xml:space="preserve">SME and Asset Finance) </w:t>
      </w:r>
      <w:r>
        <w:rPr>
          <w:rFonts w:eastAsia="Times New Roman" w:cstheme="minorHAnsi"/>
          <w:sz w:val="21"/>
          <w:szCs w:val="21"/>
          <w:lang w:eastAsia="en-IE"/>
        </w:rPr>
        <w:t xml:space="preserve">up </w:t>
      </w:r>
      <w:r w:rsidR="000D286B">
        <w:rPr>
          <w:rFonts w:eastAsia="Times New Roman" w:cstheme="minorHAnsi"/>
          <w:sz w:val="21"/>
          <w:szCs w:val="21"/>
          <w:lang w:eastAsia="en-IE"/>
        </w:rPr>
        <w:t>2</w:t>
      </w:r>
      <w:r w:rsidR="00114820">
        <w:rPr>
          <w:rFonts w:eastAsia="Times New Roman" w:cstheme="minorHAnsi"/>
          <w:sz w:val="21"/>
          <w:szCs w:val="21"/>
          <w:lang w:eastAsia="en-IE"/>
        </w:rPr>
        <w:t>3</w:t>
      </w:r>
      <w:r>
        <w:rPr>
          <w:rFonts w:eastAsia="Times New Roman" w:cstheme="minorHAnsi"/>
          <w:sz w:val="21"/>
          <w:szCs w:val="21"/>
          <w:lang w:eastAsia="en-IE"/>
        </w:rPr>
        <w:t xml:space="preserve">% </w:t>
      </w:r>
      <w:r w:rsidR="0044124C">
        <w:rPr>
          <w:rFonts w:eastAsia="Times New Roman" w:cstheme="minorHAnsi"/>
          <w:sz w:val="21"/>
          <w:szCs w:val="21"/>
          <w:lang w:eastAsia="en-IE"/>
        </w:rPr>
        <w:t>and</w:t>
      </w:r>
      <w:bookmarkStart w:id="7" w:name="_Hlk191322323"/>
      <w:r w:rsidR="003542BF">
        <w:rPr>
          <w:rFonts w:eastAsia="Times New Roman" w:cstheme="minorHAnsi"/>
          <w:sz w:val="21"/>
          <w:szCs w:val="21"/>
          <w:lang w:eastAsia="en-IE"/>
        </w:rPr>
        <w:t xml:space="preserve"> </w:t>
      </w:r>
      <w:r w:rsidR="004A1856">
        <w:rPr>
          <w:rFonts w:cstheme="minorHAnsi"/>
          <w:sz w:val="21"/>
          <w:szCs w:val="21"/>
        </w:rPr>
        <w:t>growth in the book of</w:t>
      </w:r>
      <w:r w:rsidR="0043670C">
        <w:rPr>
          <w:rFonts w:cstheme="minorHAnsi"/>
          <w:sz w:val="21"/>
          <w:szCs w:val="21"/>
        </w:rPr>
        <w:t xml:space="preserve"> </w:t>
      </w:r>
      <w:r w:rsidR="00E23831">
        <w:rPr>
          <w:rFonts w:cstheme="minorHAnsi"/>
          <w:sz w:val="21"/>
          <w:szCs w:val="21"/>
        </w:rPr>
        <w:t>14</w:t>
      </w:r>
      <w:r w:rsidR="0043670C">
        <w:rPr>
          <w:rFonts w:cstheme="minorHAnsi"/>
          <w:sz w:val="21"/>
          <w:szCs w:val="21"/>
        </w:rPr>
        <w:t>%</w:t>
      </w:r>
      <w:r w:rsidR="0043670C" w:rsidRPr="00B818CE">
        <w:rPr>
          <w:rFonts w:cstheme="minorHAnsi"/>
          <w:sz w:val="21"/>
          <w:szCs w:val="21"/>
        </w:rPr>
        <w:t xml:space="preserve"> </w:t>
      </w:r>
      <w:r w:rsidR="0043670C">
        <w:rPr>
          <w:rFonts w:cstheme="minorHAnsi"/>
          <w:sz w:val="21"/>
          <w:szCs w:val="21"/>
        </w:rPr>
        <w:t>to</w:t>
      </w:r>
      <w:r w:rsidR="0043670C" w:rsidRPr="00B818CE">
        <w:rPr>
          <w:rFonts w:cstheme="minorHAnsi"/>
          <w:sz w:val="21"/>
          <w:szCs w:val="21"/>
        </w:rPr>
        <w:t xml:space="preserve"> over €</w:t>
      </w:r>
      <w:r w:rsidR="003542BF">
        <w:rPr>
          <w:rFonts w:cstheme="minorHAnsi"/>
          <w:sz w:val="21"/>
          <w:szCs w:val="21"/>
        </w:rPr>
        <w:t>1</w:t>
      </w:r>
      <w:r w:rsidR="0043670C" w:rsidRPr="00B818CE">
        <w:rPr>
          <w:rFonts w:cstheme="minorHAnsi"/>
          <w:sz w:val="21"/>
          <w:szCs w:val="21"/>
        </w:rPr>
        <w:t>.</w:t>
      </w:r>
      <w:r w:rsidR="000D286B">
        <w:rPr>
          <w:rFonts w:cstheme="minorHAnsi"/>
          <w:sz w:val="21"/>
          <w:szCs w:val="21"/>
        </w:rPr>
        <w:t>2</w:t>
      </w:r>
      <w:r w:rsidR="0043670C" w:rsidRPr="00B818CE">
        <w:rPr>
          <w:rFonts w:cstheme="minorHAnsi"/>
          <w:sz w:val="21"/>
          <w:szCs w:val="21"/>
        </w:rPr>
        <w:t xml:space="preserve"> billion at </w:t>
      </w:r>
      <w:r w:rsidR="003542BF">
        <w:rPr>
          <w:rFonts w:cstheme="minorHAnsi"/>
          <w:sz w:val="21"/>
          <w:szCs w:val="21"/>
        </w:rPr>
        <w:t>end June</w:t>
      </w:r>
      <w:r w:rsidR="0043670C">
        <w:rPr>
          <w:rFonts w:cstheme="minorHAnsi"/>
          <w:sz w:val="21"/>
          <w:szCs w:val="21"/>
        </w:rPr>
        <w:t xml:space="preserve">. </w:t>
      </w:r>
    </w:p>
    <w:p w14:paraId="4C3A9B94" w14:textId="0B58690A" w:rsidR="00811ED4" w:rsidRDefault="00800F87" w:rsidP="00811ED4">
      <w:pPr>
        <w:spacing w:before="120" w:after="240" w:line="230" w:lineRule="atLeast"/>
        <w:ind w:right="237"/>
        <w:jc w:val="both"/>
        <w:rPr>
          <w:rFonts w:cstheme="minorHAnsi"/>
          <w:sz w:val="21"/>
          <w:szCs w:val="21"/>
        </w:rPr>
      </w:pPr>
      <w:bookmarkStart w:id="8" w:name="_Hlk204106851"/>
      <w:bookmarkEnd w:id="7"/>
      <w:r w:rsidRPr="00B818CE">
        <w:rPr>
          <w:rFonts w:cstheme="minorHAnsi"/>
          <w:sz w:val="21"/>
          <w:szCs w:val="21"/>
        </w:rPr>
        <w:t>New consumer term lending pay-outs of €</w:t>
      </w:r>
      <w:r>
        <w:rPr>
          <w:rFonts w:cstheme="minorHAnsi"/>
          <w:sz w:val="21"/>
          <w:szCs w:val="21"/>
        </w:rPr>
        <w:t>61</w:t>
      </w:r>
      <w:r w:rsidRPr="00B818CE">
        <w:rPr>
          <w:rFonts w:cstheme="minorHAnsi"/>
          <w:sz w:val="21"/>
          <w:szCs w:val="21"/>
        </w:rPr>
        <w:t xml:space="preserve"> million </w:t>
      </w:r>
      <w:r w:rsidR="00A84CBB">
        <w:rPr>
          <w:rFonts w:cstheme="minorHAnsi"/>
          <w:sz w:val="21"/>
          <w:szCs w:val="21"/>
        </w:rPr>
        <w:t>reduced by</w:t>
      </w:r>
      <w:r w:rsidRPr="00B818CE">
        <w:rPr>
          <w:rFonts w:cstheme="minorHAnsi"/>
          <w:sz w:val="21"/>
          <w:szCs w:val="21"/>
        </w:rPr>
        <w:t xml:space="preserve"> </w:t>
      </w:r>
      <w:r>
        <w:rPr>
          <w:rFonts w:cstheme="minorHAnsi"/>
          <w:sz w:val="21"/>
          <w:szCs w:val="21"/>
        </w:rPr>
        <w:t>6</w:t>
      </w:r>
      <w:r w:rsidRPr="00B818CE">
        <w:rPr>
          <w:rFonts w:cstheme="minorHAnsi"/>
          <w:sz w:val="21"/>
          <w:szCs w:val="21"/>
        </w:rPr>
        <w:t>%</w:t>
      </w:r>
      <w:r>
        <w:rPr>
          <w:rFonts w:cstheme="minorHAnsi"/>
          <w:sz w:val="21"/>
          <w:szCs w:val="21"/>
        </w:rPr>
        <w:t xml:space="preserve">. </w:t>
      </w:r>
      <w:r w:rsidRPr="00B818CE">
        <w:rPr>
          <w:rFonts w:cstheme="minorHAnsi"/>
          <w:sz w:val="21"/>
          <w:szCs w:val="21"/>
        </w:rPr>
        <w:t>Digital adoption continues to be a key enabler for this product</w:t>
      </w:r>
      <w:r>
        <w:rPr>
          <w:rFonts w:cstheme="minorHAnsi"/>
          <w:sz w:val="21"/>
          <w:szCs w:val="21"/>
        </w:rPr>
        <w:t>,</w:t>
      </w:r>
      <w:r w:rsidRPr="00B818CE">
        <w:rPr>
          <w:rFonts w:cstheme="minorHAnsi"/>
          <w:sz w:val="21"/>
          <w:szCs w:val="21"/>
        </w:rPr>
        <w:t xml:space="preserve"> with c</w:t>
      </w:r>
      <w:r w:rsidRPr="007B5B55">
        <w:rPr>
          <w:rFonts w:cstheme="minorHAnsi"/>
          <w:sz w:val="21"/>
          <w:szCs w:val="21"/>
        </w:rPr>
        <w:t>.</w:t>
      </w:r>
      <w:r w:rsidR="00C46D95">
        <w:rPr>
          <w:rFonts w:cstheme="minorHAnsi"/>
          <w:sz w:val="21"/>
          <w:szCs w:val="21"/>
        </w:rPr>
        <w:t xml:space="preserve"> </w:t>
      </w:r>
      <w:r>
        <w:rPr>
          <w:rFonts w:cstheme="minorHAnsi"/>
          <w:sz w:val="21"/>
          <w:szCs w:val="21"/>
        </w:rPr>
        <w:t>84</w:t>
      </w:r>
      <w:r w:rsidRPr="007B5B55">
        <w:rPr>
          <w:rFonts w:cstheme="minorHAnsi"/>
          <w:sz w:val="21"/>
          <w:szCs w:val="21"/>
        </w:rPr>
        <w:t>%</w:t>
      </w:r>
      <w:r w:rsidRPr="00B818CE">
        <w:rPr>
          <w:rFonts w:cstheme="minorHAnsi"/>
          <w:sz w:val="21"/>
          <w:szCs w:val="21"/>
        </w:rPr>
        <w:t xml:space="preserve"> of new term lending drawdowns </w:t>
      </w:r>
      <w:r>
        <w:rPr>
          <w:rFonts w:cstheme="minorHAnsi"/>
          <w:sz w:val="21"/>
          <w:szCs w:val="21"/>
        </w:rPr>
        <w:t xml:space="preserve">occurring </w:t>
      </w:r>
      <w:r w:rsidRPr="00B818CE">
        <w:rPr>
          <w:rFonts w:cstheme="minorHAnsi"/>
          <w:sz w:val="21"/>
          <w:szCs w:val="21"/>
        </w:rPr>
        <w:t>through our direct channels.</w:t>
      </w:r>
      <w:r w:rsidRPr="00B818CE">
        <w:rPr>
          <w:rStyle w:val="FootnoteReference"/>
          <w:rFonts w:cstheme="minorHAnsi"/>
          <w:sz w:val="21"/>
          <w:szCs w:val="21"/>
        </w:rPr>
        <w:footnoteReference w:id="6"/>
      </w:r>
      <w:r w:rsidRPr="00B818CE">
        <w:rPr>
          <w:rFonts w:cstheme="minorHAnsi"/>
          <w:sz w:val="21"/>
          <w:szCs w:val="21"/>
        </w:rPr>
        <w:t xml:space="preserve"> </w:t>
      </w:r>
      <w:r>
        <w:rPr>
          <w:rFonts w:cstheme="minorHAnsi"/>
          <w:sz w:val="21"/>
          <w:szCs w:val="21"/>
        </w:rPr>
        <w:t xml:space="preserve">PTSB recognises the opportunity for growth in the consumer lending market </w:t>
      </w:r>
      <w:r w:rsidR="005F3981">
        <w:rPr>
          <w:rFonts w:cstheme="minorHAnsi"/>
          <w:sz w:val="21"/>
          <w:szCs w:val="21"/>
        </w:rPr>
        <w:t>and has a strong ambition to increase our market share by providing customers with a competitive, differentiated product and service offering.</w:t>
      </w:r>
    </w:p>
    <w:bookmarkEnd w:id="8"/>
    <w:p w14:paraId="257FE66D" w14:textId="045F88FD" w:rsidR="009171E2" w:rsidRPr="001A0E9E" w:rsidRDefault="001E27DD" w:rsidP="000941A5">
      <w:pPr>
        <w:rPr>
          <w:rFonts w:cstheme="minorHAnsi"/>
          <w:b/>
          <w:bCs/>
          <w:sz w:val="21"/>
          <w:szCs w:val="21"/>
        </w:rPr>
      </w:pPr>
      <w:r>
        <w:rPr>
          <w:rFonts w:cstheme="minorHAnsi"/>
          <w:b/>
          <w:bCs/>
          <w:sz w:val="21"/>
          <w:szCs w:val="21"/>
        </w:rPr>
        <w:t>F</w:t>
      </w:r>
      <w:r w:rsidR="001A0E9E" w:rsidRPr="001A0E9E">
        <w:rPr>
          <w:rFonts w:cstheme="minorHAnsi"/>
          <w:b/>
          <w:bCs/>
          <w:sz w:val="21"/>
          <w:szCs w:val="21"/>
        </w:rPr>
        <w:t>unding</w:t>
      </w:r>
      <w:r>
        <w:rPr>
          <w:rFonts w:cstheme="minorHAnsi"/>
          <w:b/>
          <w:bCs/>
          <w:sz w:val="21"/>
          <w:szCs w:val="21"/>
        </w:rPr>
        <w:t xml:space="preserve"> and </w:t>
      </w:r>
      <w:r w:rsidR="00275A44">
        <w:rPr>
          <w:rFonts w:cstheme="minorHAnsi"/>
          <w:b/>
          <w:bCs/>
          <w:sz w:val="21"/>
          <w:szCs w:val="21"/>
        </w:rPr>
        <w:t>L</w:t>
      </w:r>
      <w:r>
        <w:rPr>
          <w:rFonts w:cstheme="minorHAnsi"/>
          <w:b/>
          <w:bCs/>
          <w:sz w:val="21"/>
          <w:szCs w:val="21"/>
        </w:rPr>
        <w:t>iquidity</w:t>
      </w:r>
    </w:p>
    <w:p w14:paraId="4BC64C6F" w14:textId="3552B58E" w:rsidR="0093231D" w:rsidRDefault="0043670C" w:rsidP="004962DB">
      <w:pPr>
        <w:spacing w:before="120" w:after="240" w:line="230" w:lineRule="atLeast"/>
        <w:ind w:right="238"/>
        <w:jc w:val="both"/>
        <w:rPr>
          <w:rFonts w:cstheme="minorHAnsi"/>
          <w:sz w:val="21"/>
          <w:szCs w:val="21"/>
        </w:rPr>
      </w:pPr>
      <w:r w:rsidRPr="001E27DD">
        <w:rPr>
          <w:rFonts w:cstheme="minorHAnsi"/>
          <w:sz w:val="21"/>
          <w:szCs w:val="21"/>
        </w:rPr>
        <w:t xml:space="preserve">Customer deposits </w:t>
      </w:r>
      <w:r>
        <w:rPr>
          <w:rFonts w:cstheme="minorHAnsi"/>
          <w:sz w:val="21"/>
          <w:szCs w:val="21"/>
        </w:rPr>
        <w:t>were</w:t>
      </w:r>
      <w:r w:rsidRPr="001E27DD">
        <w:rPr>
          <w:rFonts w:cstheme="minorHAnsi"/>
          <w:sz w:val="21"/>
          <w:szCs w:val="21"/>
        </w:rPr>
        <w:t xml:space="preserve"> €2</w:t>
      </w:r>
      <w:r w:rsidR="0093231D">
        <w:rPr>
          <w:rFonts w:cstheme="minorHAnsi"/>
          <w:sz w:val="21"/>
          <w:szCs w:val="21"/>
        </w:rPr>
        <w:t>5.2</w:t>
      </w:r>
      <w:r w:rsidRPr="001E27DD">
        <w:rPr>
          <w:rFonts w:cstheme="minorHAnsi"/>
          <w:sz w:val="21"/>
          <w:szCs w:val="21"/>
        </w:rPr>
        <w:t xml:space="preserve"> billion</w:t>
      </w:r>
      <w:r>
        <w:rPr>
          <w:rFonts w:cstheme="minorHAnsi"/>
          <w:sz w:val="21"/>
          <w:szCs w:val="21"/>
        </w:rPr>
        <w:t>,</w:t>
      </w:r>
      <w:r w:rsidRPr="001E27DD">
        <w:rPr>
          <w:rFonts w:cstheme="minorHAnsi"/>
          <w:sz w:val="21"/>
          <w:szCs w:val="21"/>
        </w:rPr>
        <w:t xml:space="preserve"> an increase of </w:t>
      </w:r>
      <w:r w:rsidR="00711335">
        <w:rPr>
          <w:rFonts w:cstheme="minorHAnsi"/>
          <w:sz w:val="21"/>
          <w:szCs w:val="21"/>
        </w:rPr>
        <w:t>5</w:t>
      </w:r>
      <w:r w:rsidRPr="001E27DD">
        <w:rPr>
          <w:rFonts w:cstheme="minorHAnsi"/>
          <w:sz w:val="21"/>
          <w:szCs w:val="21"/>
        </w:rPr>
        <w:t>%</w:t>
      </w:r>
      <w:r w:rsidR="0093231D">
        <w:rPr>
          <w:rFonts w:cstheme="minorHAnsi"/>
          <w:sz w:val="21"/>
          <w:szCs w:val="21"/>
        </w:rPr>
        <w:t xml:space="preserve"> year to date</w:t>
      </w:r>
      <w:r w:rsidRPr="001E27DD">
        <w:rPr>
          <w:rFonts w:cstheme="minorHAnsi"/>
          <w:sz w:val="21"/>
          <w:szCs w:val="21"/>
        </w:rPr>
        <w:t xml:space="preserve"> (</w:t>
      </w:r>
      <w:r w:rsidR="005D21B2">
        <w:rPr>
          <w:rFonts w:cstheme="minorHAnsi"/>
          <w:sz w:val="21"/>
          <w:szCs w:val="21"/>
        </w:rPr>
        <w:t xml:space="preserve">c. </w:t>
      </w:r>
      <w:r w:rsidRPr="001E27DD">
        <w:rPr>
          <w:rFonts w:cstheme="minorHAnsi"/>
          <w:sz w:val="21"/>
          <w:szCs w:val="21"/>
        </w:rPr>
        <w:t>€1.</w:t>
      </w:r>
      <w:r w:rsidR="00711335">
        <w:rPr>
          <w:rFonts w:cstheme="minorHAnsi"/>
          <w:sz w:val="21"/>
          <w:szCs w:val="21"/>
        </w:rPr>
        <w:t>1</w:t>
      </w:r>
      <w:r w:rsidRPr="001E27DD">
        <w:rPr>
          <w:rFonts w:cstheme="minorHAnsi"/>
          <w:sz w:val="21"/>
          <w:szCs w:val="21"/>
        </w:rPr>
        <w:t xml:space="preserve"> billion)</w:t>
      </w:r>
      <w:r w:rsidR="0044735C">
        <w:rPr>
          <w:rFonts w:cstheme="minorHAnsi"/>
          <w:sz w:val="21"/>
          <w:szCs w:val="21"/>
        </w:rPr>
        <w:t xml:space="preserve"> or 7% YoY</w:t>
      </w:r>
      <w:r>
        <w:rPr>
          <w:rFonts w:cstheme="minorHAnsi"/>
          <w:sz w:val="21"/>
          <w:szCs w:val="21"/>
        </w:rPr>
        <w:t xml:space="preserve">. </w:t>
      </w:r>
      <w:r w:rsidR="00711335">
        <w:rPr>
          <w:rFonts w:cstheme="minorHAnsi"/>
          <w:sz w:val="21"/>
          <w:szCs w:val="21"/>
        </w:rPr>
        <w:t xml:space="preserve">Around </w:t>
      </w:r>
      <w:r w:rsidR="00253591">
        <w:rPr>
          <w:rFonts w:cstheme="minorHAnsi"/>
          <w:sz w:val="21"/>
          <w:szCs w:val="21"/>
        </w:rPr>
        <w:t>three quarters</w:t>
      </w:r>
      <w:r w:rsidR="0093231D">
        <w:rPr>
          <w:rFonts w:cstheme="minorHAnsi"/>
          <w:sz w:val="21"/>
          <w:szCs w:val="21"/>
        </w:rPr>
        <w:t xml:space="preserve"> of this growth was in </w:t>
      </w:r>
      <w:r w:rsidR="00253591">
        <w:rPr>
          <w:rFonts w:cstheme="minorHAnsi"/>
          <w:sz w:val="21"/>
          <w:szCs w:val="21"/>
        </w:rPr>
        <w:t xml:space="preserve">retail </w:t>
      </w:r>
      <w:r w:rsidR="0093231D">
        <w:rPr>
          <w:rFonts w:cstheme="minorHAnsi"/>
          <w:sz w:val="21"/>
          <w:szCs w:val="21"/>
        </w:rPr>
        <w:t xml:space="preserve">term </w:t>
      </w:r>
      <w:r w:rsidR="00C3356E">
        <w:rPr>
          <w:rFonts w:cstheme="minorHAnsi"/>
          <w:sz w:val="21"/>
          <w:szCs w:val="21"/>
        </w:rPr>
        <w:t>and</w:t>
      </w:r>
      <w:r w:rsidR="00253591">
        <w:rPr>
          <w:rFonts w:cstheme="minorHAnsi"/>
          <w:sz w:val="21"/>
          <w:szCs w:val="21"/>
        </w:rPr>
        <w:t xml:space="preserve"> corporate </w:t>
      </w:r>
      <w:r w:rsidR="0093231D">
        <w:rPr>
          <w:rFonts w:cstheme="minorHAnsi"/>
          <w:sz w:val="21"/>
          <w:szCs w:val="21"/>
        </w:rPr>
        <w:t>deposits</w:t>
      </w:r>
      <w:r w:rsidR="007053F6">
        <w:rPr>
          <w:rFonts w:cstheme="minorHAnsi"/>
          <w:sz w:val="21"/>
          <w:szCs w:val="21"/>
        </w:rPr>
        <w:t>,</w:t>
      </w:r>
      <w:r w:rsidR="0093231D">
        <w:rPr>
          <w:rFonts w:cstheme="minorHAnsi"/>
          <w:sz w:val="21"/>
          <w:szCs w:val="21"/>
        </w:rPr>
        <w:t xml:space="preserve"> </w:t>
      </w:r>
      <w:r w:rsidR="00B74D44">
        <w:rPr>
          <w:rFonts w:cstheme="minorHAnsi"/>
          <w:sz w:val="21"/>
          <w:szCs w:val="21"/>
        </w:rPr>
        <w:t>with</w:t>
      </w:r>
      <w:r w:rsidR="0093231D">
        <w:rPr>
          <w:rFonts w:cstheme="minorHAnsi"/>
          <w:sz w:val="21"/>
          <w:szCs w:val="21"/>
        </w:rPr>
        <w:t xml:space="preserve"> a slowdown in the accumulation of these </w:t>
      </w:r>
      <w:r w:rsidR="0015196D">
        <w:rPr>
          <w:rFonts w:cstheme="minorHAnsi"/>
          <w:sz w:val="21"/>
          <w:szCs w:val="21"/>
        </w:rPr>
        <w:t>balances</w:t>
      </w:r>
      <w:r w:rsidR="0093231D">
        <w:rPr>
          <w:rFonts w:cstheme="minorHAnsi"/>
          <w:sz w:val="21"/>
          <w:szCs w:val="21"/>
        </w:rPr>
        <w:t xml:space="preserve"> after our </w:t>
      </w:r>
      <w:r w:rsidR="0015196D">
        <w:rPr>
          <w:rFonts w:cstheme="minorHAnsi"/>
          <w:sz w:val="21"/>
          <w:szCs w:val="21"/>
        </w:rPr>
        <w:t xml:space="preserve">deposit </w:t>
      </w:r>
      <w:r w:rsidR="0093231D">
        <w:rPr>
          <w:rFonts w:cstheme="minorHAnsi"/>
          <w:sz w:val="21"/>
          <w:szCs w:val="21"/>
        </w:rPr>
        <w:t xml:space="preserve">rate </w:t>
      </w:r>
      <w:r w:rsidR="0015196D">
        <w:rPr>
          <w:rFonts w:cstheme="minorHAnsi"/>
          <w:sz w:val="21"/>
          <w:szCs w:val="21"/>
        </w:rPr>
        <w:t>changes</w:t>
      </w:r>
      <w:r w:rsidR="0093231D">
        <w:rPr>
          <w:rFonts w:cstheme="minorHAnsi"/>
          <w:sz w:val="21"/>
          <w:szCs w:val="21"/>
        </w:rPr>
        <w:t xml:space="preserve"> in April.</w:t>
      </w:r>
    </w:p>
    <w:p w14:paraId="58134F6F" w14:textId="3BE3B4F6" w:rsidR="0043670C" w:rsidRDefault="0093231D" w:rsidP="004962DB">
      <w:pPr>
        <w:spacing w:before="120" w:after="240" w:line="230" w:lineRule="atLeast"/>
        <w:ind w:right="238"/>
        <w:jc w:val="both"/>
        <w:rPr>
          <w:rFonts w:eastAsia="Times New Roman" w:cstheme="minorHAnsi"/>
          <w:sz w:val="21"/>
          <w:szCs w:val="21"/>
          <w:lang w:eastAsia="en-IE"/>
        </w:rPr>
      </w:pPr>
      <w:r>
        <w:rPr>
          <w:rFonts w:eastAsia="Times New Roman" w:cstheme="minorHAnsi"/>
          <w:sz w:val="21"/>
          <w:szCs w:val="21"/>
          <w:lang w:eastAsia="en-IE"/>
        </w:rPr>
        <w:t>C</w:t>
      </w:r>
      <w:r w:rsidR="0043670C" w:rsidRPr="005C1BAA">
        <w:rPr>
          <w:rFonts w:eastAsia="Times New Roman" w:cstheme="minorHAnsi"/>
          <w:sz w:val="21"/>
          <w:szCs w:val="21"/>
          <w:lang w:eastAsia="en-IE"/>
        </w:rPr>
        <w:t xml:space="preserve">urrent account balances </w:t>
      </w:r>
      <w:r>
        <w:rPr>
          <w:rFonts w:eastAsia="Times New Roman" w:cstheme="minorHAnsi"/>
          <w:sz w:val="21"/>
          <w:szCs w:val="21"/>
          <w:lang w:eastAsia="en-IE"/>
        </w:rPr>
        <w:t>rose €0.2 billion during the first half to €9.4 billion</w:t>
      </w:r>
      <w:r w:rsidR="0043670C">
        <w:rPr>
          <w:rFonts w:eastAsia="Times New Roman" w:cstheme="minorHAnsi"/>
          <w:sz w:val="21"/>
          <w:szCs w:val="21"/>
          <w:lang w:eastAsia="en-IE"/>
        </w:rPr>
        <w:t>.</w:t>
      </w:r>
      <w:r w:rsidR="0043670C" w:rsidRPr="005C1BAA">
        <w:rPr>
          <w:rFonts w:eastAsia="Times New Roman" w:cstheme="minorHAnsi"/>
          <w:sz w:val="21"/>
          <w:szCs w:val="21"/>
          <w:lang w:eastAsia="en-IE"/>
        </w:rPr>
        <w:t xml:space="preserve"> </w:t>
      </w:r>
      <w:r w:rsidR="0043670C">
        <w:rPr>
          <w:rFonts w:eastAsia="Times New Roman" w:cstheme="minorHAnsi"/>
          <w:sz w:val="21"/>
          <w:szCs w:val="21"/>
          <w:lang w:eastAsia="en-IE"/>
        </w:rPr>
        <w:t>T</w:t>
      </w:r>
      <w:r w:rsidR="0043670C" w:rsidRPr="005C1BAA">
        <w:rPr>
          <w:rFonts w:eastAsia="Times New Roman" w:cstheme="minorHAnsi"/>
          <w:sz w:val="21"/>
          <w:szCs w:val="21"/>
          <w:lang w:eastAsia="en-IE"/>
        </w:rPr>
        <w:t xml:space="preserve">he </w:t>
      </w:r>
      <w:r w:rsidR="0043670C">
        <w:rPr>
          <w:rFonts w:eastAsia="Times New Roman" w:cstheme="minorHAnsi"/>
          <w:sz w:val="21"/>
          <w:szCs w:val="21"/>
          <w:lang w:eastAsia="en-IE"/>
        </w:rPr>
        <w:t>Bank</w:t>
      </w:r>
      <w:r w:rsidR="0043670C" w:rsidRPr="005C1BAA">
        <w:rPr>
          <w:rFonts w:eastAsia="Times New Roman" w:cstheme="minorHAnsi"/>
          <w:sz w:val="21"/>
          <w:szCs w:val="21"/>
          <w:lang w:eastAsia="en-IE"/>
        </w:rPr>
        <w:t xml:space="preserve"> </w:t>
      </w:r>
      <w:r w:rsidR="0043670C">
        <w:rPr>
          <w:rFonts w:eastAsia="Times New Roman" w:cstheme="minorHAnsi"/>
          <w:sz w:val="21"/>
          <w:szCs w:val="21"/>
          <w:lang w:eastAsia="en-IE"/>
        </w:rPr>
        <w:t xml:space="preserve">was </w:t>
      </w:r>
      <w:r w:rsidR="0043670C" w:rsidRPr="005C1BAA">
        <w:rPr>
          <w:rFonts w:eastAsia="Times New Roman" w:cstheme="minorHAnsi"/>
          <w:sz w:val="21"/>
          <w:szCs w:val="21"/>
          <w:lang w:eastAsia="en-IE"/>
        </w:rPr>
        <w:t>successful</w:t>
      </w:r>
      <w:r w:rsidR="0043670C">
        <w:rPr>
          <w:rFonts w:eastAsia="Times New Roman" w:cstheme="minorHAnsi"/>
          <w:sz w:val="21"/>
          <w:szCs w:val="21"/>
          <w:lang w:eastAsia="en-IE"/>
        </w:rPr>
        <w:t xml:space="preserve"> in acquiring</w:t>
      </w:r>
      <w:r w:rsidR="0043670C" w:rsidRPr="005C1BAA">
        <w:rPr>
          <w:rFonts w:eastAsia="Times New Roman" w:cstheme="minorHAnsi"/>
          <w:sz w:val="21"/>
          <w:szCs w:val="21"/>
          <w:lang w:eastAsia="en-IE"/>
        </w:rPr>
        <w:t xml:space="preserve"> new customers with our innovative Explore Current Account</w:t>
      </w:r>
      <w:r w:rsidR="00451C42">
        <w:rPr>
          <w:rFonts w:eastAsia="Times New Roman" w:cstheme="minorHAnsi"/>
          <w:sz w:val="21"/>
          <w:szCs w:val="21"/>
          <w:lang w:eastAsia="en-IE"/>
        </w:rPr>
        <w:t xml:space="preserve"> </w:t>
      </w:r>
      <w:r w:rsidR="0043670C">
        <w:rPr>
          <w:rFonts w:eastAsia="Times New Roman" w:cstheme="minorHAnsi"/>
          <w:sz w:val="21"/>
          <w:szCs w:val="21"/>
          <w:lang w:eastAsia="en-IE"/>
        </w:rPr>
        <w:t>and this will remain a key area of focus in the medium term.</w:t>
      </w:r>
    </w:p>
    <w:p w14:paraId="7980EF11" w14:textId="5051DA63" w:rsidR="00E715BF" w:rsidRDefault="00407D25" w:rsidP="004962DB">
      <w:pPr>
        <w:spacing w:before="120" w:after="240" w:line="230" w:lineRule="atLeast"/>
        <w:ind w:right="238"/>
        <w:jc w:val="both"/>
        <w:rPr>
          <w:rFonts w:eastAsia="Times New Roman" w:cstheme="minorHAnsi"/>
          <w:sz w:val="21"/>
          <w:szCs w:val="21"/>
          <w:lang w:eastAsia="en-IE"/>
        </w:rPr>
      </w:pPr>
      <w:r>
        <w:rPr>
          <w:rFonts w:eastAsia="Times New Roman" w:cstheme="minorHAnsi"/>
          <w:sz w:val="21"/>
          <w:szCs w:val="21"/>
          <w:lang w:eastAsia="en-IE"/>
        </w:rPr>
        <w:lastRenderedPageBreak/>
        <w:t xml:space="preserve">Our </w:t>
      </w:r>
      <w:r w:rsidRPr="000C3683">
        <w:rPr>
          <w:rFonts w:eastAsia="Times New Roman" w:cstheme="minorHAnsi"/>
          <w:sz w:val="21"/>
          <w:szCs w:val="21"/>
          <w:lang w:eastAsia="en-IE"/>
        </w:rPr>
        <w:t>loan/deposit ratio</w:t>
      </w:r>
      <w:r>
        <w:rPr>
          <w:rFonts w:eastAsia="Times New Roman" w:cstheme="minorHAnsi"/>
          <w:sz w:val="21"/>
          <w:szCs w:val="21"/>
          <w:lang w:eastAsia="en-IE"/>
        </w:rPr>
        <w:t xml:space="preserve"> </w:t>
      </w:r>
      <w:r w:rsidR="00DB296F">
        <w:rPr>
          <w:rFonts w:eastAsia="Times New Roman" w:cstheme="minorHAnsi"/>
          <w:sz w:val="21"/>
          <w:szCs w:val="21"/>
          <w:lang w:eastAsia="en-IE"/>
        </w:rPr>
        <w:t>reduced</w:t>
      </w:r>
      <w:r w:rsidR="0093231D">
        <w:rPr>
          <w:rFonts w:eastAsia="Times New Roman" w:cstheme="minorHAnsi"/>
          <w:sz w:val="21"/>
          <w:szCs w:val="21"/>
          <w:lang w:eastAsia="en-IE"/>
        </w:rPr>
        <w:t xml:space="preserve"> to</w:t>
      </w:r>
      <w:r>
        <w:rPr>
          <w:rFonts w:eastAsia="Times New Roman" w:cstheme="minorHAnsi"/>
          <w:sz w:val="21"/>
          <w:szCs w:val="21"/>
          <w:lang w:eastAsia="en-IE"/>
        </w:rPr>
        <w:t xml:space="preserve"> </w:t>
      </w:r>
      <w:r w:rsidR="00711335">
        <w:rPr>
          <w:rFonts w:eastAsia="Times New Roman" w:cstheme="minorHAnsi"/>
          <w:sz w:val="21"/>
          <w:szCs w:val="21"/>
          <w:lang w:eastAsia="en-IE"/>
        </w:rPr>
        <w:t>8</w:t>
      </w:r>
      <w:r w:rsidR="00570F2D">
        <w:rPr>
          <w:rFonts w:eastAsia="Times New Roman" w:cstheme="minorHAnsi"/>
          <w:sz w:val="21"/>
          <w:szCs w:val="21"/>
          <w:lang w:eastAsia="en-IE"/>
        </w:rPr>
        <w:t>6</w:t>
      </w:r>
      <w:r>
        <w:rPr>
          <w:rFonts w:eastAsia="Times New Roman" w:cstheme="minorHAnsi"/>
          <w:sz w:val="21"/>
          <w:szCs w:val="21"/>
          <w:lang w:eastAsia="en-IE"/>
        </w:rPr>
        <w:t xml:space="preserve">% </w:t>
      </w:r>
      <w:r w:rsidR="0093231D">
        <w:rPr>
          <w:rFonts w:eastAsia="Times New Roman" w:cstheme="minorHAnsi"/>
          <w:sz w:val="21"/>
          <w:szCs w:val="21"/>
          <w:lang w:eastAsia="en-IE"/>
        </w:rPr>
        <w:t>at end June 2025</w:t>
      </w:r>
      <w:r>
        <w:rPr>
          <w:rFonts w:eastAsia="Times New Roman" w:cstheme="minorHAnsi"/>
          <w:sz w:val="21"/>
          <w:szCs w:val="21"/>
          <w:lang w:eastAsia="en-IE"/>
        </w:rPr>
        <w:t xml:space="preserve"> and our L</w:t>
      </w:r>
      <w:r w:rsidR="00DF0205">
        <w:rPr>
          <w:rFonts w:eastAsia="Times New Roman" w:cstheme="minorHAnsi"/>
          <w:sz w:val="21"/>
          <w:szCs w:val="21"/>
          <w:lang w:eastAsia="en-IE"/>
        </w:rPr>
        <w:t xml:space="preserve">iquidity </w:t>
      </w:r>
      <w:r>
        <w:rPr>
          <w:rFonts w:eastAsia="Times New Roman" w:cstheme="minorHAnsi"/>
          <w:sz w:val="21"/>
          <w:szCs w:val="21"/>
          <w:lang w:eastAsia="en-IE"/>
        </w:rPr>
        <w:t>C</w:t>
      </w:r>
      <w:r w:rsidR="00DF0205">
        <w:rPr>
          <w:rFonts w:eastAsia="Times New Roman" w:cstheme="minorHAnsi"/>
          <w:sz w:val="21"/>
          <w:szCs w:val="21"/>
          <w:lang w:eastAsia="en-IE"/>
        </w:rPr>
        <w:t xml:space="preserve">overage </w:t>
      </w:r>
      <w:r>
        <w:rPr>
          <w:rFonts w:eastAsia="Times New Roman" w:cstheme="minorHAnsi"/>
          <w:sz w:val="21"/>
          <w:szCs w:val="21"/>
          <w:lang w:eastAsia="en-IE"/>
        </w:rPr>
        <w:t>R</w:t>
      </w:r>
      <w:r w:rsidR="00DF0205">
        <w:rPr>
          <w:rFonts w:eastAsia="Times New Roman" w:cstheme="minorHAnsi"/>
          <w:sz w:val="21"/>
          <w:szCs w:val="21"/>
          <w:lang w:eastAsia="en-IE"/>
        </w:rPr>
        <w:t>atio</w:t>
      </w:r>
      <w:r>
        <w:rPr>
          <w:rFonts w:eastAsia="Times New Roman" w:cstheme="minorHAnsi"/>
          <w:sz w:val="21"/>
          <w:szCs w:val="21"/>
          <w:lang w:eastAsia="en-IE"/>
        </w:rPr>
        <w:t xml:space="preserve"> was </w:t>
      </w:r>
      <w:r w:rsidR="00422400">
        <w:rPr>
          <w:rFonts w:eastAsia="Times New Roman" w:cstheme="minorHAnsi"/>
          <w:sz w:val="21"/>
          <w:szCs w:val="21"/>
          <w:lang w:eastAsia="en-IE"/>
        </w:rPr>
        <w:t xml:space="preserve">very strong at </w:t>
      </w:r>
      <w:r w:rsidR="004E5CAE">
        <w:rPr>
          <w:rFonts w:eastAsia="Times New Roman" w:cstheme="minorHAnsi"/>
          <w:sz w:val="21"/>
          <w:szCs w:val="21"/>
          <w:lang w:eastAsia="en-IE"/>
        </w:rPr>
        <w:t>2</w:t>
      </w:r>
      <w:r w:rsidR="00570F2D">
        <w:rPr>
          <w:rFonts w:eastAsia="Times New Roman" w:cstheme="minorHAnsi"/>
          <w:sz w:val="21"/>
          <w:szCs w:val="21"/>
          <w:lang w:eastAsia="en-IE"/>
        </w:rPr>
        <w:t>70</w:t>
      </w:r>
      <w:r>
        <w:rPr>
          <w:rFonts w:eastAsia="Times New Roman" w:cstheme="minorHAnsi"/>
          <w:sz w:val="21"/>
          <w:szCs w:val="21"/>
          <w:lang w:eastAsia="en-IE"/>
        </w:rPr>
        <w:t>%</w:t>
      </w:r>
      <w:r w:rsidR="0086700B">
        <w:rPr>
          <w:rFonts w:eastAsia="Times New Roman" w:cstheme="minorHAnsi"/>
          <w:sz w:val="21"/>
          <w:szCs w:val="21"/>
          <w:lang w:eastAsia="en-IE"/>
        </w:rPr>
        <w:t xml:space="preserve"> (</w:t>
      </w:r>
      <w:r w:rsidR="0093231D">
        <w:rPr>
          <w:rFonts w:eastAsia="Times New Roman" w:cstheme="minorHAnsi"/>
          <w:sz w:val="21"/>
          <w:szCs w:val="21"/>
          <w:lang w:eastAsia="en-IE"/>
        </w:rPr>
        <w:t>89</w:t>
      </w:r>
      <w:r w:rsidR="0086700B">
        <w:rPr>
          <w:rFonts w:eastAsia="Times New Roman" w:cstheme="minorHAnsi"/>
          <w:sz w:val="21"/>
          <w:szCs w:val="21"/>
          <w:lang w:eastAsia="en-IE"/>
        </w:rPr>
        <w:t xml:space="preserve">% and </w:t>
      </w:r>
      <w:r w:rsidR="00306E00">
        <w:rPr>
          <w:rFonts w:eastAsia="Times New Roman" w:cstheme="minorHAnsi"/>
          <w:sz w:val="21"/>
          <w:szCs w:val="21"/>
          <w:lang w:eastAsia="en-IE"/>
        </w:rPr>
        <w:t>2</w:t>
      </w:r>
      <w:r w:rsidR="0093231D">
        <w:rPr>
          <w:rFonts w:eastAsia="Times New Roman" w:cstheme="minorHAnsi"/>
          <w:sz w:val="21"/>
          <w:szCs w:val="21"/>
          <w:lang w:eastAsia="en-IE"/>
        </w:rPr>
        <w:t>55</w:t>
      </w:r>
      <w:r w:rsidR="0086700B">
        <w:rPr>
          <w:rFonts w:eastAsia="Times New Roman" w:cstheme="minorHAnsi"/>
          <w:sz w:val="21"/>
          <w:szCs w:val="21"/>
          <w:lang w:eastAsia="en-IE"/>
        </w:rPr>
        <w:t xml:space="preserve">% at </w:t>
      </w:r>
      <w:r w:rsidR="00AF5234">
        <w:rPr>
          <w:rFonts w:eastAsia="Times New Roman" w:cstheme="minorHAnsi"/>
          <w:sz w:val="21"/>
          <w:szCs w:val="21"/>
          <w:lang w:eastAsia="en-IE"/>
        </w:rPr>
        <w:t xml:space="preserve">December </w:t>
      </w:r>
      <w:r w:rsidR="0093231D">
        <w:rPr>
          <w:rFonts w:eastAsia="Times New Roman" w:cstheme="minorHAnsi"/>
          <w:sz w:val="21"/>
          <w:szCs w:val="21"/>
          <w:lang w:eastAsia="en-IE"/>
        </w:rPr>
        <w:t>2024</w:t>
      </w:r>
      <w:r w:rsidR="00AF1C96">
        <w:rPr>
          <w:rFonts w:eastAsia="Times New Roman" w:cstheme="minorHAnsi"/>
          <w:sz w:val="21"/>
          <w:szCs w:val="21"/>
          <w:lang w:eastAsia="en-IE"/>
        </w:rPr>
        <w:t>)</w:t>
      </w:r>
      <w:r>
        <w:rPr>
          <w:rFonts w:eastAsia="Times New Roman" w:cstheme="minorHAnsi"/>
          <w:sz w:val="21"/>
          <w:szCs w:val="21"/>
          <w:lang w:eastAsia="en-IE"/>
        </w:rPr>
        <w:t>.</w:t>
      </w:r>
    </w:p>
    <w:p w14:paraId="119E1AB6" w14:textId="6E04F059" w:rsidR="00407D25" w:rsidRDefault="00F77787" w:rsidP="002A1352">
      <w:pPr>
        <w:spacing w:before="240" w:after="120" w:line="230" w:lineRule="atLeast"/>
        <w:ind w:right="284"/>
        <w:jc w:val="both"/>
        <w:rPr>
          <w:rFonts w:cstheme="minorHAnsi"/>
          <w:sz w:val="21"/>
          <w:szCs w:val="21"/>
        </w:rPr>
      </w:pPr>
      <w:r>
        <w:rPr>
          <w:rFonts w:ascii="Calibri" w:eastAsia="Times New Roman" w:hAnsi="Calibri" w:cs="Calibri"/>
          <w:color w:val="000000"/>
          <w:sz w:val="21"/>
          <w:szCs w:val="21"/>
          <w:lang w:eastAsia="en-IE"/>
        </w:rPr>
        <w:t>Recently,</w:t>
      </w:r>
      <w:r w:rsidR="00E715BF" w:rsidRPr="00E715BF">
        <w:rPr>
          <w:rFonts w:ascii="Calibri" w:eastAsia="Times New Roman" w:hAnsi="Calibri" w:cs="Calibri"/>
          <w:color w:val="000000"/>
          <w:sz w:val="21"/>
          <w:szCs w:val="21"/>
          <w:lang w:eastAsia="en-IE"/>
        </w:rPr>
        <w:t xml:space="preserve"> Fitch upgraded the rating of PTSB Group Holdings by one notch to BBB</w:t>
      </w:r>
      <w:r>
        <w:rPr>
          <w:rFonts w:ascii="Calibri" w:eastAsia="Times New Roman" w:hAnsi="Calibri" w:cs="Calibri"/>
          <w:color w:val="000000"/>
          <w:sz w:val="21"/>
          <w:szCs w:val="21"/>
          <w:lang w:eastAsia="en-IE"/>
        </w:rPr>
        <w:t>, further cementing the Bank’s investment grade status</w:t>
      </w:r>
      <w:r w:rsidR="00E715BF" w:rsidRPr="00E715BF">
        <w:rPr>
          <w:rFonts w:ascii="Calibri" w:eastAsia="Times New Roman" w:hAnsi="Calibri" w:cs="Calibri"/>
          <w:color w:val="000000"/>
          <w:sz w:val="21"/>
          <w:szCs w:val="21"/>
          <w:lang w:eastAsia="en-IE"/>
        </w:rPr>
        <w:t>.</w:t>
      </w:r>
      <w:r w:rsidR="002A1352">
        <w:rPr>
          <w:rFonts w:ascii="Calibri" w:eastAsia="Times New Roman" w:hAnsi="Calibri" w:cs="Calibri"/>
          <w:color w:val="000000"/>
          <w:sz w:val="21"/>
          <w:szCs w:val="21"/>
          <w:lang w:eastAsia="en-IE"/>
        </w:rPr>
        <w:t xml:space="preserve"> </w:t>
      </w:r>
      <w:r w:rsidR="00D03241">
        <w:rPr>
          <w:rFonts w:ascii="Calibri" w:hAnsi="Calibri" w:cs="Calibri"/>
          <w:color w:val="000000"/>
          <w:sz w:val="21"/>
          <w:szCs w:val="21"/>
        </w:rPr>
        <w:t>G</w:t>
      </w:r>
      <w:r w:rsidR="00407D25">
        <w:rPr>
          <w:rFonts w:cstheme="minorHAnsi"/>
          <w:sz w:val="21"/>
          <w:szCs w:val="21"/>
        </w:rPr>
        <w:t>iven our strong MREL position</w:t>
      </w:r>
      <w:r w:rsidR="00B0427C">
        <w:rPr>
          <w:rFonts w:cstheme="minorHAnsi"/>
          <w:sz w:val="21"/>
          <w:szCs w:val="21"/>
        </w:rPr>
        <w:t>,</w:t>
      </w:r>
      <w:r w:rsidR="00407D25">
        <w:rPr>
          <w:rFonts w:cstheme="minorHAnsi"/>
          <w:sz w:val="21"/>
          <w:szCs w:val="21"/>
        </w:rPr>
        <w:t xml:space="preserve"> we currently have no plans to issue</w:t>
      </w:r>
      <w:r w:rsidR="00470D57">
        <w:rPr>
          <w:rFonts w:cstheme="minorHAnsi"/>
          <w:sz w:val="21"/>
          <w:szCs w:val="21"/>
        </w:rPr>
        <w:t xml:space="preserve"> senior debt</w:t>
      </w:r>
      <w:r w:rsidR="00407D25">
        <w:rPr>
          <w:rFonts w:cstheme="minorHAnsi"/>
          <w:sz w:val="21"/>
          <w:szCs w:val="21"/>
        </w:rPr>
        <w:t xml:space="preserve"> in 2025.</w:t>
      </w:r>
      <w:r w:rsidR="00AC5896">
        <w:rPr>
          <w:rFonts w:cstheme="minorHAnsi"/>
          <w:sz w:val="21"/>
          <w:szCs w:val="21"/>
        </w:rPr>
        <w:t xml:space="preserve"> </w:t>
      </w:r>
    </w:p>
    <w:p w14:paraId="3106194A" w14:textId="77777777" w:rsidR="00083DDA" w:rsidRDefault="00083DDA" w:rsidP="00ED1484">
      <w:pPr>
        <w:spacing w:before="120" w:after="240" w:line="230" w:lineRule="atLeast"/>
        <w:ind w:right="237"/>
        <w:jc w:val="both"/>
        <w:rPr>
          <w:rFonts w:cstheme="minorHAnsi"/>
          <w:b/>
          <w:sz w:val="21"/>
          <w:szCs w:val="21"/>
        </w:rPr>
      </w:pPr>
      <w:r w:rsidRPr="00295CA2">
        <w:rPr>
          <w:rFonts w:cstheme="minorHAnsi"/>
          <w:b/>
          <w:sz w:val="21"/>
          <w:szCs w:val="21"/>
        </w:rPr>
        <w:t xml:space="preserve">Capital </w:t>
      </w:r>
    </w:p>
    <w:p w14:paraId="21D8B7FE" w14:textId="27540EF2" w:rsidR="00BD1C44" w:rsidRDefault="004962DB" w:rsidP="004962DB">
      <w:pPr>
        <w:spacing w:before="120" w:after="240" w:line="230" w:lineRule="atLeast"/>
        <w:ind w:right="237"/>
        <w:jc w:val="both"/>
        <w:rPr>
          <w:rFonts w:cstheme="minorHAnsi"/>
          <w:sz w:val="21"/>
          <w:szCs w:val="21"/>
          <w:lang w:eastAsia="en-IE"/>
        </w:rPr>
      </w:pPr>
      <w:r w:rsidRPr="00242D25">
        <w:rPr>
          <w:rFonts w:cstheme="minorHAnsi"/>
          <w:sz w:val="21"/>
          <w:szCs w:val="21"/>
        </w:rPr>
        <w:t xml:space="preserve">The Bank's Common Equity Tier 1 (CET1) ratio </w:t>
      </w:r>
      <w:proofErr w:type="gramStart"/>
      <w:r w:rsidRPr="00242D25">
        <w:rPr>
          <w:rFonts w:cstheme="minorHAnsi"/>
          <w:sz w:val="21"/>
          <w:szCs w:val="21"/>
        </w:rPr>
        <w:t>at</w:t>
      </w:r>
      <w:proofErr w:type="gramEnd"/>
      <w:r w:rsidRPr="00242D25">
        <w:rPr>
          <w:rFonts w:cstheme="minorHAnsi"/>
          <w:sz w:val="21"/>
          <w:szCs w:val="21"/>
        </w:rPr>
        <w:t xml:space="preserve"> </w:t>
      </w:r>
      <w:r w:rsidR="007E3454">
        <w:rPr>
          <w:rFonts w:cstheme="minorHAnsi"/>
          <w:sz w:val="21"/>
          <w:szCs w:val="21"/>
        </w:rPr>
        <w:t>June</w:t>
      </w:r>
      <w:r w:rsidRPr="00242D25">
        <w:rPr>
          <w:rFonts w:cstheme="minorHAnsi"/>
          <w:sz w:val="21"/>
          <w:szCs w:val="21"/>
        </w:rPr>
        <w:t xml:space="preserve"> 202</w:t>
      </w:r>
      <w:r w:rsidR="007E3454">
        <w:rPr>
          <w:rFonts w:cstheme="minorHAnsi"/>
          <w:sz w:val="21"/>
          <w:szCs w:val="21"/>
        </w:rPr>
        <w:t>5</w:t>
      </w:r>
      <w:r w:rsidRPr="00242D25">
        <w:rPr>
          <w:rFonts w:cstheme="minorHAnsi"/>
          <w:sz w:val="21"/>
          <w:szCs w:val="21"/>
        </w:rPr>
        <w:t xml:space="preserve"> remains strong at 1</w:t>
      </w:r>
      <w:r w:rsidR="007E3454">
        <w:rPr>
          <w:rFonts w:cstheme="minorHAnsi"/>
          <w:sz w:val="21"/>
          <w:szCs w:val="21"/>
        </w:rPr>
        <w:t>5.</w:t>
      </w:r>
      <w:r w:rsidR="00EF389A">
        <w:rPr>
          <w:rFonts w:cstheme="minorHAnsi"/>
          <w:sz w:val="21"/>
          <w:szCs w:val="21"/>
        </w:rPr>
        <w:t>5</w:t>
      </w:r>
      <w:r w:rsidRPr="00242D25">
        <w:rPr>
          <w:rFonts w:cstheme="minorHAnsi"/>
          <w:sz w:val="21"/>
          <w:szCs w:val="21"/>
        </w:rPr>
        <w:t>%</w:t>
      </w:r>
      <w:r w:rsidR="007E3454">
        <w:rPr>
          <w:rFonts w:cstheme="minorHAnsi"/>
          <w:sz w:val="21"/>
          <w:szCs w:val="21"/>
        </w:rPr>
        <w:t xml:space="preserve"> under CRR3 compared with 14.7% at </w:t>
      </w:r>
      <w:r w:rsidRPr="00242D25">
        <w:rPr>
          <w:rFonts w:cstheme="minorHAnsi"/>
          <w:sz w:val="21"/>
          <w:szCs w:val="21"/>
        </w:rPr>
        <w:t>December 202</w:t>
      </w:r>
      <w:r w:rsidR="007E3454">
        <w:rPr>
          <w:rFonts w:cstheme="minorHAnsi"/>
          <w:sz w:val="21"/>
          <w:szCs w:val="21"/>
        </w:rPr>
        <w:t>4.</w:t>
      </w:r>
      <w:r w:rsidRPr="00242D25">
        <w:rPr>
          <w:rFonts w:cstheme="minorHAnsi"/>
          <w:sz w:val="21"/>
          <w:szCs w:val="21"/>
        </w:rPr>
        <w:t xml:space="preserve"> </w:t>
      </w:r>
      <w:r w:rsidR="007E3454" w:rsidRPr="00242D25">
        <w:rPr>
          <w:rFonts w:cstheme="minorHAnsi"/>
          <w:sz w:val="21"/>
          <w:szCs w:val="21"/>
          <w:lang w:eastAsia="en-IE"/>
        </w:rPr>
        <w:t>This is well above our 2025 regulatory requirement of c. 10.8%</w:t>
      </w:r>
      <w:r w:rsidR="007E3454">
        <w:rPr>
          <w:rFonts w:cstheme="minorHAnsi"/>
          <w:sz w:val="21"/>
          <w:szCs w:val="21"/>
          <w:lang w:eastAsia="en-IE"/>
        </w:rPr>
        <w:t>.</w:t>
      </w:r>
    </w:p>
    <w:p w14:paraId="11231E75" w14:textId="2DFDAE10" w:rsidR="0048768B" w:rsidRDefault="008E61B5" w:rsidP="004962DB">
      <w:pPr>
        <w:spacing w:before="120" w:after="240" w:line="230" w:lineRule="atLeast"/>
        <w:ind w:right="237"/>
        <w:jc w:val="both"/>
        <w:rPr>
          <w:rFonts w:cstheme="minorHAnsi"/>
          <w:sz w:val="21"/>
          <w:szCs w:val="21"/>
        </w:rPr>
      </w:pPr>
      <w:r w:rsidRPr="00903A4F">
        <w:rPr>
          <w:rFonts w:cstheme="minorHAnsi"/>
          <w:sz w:val="21"/>
          <w:szCs w:val="21"/>
          <w:lang w:eastAsia="en-IE"/>
        </w:rPr>
        <w:t xml:space="preserve">The increase primarily relates to the application of CRR3 which increased CET1 by c. 1.2% at end June 2025. </w:t>
      </w:r>
      <w:r w:rsidRPr="008E61B5">
        <w:rPr>
          <w:rFonts w:cstheme="minorHAnsi"/>
          <w:sz w:val="21"/>
          <w:szCs w:val="21"/>
        </w:rPr>
        <w:t>We previously estimated that CRR3 added c. 0.7% to CET1 on January 1</w:t>
      </w:r>
      <w:r w:rsidRPr="008E61B5">
        <w:rPr>
          <w:rFonts w:cstheme="minorHAnsi"/>
          <w:sz w:val="21"/>
          <w:szCs w:val="21"/>
          <w:vertAlign w:val="superscript"/>
        </w:rPr>
        <w:t>st</w:t>
      </w:r>
      <w:proofErr w:type="gramStart"/>
      <w:r w:rsidRPr="008E61B5">
        <w:rPr>
          <w:rFonts w:cstheme="minorHAnsi"/>
          <w:sz w:val="21"/>
          <w:szCs w:val="21"/>
        </w:rPr>
        <w:t xml:space="preserve"> 2025</w:t>
      </w:r>
      <w:proofErr w:type="gramEnd"/>
      <w:r w:rsidRPr="008E61B5">
        <w:rPr>
          <w:rFonts w:cstheme="minorHAnsi"/>
          <w:sz w:val="21"/>
          <w:szCs w:val="21"/>
        </w:rPr>
        <w:t>.</w:t>
      </w:r>
      <w:r w:rsidR="00903A4F">
        <w:rPr>
          <w:rFonts w:cstheme="minorHAnsi"/>
          <w:sz w:val="21"/>
          <w:szCs w:val="21"/>
        </w:rPr>
        <w:t xml:space="preserve"> Other CET1 m</w:t>
      </w:r>
      <w:r w:rsidR="007E3454">
        <w:rPr>
          <w:rFonts w:cstheme="minorHAnsi"/>
          <w:sz w:val="21"/>
          <w:szCs w:val="21"/>
        </w:rPr>
        <w:t xml:space="preserve">ovements during the period </w:t>
      </w:r>
      <w:r w:rsidR="00A80681">
        <w:rPr>
          <w:rFonts w:cstheme="minorHAnsi"/>
          <w:sz w:val="21"/>
          <w:szCs w:val="21"/>
        </w:rPr>
        <w:t>included</w:t>
      </w:r>
      <w:r w:rsidR="004962DB" w:rsidRPr="00242D25">
        <w:rPr>
          <w:rFonts w:cstheme="minorHAnsi"/>
          <w:sz w:val="21"/>
          <w:szCs w:val="21"/>
        </w:rPr>
        <w:t xml:space="preserve"> </w:t>
      </w:r>
      <w:r w:rsidR="00FA63C0">
        <w:rPr>
          <w:rFonts w:cstheme="minorHAnsi"/>
          <w:sz w:val="21"/>
          <w:szCs w:val="21"/>
        </w:rPr>
        <w:t>p</w:t>
      </w:r>
      <w:r w:rsidR="004962DB" w:rsidRPr="00242D25">
        <w:rPr>
          <w:rFonts w:cstheme="minorHAnsi"/>
          <w:sz w:val="21"/>
          <w:szCs w:val="21"/>
        </w:rPr>
        <w:t>rofit after tax (+</w:t>
      </w:r>
      <w:r w:rsidR="00EB6E37">
        <w:rPr>
          <w:rFonts w:cstheme="minorHAnsi"/>
          <w:sz w:val="21"/>
          <w:szCs w:val="21"/>
        </w:rPr>
        <w:t>0.2</w:t>
      </w:r>
      <w:r w:rsidR="004962DB" w:rsidRPr="00242D25">
        <w:rPr>
          <w:rFonts w:cstheme="minorHAnsi"/>
          <w:sz w:val="21"/>
          <w:szCs w:val="21"/>
        </w:rPr>
        <w:t>%), AT1 coupons (-0.</w:t>
      </w:r>
      <w:r w:rsidR="00EB6E37">
        <w:rPr>
          <w:rFonts w:cstheme="minorHAnsi"/>
          <w:sz w:val="21"/>
          <w:szCs w:val="21"/>
        </w:rPr>
        <w:t>2</w:t>
      </w:r>
      <w:r w:rsidR="004962DB" w:rsidRPr="00242D25">
        <w:rPr>
          <w:rFonts w:cstheme="minorHAnsi"/>
          <w:sz w:val="21"/>
          <w:szCs w:val="21"/>
        </w:rPr>
        <w:t xml:space="preserve">%), </w:t>
      </w:r>
      <w:r w:rsidR="00FA63C0">
        <w:rPr>
          <w:rFonts w:cstheme="minorHAnsi"/>
          <w:sz w:val="21"/>
          <w:szCs w:val="21"/>
        </w:rPr>
        <w:t>n</w:t>
      </w:r>
      <w:r w:rsidR="004962DB" w:rsidRPr="00242D25">
        <w:rPr>
          <w:rFonts w:cstheme="minorHAnsi"/>
          <w:sz w:val="21"/>
          <w:szCs w:val="21"/>
        </w:rPr>
        <w:t xml:space="preserve">et </w:t>
      </w:r>
      <w:r w:rsidR="00FA63C0">
        <w:rPr>
          <w:rFonts w:cstheme="minorHAnsi"/>
          <w:sz w:val="21"/>
          <w:szCs w:val="21"/>
        </w:rPr>
        <w:t>l</w:t>
      </w:r>
      <w:r w:rsidR="004962DB" w:rsidRPr="00242D25">
        <w:rPr>
          <w:rFonts w:cstheme="minorHAnsi"/>
          <w:sz w:val="21"/>
          <w:szCs w:val="21"/>
        </w:rPr>
        <w:t xml:space="preserve">oan </w:t>
      </w:r>
      <w:r w:rsidR="00FA63C0">
        <w:rPr>
          <w:rFonts w:cstheme="minorHAnsi"/>
          <w:sz w:val="21"/>
          <w:szCs w:val="21"/>
        </w:rPr>
        <w:t>b</w:t>
      </w:r>
      <w:r w:rsidR="004962DB" w:rsidRPr="00242D25">
        <w:rPr>
          <w:rFonts w:cstheme="minorHAnsi"/>
          <w:sz w:val="21"/>
          <w:szCs w:val="21"/>
        </w:rPr>
        <w:t xml:space="preserve">ook </w:t>
      </w:r>
      <w:r w:rsidR="00FA63C0">
        <w:rPr>
          <w:rFonts w:cstheme="minorHAnsi"/>
          <w:sz w:val="21"/>
          <w:szCs w:val="21"/>
        </w:rPr>
        <w:t>g</w:t>
      </w:r>
      <w:r w:rsidR="004962DB" w:rsidRPr="00242D25">
        <w:rPr>
          <w:rFonts w:cstheme="minorHAnsi"/>
          <w:sz w:val="21"/>
          <w:szCs w:val="21"/>
        </w:rPr>
        <w:t>rowth (-0.</w:t>
      </w:r>
      <w:r w:rsidR="006E23A6">
        <w:rPr>
          <w:rFonts w:cstheme="minorHAnsi"/>
          <w:sz w:val="21"/>
          <w:szCs w:val="21"/>
        </w:rPr>
        <w:t>2</w:t>
      </w:r>
      <w:r w:rsidR="004962DB" w:rsidRPr="00242D25">
        <w:rPr>
          <w:rFonts w:cstheme="minorHAnsi"/>
          <w:sz w:val="21"/>
          <w:szCs w:val="21"/>
        </w:rPr>
        <w:t>%)</w:t>
      </w:r>
      <w:r w:rsidR="006E23A6">
        <w:rPr>
          <w:rFonts w:cstheme="minorHAnsi"/>
          <w:sz w:val="21"/>
          <w:szCs w:val="21"/>
        </w:rPr>
        <w:t>,</w:t>
      </w:r>
      <w:r w:rsidR="00A80681">
        <w:rPr>
          <w:rFonts w:cstheme="minorHAnsi"/>
          <w:sz w:val="21"/>
          <w:szCs w:val="21"/>
        </w:rPr>
        <w:t xml:space="preserve"> </w:t>
      </w:r>
      <w:r w:rsidR="00FA63C0">
        <w:rPr>
          <w:rFonts w:cstheme="minorHAnsi"/>
          <w:sz w:val="21"/>
          <w:szCs w:val="21"/>
        </w:rPr>
        <w:t>intangibles (+0.1%) and</w:t>
      </w:r>
      <w:r w:rsidR="006E23A6">
        <w:rPr>
          <w:rFonts w:cstheme="minorHAnsi"/>
          <w:sz w:val="21"/>
          <w:szCs w:val="21"/>
        </w:rPr>
        <w:t xml:space="preserve"> </w:t>
      </w:r>
      <w:r w:rsidR="00FA63C0">
        <w:rPr>
          <w:rFonts w:cstheme="minorHAnsi"/>
          <w:sz w:val="21"/>
          <w:szCs w:val="21"/>
        </w:rPr>
        <w:t>o</w:t>
      </w:r>
      <w:r w:rsidR="006E23A6">
        <w:rPr>
          <w:rFonts w:cstheme="minorHAnsi"/>
          <w:sz w:val="21"/>
          <w:szCs w:val="21"/>
        </w:rPr>
        <w:t xml:space="preserve">ther </w:t>
      </w:r>
      <w:r w:rsidR="00FA63C0">
        <w:rPr>
          <w:rFonts w:cstheme="minorHAnsi"/>
          <w:sz w:val="21"/>
          <w:szCs w:val="21"/>
        </w:rPr>
        <w:t xml:space="preserve">balance sheet movements </w:t>
      </w:r>
      <w:r w:rsidR="006E23A6">
        <w:rPr>
          <w:rFonts w:cstheme="minorHAnsi"/>
          <w:sz w:val="21"/>
          <w:szCs w:val="21"/>
        </w:rPr>
        <w:t>(-0.2%)</w:t>
      </w:r>
      <w:r w:rsidR="00A80681">
        <w:rPr>
          <w:rFonts w:cstheme="minorHAnsi"/>
          <w:sz w:val="21"/>
          <w:szCs w:val="21"/>
        </w:rPr>
        <w:t xml:space="preserve">. </w:t>
      </w:r>
    </w:p>
    <w:p w14:paraId="07D816F1" w14:textId="589C4F9B" w:rsidR="00EC54DC" w:rsidRDefault="00EC54DC" w:rsidP="004962DB">
      <w:pPr>
        <w:spacing w:before="120" w:after="240" w:line="230" w:lineRule="atLeast"/>
        <w:ind w:right="237"/>
        <w:jc w:val="both"/>
        <w:rPr>
          <w:rFonts w:cstheme="minorHAnsi"/>
          <w:sz w:val="21"/>
          <w:szCs w:val="21"/>
        </w:rPr>
      </w:pPr>
      <w:r>
        <w:rPr>
          <w:rFonts w:cstheme="minorHAnsi"/>
          <w:sz w:val="21"/>
          <w:szCs w:val="21"/>
        </w:rPr>
        <w:t xml:space="preserve">Risk weighted assets (RWAs) </w:t>
      </w:r>
      <w:r w:rsidR="00EF389A">
        <w:rPr>
          <w:rFonts w:cstheme="minorHAnsi"/>
          <w:sz w:val="21"/>
          <w:szCs w:val="21"/>
        </w:rPr>
        <w:t>reduced from €11.5 billion at end 2024 to €10.</w:t>
      </w:r>
      <w:r w:rsidR="00EB6E37">
        <w:rPr>
          <w:rFonts w:cstheme="minorHAnsi"/>
          <w:sz w:val="21"/>
          <w:szCs w:val="21"/>
        </w:rPr>
        <w:t>9</w:t>
      </w:r>
      <w:r w:rsidR="00890608">
        <w:rPr>
          <w:rFonts w:cstheme="minorHAnsi"/>
          <w:sz w:val="21"/>
          <w:szCs w:val="21"/>
        </w:rPr>
        <w:t xml:space="preserve"> billion</w:t>
      </w:r>
      <w:r w:rsidR="00EF389A">
        <w:rPr>
          <w:rFonts w:cstheme="minorHAnsi"/>
          <w:sz w:val="21"/>
          <w:szCs w:val="21"/>
        </w:rPr>
        <w:t xml:space="preserve"> at end June.</w:t>
      </w:r>
      <w:r>
        <w:rPr>
          <w:rFonts w:cstheme="minorHAnsi"/>
          <w:sz w:val="21"/>
          <w:szCs w:val="21"/>
        </w:rPr>
        <w:t xml:space="preserve"> </w:t>
      </w:r>
      <w:r w:rsidR="00EF389A">
        <w:rPr>
          <w:rFonts w:cstheme="minorHAnsi"/>
          <w:sz w:val="21"/>
          <w:szCs w:val="21"/>
        </w:rPr>
        <w:t xml:space="preserve">CRR3 </w:t>
      </w:r>
      <w:r w:rsidR="00890608">
        <w:rPr>
          <w:rFonts w:cstheme="minorHAnsi"/>
          <w:sz w:val="21"/>
          <w:szCs w:val="21"/>
        </w:rPr>
        <w:t>reduced RWAs by</w:t>
      </w:r>
      <w:r w:rsidR="00EF389A">
        <w:rPr>
          <w:rFonts w:cstheme="minorHAnsi"/>
          <w:sz w:val="21"/>
          <w:szCs w:val="21"/>
        </w:rPr>
        <w:t xml:space="preserve"> €0.</w:t>
      </w:r>
      <w:r w:rsidR="00890608">
        <w:rPr>
          <w:rFonts w:cstheme="minorHAnsi"/>
          <w:sz w:val="21"/>
          <w:szCs w:val="21"/>
        </w:rPr>
        <w:t>9</w:t>
      </w:r>
      <w:r w:rsidR="00EF389A">
        <w:rPr>
          <w:rFonts w:cstheme="minorHAnsi"/>
          <w:sz w:val="21"/>
          <w:szCs w:val="21"/>
        </w:rPr>
        <w:t xml:space="preserve"> billion</w:t>
      </w:r>
      <w:r w:rsidR="00890608">
        <w:rPr>
          <w:rFonts w:cstheme="minorHAnsi"/>
          <w:sz w:val="21"/>
          <w:szCs w:val="21"/>
        </w:rPr>
        <w:t>,</w:t>
      </w:r>
      <w:r w:rsidR="00EF389A">
        <w:rPr>
          <w:rFonts w:cstheme="minorHAnsi"/>
          <w:sz w:val="21"/>
          <w:szCs w:val="21"/>
        </w:rPr>
        <w:t xml:space="preserve"> while</w:t>
      </w:r>
      <w:r>
        <w:rPr>
          <w:rFonts w:cstheme="minorHAnsi"/>
          <w:sz w:val="21"/>
          <w:szCs w:val="21"/>
        </w:rPr>
        <w:t xml:space="preserve"> </w:t>
      </w:r>
      <w:r w:rsidR="00890608">
        <w:rPr>
          <w:rFonts w:cstheme="minorHAnsi"/>
          <w:sz w:val="21"/>
          <w:szCs w:val="21"/>
        </w:rPr>
        <w:t xml:space="preserve">underlying growth in RWAs was </w:t>
      </w:r>
      <w:r w:rsidR="00C56C93">
        <w:rPr>
          <w:rFonts w:cstheme="minorHAnsi"/>
          <w:sz w:val="21"/>
          <w:szCs w:val="21"/>
        </w:rPr>
        <w:t>around</w:t>
      </w:r>
      <w:r w:rsidR="00890608">
        <w:rPr>
          <w:rFonts w:cstheme="minorHAnsi"/>
          <w:sz w:val="21"/>
          <w:szCs w:val="21"/>
        </w:rPr>
        <w:t xml:space="preserve"> €0.</w:t>
      </w:r>
      <w:r w:rsidR="003C631D">
        <w:rPr>
          <w:rFonts w:cstheme="minorHAnsi"/>
          <w:sz w:val="21"/>
          <w:szCs w:val="21"/>
        </w:rPr>
        <w:t xml:space="preserve">3 </w:t>
      </w:r>
      <w:r w:rsidR="00890608">
        <w:rPr>
          <w:rFonts w:cstheme="minorHAnsi"/>
          <w:sz w:val="21"/>
          <w:szCs w:val="21"/>
        </w:rPr>
        <w:t>billion.</w:t>
      </w:r>
    </w:p>
    <w:p w14:paraId="30138E3B" w14:textId="3A579D88" w:rsidR="007E3454" w:rsidRDefault="007E3454" w:rsidP="007E3454">
      <w:pPr>
        <w:spacing w:before="240" w:after="120" w:line="230" w:lineRule="atLeast"/>
        <w:ind w:right="284"/>
        <w:jc w:val="both"/>
        <w:rPr>
          <w:rFonts w:ascii="Calibri" w:eastAsia="Times New Roman" w:hAnsi="Calibri" w:cs="Calibri"/>
          <w:color w:val="000000"/>
          <w:sz w:val="21"/>
          <w:szCs w:val="21"/>
          <w:lang w:eastAsia="en-IE"/>
        </w:rPr>
      </w:pPr>
      <w:r w:rsidRPr="0002472B">
        <w:rPr>
          <w:rFonts w:ascii="Calibri" w:eastAsia="Times New Roman" w:hAnsi="Calibri" w:cs="Calibri"/>
          <w:color w:val="000000"/>
          <w:sz w:val="21"/>
          <w:szCs w:val="21"/>
          <w:lang w:eastAsia="en-IE"/>
        </w:rPr>
        <w:t xml:space="preserve">The Bank's </w:t>
      </w:r>
      <w:r>
        <w:rPr>
          <w:rFonts w:ascii="Calibri" w:eastAsia="Times New Roman" w:hAnsi="Calibri" w:cs="Calibri"/>
          <w:color w:val="000000"/>
          <w:sz w:val="21"/>
          <w:szCs w:val="21"/>
          <w:lang w:eastAsia="en-IE"/>
        </w:rPr>
        <w:t>l</w:t>
      </w:r>
      <w:r w:rsidRPr="0002472B">
        <w:rPr>
          <w:rFonts w:ascii="Calibri" w:eastAsia="Times New Roman" w:hAnsi="Calibri" w:cs="Calibri"/>
          <w:color w:val="000000"/>
          <w:sz w:val="21"/>
          <w:szCs w:val="21"/>
          <w:lang w:eastAsia="en-IE"/>
        </w:rPr>
        <w:t>everage ratio a</w:t>
      </w:r>
      <w:r>
        <w:rPr>
          <w:rFonts w:ascii="Calibri" w:eastAsia="Times New Roman" w:hAnsi="Calibri" w:cs="Calibri"/>
          <w:color w:val="000000"/>
          <w:sz w:val="21"/>
          <w:szCs w:val="21"/>
          <w:lang w:eastAsia="en-IE"/>
        </w:rPr>
        <w:t xml:space="preserve">t end June 2025 </w:t>
      </w:r>
      <w:r w:rsidRPr="0002472B">
        <w:rPr>
          <w:rFonts w:ascii="Calibri" w:eastAsia="Times New Roman" w:hAnsi="Calibri" w:cs="Calibri"/>
          <w:color w:val="000000"/>
          <w:sz w:val="21"/>
          <w:szCs w:val="21"/>
          <w:lang w:eastAsia="en-IE"/>
        </w:rPr>
        <w:t xml:space="preserve">was </w:t>
      </w:r>
      <w:r w:rsidR="0048768B">
        <w:rPr>
          <w:rFonts w:ascii="Calibri" w:eastAsia="Times New Roman" w:hAnsi="Calibri" w:cs="Calibri"/>
          <w:color w:val="000000"/>
          <w:sz w:val="21"/>
          <w:szCs w:val="21"/>
          <w:lang w:eastAsia="en-IE"/>
        </w:rPr>
        <w:t>6.8</w:t>
      </w:r>
      <w:r w:rsidRPr="0002472B">
        <w:rPr>
          <w:rFonts w:ascii="Calibri" w:eastAsia="Times New Roman" w:hAnsi="Calibri" w:cs="Calibri"/>
          <w:color w:val="000000"/>
          <w:sz w:val="21"/>
          <w:szCs w:val="21"/>
          <w:lang w:eastAsia="en-IE"/>
        </w:rPr>
        <w:t>%</w:t>
      </w:r>
      <w:r w:rsidRPr="0067051D">
        <w:rPr>
          <w:rFonts w:ascii="Calibri" w:eastAsia="Times New Roman" w:hAnsi="Calibri" w:cs="Calibri"/>
          <w:color w:val="000000"/>
          <w:sz w:val="21"/>
          <w:szCs w:val="21"/>
          <w:lang w:eastAsia="en-IE"/>
        </w:rPr>
        <w:t>,</w:t>
      </w:r>
      <w:r w:rsidRPr="0002472B">
        <w:rPr>
          <w:rFonts w:ascii="Calibri" w:eastAsia="Times New Roman" w:hAnsi="Calibri" w:cs="Calibri"/>
          <w:color w:val="000000"/>
          <w:sz w:val="21"/>
          <w:szCs w:val="21"/>
          <w:lang w:eastAsia="en-IE"/>
        </w:rPr>
        <w:t xml:space="preserve"> </w:t>
      </w:r>
      <w:r>
        <w:rPr>
          <w:rFonts w:ascii="Calibri" w:eastAsia="Times New Roman" w:hAnsi="Calibri" w:cs="Calibri"/>
          <w:color w:val="000000"/>
          <w:sz w:val="21"/>
          <w:szCs w:val="21"/>
          <w:lang w:eastAsia="en-IE"/>
        </w:rPr>
        <w:t>compared with</w:t>
      </w:r>
      <w:r w:rsidRPr="0002472B">
        <w:rPr>
          <w:rFonts w:ascii="Calibri" w:eastAsia="Times New Roman" w:hAnsi="Calibri" w:cs="Calibri"/>
          <w:color w:val="000000"/>
          <w:sz w:val="21"/>
          <w:szCs w:val="21"/>
          <w:lang w:eastAsia="en-IE"/>
        </w:rPr>
        <w:t xml:space="preserve"> 7.</w:t>
      </w:r>
      <w:r>
        <w:rPr>
          <w:rFonts w:ascii="Calibri" w:eastAsia="Times New Roman" w:hAnsi="Calibri" w:cs="Calibri"/>
          <w:color w:val="000000"/>
          <w:sz w:val="21"/>
          <w:szCs w:val="21"/>
          <w:lang w:eastAsia="en-IE"/>
        </w:rPr>
        <w:t>1</w:t>
      </w:r>
      <w:r w:rsidRPr="0002472B">
        <w:rPr>
          <w:rFonts w:ascii="Calibri" w:eastAsia="Times New Roman" w:hAnsi="Calibri" w:cs="Calibri"/>
          <w:color w:val="000000"/>
          <w:sz w:val="21"/>
          <w:szCs w:val="21"/>
          <w:lang w:eastAsia="en-IE"/>
        </w:rPr>
        <w:t>% at December 202</w:t>
      </w:r>
      <w:r>
        <w:rPr>
          <w:rFonts w:ascii="Calibri" w:eastAsia="Times New Roman" w:hAnsi="Calibri" w:cs="Calibri"/>
          <w:color w:val="000000"/>
          <w:sz w:val="21"/>
          <w:szCs w:val="21"/>
          <w:lang w:eastAsia="en-IE"/>
        </w:rPr>
        <w:t>4 and remains very strong for a bank with our</w:t>
      </w:r>
      <w:r w:rsidR="00F074C1">
        <w:rPr>
          <w:rFonts w:ascii="Calibri" w:eastAsia="Times New Roman" w:hAnsi="Calibri" w:cs="Calibri"/>
          <w:color w:val="000000"/>
          <w:sz w:val="21"/>
          <w:szCs w:val="21"/>
          <w:lang w:eastAsia="en-IE"/>
        </w:rPr>
        <w:t xml:space="preserve"> level of</w:t>
      </w:r>
      <w:r>
        <w:rPr>
          <w:rFonts w:ascii="Calibri" w:eastAsia="Times New Roman" w:hAnsi="Calibri" w:cs="Calibri"/>
          <w:color w:val="000000"/>
          <w:sz w:val="21"/>
          <w:szCs w:val="21"/>
          <w:lang w:eastAsia="en-IE"/>
        </w:rPr>
        <w:t xml:space="preserve"> residential mortgage exposure</w:t>
      </w:r>
      <w:r w:rsidRPr="0002472B">
        <w:rPr>
          <w:rFonts w:ascii="Calibri" w:eastAsia="Times New Roman" w:hAnsi="Calibri" w:cs="Calibri"/>
          <w:color w:val="000000"/>
          <w:sz w:val="21"/>
          <w:szCs w:val="21"/>
          <w:lang w:eastAsia="en-IE"/>
        </w:rPr>
        <w:t>.  </w:t>
      </w:r>
    </w:p>
    <w:p w14:paraId="44174608" w14:textId="77777777" w:rsidR="005D1971" w:rsidRDefault="007E3454" w:rsidP="005D1971">
      <w:pPr>
        <w:spacing w:before="240" w:after="120" w:line="230" w:lineRule="atLeast"/>
        <w:ind w:right="284"/>
        <w:jc w:val="both"/>
        <w:rPr>
          <w:rFonts w:eastAsia="Times New Roman"/>
          <w:sz w:val="21"/>
          <w:szCs w:val="21"/>
        </w:rPr>
      </w:pPr>
      <w:r w:rsidRPr="00E715BF">
        <w:rPr>
          <w:rFonts w:ascii="Calibri" w:eastAsia="Times New Roman" w:hAnsi="Calibri" w:cs="Calibri"/>
          <w:color w:val="000000"/>
          <w:sz w:val="21"/>
          <w:szCs w:val="21"/>
          <w:lang w:eastAsia="en-IE"/>
        </w:rPr>
        <w:t>As previously indicated, we are committed to optimising our MREL and capital stack over the coming years given the potential for efficiencies this could generate.</w:t>
      </w:r>
      <w:r w:rsidR="00114820" w:rsidRPr="00E715BF">
        <w:rPr>
          <w:rFonts w:ascii="Calibri" w:eastAsia="Times New Roman" w:hAnsi="Calibri" w:cs="Calibri"/>
          <w:color w:val="000000"/>
          <w:sz w:val="21"/>
          <w:szCs w:val="21"/>
          <w:lang w:eastAsia="en-IE"/>
        </w:rPr>
        <w:t xml:space="preserve"> </w:t>
      </w:r>
      <w:r w:rsidR="0094331E">
        <w:rPr>
          <w:rFonts w:ascii="Calibri" w:eastAsia="Times New Roman" w:hAnsi="Calibri" w:cs="Calibri"/>
          <w:color w:val="000000"/>
          <w:sz w:val="21"/>
          <w:szCs w:val="21"/>
          <w:lang w:eastAsia="en-IE"/>
        </w:rPr>
        <w:t>Indeed</w:t>
      </w:r>
      <w:r w:rsidR="005F3981">
        <w:rPr>
          <w:rFonts w:ascii="Calibri" w:eastAsia="Times New Roman" w:hAnsi="Calibri" w:cs="Calibri"/>
          <w:color w:val="000000"/>
          <w:sz w:val="21"/>
          <w:szCs w:val="21"/>
          <w:lang w:eastAsia="en-IE"/>
        </w:rPr>
        <w:t>,</w:t>
      </w:r>
      <w:r w:rsidR="0094331E">
        <w:rPr>
          <w:rFonts w:ascii="Calibri" w:eastAsia="Times New Roman" w:hAnsi="Calibri" w:cs="Calibri"/>
          <w:color w:val="000000"/>
          <w:sz w:val="21"/>
          <w:szCs w:val="21"/>
          <w:lang w:eastAsia="en-IE"/>
        </w:rPr>
        <w:t xml:space="preserve"> t</w:t>
      </w:r>
      <w:r w:rsidR="0094331E" w:rsidRPr="0094331E">
        <w:rPr>
          <w:rFonts w:eastAsia="Times New Roman"/>
          <w:sz w:val="21"/>
          <w:szCs w:val="21"/>
        </w:rPr>
        <w:t>he Bank has capital instruments with first call dates in</w:t>
      </w:r>
      <w:r w:rsidR="0094331E">
        <w:rPr>
          <w:rFonts w:eastAsia="Times New Roman"/>
          <w:sz w:val="21"/>
          <w:szCs w:val="21"/>
        </w:rPr>
        <w:t xml:space="preserve"> Q</w:t>
      </w:r>
      <w:r w:rsidR="0094331E" w:rsidRPr="0094331E">
        <w:rPr>
          <w:rFonts w:eastAsia="Times New Roman"/>
          <w:sz w:val="21"/>
          <w:szCs w:val="21"/>
        </w:rPr>
        <w:t>4 2025 and Q2 2026 and is considering its options in respect of these</w:t>
      </w:r>
      <w:r w:rsidR="0094331E">
        <w:rPr>
          <w:rFonts w:eastAsia="Times New Roman"/>
          <w:sz w:val="21"/>
          <w:szCs w:val="21"/>
        </w:rPr>
        <w:t>.</w:t>
      </w:r>
    </w:p>
    <w:p w14:paraId="5AF7A143" w14:textId="5C8DB9A1" w:rsidR="00C051AF" w:rsidRPr="00295CA2" w:rsidRDefault="000A0ED9" w:rsidP="005D1971">
      <w:pPr>
        <w:spacing w:before="240" w:after="120" w:line="230" w:lineRule="atLeast"/>
        <w:ind w:right="284"/>
        <w:jc w:val="both"/>
        <w:rPr>
          <w:rFonts w:cstheme="minorHAnsi"/>
          <w:sz w:val="21"/>
          <w:szCs w:val="21"/>
        </w:rPr>
      </w:pPr>
      <w:r>
        <w:rPr>
          <w:rFonts w:cstheme="minorHAnsi"/>
          <w:b/>
          <w:sz w:val="21"/>
          <w:szCs w:val="21"/>
        </w:rPr>
        <w:t>NEW SUSTAINABILITY</w:t>
      </w:r>
      <w:r w:rsidR="00275BC2">
        <w:rPr>
          <w:rFonts w:cstheme="minorHAnsi"/>
          <w:b/>
          <w:sz w:val="21"/>
          <w:szCs w:val="21"/>
        </w:rPr>
        <w:t xml:space="preserve"> STRATEGY </w:t>
      </w:r>
    </w:p>
    <w:p w14:paraId="24ECD4F5" w14:textId="590A2F10" w:rsidR="00A84CBB" w:rsidRDefault="00811CFA" w:rsidP="00A84CBB">
      <w:pPr>
        <w:autoSpaceDE w:val="0"/>
        <w:autoSpaceDN w:val="0"/>
        <w:adjustRightInd w:val="0"/>
        <w:spacing w:before="120" w:after="240" w:line="230" w:lineRule="atLeast"/>
        <w:ind w:right="238"/>
        <w:jc w:val="both"/>
        <w:rPr>
          <w:rFonts w:cstheme="minorHAnsi"/>
          <w:sz w:val="21"/>
          <w:szCs w:val="21"/>
        </w:rPr>
      </w:pPr>
      <w:r>
        <w:rPr>
          <w:rFonts w:cstheme="minorHAnsi"/>
          <w:sz w:val="21"/>
          <w:szCs w:val="21"/>
        </w:rPr>
        <w:t xml:space="preserve">In Q2, the Bank launched its new Sustainability Strategy 2025-2027 </w:t>
      </w:r>
      <w:r w:rsidRPr="00F76156">
        <w:rPr>
          <w:rFonts w:cstheme="minorHAnsi"/>
          <w:sz w:val="21"/>
          <w:szCs w:val="21"/>
        </w:rPr>
        <w:t xml:space="preserve">in response to evolving market conditions and to reinforce its commitment to long-term sustainable growth. </w:t>
      </w:r>
      <w:r>
        <w:rPr>
          <w:rFonts w:cstheme="minorHAnsi"/>
          <w:sz w:val="21"/>
          <w:szCs w:val="21"/>
        </w:rPr>
        <w:t xml:space="preserve">The new strategy focuses on channelling investment and directing impact towards areas that enhance societal wellbeing. </w:t>
      </w:r>
      <w:r w:rsidR="00A84CBB">
        <w:rPr>
          <w:rFonts w:cstheme="minorHAnsi"/>
          <w:sz w:val="21"/>
          <w:szCs w:val="21"/>
        </w:rPr>
        <w:t xml:space="preserve">This strategy was announced as the Bank’s Reflecting Business research found that </w:t>
      </w:r>
      <w:r w:rsidR="00A84CBB" w:rsidRPr="005A783C">
        <w:rPr>
          <w:rFonts w:cstheme="minorHAnsi"/>
          <w:sz w:val="21"/>
          <w:szCs w:val="21"/>
        </w:rPr>
        <w:t>78% of Irish businesses see the sustainability market as a major growth opportunity to win more customers and increase revenues</w:t>
      </w:r>
      <w:r w:rsidR="00A84CBB">
        <w:rPr>
          <w:rFonts w:cstheme="minorHAnsi"/>
          <w:sz w:val="21"/>
          <w:szCs w:val="21"/>
        </w:rPr>
        <w:t>.</w:t>
      </w:r>
    </w:p>
    <w:p w14:paraId="177D28C2" w14:textId="4ABBDFB8" w:rsidR="005D1971" w:rsidRDefault="00811CFA" w:rsidP="005D1971">
      <w:pPr>
        <w:autoSpaceDE w:val="0"/>
        <w:autoSpaceDN w:val="0"/>
        <w:adjustRightInd w:val="0"/>
        <w:spacing w:before="120" w:after="240" w:line="230" w:lineRule="atLeast"/>
        <w:ind w:right="238"/>
        <w:jc w:val="both"/>
        <w:rPr>
          <w:rFonts w:cstheme="minorHAnsi"/>
          <w:sz w:val="21"/>
          <w:szCs w:val="21"/>
        </w:rPr>
      </w:pPr>
      <w:r>
        <w:rPr>
          <w:rFonts w:cstheme="minorHAnsi"/>
          <w:sz w:val="21"/>
          <w:szCs w:val="21"/>
        </w:rPr>
        <w:t>Strong progress is being made</w:t>
      </w:r>
      <w:r w:rsidR="00A84CBB">
        <w:rPr>
          <w:rFonts w:cstheme="minorHAnsi"/>
          <w:sz w:val="21"/>
          <w:szCs w:val="21"/>
        </w:rPr>
        <w:t xml:space="preserve"> in delivering this strategy with </w:t>
      </w:r>
      <w:r>
        <w:rPr>
          <w:rFonts w:cstheme="minorHAnsi"/>
          <w:sz w:val="21"/>
          <w:szCs w:val="21"/>
        </w:rPr>
        <w:t>€</w:t>
      </w:r>
      <w:r w:rsidR="00CE37A3">
        <w:rPr>
          <w:rFonts w:cstheme="minorHAnsi"/>
          <w:sz w:val="21"/>
          <w:szCs w:val="21"/>
        </w:rPr>
        <w:t>26</w:t>
      </w:r>
      <w:r>
        <w:rPr>
          <w:rFonts w:cstheme="minorHAnsi"/>
          <w:sz w:val="21"/>
          <w:szCs w:val="21"/>
        </w:rPr>
        <w:t xml:space="preserve"> million in Impact lending during H1 across key </w:t>
      </w:r>
      <w:r w:rsidR="00875C3F">
        <w:rPr>
          <w:rFonts w:cstheme="minorHAnsi"/>
          <w:sz w:val="21"/>
          <w:szCs w:val="21"/>
        </w:rPr>
        <w:t>areas</w:t>
      </w:r>
      <w:r w:rsidR="00A84CBB">
        <w:rPr>
          <w:rFonts w:cstheme="minorHAnsi"/>
          <w:sz w:val="21"/>
          <w:szCs w:val="21"/>
        </w:rPr>
        <w:t xml:space="preserve"> such as </w:t>
      </w:r>
      <w:r w:rsidR="00635F7F" w:rsidRPr="00635F7F">
        <w:rPr>
          <w:rFonts w:cstheme="minorHAnsi"/>
          <w:sz w:val="21"/>
          <w:szCs w:val="21"/>
        </w:rPr>
        <w:t>energy efficiency, healthcare, and access to essential services</w:t>
      </w:r>
      <w:r w:rsidR="00635F7F">
        <w:rPr>
          <w:rFonts w:cstheme="minorHAnsi"/>
          <w:sz w:val="21"/>
          <w:szCs w:val="21"/>
        </w:rPr>
        <w:t>.</w:t>
      </w:r>
      <w:r w:rsidR="00635F7F" w:rsidRPr="00635F7F">
        <w:rPr>
          <w:rFonts w:cstheme="minorHAnsi"/>
          <w:sz w:val="21"/>
          <w:szCs w:val="21"/>
        </w:rPr>
        <w:t xml:space="preserve"> </w:t>
      </w:r>
      <w:r w:rsidR="00DB296F">
        <w:rPr>
          <w:rFonts w:cstheme="minorHAnsi"/>
          <w:sz w:val="21"/>
          <w:szCs w:val="21"/>
        </w:rPr>
        <w:t>Other steps include</w:t>
      </w:r>
      <w:r>
        <w:rPr>
          <w:rFonts w:cstheme="minorHAnsi"/>
          <w:sz w:val="21"/>
          <w:szCs w:val="21"/>
        </w:rPr>
        <w:t xml:space="preserve"> the development of Science-based targets and </w:t>
      </w:r>
      <w:r w:rsidR="00DB296F">
        <w:rPr>
          <w:rFonts w:cstheme="minorHAnsi"/>
          <w:sz w:val="21"/>
          <w:szCs w:val="21"/>
        </w:rPr>
        <w:t xml:space="preserve">a </w:t>
      </w:r>
      <w:r>
        <w:rPr>
          <w:rFonts w:cstheme="minorHAnsi"/>
          <w:sz w:val="21"/>
          <w:szCs w:val="21"/>
        </w:rPr>
        <w:t xml:space="preserve">Carbon Reduction Plan which have been submitted to the Science Based Target Initiative for validation, and the issuance of the Bank’s inaugural Sustainability Statement aligned to the CSRD. </w:t>
      </w:r>
    </w:p>
    <w:p w14:paraId="366FE7F5" w14:textId="074259D6" w:rsidR="00D03241" w:rsidRDefault="00D03241" w:rsidP="005D1971">
      <w:pPr>
        <w:autoSpaceDE w:val="0"/>
        <w:autoSpaceDN w:val="0"/>
        <w:adjustRightInd w:val="0"/>
        <w:spacing w:before="120" w:after="240" w:line="230" w:lineRule="atLeast"/>
        <w:ind w:right="238"/>
        <w:jc w:val="both"/>
        <w:rPr>
          <w:rFonts w:cstheme="minorHAnsi"/>
          <w:b/>
          <w:sz w:val="21"/>
          <w:szCs w:val="21"/>
        </w:rPr>
      </w:pPr>
      <w:r>
        <w:rPr>
          <w:rFonts w:cstheme="minorHAnsi"/>
          <w:b/>
          <w:sz w:val="21"/>
          <w:szCs w:val="21"/>
        </w:rPr>
        <w:t>OUTLOOK</w:t>
      </w:r>
      <w:r w:rsidR="000A0ED9">
        <w:rPr>
          <w:rFonts w:cstheme="minorHAnsi"/>
          <w:b/>
          <w:sz w:val="21"/>
          <w:szCs w:val="21"/>
        </w:rPr>
        <w:t xml:space="preserve"> FOR 2025</w:t>
      </w:r>
      <w:r w:rsidR="00D954A5">
        <w:rPr>
          <w:rFonts w:cstheme="minorHAnsi"/>
          <w:b/>
          <w:sz w:val="21"/>
          <w:szCs w:val="21"/>
        </w:rPr>
        <w:t xml:space="preserve"> </w:t>
      </w:r>
    </w:p>
    <w:p w14:paraId="2CC58B68" w14:textId="6B5BEF8D" w:rsidR="00800F87" w:rsidRDefault="00800F87" w:rsidP="00800F87">
      <w:pPr>
        <w:autoSpaceDE w:val="0"/>
        <w:autoSpaceDN w:val="0"/>
        <w:adjustRightInd w:val="0"/>
        <w:spacing w:before="120" w:after="240" w:line="230" w:lineRule="atLeast"/>
        <w:ind w:right="237"/>
        <w:jc w:val="both"/>
        <w:rPr>
          <w:rFonts w:cstheme="minorHAnsi"/>
          <w:sz w:val="21"/>
          <w:szCs w:val="21"/>
        </w:rPr>
      </w:pPr>
      <w:r w:rsidRPr="00546FD0">
        <w:rPr>
          <w:rFonts w:cstheme="minorHAnsi"/>
          <w:sz w:val="21"/>
          <w:szCs w:val="21"/>
        </w:rPr>
        <w:t xml:space="preserve">The Bank </w:t>
      </w:r>
      <w:r>
        <w:rPr>
          <w:rFonts w:cstheme="minorHAnsi"/>
          <w:sz w:val="21"/>
          <w:szCs w:val="21"/>
        </w:rPr>
        <w:t>started</w:t>
      </w:r>
      <w:r w:rsidRPr="00546FD0">
        <w:rPr>
          <w:rFonts w:cstheme="minorHAnsi"/>
          <w:sz w:val="21"/>
          <w:szCs w:val="21"/>
        </w:rPr>
        <w:t xml:space="preserve"> </w:t>
      </w:r>
      <w:r>
        <w:rPr>
          <w:rFonts w:cstheme="minorHAnsi"/>
          <w:sz w:val="21"/>
          <w:szCs w:val="21"/>
        </w:rPr>
        <w:t>the year</w:t>
      </w:r>
      <w:r w:rsidRPr="00546FD0">
        <w:rPr>
          <w:rFonts w:cstheme="minorHAnsi"/>
          <w:sz w:val="21"/>
          <w:szCs w:val="21"/>
        </w:rPr>
        <w:t xml:space="preserve"> with a </w:t>
      </w:r>
      <w:r w:rsidRPr="00997F6E">
        <w:rPr>
          <w:rFonts w:cstheme="minorHAnsi"/>
          <w:sz w:val="21"/>
          <w:szCs w:val="21"/>
        </w:rPr>
        <w:t>very strong</w:t>
      </w:r>
      <w:r w:rsidRPr="00546FD0">
        <w:rPr>
          <w:rFonts w:cstheme="minorHAnsi"/>
          <w:sz w:val="21"/>
          <w:szCs w:val="21"/>
        </w:rPr>
        <w:t xml:space="preserve"> pipeline of </w:t>
      </w:r>
      <w:r>
        <w:rPr>
          <w:rFonts w:cstheme="minorHAnsi"/>
          <w:sz w:val="21"/>
          <w:szCs w:val="21"/>
        </w:rPr>
        <w:t>M</w:t>
      </w:r>
      <w:r w:rsidRPr="00546FD0">
        <w:rPr>
          <w:rFonts w:cstheme="minorHAnsi"/>
          <w:sz w:val="21"/>
          <w:szCs w:val="21"/>
        </w:rPr>
        <w:t>ortgage</w:t>
      </w:r>
      <w:r>
        <w:rPr>
          <w:rFonts w:cstheme="minorHAnsi"/>
          <w:sz w:val="21"/>
          <w:szCs w:val="21"/>
        </w:rPr>
        <w:t xml:space="preserve"> and Business Banking</w:t>
      </w:r>
      <w:r w:rsidRPr="00546FD0">
        <w:rPr>
          <w:rFonts w:cstheme="minorHAnsi"/>
          <w:sz w:val="21"/>
          <w:szCs w:val="21"/>
        </w:rPr>
        <w:t xml:space="preserve"> lending</w:t>
      </w:r>
      <w:r>
        <w:rPr>
          <w:rFonts w:cstheme="minorHAnsi"/>
          <w:sz w:val="21"/>
          <w:szCs w:val="21"/>
        </w:rPr>
        <w:t xml:space="preserve"> and has benefited from significant growth in deposits</w:t>
      </w:r>
      <w:r w:rsidRPr="00546FD0">
        <w:rPr>
          <w:rFonts w:cstheme="minorHAnsi"/>
          <w:sz w:val="21"/>
          <w:szCs w:val="21"/>
        </w:rPr>
        <w:t xml:space="preserve">. While falling interest rates </w:t>
      </w:r>
      <w:r>
        <w:rPr>
          <w:rFonts w:cstheme="minorHAnsi"/>
          <w:sz w:val="21"/>
          <w:szCs w:val="21"/>
        </w:rPr>
        <w:t>have</w:t>
      </w:r>
      <w:r w:rsidRPr="00546FD0">
        <w:rPr>
          <w:rFonts w:cstheme="minorHAnsi"/>
          <w:sz w:val="21"/>
          <w:szCs w:val="21"/>
        </w:rPr>
        <w:t xml:space="preserve"> reduce</w:t>
      </w:r>
      <w:r>
        <w:rPr>
          <w:rFonts w:cstheme="minorHAnsi"/>
          <w:sz w:val="21"/>
          <w:szCs w:val="21"/>
        </w:rPr>
        <w:t>d</w:t>
      </w:r>
      <w:r w:rsidRPr="00546FD0">
        <w:rPr>
          <w:rFonts w:cstheme="minorHAnsi"/>
          <w:sz w:val="21"/>
          <w:szCs w:val="21"/>
        </w:rPr>
        <w:t xml:space="preserve"> </w:t>
      </w:r>
      <w:r>
        <w:rPr>
          <w:rFonts w:cstheme="minorHAnsi"/>
          <w:sz w:val="21"/>
          <w:szCs w:val="21"/>
        </w:rPr>
        <w:t xml:space="preserve">our </w:t>
      </w:r>
      <w:r w:rsidRPr="00546FD0">
        <w:rPr>
          <w:rFonts w:cstheme="minorHAnsi"/>
          <w:sz w:val="21"/>
          <w:szCs w:val="21"/>
        </w:rPr>
        <w:t xml:space="preserve">income this year, market conditions in Ireland remain supportive and asset quality </w:t>
      </w:r>
      <w:r>
        <w:rPr>
          <w:rFonts w:cstheme="minorHAnsi"/>
          <w:sz w:val="21"/>
          <w:szCs w:val="21"/>
        </w:rPr>
        <w:t>remains</w:t>
      </w:r>
      <w:r w:rsidRPr="00546FD0">
        <w:rPr>
          <w:rFonts w:cstheme="minorHAnsi"/>
          <w:sz w:val="21"/>
          <w:szCs w:val="21"/>
        </w:rPr>
        <w:t xml:space="preserve"> </w:t>
      </w:r>
      <w:r>
        <w:rPr>
          <w:rFonts w:cstheme="minorHAnsi"/>
          <w:sz w:val="21"/>
          <w:szCs w:val="21"/>
        </w:rPr>
        <w:t>strong,</w:t>
      </w:r>
      <w:r w:rsidRPr="00546FD0">
        <w:rPr>
          <w:rFonts w:cstheme="minorHAnsi"/>
          <w:sz w:val="21"/>
          <w:szCs w:val="21"/>
        </w:rPr>
        <w:t xml:space="preserve"> reflecting </w:t>
      </w:r>
      <w:r>
        <w:rPr>
          <w:rFonts w:cstheme="minorHAnsi"/>
          <w:sz w:val="21"/>
          <w:szCs w:val="21"/>
        </w:rPr>
        <w:t>robust</w:t>
      </w:r>
      <w:r w:rsidRPr="00546FD0">
        <w:rPr>
          <w:rFonts w:cstheme="minorHAnsi"/>
          <w:sz w:val="21"/>
          <w:szCs w:val="21"/>
        </w:rPr>
        <w:t xml:space="preserve"> underwriting criteria over the last decade. </w:t>
      </w:r>
    </w:p>
    <w:p w14:paraId="02DA368E" w14:textId="3D864499" w:rsidR="0015196D" w:rsidRDefault="00800F87" w:rsidP="00226260">
      <w:pPr>
        <w:spacing w:before="120" w:after="240" w:line="230" w:lineRule="atLeast"/>
        <w:ind w:right="380"/>
        <w:jc w:val="both"/>
        <w:rPr>
          <w:sz w:val="21"/>
          <w:szCs w:val="21"/>
        </w:rPr>
      </w:pPr>
      <w:bookmarkStart w:id="9" w:name="_Hlk204694158"/>
      <w:r w:rsidRPr="007213BB">
        <w:rPr>
          <w:sz w:val="21"/>
          <w:szCs w:val="21"/>
        </w:rPr>
        <w:t>Aside from exceptionals</w:t>
      </w:r>
      <w:r w:rsidR="00971487" w:rsidRPr="007213BB">
        <w:rPr>
          <w:sz w:val="21"/>
          <w:szCs w:val="21"/>
        </w:rPr>
        <w:t xml:space="preserve"> where we expect </w:t>
      </w:r>
      <w:r w:rsidR="00226260" w:rsidRPr="007213BB">
        <w:rPr>
          <w:sz w:val="21"/>
          <w:szCs w:val="21"/>
        </w:rPr>
        <w:t>a charge</w:t>
      </w:r>
      <w:r w:rsidR="00971487" w:rsidRPr="007213BB">
        <w:rPr>
          <w:sz w:val="21"/>
          <w:szCs w:val="21"/>
        </w:rPr>
        <w:t xml:space="preserve"> of €32 mi</w:t>
      </w:r>
      <w:r w:rsidR="00226260" w:rsidRPr="007213BB">
        <w:rPr>
          <w:sz w:val="21"/>
          <w:szCs w:val="21"/>
        </w:rPr>
        <w:t>l</w:t>
      </w:r>
      <w:r w:rsidR="00971487" w:rsidRPr="007213BB">
        <w:rPr>
          <w:sz w:val="21"/>
          <w:szCs w:val="21"/>
        </w:rPr>
        <w:t>lion</w:t>
      </w:r>
      <w:r w:rsidRPr="007213BB">
        <w:rPr>
          <w:sz w:val="21"/>
          <w:szCs w:val="21"/>
        </w:rPr>
        <w:t>, o</w:t>
      </w:r>
      <w:r w:rsidR="00204C0C" w:rsidRPr="007213BB">
        <w:rPr>
          <w:sz w:val="21"/>
          <w:szCs w:val="21"/>
        </w:rPr>
        <w:t>ur guidance for 2025</w:t>
      </w:r>
      <w:r w:rsidRPr="007213BB">
        <w:rPr>
          <w:sz w:val="21"/>
          <w:szCs w:val="21"/>
        </w:rPr>
        <w:t xml:space="preserve"> remains unchanged</w:t>
      </w:r>
      <w:r w:rsidR="009D719D" w:rsidRPr="007213BB">
        <w:rPr>
          <w:sz w:val="21"/>
          <w:szCs w:val="21"/>
        </w:rPr>
        <w:t xml:space="preserve"> as do our medium</w:t>
      </w:r>
      <w:r w:rsidR="004F2B02" w:rsidRPr="007213BB">
        <w:rPr>
          <w:sz w:val="21"/>
          <w:szCs w:val="21"/>
        </w:rPr>
        <w:t>-</w:t>
      </w:r>
      <w:r w:rsidR="009D719D" w:rsidRPr="007213BB">
        <w:rPr>
          <w:sz w:val="21"/>
          <w:szCs w:val="21"/>
        </w:rPr>
        <w:t xml:space="preserve">term financial targets. </w:t>
      </w:r>
      <w:r w:rsidR="004F2B02" w:rsidRPr="007213BB">
        <w:rPr>
          <w:rFonts w:cstheme="minorHAnsi"/>
          <w:sz w:val="21"/>
          <w:szCs w:val="21"/>
        </w:rPr>
        <w:t>As previously indicated, the Bank expects to return to making distributions to shareholders next year, subject to financial position and required approvals.</w:t>
      </w:r>
    </w:p>
    <w:bookmarkEnd w:id="9"/>
    <w:p w14:paraId="47E36C15" w14:textId="77777777" w:rsidR="0015196D" w:rsidRPr="0015196D" w:rsidRDefault="0015196D" w:rsidP="0015196D">
      <w:pPr>
        <w:spacing w:after="160" w:line="259" w:lineRule="auto"/>
        <w:ind w:right="379"/>
        <w:jc w:val="both"/>
        <w:rPr>
          <w:sz w:val="21"/>
          <w:szCs w:val="21"/>
        </w:rPr>
      </w:pPr>
    </w:p>
    <w:p w14:paraId="03AB1E1A" w14:textId="5E860FCD" w:rsidR="00732E38" w:rsidRPr="00295CA2" w:rsidRDefault="00BE28A2" w:rsidP="007A13AF">
      <w:pPr>
        <w:spacing w:before="120" w:after="0"/>
        <w:ind w:right="237"/>
        <w:jc w:val="center"/>
        <w:rPr>
          <w:rFonts w:cstheme="minorHAnsi"/>
          <w:b/>
          <w:sz w:val="21"/>
          <w:szCs w:val="21"/>
        </w:rPr>
      </w:pPr>
      <w:r w:rsidRPr="00295CA2">
        <w:rPr>
          <w:rFonts w:cstheme="minorHAnsi"/>
          <w:b/>
          <w:sz w:val="21"/>
          <w:szCs w:val="21"/>
        </w:rPr>
        <w:lastRenderedPageBreak/>
        <w:t xml:space="preserve">– </w:t>
      </w:r>
      <w:r w:rsidR="0079204D" w:rsidRPr="00295CA2">
        <w:rPr>
          <w:rFonts w:cstheme="minorHAnsi"/>
          <w:b/>
          <w:sz w:val="21"/>
          <w:szCs w:val="21"/>
        </w:rPr>
        <w:t>End</w:t>
      </w:r>
      <w:r w:rsidRPr="00295CA2">
        <w:rPr>
          <w:rFonts w:cstheme="minorHAnsi"/>
          <w:b/>
          <w:sz w:val="21"/>
          <w:szCs w:val="21"/>
        </w:rPr>
        <w:t xml:space="preserve">s </w:t>
      </w:r>
      <w:r w:rsidR="00732E38" w:rsidRPr="00295CA2">
        <w:rPr>
          <w:rFonts w:cstheme="minorHAnsi"/>
          <w:b/>
          <w:sz w:val="21"/>
          <w:szCs w:val="21"/>
        </w:rPr>
        <w:t>–</w:t>
      </w:r>
    </w:p>
    <w:p w14:paraId="114D36EA" w14:textId="7449E270" w:rsidR="00BE02A3" w:rsidRPr="0002472B" w:rsidRDefault="00BE02A3" w:rsidP="00BE02A3">
      <w:pPr>
        <w:spacing w:before="120" w:line="230" w:lineRule="atLeast"/>
        <w:ind w:right="1191"/>
        <w:jc w:val="both"/>
        <w:rPr>
          <w:rFonts w:ascii="Calibri" w:eastAsia="Times New Roman" w:hAnsi="Calibri" w:cs="Calibri"/>
          <w:color w:val="000000"/>
          <w:sz w:val="20"/>
          <w:szCs w:val="20"/>
          <w:lang w:eastAsia="en-IE"/>
        </w:rPr>
      </w:pPr>
      <w:r w:rsidRPr="0002472B">
        <w:rPr>
          <w:rFonts w:ascii="Calibri" w:eastAsia="Times New Roman" w:hAnsi="Calibri" w:cs="Calibri"/>
          <w:b/>
          <w:bCs/>
          <w:color w:val="000000"/>
          <w:sz w:val="21"/>
          <w:szCs w:val="21"/>
          <w:lang w:eastAsia="en-IE"/>
        </w:rPr>
        <w:t>For Further Information Please Contact:</w:t>
      </w:r>
    </w:p>
    <w:tbl>
      <w:tblPr>
        <w:tblW w:w="8188" w:type="dxa"/>
        <w:tblInd w:w="-108" w:type="dxa"/>
        <w:tblCellMar>
          <w:left w:w="0" w:type="dxa"/>
          <w:right w:w="0" w:type="dxa"/>
        </w:tblCellMar>
        <w:tblLook w:val="04A0" w:firstRow="1" w:lastRow="0" w:firstColumn="1" w:lastColumn="0" w:noHBand="0" w:noVBand="1"/>
      </w:tblPr>
      <w:tblGrid>
        <w:gridCol w:w="4219"/>
        <w:gridCol w:w="3969"/>
      </w:tblGrid>
      <w:tr w:rsidR="00BE02A3" w:rsidRPr="0002472B" w14:paraId="55BA07FE" w14:textId="77777777" w:rsidTr="00BE02A3">
        <w:tc>
          <w:tcPr>
            <w:tcW w:w="4219" w:type="dxa"/>
            <w:tcMar>
              <w:top w:w="0" w:type="dxa"/>
              <w:left w:w="108" w:type="dxa"/>
              <w:bottom w:w="0" w:type="dxa"/>
              <w:right w:w="108" w:type="dxa"/>
            </w:tcMar>
            <w:hideMark/>
          </w:tcPr>
          <w:p w14:paraId="190284B6" w14:textId="77777777" w:rsidR="00BE02A3" w:rsidRDefault="00BE02A3" w:rsidP="00177877">
            <w:pPr>
              <w:spacing w:after="0" w:line="240" w:lineRule="auto"/>
              <w:ind w:right="284"/>
              <w:jc w:val="both"/>
              <w:rPr>
                <w:rFonts w:ascii="Calibri" w:eastAsia="Times New Roman" w:hAnsi="Calibri" w:cs="Calibri"/>
                <w:sz w:val="21"/>
                <w:szCs w:val="21"/>
                <w:lang w:eastAsia="en-IE"/>
              </w:rPr>
            </w:pPr>
            <w:r>
              <w:rPr>
                <w:rFonts w:ascii="Calibri" w:eastAsia="Times New Roman" w:hAnsi="Calibri" w:cs="Calibri"/>
                <w:sz w:val="21"/>
                <w:szCs w:val="21"/>
                <w:lang w:eastAsia="en-IE"/>
              </w:rPr>
              <w:t>Scott Rankin</w:t>
            </w:r>
          </w:p>
          <w:p w14:paraId="5DBC97A9" w14:textId="032E56C1" w:rsidR="00BE02A3" w:rsidRPr="0002472B" w:rsidRDefault="00BE02A3" w:rsidP="00177877">
            <w:pPr>
              <w:spacing w:after="0" w:line="240" w:lineRule="auto"/>
              <w:ind w:right="284"/>
              <w:jc w:val="both"/>
              <w:rPr>
                <w:rFonts w:ascii="Calibri" w:eastAsia="Times New Roman" w:hAnsi="Calibri" w:cs="Calibri"/>
                <w:sz w:val="20"/>
                <w:szCs w:val="20"/>
                <w:lang w:eastAsia="en-IE"/>
              </w:rPr>
            </w:pPr>
            <w:r w:rsidRPr="0002472B">
              <w:rPr>
                <w:rFonts w:ascii="Calibri" w:eastAsia="Times New Roman" w:hAnsi="Calibri" w:cs="Calibri"/>
                <w:sz w:val="21"/>
                <w:szCs w:val="21"/>
                <w:lang w:eastAsia="en-IE"/>
              </w:rPr>
              <w:t>Investor Relations</w:t>
            </w:r>
          </w:p>
          <w:p w14:paraId="27132070" w14:textId="77777777" w:rsidR="00BE02A3" w:rsidRPr="0002472B" w:rsidRDefault="00BE02A3" w:rsidP="00177877">
            <w:pPr>
              <w:spacing w:after="0" w:line="240" w:lineRule="auto"/>
              <w:ind w:right="284"/>
              <w:jc w:val="both"/>
              <w:rPr>
                <w:rFonts w:ascii="Calibri" w:eastAsia="Times New Roman" w:hAnsi="Calibri" w:cs="Calibri"/>
                <w:sz w:val="20"/>
                <w:szCs w:val="20"/>
                <w:lang w:eastAsia="en-IE"/>
              </w:rPr>
            </w:pPr>
            <w:r w:rsidRPr="0002472B">
              <w:rPr>
                <w:rFonts w:ascii="Calibri" w:eastAsia="Times New Roman" w:hAnsi="Calibri" w:cs="Calibri"/>
                <w:sz w:val="21"/>
                <w:szCs w:val="21"/>
                <w:lang w:eastAsia="en-IE"/>
              </w:rPr>
              <w:t>Email:</w:t>
            </w:r>
            <w:r w:rsidRPr="0002472B">
              <w:rPr>
                <w:rFonts w:ascii="Calibri" w:eastAsia="Times New Roman" w:hAnsi="Calibri" w:cs="Calibri"/>
                <w:sz w:val="20"/>
                <w:szCs w:val="20"/>
                <w:lang w:eastAsia="en-IE"/>
              </w:rPr>
              <w:t> </w:t>
            </w:r>
            <w:hyperlink r:id="rId11" w:history="1">
              <w:r w:rsidRPr="00ED6066">
                <w:rPr>
                  <w:rStyle w:val="Hyperlink"/>
                  <w:rFonts w:ascii="Calibri" w:eastAsia="Times New Roman" w:hAnsi="Calibri" w:cs="Calibri"/>
                  <w:sz w:val="21"/>
                  <w:szCs w:val="21"/>
                  <w:lang w:eastAsia="en-IE"/>
                </w:rPr>
                <w:t>scott.rankin@p</w:t>
              </w:r>
              <w:r w:rsidRPr="00ED6066">
                <w:rPr>
                  <w:rStyle w:val="Hyperlink"/>
                </w:rPr>
                <w:t>tsb</w:t>
              </w:r>
              <w:r w:rsidRPr="00ED6066">
                <w:rPr>
                  <w:rStyle w:val="Hyperlink"/>
                  <w:rFonts w:ascii="Calibri" w:eastAsia="Times New Roman" w:hAnsi="Calibri" w:cs="Calibri"/>
                  <w:sz w:val="21"/>
                  <w:szCs w:val="21"/>
                  <w:lang w:eastAsia="en-IE"/>
                </w:rPr>
                <w:t>.ie</w:t>
              </w:r>
            </w:hyperlink>
          </w:p>
          <w:p w14:paraId="23D02DB3" w14:textId="77777777" w:rsidR="00BE02A3" w:rsidRPr="0002472B" w:rsidRDefault="00BE02A3" w:rsidP="00177877">
            <w:pPr>
              <w:spacing w:after="0" w:line="240" w:lineRule="auto"/>
              <w:ind w:right="284"/>
              <w:jc w:val="both"/>
              <w:rPr>
                <w:rFonts w:ascii="Calibri" w:eastAsia="Times New Roman" w:hAnsi="Calibri" w:cs="Calibri"/>
                <w:sz w:val="20"/>
                <w:szCs w:val="20"/>
                <w:lang w:eastAsia="en-IE"/>
              </w:rPr>
            </w:pPr>
            <w:r w:rsidRPr="0002472B">
              <w:rPr>
                <w:rFonts w:ascii="Calibri" w:eastAsia="Times New Roman" w:hAnsi="Calibri" w:cs="Calibri"/>
                <w:sz w:val="21"/>
                <w:szCs w:val="21"/>
                <w:lang w:eastAsia="en-IE"/>
              </w:rPr>
              <w:t>Phone: +</w:t>
            </w:r>
            <w:r w:rsidRPr="009B1250">
              <w:rPr>
                <w:rFonts w:ascii="Calibri" w:eastAsia="Times New Roman" w:hAnsi="Calibri" w:cs="Calibri"/>
                <w:sz w:val="21"/>
                <w:szCs w:val="21"/>
                <w:lang w:eastAsia="en-IE"/>
              </w:rPr>
              <w:t>353 87 001 0504</w:t>
            </w:r>
          </w:p>
        </w:tc>
        <w:tc>
          <w:tcPr>
            <w:tcW w:w="3969" w:type="dxa"/>
            <w:tcMar>
              <w:top w:w="0" w:type="dxa"/>
              <w:left w:w="108" w:type="dxa"/>
              <w:bottom w:w="0" w:type="dxa"/>
              <w:right w:w="108" w:type="dxa"/>
            </w:tcMar>
            <w:hideMark/>
          </w:tcPr>
          <w:p w14:paraId="0475EAAC" w14:textId="7F7B792B" w:rsidR="00BE02A3" w:rsidRPr="008E2B71" w:rsidRDefault="00CD29FC" w:rsidP="00CD29FC">
            <w:pPr>
              <w:spacing w:after="0" w:line="240" w:lineRule="auto"/>
              <w:ind w:right="284"/>
              <w:jc w:val="both"/>
              <w:rPr>
                <w:rFonts w:ascii="Calibri" w:eastAsia="Times New Roman" w:hAnsi="Calibri" w:cs="Calibri"/>
                <w:sz w:val="20"/>
                <w:szCs w:val="20"/>
                <w:lang w:eastAsia="en-IE"/>
              </w:rPr>
            </w:pPr>
            <w:r w:rsidRPr="00CD29FC">
              <w:rPr>
                <w:rFonts w:ascii="Calibri" w:eastAsia="Times New Roman" w:hAnsi="Calibri" w:cs="Calibri"/>
                <w:sz w:val="21"/>
                <w:szCs w:val="21"/>
                <w:lang w:eastAsia="en-IE"/>
              </w:rPr>
              <w:t>Tríona Carr</w:t>
            </w:r>
            <w:r>
              <w:rPr>
                <w:rFonts w:ascii="Calibri" w:eastAsia="Times New Roman" w:hAnsi="Calibri" w:cs="Calibri"/>
                <w:sz w:val="21"/>
                <w:szCs w:val="21"/>
                <w:lang w:eastAsia="en-IE"/>
              </w:rPr>
              <w:t xml:space="preserve">oll </w:t>
            </w:r>
          </w:p>
          <w:p w14:paraId="3AB87644" w14:textId="242038C3" w:rsidR="00BE02A3" w:rsidRPr="008E2B71" w:rsidRDefault="00BE02A3" w:rsidP="00177877">
            <w:pPr>
              <w:spacing w:after="0" w:line="240" w:lineRule="auto"/>
              <w:ind w:right="284"/>
              <w:jc w:val="both"/>
              <w:rPr>
                <w:rFonts w:ascii="Calibri" w:eastAsia="Times New Roman" w:hAnsi="Calibri" w:cs="Calibri"/>
                <w:sz w:val="20"/>
                <w:szCs w:val="20"/>
                <w:lang w:eastAsia="en-IE"/>
              </w:rPr>
            </w:pPr>
            <w:r w:rsidRPr="008E2B71">
              <w:rPr>
                <w:rFonts w:ascii="Calibri" w:eastAsia="Times New Roman" w:hAnsi="Calibri" w:cs="Calibri"/>
                <w:sz w:val="21"/>
                <w:szCs w:val="21"/>
                <w:lang w:eastAsia="en-IE"/>
              </w:rPr>
              <w:t xml:space="preserve">Corporate Affairs </w:t>
            </w:r>
            <w:r>
              <w:rPr>
                <w:rFonts w:ascii="Calibri" w:eastAsia="Times New Roman" w:hAnsi="Calibri" w:cs="Calibri"/>
                <w:sz w:val="21"/>
                <w:szCs w:val="21"/>
                <w:lang w:eastAsia="en-IE"/>
              </w:rPr>
              <w:t>&amp; Communications</w:t>
            </w:r>
          </w:p>
          <w:p w14:paraId="519DE7DE" w14:textId="77777777" w:rsidR="00BE02A3" w:rsidRPr="008E2B71" w:rsidRDefault="00BE02A3" w:rsidP="00177877">
            <w:pPr>
              <w:spacing w:after="0" w:line="240" w:lineRule="auto"/>
              <w:ind w:right="284"/>
              <w:jc w:val="both"/>
              <w:rPr>
                <w:rFonts w:ascii="Calibri" w:eastAsia="Times New Roman" w:hAnsi="Calibri" w:cs="Calibri"/>
                <w:sz w:val="20"/>
                <w:szCs w:val="20"/>
                <w:lang w:eastAsia="en-IE"/>
              </w:rPr>
            </w:pPr>
            <w:r w:rsidRPr="008E2B71">
              <w:rPr>
                <w:rFonts w:ascii="Calibri" w:eastAsia="Times New Roman" w:hAnsi="Calibri" w:cs="Calibri"/>
                <w:sz w:val="21"/>
                <w:szCs w:val="21"/>
                <w:lang w:eastAsia="en-IE"/>
              </w:rPr>
              <w:t>Email:</w:t>
            </w:r>
            <w:r w:rsidRPr="008E2B71">
              <w:rPr>
                <w:rFonts w:ascii="Calibri" w:eastAsia="Times New Roman" w:hAnsi="Calibri" w:cs="Calibri"/>
                <w:sz w:val="20"/>
                <w:szCs w:val="20"/>
                <w:lang w:eastAsia="en-IE"/>
              </w:rPr>
              <w:t> </w:t>
            </w:r>
            <w:hyperlink r:id="rId12" w:history="1">
              <w:r w:rsidRPr="00ED6066">
                <w:rPr>
                  <w:rStyle w:val="Hyperlink"/>
                  <w:rFonts w:ascii="Calibri" w:eastAsia="Times New Roman" w:hAnsi="Calibri" w:cs="Calibri"/>
                  <w:sz w:val="21"/>
                  <w:szCs w:val="21"/>
                  <w:lang w:eastAsia="en-IE"/>
                </w:rPr>
                <w:t>triona.carroll@p</w:t>
              </w:r>
              <w:r w:rsidRPr="00ED6066">
                <w:rPr>
                  <w:rStyle w:val="Hyperlink"/>
                </w:rPr>
                <w:t>tsb</w:t>
              </w:r>
              <w:r w:rsidRPr="00ED6066">
                <w:rPr>
                  <w:rStyle w:val="Hyperlink"/>
                  <w:rFonts w:ascii="Calibri" w:eastAsia="Times New Roman" w:hAnsi="Calibri" w:cs="Calibri"/>
                  <w:sz w:val="21"/>
                  <w:szCs w:val="21"/>
                  <w:lang w:eastAsia="en-IE"/>
                </w:rPr>
                <w:t>.ie</w:t>
              </w:r>
            </w:hyperlink>
          </w:p>
          <w:p w14:paraId="31D50F55" w14:textId="77777777" w:rsidR="00BE02A3" w:rsidRPr="0002472B" w:rsidRDefault="00BE02A3" w:rsidP="00177877">
            <w:pPr>
              <w:spacing w:after="0" w:line="240" w:lineRule="auto"/>
              <w:ind w:right="284"/>
              <w:jc w:val="both"/>
              <w:rPr>
                <w:rFonts w:ascii="Calibri" w:eastAsia="Times New Roman" w:hAnsi="Calibri" w:cs="Calibri"/>
                <w:sz w:val="20"/>
                <w:szCs w:val="20"/>
                <w:lang w:eastAsia="en-IE"/>
              </w:rPr>
            </w:pPr>
            <w:r w:rsidRPr="008E2B71">
              <w:rPr>
                <w:rFonts w:ascii="Calibri" w:eastAsia="Times New Roman" w:hAnsi="Calibri" w:cs="Calibri"/>
                <w:sz w:val="21"/>
                <w:szCs w:val="21"/>
                <w:lang w:eastAsia="en-IE"/>
              </w:rPr>
              <w:t xml:space="preserve">Phone: +353 </w:t>
            </w:r>
            <w:r>
              <w:rPr>
                <w:rFonts w:ascii="Calibri" w:eastAsia="Times New Roman" w:hAnsi="Calibri" w:cs="Calibri"/>
                <w:sz w:val="21"/>
                <w:szCs w:val="21"/>
                <w:lang w:eastAsia="en-IE"/>
              </w:rPr>
              <w:t>87 069 6348</w:t>
            </w:r>
          </w:p>
        </w:tc>
      </w:tr>
    </w:tbl>
    <w:p w14:paraId="00D8E864" w14:textId="15EDD5AB" w:rsidR="00BE02A3" w:rsidRPr="0002472B" w:rsidRDefault="00BE02A3" w:rsidP="00BE02A3">
      <w:pPr>
        <w:spacing w:after="0" w:line="230" w:lineRule="atLeast"/>
        <w:ind w:right="1191"/>
        <w:jc w:val="both"/>
        <w:rPr>
          <w:rFonts w:ascii="Calibri" w:eastAsia="Times New Roman" w:hAnsi="Calibri" w:cs="Calibri"/>
          <w:color w:val="000000"/>
          <w:sz w:val="20"/>
          <w:szCs w:val="20"/>
          <w:lang w:eastAsia="en-IE"/>
        </w:rPr>
      </w:pPr>
      <w:r w:rsidRPr="0002472B">
        <w:rPr>
          <w:rFonts w:ascii="Calibri" w:eastAsia="Times New Roman" w:hAnsi="Calibri" w:cs="Calibri"/>
          <w:color w:val="000000"/>
          <w:sz w:val="21"/>
          <w:szCs w:val="21"/>
          <w:lang w:eastAsia="en-IE"/>
        </w:rPr>
        <w:t>                          </w:t>
      </w:r>
    </w:p>
    <w:p w14:paraId="1C57E620" w14:textId="77777777" w:rsidR="00BE02A3" w:rsidRDefault="00BE02A3" w:rsidP="00BE02A3">
      <w:pPr>
        <w:pStyle w:val="cr"/>
        <w:spacing w:before="240" w:beforeAutospacing="0" w:after="120" w:afterAutospacing="0" w:line="230" w:lineRule="atLeast"/>
        <w:ind w:right="284"/>
        <w:jc w:val="both"/>
        <w:rPr>
          <w:rFonts w:ascii="Calibri" w:hAnsi="Calibri" w:cs="Calibri"/>
          <w:color w:val="000000"/>
          <w:sz w:val="20"/>
          <w:szCs w:val="20"/>
        </w:rPr>
      </w:pPr>
      <w:r>
        <w:rPr>
          <w:rStyle w:val="ag"/>
          <w:rFonts w:ascii="Calibri" w:hAnsi="Calibri" w:cs="Calibri"/>
          <w:b/>
          <w:bCs/>
          <w:color w:val="000000"/>
          <w:sz w:val="18"/>
          <w:szCs w:val="18"/>
        </w:rPr>
        <w:t>Note on Forward-Looking Information:</w:t>
      </w:r>
    </w:p>
    <w:p w14:paraId="73240A07" w14:textId="24363503" w:rsidR="00BE02A3" w:rsidRDefault="00BE02A3" w:rsidP="00BE02A3">
      <w:pPr>
        <w:pStyle w:val="dc"/>
        <w:spacing w:before="60" w:beforeAutospacing="0" w:after="0" w:afterAutospacing="0" w:line="230" w:lineRule="atLeast"/>
        <w:ind w:right="284"/>
        <w:jc w:val="both"/>
        <w:rPr>
          <w:rFonts w:ascii="Calibri" w:hAnsi="Calibri" w:cs="Calibri"/>
          <w:color w:val="000000"/>
          <w:sz w:val="20"/>
          <w:szCs w:val="20"/>
        </w:rPr>
      </w:pPr>
      <w:r>
        <w:rPr>
          <w:rStyle w:val="af"/>
          <w:rFonts w:ascii="Calibri" w:hAnsi="Calibri" w:cs="Calibri"/>
          <w:color w:val="000000"/>
          <w:sz w:val="18"/>
          <w:szCs w:val="18"/>
        </w:rPr>
        <w:t xml:space="preserve">This announcement contains forward-looking statements, which are subject to risks and uncertainties because they relate to expectations, beliefs, projections, future plans and strategies, anticipated events or trends, and similar expressions concerning matters that are not historical facts. Such forward-looking statements involve known and unknown risks, uncertainties and other factors, which may cause the actual results, performance or achievements of the </w:t>
      </w:r>
      <w:r w:rsidR="00C35B13">
        <w:rPr>
          <w:rStyle w:val="af"/>
          <w:rFonts w:ascii="Calibri" w:hAnsi="Calibri" w:cs="Calibri"/>
          <w:color w:val="000000"/>
          <w:sz w:val="18"/>
          <w:szCs w:val="18"/>
        </w:rPr>
        <w:t>Bank</w:t>
      </w:r>
      <w:r>
        <w:rPr>
          <w:rStyle w:val="af"/>
          <w:rFonts w:ascii="Calibri" w:hAnsi="Calibri" w:cs="Calibri"/>
          <w:color w:val="000000"/>
          <w:sz w:val="18"/>
          <w:szCs w:val="18"/>
        </w:rPr>
        <w:t xml:space="preserve"> or the industry in which it operates, to be materially different from any future results, performance or achievements expressed or implied by such forward-looking statements. The forward-looking statements referred to in this paragraph speak only as at the date of this announcement. The </w:t>
      </w:r>
      <w:r w:rsidR="00C35B13">
        <w:rPr>
          <w:rStyle w:val="af"/>
          <w:rFonts w:ascii="Calibri" w:hAnsi="Calibri" w:cs="Calibri"/>
          <w:color w:val="000000"/>
          <w:sz w:val="18"/>
          <w:szCs w:val="18"/>
        </w:rPr>
        <w:t>Bank</w:t>
      </w:r>
      <w:r>
        <w:rPr>
          <w:rStyle w:val="af"/>
          <w:rFonts w:ascii="Calibri" w:hAnsi="Calibri" w:cs="Calibri"/>
          <w:color w:val="000000"/>
          <w:sz w:val="18"/>
          <w:szCs w:val="18"/>
        </w:rPr>
        <w:t xml:space="preserve"> undertakes no obligation to release publicly any revision or updates to these forward-looking statements to reflect future events, circumstances, unanticipated events, new information or otherwise except as required by law or by any appropriate regulatory authority.</w:t>
      </w:r>
    </w:p>
    <w:sectPr w:rsidR="00BE02A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E338C" w14:textId="77777777" w:rsidR="00B9534B" w:rsidRDefault="00B9534B" w:rsidP="009B6CBF">
      <w:pPr>
        <w:spacing w:after="0" w:line="240" w:lineRule="auto"/>
      </w:pPr>
      <w:r>
        <w:separator/>
      </w:r>
    </w:p>
  </w:endnote>
  <w:endnote w:type="continuationSeparator" w:id="0">
    <w:p w14:paraId="73331722" w14:textId="77777777" w:rsidR="00B9534B" w:rsidRDefault="00B9534B" w:rsidP="009B6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E7A07" w14:textId="59ED32D6" w:rsidR="00086592" w:rsidRDefault="00D6538E">
    <w:pPr>
      <w:pStyle w:val="Footer"/>
    </w:pPr>
    <w:r>
      <w:rPr>
        <w:noProof/>
      </w:rPr>
      <mc:AlternateContent>
        <mc:Choice Requires="wps">
          <w:drawing>
            <wp:anchor distT="0" distB="0" distL="0" distR="0" simplePos="0" relativeHeight="251657216" behindDoc="0" locked="0" layoutInCell="1" allowOverlap="1" wp14:anchorId="7BC41295" wp14:editId="24B882C4">
              <wp:simplePos x="635" y="635"/>
              <wp:positionH relativeFrom="page">
                <wp:align>left</wp:align>
              </wp:positionH>
              <wp:positionV relativeFrom="page">
                <wp:align>bottom</wp:align>
              </wp:positionV>
              <wp:extent cx="443865" cy="443865"/>
              <wp:effectExtent l="0" t="0" r="10160" b="0"/>
              <wp:wrapNone/>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C64724" w14:textId="58A40D5D" w:rsidR="00D6538E" w:rsidRPr="00D6538E" w:rsidRDefault="00D6538E" w:rsidP="00D6538E">
                          <w:pPr>
                            <w:spacing w:after="0"/>
                            <w:rPr>
                              <w:rFonts w:ascii="Calibri" w:eastAsia="Calibri" w:hAnsi="Calibri" w:cs="Calibri"/>
                              <w:noProof/>
                              <w:color w:val="FF0000"/>
                              <w:sz w:val="20"/>
                              <w:szCs w:val="20"/>
                            </w:rPr>
                          </w:pPr>
                          <w:r w:rsidRPr="00D6538E">
                            <w:rPr>
                              <w:rFonts w:ascii="Calibri" w:eastAsia="Calibri" w:hAnsi="Calibri" w:cs="Calibri"/>
                              <w:noProof/>
                              <w:color w:val="FF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C41295" id="_x0000_t202" coordsize="21600,21600" o:spt="202" path="m,l,21600r21600,l21600,xe">
              <v:stroke joinstyle="miter"/>
              <v:path gradientshapeok="t" o:connecttype="rect"/>
            </v:shapetype>
            <v:shape id="Text Box 2" o:spid="_x0000_s1026" type="#_x0000_t202" alt="Confidential!" style="position:absolute;margin-left:0;margin-top:0;width:34.95pt;height:34.95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3C64724" w14:textId="58A40D5D" w:rsidR="00D6538E" w:rsidRPr="00D6538E" w:rsidRDefault="00D6538E" w:rsidP="00D6538E">
                    <w:pPr>
                      <w:spacing w:after="0"/>
                      <w:rPr>
                        <w:rFonts w:ascii="Calibri" w:eastAsia="Calibri" w:hAnsi="Calibri" w:cs="Calibri"/>
                        <w:noProof/>
                        <w:color w:val="FF0000"/>
                        <w:sz w:val="20"/>
                        <w:szCs w:val="20"/>
                      </w:rPr>
                    </w:pPr>
                    <w:r w:rsidRPr="00D6538E">
                      <w:rPr>
                        <w:rFonts w:ascii="Calibri" w:eastAsia="Calibri" w:hAnsi="Calibri" w:cs="Calibri"/>
                        <w:noProof/>
                        <w:color w:val="FF0000"/>
                        <w:sz w:val="20"/>
                        <w:szCs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F1E24" w14:textId="1D6210FA" w:rsidR="00086592" w:rsidRPr="00086592" w:rsidRDefault="00D6538E" w:rsidP="00086592">
    <w:pPr>
      <w:pStyle w:val="Footer"/>
    </w:pPr>
    <w:r>
      <w:rPr>
        <w:noProof/>
      </w:rPr>
      <mc:AlternateContent>
        <mc:Choice Requires="wps">
          <w:drawing>
            <wp:anchor distT="0" distB="0" distL="0" distR="0" simplePos="0" relativeHeight="251658240" behindDoc="0" locked="0" layoutInCell="1" allowOverlap="1" wp14:anchorId="768E6150" wp14:editId="0711C008">
              <wp:simplePos x="914400" y="10072468"/>
              <wp:positionH relativeFrom="page">
                <wp:align>left</wp:align>
              </wp:positionH>
              <wp:positionV relativeFrom="page">
                <wp:align>bottom</wp:align>
              </wp:positionV>
              <wp:extent cx="443865" cy="443865"/>
              <wp:effectExtent l="0" t="0" r="10160" b="0"/>
              <wp:wrapNone/>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2FDC44" w14:textId="246BAACD" w:rsidR="00D6538E" w:rsidRPr="00D6538E" w:rsidRDefault="00D6538E" w:rsidP="00D6538E">
                          <w:pPr>
                            <w:spacing w:after="0"/>
                            <w:rPr>
                              <w:rFonts w:ascii="Calibri" w:eastAsia="Calibri" w:hAnsi="Calibri" w:cs="Calibri"/>
                              <w:noProof/>
                              <w:color w:val="FF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8E6150" id="_x0000_t202" coordsize="21600,21600" o:spt="202" path="m,l,21600r21600,l21600,xe">
              <v:stroke joinstyle="miter"/>
              <v:path gradientshapeok="t" o:connecttype="rect"/>
            </v:shapetype>
            <v:shape id="Text Box 3" o:spid="_x0000_s1027" type="#_x0000_t202" alt="Confident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12FDC44" w14:textId="246BAACD" w:rsidR="00D6538E" w:rsidRPr="00D6538E" w:rsidRDefault="00D6538E" w:rsidP="00D6538E">
                    <w:pPr>
                      <w:spacing w:after="0"/>
                      <w:rPr>
                        <w:rFonts w:ascii="Calibri" w:eastAsia="Calibri" w:hAnsi="Calibri" w:cs="Calibri"/>
                        <w:noProof/>
                        <w:color w:val="FF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868CD" w14:textId="727DD008" w:rsidR="00086592" w:rsidRDefault="00D6538E">
    <w:pPr>
      <w:pStyle w:val="Footer"/>
    </w:pPr>
    <w:r>
      <w:rPr>
        <w:noProof/>
      </w:rPr>
      <mc:AlternateContent>
        <mc:Choice Requires="wps">
          <w:drawing>
            <wp:anchor distT="0" distB="0" distL="0" distR="0" simplePos="0" relativeHeight="251656192" behindDoc="0" locked="0" layoutInCell="1" allowOverlap="1" wp14:anchorId="5FA2BF36" wp14:editId="3259C563">
              <wp:simplePos x="635" y="635"/>
              <wp:positionH relativeFrom="page">
                <wp:align>left</wp:align>
              </wp:positionH>
              <wp:positionV relativeFrom="page">
                <wp:align>bottom</wp:align>
              </wp:positionV>
              <wp:extent cx="443865" cy="443865"/>
              <wp:effectExtent l="0" t="0" r="10160" b="0"/>
              <wp:wrapNone/>
              <wp:docPr id="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A30A7F" w14:textId="6CD67909" w:rsidR="00D6538E" w:rsidRPr="00D6538E" w:rsidRDefault="00D6538E" w:rsidP="00D6538E">
                          <w:pPr>
                            <w:spacing w:after="0"/>
                            <w:rPr>
                              <w:rFonts w:ascii="Calibri" w:eastAsia="Calibri" w:hAnsi="Calibri" w:cs="Calibri"/>
                              <w:noProof/>
                              <w:color w:val="FF0000"/>
                              <w:sz w:val="20"/>
                              <w:szCs w:val="20"/>
                            </w:rPr>
                          </w:pPr>
                          <w:r w:rsidRPr="00D6538E">
                            <w:rPr>
                              <w:rFonts w:ascii="Calibri" w:eastAsia="Calibri" w:hAnsi="Calibri" w:cs="Calibri"/>
                              <w:noProof/>
                              <w:color w:val="FF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FA2BF36" id="_x0000_t202" coordsize="21600,21600" o:spt="202" path="m,l,21600r21600,l21600,xe">
              <v:stroke joinstyle="miter"/>
              <v:path gradientshapeok="t" o:connecttype="rect"/>
            </v:shapetype>
            <v:shape id="Text Box 1" o:spid="_x0000_s1028" type="#_x0000_t202" alt="Confidential!" style="position:absolute;margin-left:0;margin-top:0;width:34.95pt;height:34.95pt;z-index:2516561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FA30A7F" w14:textId="6CD67909" w:rsidR="00D6538E" w:rsidRPr="00D6538E" w:rsidRDefault="00D6538E" w:rsidP="00D6538E">
                    <w:pPr>
                      <w:spacing w:after="0"/>
                      <w:rPr>
                        <w:rFonts w:ascii="Calibri" w:eastAsia="Calibri" w:hAnsi="Calibri" w:cs="Calibri"/>
                        <w:noProof/>
                        <w:color w:val="FF0000"/>
                        <w:sz w:val="20"/>
                        <w:szCs w:val="20"/>
                      </w:rPr>
                    </w:pPr>
                    <w:r w:rsidRPr="00D6538E">
                      <w:rPr>
                        <w:rFonts w:ascii="Calibri" w:eastAsia="Calibri" w:hAnsi="Calibri" w:cs="Calibri"/>
                        <w:noProof/>
                        <w:color w:val="FF0000"/>
                        <w:sz w:val="20"/>
                        <w:szCs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B62EC" w14:textId="77777777" w:rsidR="00B9534B" w:rsidRDefault="00B9534B" w:rsidP="009B6CBF">
      <w:pPr>
        <w:spacing w:after="0" w:line="240" w:lineRule="auto"/>
      </w:pPr>
      <w:r>
        <w:separator/>
      </w:r>
    </w:p>
  </w:footnote>
  <w:footnote w:type="continuationSeparator" w:id="0">
    <w:p w14:paraId="17A79556" w14:textId="77777777" w:rsidR="00B9534B" w:rsidRDefault="00B9534B" w:rsidP="009B6CBF">
      <w:pPr>
        <w:spacing w:after="0" w:line="240" w:lineRule="auto"/>
      </w:pPr>
      <w:r>
        <w:continuationSeparator/>
      </w:r>
    </w:p>
  </w:footnote>
  <w:footnote w:id="1">
    <w:p w14:paraId="1DB2D2D4" w14:textId="378315D0" w:rsidR="00CB1918" w:rsidRDefault="00CB1918">
      <w:pPr>
        <w:pStyle w:val="FootnoteText"/>
      </w:pPr>
      <w:r w:rsidRPr="00163B6C">
        <w:rPr>
          <w:rStyle w:val="FootnoteReference"/>
          <w:sz w:val="14"/>
          <w:szCs w:val="14"/>
        </w:rPr>
        <w:footnoteRef/>
      </w:r>
      <w:r w:rsidRPr="00163B6C">
        <w:rPr>
          <w:sz w:val="14"/>
          <w:szCs w:val="14"/>
        </w:rPr>
        <w:t xml:space="preserve"> CRR3 effective 1 January 2025 – December 2024 comparison </w:t>
      </w:r>
      <w:r w:rsidR="00EB6E37">
        <w:rPr>
          <w:sz w:val="14"/>
          <w:szCs w:val="14"/>
        </w:rPr>
        <w:t>is on a CRR2 basis</w:t>
      </w:r>
    </w:p>
  </w:footnote>
  <w:footnote w:id="2">
    <w:p w14:paraId="256EF1BC" w14:textId="67BD3C1C" w:rsidR="00D15F2B" w:rsidRPr="00242D25" w:rsidRDefault="00D15F2B" w:rsidP="00D15F2B">
      <w:pPr>
        <w:pStyle w:val="FootnoteText"/>
        <w:ind w:right="-45"/>
        <w:rPr>
          <w:rFonts w:cstheme="minorHAnsi"/>
          <w:sz w:val="14"/>
          <w:szCs w:val="14"/>
          <w:highlight w:val="cyan"/>
        </w:rPr>
      </w:pPr>
      <w:r w:rsidRPr="00242D25">
        <w:rPr>
          <w:rStyle w:val="FootnoteReference"/>
          <w:sz w:val="16"/>
          <w:szCs w:val="16"/>
        </w:rPr>
        <w:footnoteRef/>
      </w:r>
      <w:r w:rsidRPr="00242D25">
        <w:rPr>
          <w:sz w:val="16"/>
          <w:szCs w:val="16"/>
        </w:rPr>
        <w:t xml:space="preserve"> </w:t>
      </w:r>
      <w:r w:rsidRPr="00242D25">
        <w:rPr>
          <w:rFonts w:cstheme="minorHAnsi"/>
          <w:sz w:val="14"/>
          <w:szCs w:val="14"/>
        </w:rPr>
        <w:t>Underlying Profit Before Tax is Profit before Exceptional Items and Tax</w:t>
      </w:r>
    </w:p>
  </w:footnote>
  <w:footnote w:id="3">
    <w:p w14:paraId="3FEEF651" w14:textId="7363E733" w:rsidR="00E46CCC" w:rsidRPr="00242D25" w:rsidRDefault="00E46CCC" w:rsidP="00E46CCC">
      <w:pPr>
        <w:pStyle w:val="FootnoteText"/>
        <w:rPr>
          <w:sz w:val="14"/>
          <w:szCs w:val="14"/>
        </w:rPr>
      </w:pPr>
      <w:r w:rsidRPr="00242D25">
        <w:rPr>
          <w:rStyle w:val="FootnoteReference"/>
          <w:sz w:val="16"/>
          <w:szCs w:val="16"/>
        </w:rPr>
        <w:footnoteRef/>
      </w:r>
      <w:r w:rsidRPr="00242D25">
        <w:rPr>
          <w:sz w:val="14"/>
          <w:szCs w:val="14"/>
        </w:rPr>
        <w:t xml:space="preserve"> Cost Income ratio is calculated as Operating Expenses (excl. all Regulatory Charges and Exceptional Items) divided by Total Income  </w:t>
      </w:r>
    </w:p>
  </w:footnote>
  <w:footnote w:id="4">
    <w:p w14:paraId="0B0EB382" w14:textId="7EC7AE0B" w:rsidR="009054E2" w:rsidRPr="009054E2" w:rsidRDefault="009054E2">
      <w:pPr>
        <w:pStyle w:val="FootnoteText"/>
        <w:rPr>
          <w:sz w:val="14"/>
          <w:szCs w:val="14"/>
        </w:rPr>
      </w:pPr>
      <w:r w:rsidRPr="009054E2">
        <w:rPr>
          <w:rStyle w:val="FootnoteReference"/>
          <w:sz w:val="14"/>
          <w:szCs w:val="14"/>
        </w:rPr>
        <w:footnoteRef/>
      </w:r>
      <w:r w:rsidRPr="009054E2">
        <w:rPr>
          <w:sz w:val="14"/>
          <w:szCs w:val="14"/>
        </w:rPr>
        <w:t xml:space="preserve"> BPFI data June 2025</w:t>
      </w:r>
    </w:p>
  </w:footnote>
  <w:footnote w:id="5">
    <w:p w14:paraId="32399894" w14:textId="172C7196" w:rsidR="00C50445" w:rsidRPr="00740768" w:rsidRDefault="00C50445">
      <w:pPr>
        <w:pStyle w:val="FootnoteText"/>
        <w:rPr>
          <w:sz w:val="14"/>
          <w:szCs w:val="14"/>
        </w:rPr>
      </w:pPr>
      <w:r w:rsidRPr="00740768">
        <w:rPr>
          <w:rStyle w:val="FootnoteReference"/>
          <w:sz w:val="14"/>
          <w:szCs w:val="14"/>
        </w:rPr>
        <w:footnoteRef/>
      </w:r>
      <w:r w:rsidRPr="00740768">
        <w:rPr>
          <w:sz w:val="14"/>
          <w:szCs w:val="14"/>
        </w:rPr>
        <w:t xml:space="preserve"> Measure</w:t>
      </w:r>
      <w:r w:rsidR="00740768">
        <w:rPr>
          <w:sz w:val="14"/>
          <w:szCs w:val="14"/>
        </w:rPr>
        <w:t>d</w:t>
      </w:r>
      <w:r w:rsidRPr="00740768">
        <w:rPr>
          <w:sz w:val="14"/>
          <w:szCs w:val="14"/>
        </w:rPr>
        <w:t xml:space="preserve"> over 12 months, based on a static balance sheet </w:t>
      </w:r>
      <w:proofErr w:type="gramStart"/>
      <w:r w:rsidRPr="00740768">
        <w:rPr>
          <w:sz w:val="14"/>
          <w:szCs w:val="14"/>
        </w:rPr>
        <w:t>at</w:t>
      </w:r>
      <w:proofErr w:type="gramEnd"/>
      <w:r w:rsidRPr="00740768">
        <w:rPr>
          <w:sz w:val="14"/>
          <w:szCs w:val="14"/>
        </w:rPr>
        <w:t xml:space="preserve"> June 2025 and internal </w:t>
      </w:r>
      <w:proofErr w:type="gramStart"/>
      <w:r w:rsidRPr="00740768">
        <w:rPr>
          <w:sz w:val="14"/>
          <w:szCs w:val="14"/>
        </w:rPr>
        <w:t>pass through</w:t>
      </w:r>
      <w:proofErr w:type="gramEnd"/>
      <w:r w:rsidRPr="00740768">
        <w:rPr>
          <w:sz w:val="14"/>
          <w:szCs w:val="14"/>
        </w:rPr>
        <w:t xml:space="preserve"> assumptions</w:t>
      </w:r>
    </w:p>
  </w:footnote>
  <w:footnote w:id="6">
    <w:p w14:paraId="71B5D61B" w14:textId="77777777" w:rsidR="00800F87" w:rsidRPr="00F77E86" w:rsidRDefault="00800F87" w:rsidP="00800F87">
      <w:pPr>
        <w:pStyle w:val="FootnoteText"/>
        <w:rPr>
          <w:sz w:val="14"/>
          <w:szCs w:val="14"/>
        </w:rPr>
      </w:pPr>
      <w:r w:rsidRPr="00242D25">
        <w:rPr>
          <w:rStyle w:val="FootnoteReference"/>
          <w:sz w:val="16"/>
          <w:szCs w:val="16"/>
        </w:rPr>
        <w:footnoteRef/>
      </w:r>
      <w:r w:rsidRPr="00F77E86">
        <w:rPr>
          <w:sz w:val="14"/>
          <w:szCs w:val="14"/>
        </w:rPr>
        <w:t xml:space="preserve"> Direct channels include Desktop, App and Voice through Open24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4FDDE" w14:textId="77777777" w:rsidR="00C5348E" w:rsidRDefault="00C53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7192D" w14:textId="7FF35DF0" w:rsidR="00C5348E" w:rsidRDefault="00C534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BC960" w14:textId="77777777" w:rsidR="00C5348E" w:rsidRDefault="00C53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4257"/>
    <w:multiLevelType w:val="hybridMultilevel"/>
    <w:tmpl w:val="EA00A5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FB5195"/>
    <w:multiLevelType w:val="hybridMultilevel"/>
    <w:tmpl w:val="45A4FCA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09327F"/>
    <w:multiLevelType w:val="hybridMultilevel"/>
    <w:tmpl w:val="EF5E8E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8624E1"/>
    <w:multiLevelType w:val="hybridMultilevel"/>
    <w:tmpl w:val="0DE0B6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7065EA"/>
    <w:multiLevelType w:val="hybridMultilevel"/>
    <w:tmpl w:val="0D329556"/>
    <w:lvl w:ilvl="0" w:tplc="FBA44A78">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F24676E"/>
    <w:multiLevelType w:val="multilevel"/>
    <w:tmpl w:val="71F644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02722A4"/>
    <w:multiLevelType w:val="hybridMultilevel"/>
    <w:tmpl w:val="4AA4E2B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11D7EC6"/>
    <w:multiLevelType w:val="hybridMultilevel"/>
    <w:tmpl w:val="A600C8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35A7374"/>
    <w:multiLevelType w:val="hybridMultilevel"/>
    <w:tmpl w:val="A31E67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9276B9A"/>
    <w:multiLevelType w:val="hybridMultilevel"/>
    <w:tmpl w:val="EF46EA3A"/>
    <w:lvl w:ilvl="0" w:tplc="18090001">
      <w:start w:val="1"/>
      <w:numFmt w:val="bullet"/>
      <w:lvlText w:val=""/>
      <w:lvlJc w:val="left"/>
      <w:pPr>
        <w:ind w:left="363" w:hanging="360"/>
      </w:pPr>
      <w:rPr>
        <w:rFonts w:ascii="Symbol" w:hAnsi="Symbol" w:hint="default"/>
      </w:rPr>
    </w:lvl>
    <w:lvl w:ilvl="1" w:tplc="18090003">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10" w15:restartNumberingAfterBreak="0">
    <w:nsid w:val="2CDA5B01"/>
    <w:multiLevelType w:val="hybridMultilevel"/>
    <w:tmpl w:val="7584E7A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35BD6222"/>
    <w:multiLevelType w:val="hybridMultilevel"/>
    <w:tmpl w:val="DA6298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37E6CBB"/>
    <w:multiLevelType w:val="hybridMultilevel"/>
    <w:tmpl w:val="2D2A1016"/>
    <w:lvl w:ilvl="0" w:tplc="18090001">
      <w:start w:val="1"/>
      <w:numFmt w:val="bullet"/>
      <w:lvlText w:val=""/>
      <w:lvlJc w:val="left"/>
      <w:pPr>
        <w:ind w:left="363"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B3F7135"/>
    <w:multiLevelType w:val="hybridMultilevel"/>
    <w:tmpl w:val="799CF0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14627F5"/>
    <w:multiLevelType w:val="hybridMultilevel"/>
    <w:tmpl w:val="14509E92"/>
    <w:lvl w:ilvl="0" w:tplc="ECCA9CB0">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5A149D9"/>
    <w:multiLevelType w:val="hybridMultilevel"/>
    <w:tmpl w:val="28EC6FFC"/>
    <w:lvl w:ilvl="0" w:tplc="18090001">
      <w:start w:val="1"/>
      <w:numFmt w:val="bullet"/>
      <w:lvlText w:val=""/>
      <w:lvlJc w:val="left"/>
      <w:pPr>
        <w:ind w:left="928" w:hanging="360"/>
      </w:pPr>
      <w:rPr>
        <w:rFonts w:ascii="Symbol" w:hAnsi="Symbol" w:hint="default"/>
        <w:color w:val="auto"/>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6" w15:restartNumberingAfterBreak="0">
    <w:nsid w:val="57854C25"/>
    <w:multiLevelType w:val="hybridMultilevel"/>
    <w:tmpl w:val="FBB038AA"/>
    <w:lvl w:ilvl="0" w:tplc="408CA926">
      <w:start w:val="1"/>
      <w:numFmt w:val="decimal"/>
      <w:lvlText w:val="%1."/>
      <w:lvlJc w:val="left"/>
      <w:pPr>
        <w:tabs>
          <w:tab w:val="num" w:pos="720"/>
        </w:tabs>
        <w:ind w:left="720" w:hanging="360"/>
      </w:pPr>
    </w:lvl>
    <w:lvl w:ilvl="1" w:tplc="C208427E" w:tentative="1">
      <w:start w:val="1"/>
      <w:numFmt w:val="decimal"/>
      <w:lvlText w:val="%2."/>
      <w:lvlJc w:val="left"/>
      <w:pPr>
        <w:tabs>
          <w:tab w:val="num" w:pos="1440"/>
        </w:tabs>
        <w:ind w:left="1440" w:hanging="360"/>
      </w:pPr>
    </w:lvl>
    <w:lvl w:ilvl="2" w:tplc="65BA1260" w:tentative="1">
      <w:start w:val="1"/>
      <w:numFmt w:val="decimal"/>
      <w:lvlText w:val="%3."/>
      <w:lvlJc w:val="left"/>
      <w:pPr>
        <w:tabs>
          <w:tab w:val="num" w:pos="2160"/>
        </w:tabs>
        <w:ind w:left="2160" w:hanging="360"/>
      </w:pPr>
    </w:lvl>
    <w:lvl w:ilvl="3" w:tplc="3A285F50" w:tentative="1">
      <w:start w:val="1"/>
      <w:numFmt w:val="decimal"/>
      <w:lvlText w:val="%4."/>
      <w:lvlJc w:val="left"/>
      <w:pPr>
        <w:tabs>
          <w:tab w:val="num" w:pos="2880"/>
        </w:tabs>
        <w:ind w:left="2880" w:hanging="360"/>
      </w:pPr>
    </w:lvl>
    <w:lvl w:ilvl="4" w:tplc="185279E8" w:tentative="1">
      <w:start w:val="1"/>
      <w:numFmt w:val="decimal"/>
      <w:lvlText w:val="%5."/>
      <w:lvlJc w:val="left"/>
      <w:pPr>
        <w:tabs>
          <w:tab w:val="num" w:pos="3600"/>
        </w:tabs>
        <w:ind w:left="3600" w:hanging="360"/>
      </w:pPr>
    </w:lvl>
    <w:lvl w:ilvl="5" w:tplc="26D295BA" w:tentative="1">
      <w:start w:val="1"/>
      <w:numFmt w:val="decimal"/>
      <w:lvlText w:val="%6."/>
      <w:lvlJc w:val="left"/>
      <w:pPr>
        <w:tabs>
          <w:tab w:val="num" w:pos="4320"/>
        </w:tabs>
        <w:ind w:left="4320" w:hanging="360"/>
      </w:pPr>
    </w:lvl>
    <w:lvl w:ilvl="6" w:tplc="8D5EB5F0" w:tentative="1">
      <w:start w:val="1"/>
      <w:numFmt w:val="decimal"/>
      <w:lvlText w:val="%7."/>
      <w:lvlJc w:val="left"/>
      <w:pPr>
        <w:tabs>
          <w:tab w:val="num" w:pos="5040"/>
        </w:tabs>
        <w:ind w:left="5040" w:hanging="360"/>
      </w:pPr>
    </w:lvl>
    <w:lvl w:ilvl="7" w:tplc="6CAEAB0A" w:tentative="1">
      <w:start w:val="1"/>
      <w:numFmt w:val="decimal"/>
      <w:lvlText w:val="%8."/>
      <w:lvlJc w:val="left"/>
      <w:pPr>
        <w:tabs>
          <w:tab w:val="num" w:pos="5760"/>
        </w:tabs>
        <w:ind w:left="5760" w:hanging="360"/>
      </w:pPr>
    </w:lvl>
    <w:lvl w:ilvl="8" w:tplc="16DC38FC" w:tentative="1">
      <w:start w:val="1"/>
      <w:numFmt w:val="decimal"/>
      <w:lvlText w:val="%9."/>
      <w:lvlJc w:val="left"/>
      <w:pPr>
        <w:tabs>
          <w:tab w:val="num" w:pos="6480"/>
        </w:tabs>
        <w:ind w:left="6480" w:hanging="360"/>
      </w:pPr>
    </w:lvl>
  </w:abstractNum>
  <w:abstractNum w:abstractNumId="17" w15:restartNumberingAfterBreak="0">
    <w:nsid w:val="5EDC5E2A"/>
    <w:multiLevelType w:val="hybridMultilevel"/>
    <w:tmpl w:val="864236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F8E0AB1"/>
    <w:multiLevelType w:val="hybridMultilevel"/>
    <w:tmpl w:val="BBA42294"/>
    <w:lvl w:ilvl="0" w:tplc="D1E87120">
      <w:start w:val="1"/>
      <w:numFmt w:val="bullet"/>
      <w:lvlText w:val="•"/>
      <w:lvlJc w:val="left"/>
      <w:pPr>
        <w:tabs>
          <w:tab w:val="num" w:pos="720"/>
        </w:tabs>
        <w:ind w:left="720" w:hanging="360"/>
      </w:pPr>
      <w:rPr>
        <w:rFonts w:ascii="Arial" w:hAnsi="Arial" w:hint="default"/>
      </w:rPr>
    </w:lvl>
    <w:lvl w:ilvl="1" w:tplc="321CE250" w:tentative="1">
      <w:start w:val="1"/>
      <w:numFmt w:val="bullet"/>
      <w:lvlText w:val="•"/>
      <w:lvlJc w:val="left"/>
      <w:pPr>
        <w:tabs>
          <w:tab w:val="num" w:pos="1440"/>
        </w:tabs>
        <w:ind w:left="1440" w:hanging="360"/>
      </w:pPr>
      <w:rPr>
        <w:rFonts w:ascii="Arial" w:hAnsi="Arial" w:hint="default"/>
      </w:rPr>
    </w:lvl>
    <w:lvl w:ilvl="2" w:tplc="CC16E5DE" w:tentative="1">
      <w:start w:val="1"/>
      <w:numFmt w:val="bullet"/>
      <w:lvlText w:val="•"/>
      <w:lvlJc w:val="left"/>
      <w:pPr>
        <w:tabs>
          <w:tab w:val="num" w:pos="2160"/>
        </w:tabs>
        <w:ind w:left="2160" w:hanging="360"/>
      </w:pPr>
      <w:rPr>
        <w:rFonts w:ascii="Arial" w:hAnsi="Arial" w:hint="default"/>
      </w:rPr>
    </w:lvl>
    <w:lvl w:ilvl="3" w:tplc="00702448" w:tentative="1">
      <w:start w:val="1"/>
      <w:numFmt w:val="bullet"/>
      <w:lvlText w:val="•"/>
      <w:lvlJc w:val="left"/>
      <w:pPr>
        <w:tabs>
          <w:tab w:val="num" w:pos="2880"/>
        </w:tabs>
        <w:ind w:left="2880" w:hanging="360"/>
      </w:pPr>
      <w:rPr>
        <w:rFonts w:ascii="Arial" w:hAnsi="Arial" w:hint="default"/>
      </w:rPr>
    </w:lvl>
    <w:lvl w:ilvl="4" w:tplc="6916D930" w:tentative="1">
      <w:start w:val="1"/>
      <w:numFmt w:val="bullet"/>
      <w:lvlText w:val="•"/>
      <w:lvlJc w:val="left"/>
      <w:pPr>
        <w:tabs>
          <w:tab w:val="num" w:pos="3600"/>
        </w:tabs>
        <w:ind w:left="3600" w:hanging="360"/>
      </w:pPr>
      <w:rPr>
        <w:rFonts w:ascii="Arial" w:hAnsi="Arial" w:hint="default"/>
      </w:rPr>
    </w:lvl>
    <w:lvl w:ilvl="5" w:tplc="A106FD22" w:tentative="1">
      <w:start w:val="1"/>
      <w:numFmt w:val="bullet"/>
      <w:lvlText w:val="•"/>
      <w:lvlJc w:val="left"/>
      <w:pPr>
        <w:tabs>
          <w:tab w:val="num" w:pos="4320"/>
        </w:tabs>
        <w:ind w:left="4320" w:hanging="360"/>
      </w:pPr>
      <w:rPr>
        <w:rFonts w:ascii="Arial" w:hAnsi="Arial" w:hint="default"/>
      </w:rPr>
    </w:lvl>
    <w:lvl w:ilvl="6" w:tplc="C688E16A" w:tentative="1">
      <w:start w:val="1"/>
      <w:numFmt w:val="bullet"/>
      <w:lvlText w:val="•"/>
      <w:lvlJc w:val="left"/>
      <w:pPr>
        <w:tabs>
          <w:tab w:val="num" w:pos="5040"/>
        </w:tabs>
        <w:ind w:left="5040" w:hanging="360"/>
      </w:pPr>
      <w:rPr>
        <w:rFonts w:ascii="Arial" w:hAnsi="Arial" w:hint="default"/>
      </w:rPr>
    </w:lvl>
    <w:lvl w:ilvl="7" w:tplc="258E24D0" w:tentative="1">
      <w:start w:val="1"/>
      <w:numFmt w:val="bullet"/>
      <w:lvlText w:val="•"/>
      <w:lvlJc w:val="left"/>
      <w:pPr>
        <w:tabs>
          <w:tab w:val="num" w:pos="5760"/>
        </w:tabs>
        <w:ind w:left="5760" w:hanging="360"/>
      </w:pPr>
      <w:rPr>
        <w:rFonts w:ascii="Arial" w:hAnsi="Arial" w:hint="default"/>
      </w:rPr>
    </w:lvl>
    <w:lvl w:ilvl="8" w:tplc="952C4BC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2866D58"/>
    <w:multiLevelType w:val="hybridMultilevel"/>
    <w:tmpl w:val="11A2D4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3B26D21"/>
    <w:multiLevelType w:val="hybridMultilevel"/>
    <w:tmpl w:val="A9E2B0E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3E8757A"/>
    <w:multiLevelType w:val="hybridMultilevel"/>
    <w:tmpl w:val="7AD8442E"/>
    <w:lvl w:ilvl="0" w:tplc="18090001">
      <w:start w:val="1"/>
      <w:numFmt w:val="bullet"/>
      <w:lvlText w:val=""/>
      <w:lvlJc w:val="left"/>
      <w:pPr>
        <w:ind w:left="360" w:hanging="360"/>
      </w:pPr>
      <w:rPr>
        <w:rFonts w:ascii="Symbol" w:hAnsi="Symbol" w:hint="default"/>
      </w:rPr>
    </w:lvl>
    <w:lvl w:ilvl="1" w:tplc="07407C34">
      <w:numFmt w:val="bullet"/>
      <w:lvlText w:val="·"/>
      <w:lvlJc w:val="left"/>
      <w:pPr>
        <w:ind w:left="1080" w:hanging="360"/>
      </w:pPr>
      <w:rPr>
        <w:rFonts w:ascii="Calibri" w:eastAsiaTheme="minorHAnsi" w:hAnsi="Calibri" w:cstheme="minorBidi"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A516A33"/>
    <w:multiLevelType w:val="hybridMultilevel"/>
    <w:tmpl w:val="FE3E1C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BB10802"/>
    <w:multiLevelType w:val="hybridMultilevel"/>
    <w:tmpl w:val="769CB2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DF039F0"/>
    <w:multiLevelType w:val="hybridMultilevel"/>
    <w:tmpl w:val="F182D2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E3F0AC1"/>
    <w:multiLevelType w:val="hybridMultilevel"/>
    <w:tmpl w:val="95CC22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EB705BC"/>
    <w:multiLevelType w:val="hybridMultilevel"/>
    <w:tmpl w:val="52ACE4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07516632">
    <w:abstractNumId w:val="9"/>
  </w:num>
  <w:num w:numId="2" w16cid:durableId="1301494607">
    <w:abstractNumId w:val="19"/>
  </w:num>
  <w:num w:numId="3" w16cid:durableId="1689059455">
    <w:abstractNumId w:val="11"/>
  </w:num>
  <w:num w:numId="4" w16cid:durableId="2064600950">
    <w:abstractNumId w:val="8"/>
  </w:num>
  <w:num w:numId="5" w16cid:durableId="767847212">
    <w:abstractNumId w:val="17"/>
  </w:num>
  <w:num w:numId="6" w16cid:durableId="1074010319">
    <w:abstractNumId w:val="0"/>
  </w:num>
  <w:num w:numId="7" w16cid:durableId="1535383075">
    <w:abstractNumId w:val="26"/>
  </w:num>
  <w:num w:numId="8" w16cid:durableId="526069871">
    <w:abstractNumId w:val="22"/>
  </w:num>
  <w:num w:numId="9" w16cid:durableId="62527285">
    <w:abstractNumId w:val="4"/>
  </w:num>
  <w:num w:numId="10" w16cid:durableId="583221102">
    <w:abstractNumId w:val="23"/>
  </w:num>
  <w:num w:numId="11" w16cid:durableId="1452819560">
    <w:abstractNumId w:val="12"/>
  </w:num>
  <w:num w:numId="12" w16cid:durableId="1852524921">
    <w:abstractNumId w:val="10"/>
  </w:num>
  <w:num w:numId="13" w16cid:durableId="118185619">
    <w:abstractNumId w:val="20"/>
  </w:num>
  <w:num w:numId="14" w16cid:durableId="1822307370">
    <w:abstractNumId w:val="6"/>
  </w:num>
  <w:num w:numId="15" w16cid:durableId="2012020755">
    <w:abstractNumId w:val="21"/>
  </w:num>
  <w:num w:numId="16" w16cid:durableId="812987583">
    <w:abstractNumId w:val="5"/>
  </w:num>
  <w:num w:numId="17" w16cid:durableId="1063067877">
    <w:abstractNumId w:val="13"/>
  </w:num>
  <w:num w:numId="18" w16cid:durableId="452794886">
    <w:abstractNumId w:val="3"/>
  </w:num>
  <w:num w:numId="19" w16cid:durableId="2102875986">
    <w:abstractNumId w:val="14"/>
  </w:num>
  <w:num w:numId="20" w16cid:durableId="116797030">
    <w:abstractNumId w:val="25"/>
  </w:num>
  <w:num w:numId="21" w16cid:durableId="1024592372">
    <w:abstractNumId w:val="2"/>
  </w:num>
  <w:num w:numId="22" w16cid:durableId="1372610904">
    <w:abstractNumId w:val="16"/>
  </w:num>
  <w:num w:numId="23" w16cid:durableId="1923292634">
    <w:abstractNumId w:val="1"/>
  </w:num>
  <w:num w:numId="24" w16cid:durableId="36898704">
    <w:abstractNumId w:val="15"/>
  </w:num>
  <w:num w:numId="25" w16cid:durableId="1595212196">
    <w:abstractNumId w:val="24"/>
  </w:num>
  <w:num w:numId="26" w16cid:durableId="1380592986">
    <w:abstractNumId w:val="7"/>
  </w:num>
  <w:num w:numId="27" w16cid:durableId="1976673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4D"/>
    <w:rsid w:val="00000ACA"/>
    <w:rsid w:val="000027FD"/>
    <w:rsid w:val="00004CF2"/>
    <w:rsid w:val="00006600"/>
    <w:rsid w:val="00006BC5"/>
    <w:rsid w:val="00006FF4"/>
    <w:rsid w:val="0000733F"/>
    <w:rsid w:val="00010A5D"/>
    <w:rsid w:val="000113C4"/>
    <w:rsid w:val="000117AC"/>
    <w:rsid w:val="000127DA"/>
    <w:rsid w:val="00017176"/>
    <w:rsid w:val="0002321C"/>
    <w:rsid w:val="00024C81"/>
    <w:rsid w:val="00027889"/>
    <w:rsid w:val="00030160"/>
    <w:rsid w:val="00032CB1"/>
    <w:rsid w:val="00033389"/>
    <w:rsid w:val="0003345A"/>
    <w:rsid w:val="000341EE"/>
    <w:rsid w:val="00037AED"/>
    <w:rsid w:val="00042A32"/>
    <w:rsid w:val="000443DF"/>
    <w:rsid w:val="00047D8D"/>
    <w:rsid w:val="00050150"/>
    <w:rsid w:val="00052BAC"/>
    <w:rsid w:val="000542F1"/>
    <w:rsid w:val="00056D7F"/>
    <w:rsid w:val="0006111E"/>
    <w:rsid w:val="0006382F"/>
    <w:rsid w:val="00063B7F"/>
    <w:rsid w:val="00065CD3"/>
    <w:rsid w:val="00065D1F"/>
    <w:rsid w:val="00067F3C"/>
    <w:rsid w:val="000719F9"/>
    <w:rsid w:val="00072CFB"/>
    <w:rsid w:val="0007498C"/>
    <w:rsid w:val="000817E2"/>
    <w:rsid w:val="00083DDA"/>
    <w:rsid w:val="000841C9"/>
    <w:rsid w:val="00084D6D"/>
    <w:rsid w:val="00086592"/>
    <w:rsid w:val="0008740A"/>
    <w:rsid w:val="000941A5"/>
    <w:rsid w:val="000A0ED9"/>
    <w:rsid w:val="000A1578"/>
    <w:rsid w:val="000A3341"/>
    <w:rsid w:val="000A36B5"/>
    <w:rsid w:val="000A51FA"/>
    <w:rsid w:val="000A5646"/>
    <w:rsid w:val="000A615C"/>
    <w:rsid w:val="000A6D86"/>
    <w:rsid w:val="000A707C"/>
    <w:rsid w:val="000B0C5B"/>
    <w:rsid w:val="000B0EE0"/>
    <w:rsid w:val="000B1DBA"/>
    <w:rsid w:val="000B1EED"/>
    <w:rsid w:val="000B2470"/>
    <w:rsid w:val="000B40B9"/>
    <w:rsid w:val="000B4631"/>
    <w:rsid w:val="000B616F"/>
    <w:rsid w:val="000B6268"/>
    <w:rsid w:val="000B7452"/>
    <w:rsid w:val="000C361F"/>
    <w:rsid w:val="000C3683"/>
    <w:rsid w:val="000C402B"/>
    <w:rsid w:val="000C55E1"/>
    <w:rsid w:val="000D0D62"/>
    <w:rsid w:val="000D286B"/>
    <w:rsid w:val="000D6906"/>
    <w:rsid w:val="000D752E"/>
    <w:rsid w:val="000E4255"/>
    <w:rsid w:val="000E5DA2"/>
    <w:rsid w:val="000E6051"/>
    <w:rsid w:val="000F0F9B"/>
    <w:rsid w:val="000F45F3"/>
    <w:rsid w:val="000F5409"/>
    <w:rsid w:val="000F5816"/>
    <w:rsid w:val="000F5DB1"/>
    <w:rsid w:val="000F6CFD"/>
    <w:rsid w:val="000F6D59"/>
    <w:rsid w:val="001020C8"/>
    <w:rsid w:val="001023EE"/>
    <w:rsid w:val="001040F9"/>
    <w:rsid w:val="0010411A"/>
    <w:rsid w:val="00104BD3"/>
    <w:rsid w:val="00107878"/>
    <w:rsid w:val="0011083E"/>
    <w:rsid w:val="001122FA"/>
    <w:rsid w:val="00114820"/>
    <w:rsid w:val="001158E0"/>
    <w:rsid w:val="00116242"/>
    <w:rsid w:val="0011672E"/>
    <w:rsid w:val="00117ED8"/>
    <w:rsid w:val="001327D3"/>
    <w:rsid w:val="00142CCB"/>
    <w:rsid w:val="00145DDD"/>
    <w:rsid w:val="0015196D"/>
    <w:rsid w:val="0015507F"/>
    <w:rsid w:val="00157EBA"/>
    <w:rsid w:val="00163B6C"/>
    <w:rsid w:val="00170CEC"/>
    <w:rsid w:val="001715F1"/>
    <w:rsid w:val="00172EDC"/>
    <w:rsid w:val="0018020B"/>
    <w:rsid w:val="00182993"/>
    <w:rsid w:val="00184B36"/>
    <w:rsid w:val="001859FA"/>
    <w:rsid w:val="0019040A"/>
    <w:rsid w:val="001918FA"/>
    <w:rsid w:val="001946E1"/>
    <w:rsid w:val="0019587B"/>
    <w:rsid w:val="001A0E9E"/>
    <w:rsid w:val="001A5A30"/>
    <w:rsid w:val="001A6A65"/>
    <w:rsid w:val="001A726D"/>
    <w:rsid w:val="001A7927"/>
    <w:rsid w:val="001B3DAB"/>
    <w:rsid w:val="001B3ED6"/>
    <w:rsid w:val="001B52E5"/>
    <w:rsid w:val="001B55E4"/>
    <w:rsid w:val="001B6183"/>
    <w:rsid w:val="001B7405"/>
    <w:rsid w:val="001C2E4D"/>
    <w:rsid w:val="001C32DD"/>
    <w:rsid w:val="001C7EF5"/>
    <w:rsid w:val="001D0331"/>
    <w:rsid w:val="001D100F"/>
    <w:rsid w:val="001D4537"/>
    <w:rsid w:val="001D622E"/>
    <w:rsid w:val="001D6460"/>
    <w:rsid w:val="001D6CD5"/>
    <w:rsid w:val="001E0C88"/>
    <w:rsid w:val="001E2638"/>
    <w:rsid w:val="001E27DD"/>
    <w:rsid w:val="001E4554"/>
    <w:rsid w:val="001E6950"/>
    <w:rsid w:val="001F040F"/>
    <w:rsid w:val="001F3B82"/>
    <w:rsid w:val="001F6DEE"/>
    <w:rsid w:val="001F7B25"/>
    <w:rsid w:val="0020022D"/>
    <w:rsid w:val="00204C0C"/>
    <w:rsid w:val="00210C89"/>
    <w:rsid w:val="00212A88"/>
    <w:rsid w:val="002145BE"/>
    <w:rsid w:val="00214F9B"/>
    <w:rsid w:val="0021704F"/>
    <w:rsid w:val="0021728E"/>
    <w:rsid w:val="0022144C"/>
    <w:rsid w:val="0022351B"/>
    <w:rsid w:val="00226260"/>
    <w:rsid w:val="002263D8"/>
    <w:rsid w:val="00231474"/>
    <w:rsid w:val="00232D67"/>
    <w:rsid w:val="00232E05"/>
    <w:rsid w:val="00233D55"/>
    <w:rsid w:val="00234229"/>
    <w:rsid w:val="0023717D"/>
    <w:rsid w:val="00237FA1"/>
    <w:rsid w:val="00242D25"/>
    <w:rsid w:val="00243CCA"/>
    <w:rsid w:val="00243FF9"/>
    <w:rsid w:val="00245A02"/>
    <w:rsid w:val="00253591"/>
    <w:rsid w:val="00253A53"/>
    <w:rsid w:val="00253C8F"/>
    <w:rsid w:val="00254A60"/>
    <w:rsid w:val="00256D18"/>
    <w:rsid w:val="00267E10"/>
    <w:rsid w:val="0027004F"/>
    <w:rsid w:val="00270E6A"/>
    <w:rsid w:val="002712C2"/>
    <w:rsid w:val="002749C5"/>
    <w:rsid w:val="00275852"/>
    <w:rsid w:val="00275856"/>
    <w:rsid w:val="00275A44"/>
    <w:rsid w:val="00275A60"/>
    <w:rsid w:val="00275BC2"/>
    <w:rsid w:val="00282889"/>
    <w:rsid w:val="00282A34"/>
    <w:rsid w:val="00285023"/>
    <w:rsid w:val="002866F3"/>
    <w:rsid w:val="00291F45"/>
    <w:rsid w:val="00292412"/>
    <w:rsid w:val="00295CA2"/>
    <w:rsid w:val="002A1352"/>
    <w:rsid w:val="002A1BBD"/>
    <w:rsid w:val="002A24A7"/>
    <w:rsid w:val="002A2ED0"/>
    <w:rsid w:val="002A313C"/>
    <w:rsid w:val="002A3F6A"/>
    <w:rsid w:val="002A4E96"/>
    <w:rsid w:val="002A6A79"/>
    <w:rsid w:val="002A75A1"/>
    <w:rsid w:val="002B0D0E"/>
    <w:rsid w:val="002B1F2F"/>
    <w:rsid w:val="002B235A"/>
    <w:rsid w:val="002B30BC"/>
    <w:rsid w:val="002B3A4E"/>
    <w:rsid w:val="002B41A5"/>
    <w:rsid w:val="002B4F53"/>
    <w:rsid w:val="002B63ED"/>
    <w:rsid w:val="002B7B5F"/>
    <w:rsid w:val="002B7F95"/>
    <w:rsid w:val="002C7305"/>
    <w:rsid w:val="002D0B9E"/>
    <w:rsid w:val="002D2F94"/>
    <w:rsid w:val="002D70CB"/>
    <w:rsid w:val="002E2041"/>
    <w:rsid w:val="002E2C0B"/>
    <w:rsid w:val="002E2D2B"/>
    <w:rsid w:val="002E4F84"/>
    <w:rsid w:val="002E6967"/>
    <w:rsid w:val="002E7620"/>
    <w:rsid w:val="002F35F5"/>
    <w:rsid w:val="002F4D3D"/>
    <w:rsid w:val="002F6B6D"/>
    <w:rsid w:val="002F76EE"/>
    <w:rsid w:val="003022D0"/>
    <w:rsid w:val="00302DDA"/>
    <w:rsid w:val="003042FF"/>
    <w:rsid w:val="00304F90"/>
    <w:rsid w:val="0030620A"/>
    <w:rsid w:val="00306E00"/>
    <w:rsid w:val="00314068"/>
    <w:rsid w:val="00315C24"/>
    <w:rsid w:val="00321751"/>
    <w:rsid w:val="00325635"/>
    <w:rsid w:val="0032699F"/>
    <w:rsid w:val="00327CCE"/>
    <w:rsid w:val="00330F10"/>
    <w:rsid w:val="00331E02"/>
    <w:rsid w:val="003334CE"/>
    <w:rsid w:val="00335539"/>
    <w:rsid w:val="00335D5D"/>
    <w:rsid w:val="003447AE"/>
    <w:rsid w:val="0034754A"/>
    <w:rsid w:val="00347F10"/>
    <w:rsid w:val="0035034F"/>
    <w:rsid w:val="00350E5E"/>
    <w:rsid w:val="0035216A"/>
    <w:rsid w:val="003542BF"/>
    <w:rsid w:val="0036377B"/>
    <w:rsid w:val="00364EC7"/>
    <w:rsid w:val="0037152F"/>
    <w:rsid w:val="0037284C"/>
    <w:rsid w:val="00374E98"/>
    <w:rsid w:val="0037568E"/>
    <w:rsid w:val="0037587B"/>
    <w:rsid w:val="0037635A"/>
    <w:rsid w:val="00376A8F"/>
    <w:rsid w:val="003806BD"/>
    <w:rsid w:val="00380D9B"/>
    <w:rsid w:val="00381CFE"/>
    <w:rsid w:val="00383E4A"/>
    <w:rsid w:val="003847FC"/>
    <w:rsid w:val="0038581F"/>
    <w:rsid w:val="0038667B"/>
    <w:rsid w:val="00386D5A"/>
    <w:rsid w:val="00387239"/>
    <w:rsid w:val="0039261B"/>
    <w:rsid w:val="00393824"/>
    <w:rsid w:val="003941B9"/>
    <w:rsid w:val="00394641"/>
    <w:rsid w:val="003A0D0F"/>
    <w:rsid w:val="003A508C"/>
    <w:rsid w:val="003A535A"/>
    <w:rsid w:val="003B11FC"/>
    <w:rsid w:val="003B1881"/>
    <w:rsid w:val="003B1C17"/>
    <w:rsid w:val="003B253E"/>
    <w:rsid w:val="003C2104"/>
    <w:rsid w:val="003C594C"/>
    <w:rsid w:val="003C59FC"/>
    <w:rsid w:val="003C5E5D"/>
    <w:rsid w:val="003C631D"/>
    <w:rsid w:val="003C6AC5"/>
    <w:rsid w:val="003D015E"/>
    <w:rsid w:val="003D407F"/>
    <w:rsid w:val="003E16F9"/>
    <w:rsid w:val="003E1D14"/>
    <w:rsid w:val="003E43CE"/>
    <w:rsid w:val="003E47C9"/>
    <w:rsid w:val="003E5929"/>
    <w:rsid w:val="003E64EA"/>
    <w:rsid w:val="003E67F0"/>
    <w:rsid w:val="003E7EBF"/>
    <w:rsid w:val="003F1522"/>
    <w:rsid w:val="003F56F7"/>
    <w:rsid w:val="004028BD"/>
    <w:rsid w:val="00403861"/>
    <w:rsid w:val="00403C7C"/>
    <w:rsid w:val="00404265"/>
    <w:rsid w:val="00404BE2"/>
    <w:rsid w:val="00407D25"/>
    <w:rsid w:val="004132C7"/>
    <w:rsid w:val="00413880"/>
    <w:rsid w:val="004151D0"/>
    <w:rsid w:val="00416746"/>
    <w:rsid w:val="00416A34"/>
    <w:rsid w:val="00417127"/>
    <w:rsid w:val="004219F3"/>
    <w:rsid w:val="00421FB2"/>
    <w:rsid w:val="00422400"/>
    <w:rsid w:val="00423894"/>
    <w:rsid w:val="00424013"/>
    <w:rsid w:val="0042639E"/>
    <w:rsid w:val="00426F56"/>
    <w:rsid w:val="00430B9B"/>
    <w:rsid w:val="00430F1B"/>
    <w:rsid w:val="00434787"/>
    <w:rsid w:val="004348F0"/>
    <w:rsid w:val="004349B7"/>
    <w:rsid w:val="00434A31"/>
    <w:rsid w:val="00434C9C"/>
    <w:rsid w:val="004350BB"/>
    <w:rsid w:val="00435F25"/>
    <w:rsid w:val="0043670C"/>
    <w:rsid w:val="0043780A"/>
    <w:rsid w:val="0044124C"/>
    <w:rsid w:val="00441F22"/>
    <w:rsid w:val="004432BD"/>
    <w:rsid w:val="00443392"/>
    <w:rsid w:val="00443A6A"/>
    <w:rsid w:val="004458ED"/>
    <w:rsid w:val="004466A4"/>
    <w:rsid w:val="004468C1"/>
    <w:rsid w:val="004472EF"/>
    <w:rsid w:val="0044735C"/>
    <w:rsid w:val="004476E5"/>
    <w:rsid w:val="0045028C"/>
    <w:rsid w:val="00451C42"/>
    <w:rsid w:val="00455AC8"/>
    <w:rsid w:val="00455B40"/>
    <w:rsid w:val="00455C72"/>
    <w:rsid w:val="00456894"/>
    <w:rsid w:val="00456EDA"/>
    <w:rsid w:val="00461E61"/>
    <w:rsid w:val="004623C7"/>
    <w:rsid w:val="004634FB"/>
    <w:rsid w:val="0046541B"/>
    <w:rsid w:val="00465BBF"/>
    <w:rsid w:val="00467225"/>
    <w:rsid w:val="00470D21"/>
    <w:rsid w:val="00470D57"/>
    <w:rsid w:val="00472B37"/>
    <w:rsid w:val="00473505"/>
    <w:rsid w:val="00476E56"/>
    <w:rsid w:val="00477473"/>
    <w:rsid w:val="00477A9E"/>
    <w:rsid w:val="00477BA6"/>
    <w:rsid w:val="004804B9"/>
    <w:rsid w:val="00480C00"/>
    <w:rsid w:val="00481267"/>
    <w:rsid w:val="00483165"/>
    <w:rsid w:val="004840D4"/>
    <w:rsid w:val="00485FA0"/>
    <w:rsid w:val="0048768B"/>
    <w:rsid w:val="00487F91"/>
    <w:rsid w:val="00493262"/>
    <w:rsid w:val="00493F31"/>
    <w:rsid w:val="004950C8"/>
    <w:rsid w:val="00495DAE"/>
    <w:rsid w:val="0049623D"/>
    <w:rsid w:val="004962DB"/>
    <w:rsid w:val="00496AC0"/>
    <w:rsid w:val="004A1856"/>
    <w:rsid w:val="004A1989"/>
    <w:rsid w:val="004A1D99"/>
    <w:rsid w:val="004A2173"/>
    <w:rsid w:val="004A26BE"/>
    <w:rsid w:val="004A3A68"/>
    <w:rsid w:val="004A45D4"/>
    <w:rsid w:val="004A461A"/>
    <w:rsid w:val="004A4F65"/>
    <w:rsid w:val="004A787B"/>
    <w:rsid w:val="004A7899"/>
    <w:rsid w:val="004B0B0D"/>
    <w:rsid w:val="004B0FC8"/>
    <w:rsid w:val="004B3A9C"/>
    <w:rsid w:val="004B3E3E"/>
    <w:rsid w:val="004B4D6A"/>
    <w:rsid w:val="004B5A6C"/>
    <w:rsid w:val="004B5D2C"/>
    <w:rsid w:val="004B6D20"/>
    <w:rsid w:val="004C5D20"/>
    <w:rsid w:val="004C6F60"/>
    <w:rsid w:val="004C7402"/>
    <w:rsid w:val="004D092C"/>
    <w:rsid w:val="004D25B2"/>
    <w:rsid w:val="004D35D9"/>
    <w:rsid w:val="004D4ABE"/>
    <w:rsid w:val="004D4F1C"/>
    <w:rsid w:val="004D5264"/>
    <w:rsid w:val="004D5320"/>
    <w:rsid w:val="004D6E79"/>
    <w:rsid w:val="004E40DE"/>
    <w:rsid w:val="004E528B"/>
    <w:rsid w:val="004E5874"/>
    <w:rsid w:val="004E5CAE"/>
    <w:rsid w:val="004E666A"/>
    <w:rsid w:val="004F2B02"/>
    <w:rsid w:val="004F2D7B"/>
    <w:rsid w:val="004F64EA"/>
    <w:rsid w:val="00504ECE"/>
    <w:rsid w:val="00505793"/>
    <w:rsid w:val="00512645"/>
    <w:rsid w:val="00513C3F"/>
    <w:rsid w:val="00514DAB"/>
    <w:rsid w:val="005162FB"/>
    <w:rsid w:val="00520D15"/>
    <w:rsid w:val="0052247F"/>
    <w:rsid w:val="00522C21"/>
    <w:rsid w:val="005243A0"/>
    <w:rsid w:val="00525A82"/>
    <w:rsid w:val="00526A94"/>
    <w:rsid w:val="00533DBB"/>
    <w:rsid w:val="00535037"/>
    <w:rsid w:val="0053798D"/>
    <w:rsid w:val="0054012C"/>
    <w:rsid w:val="005406B1"/>
    <w:rsid w:val="00541B18"/>
    <w:rsid w:val="00544790"/>
    <w:rsid w:val="00545DB7"/>
    <w:rsid w:val="00546FD0"/>
    <w:rsid w:val="00547733"/>
    <w:rsid w:val="005478E2"/>
    <w:rsid w:val="00550491"/>
    <w:rsid w:val="00553A82"/>
    <w:rsid w:val="00554A5B"/>
    <w:rsid w:val="005564CA"/>
    <w:rsid w:val="00556A80"/>
    <w:rsid w:val="00561CDB"/>
    <w:rsid w:val="0056409B"/>
    <w:rsid w:val="00570F2D"/>
    <w:rsid w:val="005730B2"/>
    <w:rsid w:val="00574387"/>
    <w:rsid w:val="005776F6"/>
    <w:rsid w:val="005779C3"/>
    <w:rsid w:val="005810B8"/>
    <w:rsid w:val="005811D9"/>
    <w:rsid w:val="0058166E"/>
    <w:rsid w:val="00590076"/>
    <w:rsid w:val="005903D1"/>
    <w:rsid w:val="00592F46"/>
    <w:rsid w:val="00593772"/>
    <w:rsid w:val="005A2CD9"/>
    <w:rsid w:val="005A5863"/>
    <w:rsid w:val="005A6624"/>
    <w:rsid w:val="005A6DAA"/>
    <w:rsid w:val="005B03FE"/>
    <w:rsid w:val="005B2788"/>
    <w:rsid w:val="005B3694"/>
    <w:rsid w:val="005B4E71"/>
    <w:rsid w:val="005C0C20"/>
    <w:rsid w:val="005C0E5F"/>
    <w:rsid w:val="005C1D43"/>
    <w:rsid w:val="005C319D"/>
    <w:rsid w:val="005C4C14"/>
    <w:rsid w:val="005C775A"/>
    <w:rsid w:val="005D1203"/>
    <w:rsid w:val="005D1903"/>
    <w:rsid w:val="005D1971"/>
    <w:rsid w:val="005D21B2"/>
    <w:rsid w:val="005D2A49"/>
    <w:rsid w:val="005D41A9"/>
    <w:rsid w:val="005D5A73"/>
    <w:rsid w:val="005D5D4F"/>
    <w:rsid w:val="005D7381"/>
    <w:rsid w:val="005E420B"/>
    <w:rsid w:val="005E4DCB"/>
    <w:rsid w:val="005E62A7"/>
    <w:rsid w:val="005E72B7"/>
    <w:rsid w:val="005E7C63"/>
    <w:rsid w:val="005F0A36"/>
    <w:rsid w:val="005F13B5"/>
    <w:rsid w:val="005F243A"/>
    <w:rsid w:val="005F3981"/>
    <w:rsid w:val="005F63DB"/>
    <w:rsid w:val="005F7BAD"/>
    <w:rsid w:val="006000AA"/>
    <w:rsid w:val="00601F12"/>
    <w:rsid w:val="006035A4"/>
    <w:rsid w:val="0060367B"/>
    <w:rsid w:val="00607BE5"/>
    <w:rsid w:val="00607E2E"/>
    <w:rsid w:val="00610065"/>
    <w:rsid w:val="00612689"/>
    <w:rsid w:val="00613792"/>
    <w:rsid w:val="00613FFF"/>
    <w:rsid w:val="00616220"/>
    <w:rsid w:val="0061706D"/>
    <w:rsid w:val="006175E7"/>
    <w:rsid w:val="00620786"/>
    <w:rsid w:val="00622656"/>
    <w:rsid w:val="006236E4"/>
    <w:rsid w:val="00624E6A"/>
    <w:rsid w:val="006258D3"/>
    <w:rsid w:val="00630429"/>
    <w:rsid w:val="006337ED"/>
    <w:rsid w:val="0063552F"/>
    <w:rsid w:val="00635F7F"/>
    <w:rsid w:val="0063751F"/>
    <w:rsid w:val="00641E5B"/>
    <w:rsid w:val="0064290B"/>
    <w:rsid w:val="00643E28"/>
    <w:rsid w:val="0064406D"/>
    <w:rsid w:val="00647B0B"/>
    <w:rsid w:val="00651C19"/>
    <w:rsid w:val="00652E69"/>
    <w:rsid w:val="00654AEA"/>
    <w:rsid w:val="00657B15"/>
    <w:rsid w:val="006641A7"/>
    <w:rsid w:val="00665A48"/>
    <w:rsid w:val="006737ED"/>
    <w:rsid w:val="00680AD8"/>
    <w:rsid w:val="00686231"/>
    <w:rsid w:val="00686EF2"/>
    <w:rsid w:val="006908BD"/>
    <w:rsid w:val="006920BE"/>
    <w:rsid w:val="00692C23"/>
    <w:rsid w:val="006A0488"/>
    <w:rsid w:val="006A0B86"/>
    <w:rsid w:val="006A345B"/>
    <w:rsid w:val="006B154C"/>
    <w:rsid w:val="006B3908"/>
    <w:rsid w:val="006B3B32"/>
    <w:rsid w:val="006B5B52"/>
    <w:rsid w:val="006B6AD5"/>
    <w:rsid w:val="006C0EE1"/>
    <w:rsid w:val="006C18A7"/>
    <w:rsid w:val="006C2F85"/>
    <w:rsid w:val="006C4063"/>
    <w:rsid w:val="006C4858"/>
    <w:rsid w:val="006C5AF7"/>
    <w:rsid w:val="006D3C3C"/>
    <w:rsid w:val="006D5936"/>
    <w:rsid w:val="006D5E21"/>
    <w:rsid w:val="006D6F79"/>
    <w:rsid w:val="006E23A6"/>
    <w:rsid w:val="006E3A73"/>
    <w:rsid w:val="006E3A83"/>
    <w:rsid w:val="006E5644"/>
    <w:rsid w:val="006F1AEB"/>
    <w:rsid w:val="0070110A"/>
    <w:rsid w:val="00704692"/>
    <w:rsid w:val="00704ABC"/>
    <w:rsid w:val="0070538A"/>
    <w:rsid w:val="007053F6"/>
    <w:rsid w:val="007066A0"/>
    <w:rsid w:val="007078B0"/>
    <w:rsid w:val="007106AA"/>
    <w:rsid w:val="00711220"/>
    <w:rsid w:val="00711335"/>
    <w:rsid w:val="00712ED4"/>
    <w:rsid w:val="0071517A"/>
    <w:rsid w:val="00715C93"/>
    <w:rsid w:val="00716984"/>
    <w:rsid w:val="0071742F"/>
    <w:rsid w:val="0072046D"/>
    <w:rsid w:val="00720794"/>
    <w:rsid w:val="007213BB"/>
    <w:rsid w:val="007229C5"/>
    <w:rsid w:val="007230A3"/>
    <w:rsid w:val="00725C3E"/>
    <w:rsid w:val="00727576"/>
    <w:rsid w:val="00730508"/>
    <w:rsid w:val="00731DF9"/>
    <w:rsid w:val="00732E38"/>
    <w:rsid w:val="007332E5"/>
    <w:rsid w:val="0073369C"/>
    <w:rsid w:val="00735AFE"/>
    <w:rsid w:val="00740768"/>
    <w:rsid w:val="00746541"/>
    <w:rsid w:val="00747821"/>
    <w:rsid w:val="00750479"/>
    <w:rsid w:val="00751F5A"/>
    <w:rsid w:val="007528C4"/>
    <w:rsid w:val="00752C40"/>
    <w:rsid w:val="00755059"/>
    <w:rsid w:val="00755E13"/>
    <w:rsid w:val="0075667A"/>
    <w:rsid w:val="007605BB"/>
    <w:rsid w:val="00760D0D"/>
    <w:rsid w:val="007623EC"/>
    <w:rsid w:val="00762B37"/>
    <w:rsid w:val="00770A79"/>
    <w:rsid w:val="007718E5"/>
    <w:rsid w:val="007734D2"/>
    <w:rsid w:val="00775223"/>
    <w:rsid w:val="00776A72"/>
    <w:rsid w:val="00777923"/>
    <w:rsid w:val="007804D6"/>
    <w:rsid w:val="00781492"/>
    <w:rsid w:val="00782707"/>
    <w:rsid w:val="0078405C"/>
    <w:rsid w:val="00785FDE"/>
    <w:rsid w:val="00786BC8"/>
    <w:rsid w:val="00787E90"/>
    <w:rsid w:val="0079144D"/>
    <w:rsid w:val="007917A9"/>
    <w:rsid w:val="0079204D"/>
    <w:rsid w:val="00794B3B"/>
    <w:rsid w:val="0079641E"/>
    <w:rsid w:val="00797FBC"/>
    <w:rsid w:val="007A0107"/>
    <w:rsid w:val="007A13AF"/>
    <w:rsid w:val="007A1DF3"/>
    <w:rsid w:val="007A32A3"/>
    <w:rsid w:val="007A5173"/>
    <w:rsid w:val="007B005B"/>
    <w:rsid w:val="007B2FE5"/>
    <w:rsid w:val="007B3889"/>
    <w:rsid w:val="007B5B55"/>
    <w:rsid w:val="007C37B8"/>
    <w:rsid w:val="007C4A98"/>
    <w:rsid w:val="007C6D06"/>
    <w:rsid w:val="007C7343"/>
    <w:rsid w:val="007D0A10"/>
    <w:rsid w:val="007D0B57"/>
    <w:rsid w:val="007D0E2F"/>
    <w:rsid w:val="007D1A95"/>
    <w:rsid w:val="007D2F5C"/>
    <w:rsid w:val="007D5BE1"/>
    <w:rsid w:val="007E1259"/>
    <w:rsid w:val="007E2217"/>
    <w:rsid w:val="007E3454"/>
    <w:rsid w:val="007E4B85"/>
    <w:rsid w:val="007E75A2"/>
    <w:rsid w:val="007E78B8"/>
    <w:rsid w:val="007F018A"/>
    <w:rsid w:val="007F15EC"/>
    <w:rsid w:val="007F2CF0"/>
    <w:rsid w:val="007F3664"/>
    <w:rsid w:val="007F4894"/>
    <w:rsid w:val="007F5C91"/>
    <w:rsid w:val="007F5E83"/>
    <w:rsid w:val="007F68CB"/>
    <w:rsid w:val="007F6C0E"/>
    <w:rsid w:val="007F76F0"/>
    <w:rsid w:val="007F777D"/>
    <w:rsid w:val="007F7B67"/>
    <w:rsid w:val="00800F87"/>
    <w:rsid w:val="00801F35"/>
    <w:rsid w:val="00804733"/>
    <w:rsid w:val="008050DD"/>
    <w:rsid w:val="008065CF"/>
    <w:rsid w:val="00810997"/>
    <w:rsid w:val="00810E57"/>
    <w:rsid w:val="00810FA0"/>
    <w:rsid w:val="008116C7"/>
    <w:rsid w:val="00811CFA"/>
    <w:rsid w:val="00811ED4"/>
    <w:rsid w:val="008121EE"/>
    <w:rsid w:val="00815A15"/>
    <w:rsid w:val="008207A6"/>
    <w:rsid w:val="00821326"/>
    <w:rsid w:val="00821A54"/>
    <w:rsid w:val="00821DF5"/>
    <w:rsid w:val="00821E44"/>
    <w:rsid w:val="0082231B"/>
    <w:rsid w:val="00822B13"/>
    <w:rsid w:val="00823CDE"/>
    <w:rsid w:val="00824835"/>
    <w:rsid w:val="0082778F"/>
    <w:rsid w:val="00831334"/>
    <w:rsid w:val="008326BD"/>
    <w:rsid w:val="008326C8"/>
    <w:rsid w:val="00832A11"/>
    <w:rsid w:val="008331A7"/>
    <w:rsid w:val="008337B8"/>
    <w:rsid w:val="00833EC2"/>
    <w:rsid w:val="00833FD4"/>
    <w:rsid w:val="008354A0"/>
    <w:rsid w:val="008403D6"/>
    <w:rsid w:val="00840979"/>
    <w:rsid w:val="00844245"/>
    <w:rsid w:val="00846B51"/>
    <w:rsid w:val="00847FD7"/>
    <w:rsid w:val="0085057B"/>
    <w:rsid w:val="008515D2"/>
    <w:rsid w:val="0085655B"/>
    <w:rsid w:val="008607B3"/>
    <w:rsid w:val="00860A17"/>
    <w:rsid w:val="00863BBB"/>
    <w:rsid w:val="00866549"/>
    <w:rsid w:val="0086700B"/>
    <w:rsid w:val="00867285"/>
    <w:rsid w:val="00867502"/>
    <w:rsid w:val="00870702"/>
    <w:rsid w:val="00871F6B"/>
    <w:rsid w:val="00872905"/>
    <w:rsid w:val="00873262"/>
    <w:rsid w:val="00874D3A"/>
    <w:rsid w:val="00875AF7"/>
    <w:rsid w:val="00875C3F"/>
    <w:rsid w:val="00875EB6"/>
    <w:rsid w:val="008776F0"/>
    <w:rsid w:val="0088066A"/>
    <w:rsid w:val="00881237"/>
    <w:rsid w:val="00881D80"/>
    <w:rsid w:val="008849C2"/>
    <w:rsid w:val="00884F9F"/>
    <w:rsid w:val="0088534C"/>
    <w:rsid w:val="008853AF"/>
    <w:rsid w:val="0088581D"/>
    <w:rsid w:val="00886391"/>
    <w:rsid w:val="008869EA"/>
    <w:rsid w:val="00890608"/>
    <w:rsid w:val="008917C0"/>
    <w:rsid w:val="00894899"/>
    <w:rsid w:val="00895FC9"/>
    <w:rsid w:val="008973E4"/>
    <w:rsid w:val="008A05FE"/>
    <w:rsid w:val="008A1F6F"/>
    <w:rsid w:val="008A3D8C"/>
    <w:rsid w:val="008A61F8"/>
    <w:rsid w:val="008A639B"/>
    <w:rsid w:val="008B0188"/>
    <w:rsid w:val="008B3249"/>
    <w:rsid w:val="008B3D45"/>
    <w:rsid w:val="008B7B36"/>
    <w:rsid w:val="008C3965"/>
    <w:rsid w:val="008C4A37"/>
    <w:rsid w:val="008C4DB6"/>
    <w:rsid w:val="008C52D0"/>
    <w:rsid w:val="008C55B0"/>
    <w:rsid w:val="008C5C17"/>
    <w:rsid w:val="008C69BF"/>
    <w:rsid w:val="008C6B99"/>
    <w:rsid w:val="008C706C"/>
    <w:rsid w:val="008C7E04"/>
    <w:rsid w:val="008D1C50"/>
    <w:rsid w:val="008D1D9D"/>
    <w:rsid w:val="008D30E7"/>
    <w:rsid w:val="008D3B33"/>
    <w:rsid w:val="008D4A76"/>
    <w:rsid w:val="008D6362"/>
    <w:rsid w:val="008E0E89"/>
    <w:rsid w:val="008E21B5"/>
    <w:rsid w:val="008E2BAE"/>
    <w:rsid w:val="008E3258"/>
    <w:rsid w:val="008E33AA"/>
    <w:rsid w:val="008E455E"/>
    <w:rsid w:val="008E5F30"/>
    <w:rsid w:val="008E61B5"/>
    <w:rsid w:val="008E6719"/>
    <w:rsid w:val="008F1B1F"/>
    <w:rsid w:val="008F4A0D"/>
    <w:rsid w:val="008F5EA7"/>
    <w:rsid w:val="008F63F7"/>
    <w:rsid w:val="008F6476"/>
    <w:rsid w:val="008F7A4D"/>
    <w:rsid w:val="009011B6"/>
    <w:rsid w:val="0090147D"/>
    <w:rsid w:val="00902E15"/>
    <w:rsid w:val="00903A4F"/>
    <w:rsid w:val="009054E2"/>
    <w:rsid w:val="0090561F"/>
    <w:rsid w:val="00907EF9"/>
    <w:rsid w:val="00910631"/>
    <w:rsid w:val="00914185"/>
    <w:rsid w:val="00916232"/>
    <w:rsid w:val="0091646D"/>
    <w:rsid w:val="009171E2"/>
    <w:rsid w:val="00917CDD"/>
    <w:rsid w:val="00917F7C"/>
    <w:rsid w:val="009209F3"/>
    <w:rsid w:val="0092127A"/>
    <w:rsid w:val="00921E93"/>
    <w:rsid w:val="0092205C"/>
    <w:rsid w:val="00922213"/>
    <w:rsid w:val="009222D6"/>
    <w:rsid w:val="00926310"/>
    <w:rsid w:val="00926A0F"/>
    <w:rsid w:val="00931EA5"/>
    <w:rsid w:val="0093231D"/>
    <w:rsid w:val="00932868"/>
    <w:rsid w:val="0093336B"/>
    <w:rsid w:val="00933B88"/>
    <w:rsid w:val="0093421F"/>
    <w:rsid w:val="00934BE3"/>
    <w:rsid w:val="00936E0E"/>
    <w:rsid w:val="00940315"/>
    <w:rsid w:val="009409B4"/>
    <w:rsid w:val="00940AF4"/>
    <w:rsid w:val="00941CF9"/>
    <w:rsid w:val="00941F21"/>
    <w:rsid w:val="00942985"/>
    <w:rsid w:val="00942FA3"/>
    <w:rsid w:val="0094331E"/>
    <w:rsid w:val="00943AAC"/>
    <w:rsid w:val="00943EE9"/>
    <w:rsid w:val="00946A62"/>
    <w:rsid w:val="009502DA"/>
    <w:rsid w:val="009540BB"/>
    <w:rsid w:val="009568AB"/>
    <w:rsid w:val="009576DA"/>
    <w:rsid w:val="00957D14"/>
    <w:rsid w:val="0096061F"/>
    <w:rsid w:val="0096209C"/>
    <w:rsid w:val="00963311"/>
    <w:rsid w:val="00963E07"/>
    <w:rsid w:val="009642A4"/>
    <w:rsid w:val="00966538"/>
    <w:rsid w:val="00966B65"/>
    <w:rsid w:val="00966F9C"/>
    <w:rsid w:val="00967F8E"/>
    <w:rsid w:val="00971487"/>
    <w:rsid w:val="009765F7"/>
    <w:rsid w:val="009771FE"/>
    <w:rsid w:val="00977746"/>
    <w:rsid w:val="00980DC0"/>
    <w:rsid w:val="0098303F"/>
    <w:rsid w:val="00984CAE"/>
    <w:rsid w:val="009915F3"/>
    <w:rsid w:val="00991DDE"/>
    <w:rsid w:val="00993303"/>
    <w:rsid w:val="009934F7"/>
    <w:rsid w:val="009946F2"/>
    <w:rsid w:val="00996066"/>
    <w:rsid w:val="00997F6E"/>
    <w:rsid w:val="009A227A"/>
    <w:rsid w:val="009A4131"/>
    <w:rsid w:val="009A7236"/>
    <w:rsid w:val="009B6CBF"/>
    <w:rsid w:val="009B7562"/>
    <w:rsid w:val="009C0B17"/>
    <w:rsid w:val="009C23A1"/>
    <w:rsid w:val="009C4EDA"/>
    <w:rsid w:val="009C7250"/>
    <w:rsid w:val="009D029E"/>
    <w:rsid w:val="009D04FC"/>
    <w:rsid w:val="009D35DE"/>
    <w:rsid w:val="009D39AA"/>
    <w:rsid w:val="009D3C83"/>
    <w:rsid w:val="009D4B7C"/>
    <w:rsid w:val="009D58ED"/>
    <w:rsid w:val="009D605F"/>
    <w:rsid w:val="009D63D3"/>
    <w:rsid w:val="009D719D"/>
    <w:rsid w:val="009D7912"/>
    <w:rsid w:val="009E5096"/>
    <w:rsid w:val="009E52E8"/>
    <w:rsid w:val="009E54A2"/>
    <w:rsid w:val="009E6919"/>
    <w:rsid w:val="009E7244"/>
    <w:rsid w:val="009F4DD4"/>
    <w:rsid w:val="009F5839"/>
    <w:rsid w:val="009F5A73"/>
    <w:rsid w:val="009F7508"/>
    <w:rsid w:val="00A00B31"/>
    <w:rsid w:val="00A019EA"/>
    <w:rsid w:val="00A02E11"/>
    <w:rsid w:val="00A13558"/>
    <w:rsid w:val="00A15047"/>
    <w:rsid w:val="00A1598C"/>
    <w:rsid w:val="00A16F04"/>
    <w:rsid w:val="00A21522"/>
    <w:rsid w:val="00A22B30"/>
    <w:rsid w:val="00A260BD"/>
    <w:rsid w:val="00A26551"/>
    <w:rsid w:val="00A27164"/>
    <w:rsid w:val="00A32737"/>
    <w:rsid w:val="00A35540"/>
    <w:rsid w:val="00A37695"/>
    <w:rsid w:val="00A40A8C"/>
    <w:rsid w:val="00A41397"/>
    <w:rsid w:val="00A44AF3"/>
    <w:rsid w:val="00A44BFF"/>
    <w:rsid w:val="00A453DC"/>
    <w:rsid w:val="00A5182B"/>
    <w:rsid w:val="00A52777"/>
    <w:rsid w:val="00A52C36"/>
    <w:rsid w:val="00A556CD"/>
    <w:rsid w:val="00A574E9"/>
    <w:rsid w:val="00A60A3D"/>
    <w:rsid w:val="00A6109F"/>
    <w:rsid w:val="00A6142B"/>
    <w:rsid w:val="00A628C1"/>
    <w:rsid w:val="00A63A7B"/>
    <w:rsid w:val="00A64944"/>
    <w:rsid w:val="00A67165"/>
    <w:rsid w:val="00A75A09"/>
    <w:rsid w:val="00A761EB"/>
    <w:rsid w:val="00A80675"/>
    <w:rsid w:val="00A80681"/>
    <w:rsid w:val="00A80983"/>
    <w:rsid w:val="00A81923"/>
    <w:rsid w:val="00A828FE"/>
    <w:rsid w:val="00A83791"/>
    <w:rsid w:val="00A83BD1"/>
    <w:rsid w:val="00A84CBB"/>
    <w:rsid w:val="00A86569"/>
    <w:rsid w:val="00A86C3D"/>
    <w:rsid w:val="00A900A6"/>
    <w:rsid w:val="00A91110"/>
    <w:rsid w:val="00A94A9F"/>
    <w:rsid w:val="00A95366"/>
    <w:rsid w:val="00A955A8"/>
    <w:rsid w:val="00A96D90"/>
    <w:rsid w:val="00AA11FD"/>
    <w:rsid w:val="00AA24A6"/>
    <w:rsid w:val="00AA7524"/>
    <w:rsid w:val="00AA794C"/>
    <w:rsid w:val="00AB293B"/>
    <w:rsid w:val="00AB2C78"/>
    <w:rsid w:val="00AB3F05"/>
    <w:rsid w:val="00AB6723"/>
    <w:rsid w:val="00AC0056"/>
    <w:rsid w:val="00AC33F6"/>
    <w:rsid w:val="00AC43CB"/>
    <w:rsid w:val="00AC5300"/>
    <w:rsid w:val="00AC5896"/>
    <w:rsid w:val="00AC62A0"/>
    <w:rsid w:val="00AD1068"/>
    <w:rsid w:val="00AD2B36"/>
    <w:rsid w:val="00AD46CB"/>
    <w:rsid w:val="00AD5AE8"/>
    <w:rsid w:val="00AD5E14"/>
    <w:rsid w:val="00AD608F"/>
    <w:rsid w:val="00AE211C"/>
    <w:rsid w:val="00AE3A2F"/>
    <w:rsid w:val="00AE3FD0"/>
    <w:rsid w:val="00AE550C"/>
    <w:rsid w:val="00AE5AB8"/>
    <w:rsid w:val="00AE6C2F"/>
    <w:rsid w:val="00AE7AD4"/>
    <w:rsid w:val="00AF1A11"/>
    <w:rsid w:val="00AF1C96"/>
    <w:rsid w:val="00AF5234"/>
    <w:rsid w:val="00B00452"/>
    <w:rsid w:val="00B01053"/>
    <w:rsid w:val="00B0427C"/>
    <w:rsid w:val="00B0439A"/>
    <w:rsid w:val="00B045E4"/>
    <w:rsid w:val="00B04931"/>
    <w:rsid w:val="00B1356C"/>
    <w:rsid w:val="00B135FD"/>
    <w:rsid w:val="00B13DFA"/>
    <w:rsid w:val="00B15F76"/>
    <w:rsid w:val="00B200DE"/>
    <w:rsid w:val="00B21748"/>
    <w:rsid w:val="00B22CF3"/>
    <w:rsid w:val="00B236DA"/>
    <w:rsid w:val="00B30536"/>
    <w:rsid w:val="00B31B47"/>
    <w:rsid w:val="00B33EBF"/>
    <w:rsid w:val="00B34388"/>
    <w:rsid w:val="00B34EFE"/>
    <w:rsid w:val="00B37D73"/>
    <w:rsid w:val="00B40A22"/>
    <w:rsid w:val="00B40F2A"/>
    <w:rsid w:val="00B419F1"/>
    <w:rsid w:val="00B42590"/>
    <w:rsid w:val="00B444E9"/>
    <w:rsid w:val="00B44A7D"/>
    <w:rsid w:val="00B51BB8"/>
    <w:rsid w:val="00B5286C"/>
    <w:rsid w:val="00B53FA6"/>
    <w:rsid w:val="00B6553A"/>
    <w:rsid w:val="00B66373"/>
    <w:rsid w:val="00B66ECE"/>
    <w:rsid w:val="00B70371"/>
    <w:rsid w:val="00B720EE"/>
    <w:rsid w:val="00B74D44"/>
    <w:rsid w:val="00B81348"/>
    <w:rsid w:val="00B81884"/>
    <w:rsid w:val="00B818CE"/>
    <w:rsid w:val="00B81F15"/>
    <w:rsid w:val="00B820E4"/>
    <w:rsid w:val="00B82280"/>
    <w:rsid w:val="00B82A60"/>
    <w:rsid w:val="00B92779"/>
    <w:rsid w:val="00B9415E"/>
    <w:rsid w:val="00B9534B"/>
    <w:rsid w:val="00B96C9D"/>
    <w:rsid w:val="00BA2168"/>
    <w:rsid w:val="00BA558A"/>
    <w:rsid w:val="00BA5916"/>
    <w:rsid w:val="00BA6232"/>
    <w:rsid w:val="00BB2C24"/>
    <w:rsid w:val="00BB4835"/>
    <w:rsid w:val="00BB62FB"/>
    <w:rsid w:val="00BB69AF"/>
    <w:rsid w:val="00BC36B6"/>
    <w:rsid w:val="00BC46A0"/>
    <w:rsid w:val="00BC5A55"/>
    <w:rsid w:val="00BC5EEC"/>
    <w:rsid w:val="00BC6317"/>
    <w:rsid w:val="00BD1C44"/>
    <w:rsid w:val="00BD3BA6"/>
    <w:rsid w:val="00BD46D0"/>
    <w:rsid w:val="00BD6391"/>
    <w:rsid w:val="00BE02A3"/>
    <w:rsid w:val="00BE0894"/>
    <w:rsid w:val="00BE28A2"/>
    <w:rsid w:val="00BE7630"/>
    <w:rsid w:val="00BF2204"/>
    <w:rsid w:val="00BF372A"/>
    <w:rsid w:val="00BF3BF2"/>
    <w:rsid w:val="00BF76BA"/>
    <w:rsid w:val="00C00735"/>
    <w:rsid w:val="00C019C2"/>
    <w:rsid w:val="00C0210A"/>
    <w:rsid w:val="00C0221F"/>
    <w:rsid w:val="00C0435F"/>
    <w:rsid w:val="00C04769"/>
    <w:rsid w:val="00C04E13"/>
    <w:rsid w:val="00C051AF"/>
    <w:rsid w:val="00C069C1"/>
    <w:rsid w:val="00C06B88"/>
    <w:rsid w:val="00C104E6"/>
    <w:rsid w:val="00C13C10"/>
    <w:rsid w:val="00C1707D"/>
    <w:rsid w:val="00C176BE"/>
    <w:rsid w:val="00C213AD"/>
    <w:rsid w:val="00C21D40"/>
    <w:rsid w:val="00C236BA"/>
    <w:rsid w:val="00C25D0C"/>
    <w:rsid w:val="00C25FDE"/>
    <w:rsid w:val="00C2640E"/>
    <w:rsid w:val="00C27388"/>
    <w:rsid w:val="00C27848"/>
    <w:rsid w:val="00C3279C"/>
    <w:rsid w:val="00C3356E"/>
    <w:rsid w:val="00C35B13"/>
    <w:rsid w:val="00C377D0"/>
    <w:rsid w:val="00C37895"/>
    <w:rsid w:val="00C37E53"/>
    <w:rsid w:val="00C42829"/>
    <w:rsid w:val="00C42E6D"/>
    <w:rsid w:val="00C4310D"/>
    <w:rsid w:val="00C4328A"/>
    <w:rsid w:val="00C44055"/>
    <w:rsid w:val="00C44753"/>
    <w:rsid w:val="00C46D95"/>
    <w:rsid w:val="00C4704A"/>
    <w:rsid w:val="00C50445"/>
    <w:rsid w:val="00C50859"/>
    <w:rsid w:val="00C508B3"/>
    <w:rsid w:val="00C52E51"/>
    <w:rsid w:val="00C533DE"/>
    <w:rsid w:val="00C5348E"/>
    <w:rsid w:val="00C55B1C"/>
    <w:rsid w:val="00C56A09"/>
    <w:rsid w:val="00C56C93"/>
    <w:rsid w:val="00C60AB8"/>
    <w:rsid w:val="00C6174B"/>
    <w:rsid w:val="00C62F6F"/>
    <w:rsid w:val="00C62FF6"/>
    <w:rsid w:val="00C67FD9"/>
    <w:rsid w:val="00C70DD4"/>
    <w:rsid w:val="00C72451"/>
    <w:rsid w:val="00C73061"/>
    <w:rsid w:val="00C73A42"/>
    <w:rsid w:val="00C7425E"/>
    <w:rsid w:val="00C74436"/>
    <w:rsid w:val="00C8016D"/>
    <w:rsid w:val="00C82AC4"/>
    <w:rsid w:val="00C82E1A"/>
    <w:rsid w:val="00C92CBE"/>
    <w:rsid w:val="00C93DC8"/>
    <w:rsid w:val="00CA2C02"/>
    <w:rsid w:val="00CA3D46"/>
    <w:rsid w:val="00CA3FF2"/>
    <w:rsid w:val="00CA415C"/>
    <w:rsid w:val="00CA7973"/>
    <w:rsid w:val="00CB0663"/>
    <w:rsid w:val="00CB0F4A"/>
    <w:rsid w:val="00CB13BB"/>
    <w:rsid w:val="00CB1918"/>
    <w:rsid w:val="00CB1DDE"/>
    <w:rsid w:val="00CB3E3A"/>
    <w:rsid w:val="00CB57DB"/>
    <w:rsid w:val="00CB5858"/>
    <w:rsid w:val="00CB6C48"/>
    <w:rsid w:val="00CB75DD"/>
    <w:rsid w:val="00CC5072"/>
    <w:rsid w:val="00CC5212"/>
    <w:rsid w:val="00CC5310"/>
    <w:rsid w:val="00CC7B23"/>
    <w:rsid w:val="00CD004A"/>
    <w:rsid w:val="00CD17E5"/>
    <w:rsid w:val="00CD29FC"/>
    <w:rsid w:val="00CD2FE7"/>
    <w:rsid w:val="00CD4917"/>
    <w:rsid w:val="00CD68BB"/>
    <w:rsid w:val="00CD6CE1"/>
    <w:rsid w:val="00CE18B6"/>
    <w:rsid w:val="00CE2A38"/>
    <w:rsid w:val="00CE37A3"/>
    <w:rsid w:val="00CE509F"/>
    <w:rsid w:val="00CE5AA3"/>
    <w:rsid w:val="00CE79A6"/>
    <w:rsid w:val="00CF0103"/>
    <w:rsid w:val="00CF1ACA"/>
    <w:rsid w:val="00CF1D1D"/>
    <w:rsid w:val="00CF1D5C"/>
    <w:rsid w:val="00CF29FE"/>
    <w:rsid w:val="00CF4E5F"/>
    <w:rsid w:val="00CF5EA0"/>
    <w:rsid w:val="00CF654D"/>
    <w:rsid w:val="00D03241"/>
    <w:rsid w:val="00D03FD6"/>
    <w:rsid w:val="00D04611"/>
    <w:rsid w:val="00D04F07"/>
    <w:rsid w:val="00D07DE8"/>
    <w:rsid w:val="00D12F46"/>
    <w:rsid w:val="00D13BF0"/>
    <w:rsid w:val="00D15F2B"/>
    <w:rsid w:val="00D1687A"/>
    <w:rsid w:val="00D17F6F"/>
    <w:rsid w:val="00D2100C"/>
    <w:rsid w:val="00D247F7"/>
    <w:rsid w:val="00D26648"/>
    <w:rsid w:val="00D271B1"/>
    <w:rsid w:val="00D27F6D"/>
    <w:rsid w:val="00D27FDD"/>
    <w:rsid w:val="00D30E5C"/>
    <w:rsid w:val="00D32182"/>
    <w:rsid w:val="00D32B04"/>
    <w:rsid w:val="00D33400"/>
    <w:rsid w:val="00D36AE4"/>
    <w:rsid w:val="00D37F1C"/>
    <w:rsid w:val="00D40FB1"/>
    <w:rsid w:val="00D471CA"/>
    <w:rsid w:val="00D53443"/>
    <w:rsid w:val="00D53712"/>
    <w:rsid w:val="00D61150"/>
    <w:rsid w:val="00D6538E"/>
    <w:rsid w:val="00D67973"/>
    <w:rsid w:val="00D71EB2"/>
    <w:rsid w:val="00D75C49"/>
    <w:rsid w:val="00D76310"/>
    <w:rsid w:val="00D80191"/>
    <w:rsid w:val="00D8073D"/>
    <w:rsid w:val="00D81A60"/>
    <w:rsid w:val="00D8347F"/>
    <w:rsid w:val="00D85EEB"/>
    <w:rsid w:val="00D87CD2"/>
    <w:rsid w:val="00D87FD1"/>
    <w:rsid w:val="00D9149F"/>
    <w:rsid w:val="00D930B0"/>
    <w:rsid w:val="00D93A42"/>
    <w:rsid w:val="00D940C8"/>
    <w:rsid w:val="00D954A5"/>
    <w:rsid w:val="00D96450"/>
    <w:rsid w:val="00D967B3"/>
    <w:rsid w:val="00DA3D62"/>
    <w:rsid w:val="00DA4142"/>
    <w:rsid w:val="00DA52B9"/>
    <w:rsid w:val="00DA64CE"/>
    <w:rsid w:val="00DA6E1D"/>
    <w:rsid w:val="00DA7C59"/>
    <w:rsid w:val="00DB01B1"/>
    <w:rsid w:val="00DB296F"/>
    <w:rsid w:val="00DB3311"/>
    <w:rsid w:val="00DB3890"/>
    <w:rsid w:val="00DC0A47"/>
    <w:rsid w:val="00DC1DD3"/>
    <w:rsid w:val="00DC374C"/>
    <w:rsid w:val="00DC3DBD"/>
    <w:rsid w:val="00DC4127"/>
    <w:rsid w:val="00DC467D"/>
    <w:rsid w:val="00DC5789"/>
    <w:rsid w:val="00DC5B5F"/>
    <w:rsid w:val="00DC6378"/>
    <w:rsid w:val="00DD7646"/>
    <w:rsid w:val="00DE0653"/>
    <w:rsid w:val="00DE16E7"/>
    <w:rsid w:val="00DE1815"/>
    <w:rsid w:val="00DE1E5E"/>
    <w:rsid w:val="00DE31E2"/>
    <w:rsid w:val="00DE6234"/>
    <w:rsid w:val="00DE6992"/>
    <w:rsid w:val="00DF0205"/>
    <w:rsid w:val="00DF0506"/>
    <w:rsid w:val="00DF14F2"/>
    <w:rsid w:val="00DF208E"/>
    <w:rsid w:val="00DF257B"/>
    <w:rsid w:val="00DF3863"/>
    <w:rsid w:val="00DF3A5B"/>
    <w:rsid w:val="00DF3E43"/>
    <w:rsid w:val="00DF5D39"/>
    <w:rsid w:val="00DF6277"/>
    <w:rsid w:val="00DF68D8"/>
    <w:rsid w:val="00DF72CC"/>
    <w:rsid w:val="00E047D6"/>
    <w:rsid w:val="00E05A3B"/>
    <w:rsid w:val="00E06053"/>
    <w:rsid w:val="00E06087"/>
    <w:rsid w:val="00E157F5"/>
    <w:rsid w:val="00E16BD2"/>
    <w:rsid w:val="00E179A4"/>
    <w:rsid w:val="00E23122"/>
    <w:rsid w:val="00E23831"/>
    <w:rsid w:val="00E248F8"/>
    <w:rsid w:val="00E26533"/>
    <w:rsid w:val="00E26732"/>
    <w:rsid w:val="00E27E24"/>
    <w:rsid w:val="00E32759"/>
    <w:rsid w:val="00E34F03"/>
    <w:rsid w:val="00E355B9"/>
    <w:rsid w:val="00E37381"/>
    <w:rsid w:val="00E37F82"/>
    <w:rsid w:val="00E41677"/>
    <w:rsid w:val="00E433C9"/>
    <w:rsid w:val="00E444D2"/>
    <w:rsid w:val="00E44B95"/>
    <w:rsid w:val="00E4533A"/>
    <w:rsid w:val="00E46CCC"/>
    <w:rsid w:val="00E46F26"/>
    <w:rsid w:val="00E46F48"/>
    <w:rsid w:val="00E51163"/>
    <w:rsid w:val="00E5241B"/>
    <w:rsid w:val="00E52582"/>
    <w:rsid w:val="00E5389B"/>
    <w:rsid w:val="00E53E5F"/>
    <w:rsid w:val="00E54C2A"/>
    <w:rsid w:val="00E57657"/>
    <w:rsid w:val="00E57C71"/>
    <w:rsid w:val="00E57CAA"/>
    <w:rsid w:val="00E60EFB"/>
    <w:rsid w:val="00E621DC"/>
    <w:rsid w:val="00E660D2"/>
    <w:rsid w:val="00E67679"/>
    <w:rsid w:val="00E67A19"/>
    <w:rsid w:val="00E67B13"/>
    <w:rsid w:val="00E715BF"/>
    <w:rsid w:val="00E74E85"/>
    <w:rsid w:val="00E756E0"/>
    <w:rsid w:val="00E80835"/>
    <w:rsid w:val="00E843B6"/>
    <w:rsid w:val="00E84514"/>
    <w:rsid w:val="00E84E8F"/>
    <w:rsid w:val="00E94C22"/>
    <w:rsid w:val="00E97799"/>
    <w:rsid w:val="00EA3917"/>
    <w:rsid w:val="00EA5E20"/>
    <w:rsid w:val="00EA5ECA"/>
    <w:rsid w:val="00EA67BD"/>
    <w:rsid w:val="00EA6970"/>
    <w:rsid w:val="00EB0C6F"/>
    <w:rsid w:val="00EB2A16"/>
    <w:rsid w:val="00EB3330"/>
    <w:rsid w:val="00EB3778"/>
    <w:rsid w:val="00EB4192"/>
    <w:rsid w:val="00EB58FB"/>
    <w:rsid w:val="00EB615C"/>
    <w:rsid w:val="00EB6E37"/>
    <w:rsid w:val="00EC0424"/>
    <w:rsid w:val="00EC1098"/>
    <w:rsid w:val="00EC2BFC"/>
    <w:rsid w:val="00EC2EF9"/>
    <w:rsid w:val="00EC314F"/>
    <w:rsid w:val="00EC442B"/>
    <w:rsid w:val="00EC4457"/>
    <w:rsid w:val="00EC54DC"/>
    <w:rsid w:val="00EC69B1"/>
    <w:rsid w:val="00EC78E5"/>
    <w:rsid w:val="00EC7AB5"/>
    <w:rsid w:val="00ED094C"/>
    <w:rsid w:val="00ED1484"/>
    <w:rsid w:val="00ED5933"/>
    <w:rsid w:val="00ED6659"/>
    <w:rsid w:val="00EE2AAA"/>
    <w:rsid w:val="00EE30A6"/>
    <w:rsid w:val="00EE44B7"/>
    <w:rsid w:val="00EE6BFF"/>
    <w:rsid w:val="00EF09A9"/>
    <w:rsid w:val="00EF0E33"/>
    <w:rsid w:val="00EF2DF3"/>
    <w:rsid w:val="00EF389A"/>
    <w:rsid w:val="00EF434F"/>
    <w:rsid w:val="00EF59AD"/>
    <w:rsid w:val="00EF5F19"/>
    <w:rsid w:val="00EF71A3"/>
    <w:rsid w:val="00EF77C2"/>
    <w:rsid w:val="00F0000D"/>
    <w:rsid w:val="00F0142E"/>
    <w:rsid w:val="00F01771"/>
    <w:rsid w:val="00F01BA1"/>
    <w:rsid w:val="00F02257"/>
    <w:rsid w:val="00F04E0F"/>
    <w:rsid w:val="00F0583A"/>
    <w:rsid w:val="00F06B19"/>
    <w:rsid w:val="00F06FB8"/>
    <w:rsid w:val="00F07222"/>
    <w:rsid w:val="00F074C1"/>
    <w:rsid w:val="00F11549"/>
    <w:rsid w:val="00F11D86"/>
    <w:rsid w:val="00F12C11"/>
    <w:rsid w:val="00F13FDD"/>
    <w:rsid w:val="00F14F51"/>
    <w:rsid w:val="00F155CC"/>
    <w:rsid w:val="00F15C9D"/>
    <w:rsid w:val="00F21F7B"/>
    <w:rsid w:val="00F221C8"/>
    <w:rsid w:val="00F2332A"/>
    <w:rsid w:val="00F23538"/>
    <w:rsid w:val="00F2568F"/>
    <w:rsid w:val="00F25805"/>
    <w:rsid w:val="00F30E26"/>
    <w:rsid w:val="00F355A3"/>
    <w:rsid w:val="00F357F4"/>
    <w:rsid w:val="00F40681"/>
    <w:rsid w:val="00F4290E"/>
    <w:rsid w:val="00F42D73"/>
    <w:rsid w:val="00F42EDB"/>
    <w:rsid w:val="00F44440"/>
    <w:rsid w:val="00F47353"/>
    <w:rsid w:val="00F5082A"/>
    <w:rsid w:val="00F509CC"/>
    <w:rsid w:val="00F56213"/>
    <w:rsid w:val="00F5735C"/>
    <w:rsid w:val="00F60730"/>
    <w:rsid w:val="00F60AA1"/>
    <w:rsid w:val="00F63092"/>
    <w:rsid w:val="00F6357D"/>
    <w:rsid w:val="00F63F8A"/>
    <w:rsid w:val="00F65E36"/>
    <w:rsid w:val="00F671BA"/>
    <w:rsid w:val="00F674FA"/>
    <w:rsid w:val="00F7025D"/>
    <w:rsid w:val="00F71136"/>
    <w:rsid w:val="00F7185A"/>
    <w:rsid w:val="00F766D3"/>
    <w:rsid w:val="00F77787"/>
    <w:rsid w:val="00F77E86"/>
    <w:rsid w:val="00F80B0C"/>
    <w:rsid w:val="00F8262A"/>
    <w:rsid w:val="00F83EE9"/>
    <w:rsid w:val="00F85F60"/>
    <w:rsid w:val="00F86B02"/>
    <w:rsid w:val="00F9069E"/>
    <w:rsid w:val="00F92408"/>
    <w:rsid w:val="00F94E7D"/>
    <w:rsid w:val="00F97276"/>
    <w:rsid w:val="00FA0D96"/>
    <w:rsid w:val="00FA1E2C"/>
    <w:rsid w:val="00FA21C6"/>
    <w:rsid w:val="00FA5E45"/>
    <w:rsid w:val="00FA63C0"/>
    <w:rsid w:val="00FA74CB"/>
    <w:rsid w:val="00FA7F73"/>
    <w:rsid w:val="00FB20C3"/>
    <w:rsid w:val="00FB5A7F"/>
    <w:rsid w:val="00FC0E1A"/>
    <w:rsid w:val="00FC36BD"/>
    <w:rsid w:val="00FC3763"/>
    <w:rsid w:val="00FC4308"/>
    <w:rsid w:val="00FC6722"/>
    <w:rsid w:val="00FC7727"/>
    <w:rsid w:val="00FC7ABB"/>
    <w:rsid w:val="00FD1946"/>
    <w:rsid w:val="00FD62E1"/>
    <w:rsid w:val="00FD62ED"/>
    <w:rsid w:val="00FD69A8"/>
    <w:rsid w:val="00FD6A78"/>
    <w:rsid w:val="00FD760A"/>
    <w:rsid w:val="00FE4B75"/>
    <w:rsid w:val="00FE5016"/>
    <w:rsid w:val="00FE54A5"/>
    <w:rsid w:val="00FE6B77"/>
    <w:rsid w:val="00FF2116"/>
    <w:rsid w:val="00FF212C"/>
    <w:rsid w:val="00FF5481"/>
    <w:rsid w:val="00FF55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65039C89"/>
  <w15:docId w15:val="{E19FE723-88A1-42EE-99AD-361A7A9E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D3C8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04D"/>
    <w:pPr>
      <w:ind w:left="720"/>
      <w:contextualSpacing/>
    </w:pPr>
  </w:style>
  <w:style w:type="character" w:styleId="Hyperlink">
    <w:name w:val="Hyperlink"/>
    <w:basedOn w:val="DefaultParagraphFont"/>
    <w:uiPriority w:val="99"/>
    <w:unhideWhenUsed/>
    <w:rsid w:val="00BF2204"/>
    <w:rPr>
      <w:color w:val="0000FF" w:themeColor="hyperlink"/>
      <w:u w:val="single"/>
    </w:rPr>
  </w:style>
  <w:style w:type="paragraph" w:styleId="BalloonText">
    <w:name w:val="Balloon Text"/>
    <w:basedOn w:val="Normal"/>
    <w:link w:val="BalloonTextChar"/>
    <w:uiPriority w:val="99"/>
    <w:semiHidden/>
    <w:unhideWhenUsed/>
    <w:rsid w:val="00755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059"/>
    <w:rPr>
      <w:rFonts w:ascii="Tahoma" w:hAnsi="Tahoma" w:cs="Tahoma"/>
      <w:sz w:val="16"/>
      <w:szCs w:val="16"/>
    </w:rPr>
  </w:style>
  <w:style w:type="paragraph" w:styleId="FootnoteText">
    <w:name w:val="footnote text"/>
    <w:basedOn w:val="Normal"/>
    <w:link w:val="FootnoteTextChar"/>
    <w:uiPriority w:val="99"/>
    <w:unhideWhenUsed/>
    <w:rsid w:val="009B6CBF"/>
    <w:pPr>
      <w:spacing w:after="0" w:line="240" w:lineRule="auto"/>
    </w:pPr>
    <w:rPr>
      <w:sz w:val="20"/>
      <w:szCs w:val="20"/>
    </w:rPr>
  </w:style>
  <w:style w:type="character" w:customStyle="1" w:styleId="FootnoteTextChar">
    <w:name w:val="Footnote Text Char"/>
    <w:basedOn w:val="DefaultParagraphFont"/>
    <w:link w:val="FootnoteText"/>
    <w:uiPriority w:val="99"/>
    <w:rsid w:val="009B6CBF"/>
    <w:rPr>
      <w:sz w:val="20"/>
      <w:szCs w:val="20"/>
    </w:rPr>
  </w:style>
  <w:style w:type="character" w:styleId="FootnoteReference">
    <w:name w:val="footnote reference"/>
    <w:basedOn w:val="DefaultParagraphFont"/>
    <w:uiPriority w:val="99"/>
    <w:unhideWhenUsed/>
    <w:rsid w:val="009B6CBF"/>
    <w:rPr>
      <w:vertAlign w:val="superscript"/>
    </w:rPr>
  </w:style>
  <w:style w:type="table" w:styleId="TableGrid">
    <w:name w:val="Table Grid"/>
    <w:basedOn w:val="TableNormal"/>
    <w:uiPriority w:val="59"/>
    <w:rsid w:val="00692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5FDE"/>
    <w:pPr>
      <w:spacing w:after="0" w:line="240" w:lineRule="auto"/>
    </w:pPr>
  </w:style>
  <w:style w:type="paragraph" w:styleId="EndnoteText">
    <w:name w:val="endnote text"/>
    <w:basedOn w:val="Normal"/>
    <w:link w:val="EndnoteTextChar"/>
    <w:uiPriority w:val="99"/>
    <w:semiHidden/>
    <w:unhideWhenUsed/>
    <w:rsid w:val="00785F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5FDE"/>
    <w:rPr>
      <w:sz w:val="20"/>
      <w:szCs w:val="20"/>
    </w:rPr>
  </w:style>
  <w:style w:type="character" w:styleId="EndnoteReference">
    <w:name w:val="endnote reference"/>
    <w:basedOn w:val="DefaultParagraphFont"/>
    <w:uiPriority w:val="99"/>
    <w:semiHidden/>
    <w:unhideWhenUsed/>
    <w:rsid w:val="00785FDE"/>
    <w:rPr>
      <w:vertAlign w:val="superscript"/>
    </w:rPr>
  </w:style>
  <w:style w:type="character" w:styleId="CommentReference">
    <w:name w:val="annotation reference"/>
    <w:basedOn w:val="DefaultParagraphFont"/>
    <w:uiPriority w:val="99"/>
    <w:semiHidden/>
    <w:unhideWhenUsed/>
    <w:rsid w:val="00CC5212"/>
    <w:rPr>
      <w:sz w:val="16"/>
      <w:szCs w:val="16"/>
    </w:rPr>
  </w:style>
  <w:style w:type="paragraph" w:styleId="CommentText">
    <w:name w:val="annotation text"/>
    <w:basedOn w:val="Normal"/>
    <w:link w:val="CommentTextChar"/>
    <w:uiPriority w:val="99"/>
    <w:unhideWhenUsed/>
    <w:rsid w:val="00CC5212"/>
    <w:pPr>
      <w:spacing w:line="240" w:lineRule="auto"/>
    </w:pPr>
    <w:rPr>
      <w:sz w:val="20"/>
      <w:szCs w:val="20"/>
    </w:rPr>
  </w:style>
  <w:style w:type="character" w:customStyle="1" w:styleId="CommentTextChar">
    <w:name w:val="Comment Text Char"/>
    <w:basedOn w:val="DefaultParagraphFont"/>
    <w:link w:val="CommentText"/>
    <w:uiPriority w:val="99"/>
    <w:rsid w:val="00CC5212"/>
    <w:rPr>
      <w:sz w:val="20"/>
      <w:szCs w:val="20"/>
    </w:rPr>
  </w:style>
  <w:style w:type="paragraph" w:styleId="NormalWeb">
    <w:name w:val="Normal (Web)"/>
    <w:basedOn w:val="Normal"/>
    <w:uiPriority w:val="99"/>
    <w:unhideWhenUsed/>
    <w:rsid w:val="009A227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efault">
    <w:name w:val="Default"/>
    <w:rsid w:val="007D0E2F"/>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874D3A"/>
    <w:rPr>
      <w:b/>
      <w:bCs/>
    </w:rPr>
  </w:style>
  <w:style w:type="character" w:customStyle="1" w:styleId="CommentSubjectChar">
    <w:name w:val="Comment Subject Char"/>
    <w:basedOn w:val="CommentTextChar"/>
    <w:link w:val="CommentSubject"/>
    <w:uiPriority w:val="99"/>
    <w:semiHidden/>
    <w:rsid w:val="00874D3A"/>
    <w:rPr>
      <w:b/>
      <w:bCs/>
      <w:sz w:val="20"/>
      <w:szCs w:val="20"/>
    </w:rPr>
  </w:style>
  <w:style w:type="character" w:customStyle="1" w:styleId="Heading3Char">
    <w:name w:val="Heading 3 Char"/>
    <w:basedOn w:val="DefaultParagraphFont"/>
    <w:link w:val="Heading3"/>
    <w:uiPriority w:val="9"/>
    <w:rsid w:val="009D3C83"/>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086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592"/>
  </w:style>
  <w:style w:type="paragraph" w:styleId="Footer">
    <w:name w:val="footer"/>
    <w:basedOn w:val="Normal"/>
    <w:link w:val="FooterChar"/>
    <w:uiPriority w:val="99"/>
    <w:unhideWhenUsed/>
    <w:rsid w:val="00086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592"/>
  </w:style>
  <w:style w:type="paragraph" w:customStyle="1" w:styleId="cr">
    <w:name w:val="cr"/>
    <w:basedOn w:val="Normal"/>
    <w:rsid w:val="00BE02A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g">
    <w:name w:val="ag"/>
    <w:basedOn w:val="DefaultParagraphFont"/>
    <w:rsid w:val="00BE02A3"/>
  </w:style>
  <w:style w:type="paragraph" w:customStyle="1" w:styleId="dc">
    <w:name w:val="dc"/>
    <w:basedOn w:val="Normal"/>
    <w:rsid w:val="00BE02A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f">
    <w:name w:val="af"/>
    <w:basedOn w:val="DefaultParagraphFont"/>
    <w:rsid w:val="00BE02A3"/>
  </w:style>
  <w:style w:type="character" w:styleId="UnresolvedMention">
    <w:name w:val="Unresolved Mention"/>
    <w:basedOn w:val="DefaultParagraphFont"/>
    <w:uiPriority w:val="99"/>
    <w:semiHidden/>
    <w:unhideWhenUsed/>
    <w:rsid w:val="00804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5953">
      <w:bodyDiv w:val="1"/>
      <w:marLeft w:val="0"/>
      <w:marRight w:val="0"/>
      <w:marTop w:val="0"/>
      <w:marBottom w:val="0"/>
      <w:divBdr>
        <w:top w:val="none" w:sz="0" w:space="0" w:color="auto"/>
        <w:left w:val="none" w:sz="0" w:space="0" w:color="auto"/>
        <w:bottom w:val="none" w:sz="0" w:space="0" w:color="auto"/>
        <w:right w:val="none" w:sz="0" w:space="0" w:color="auto"/>
      </w:divBdr>
    </w:div>
    <w:div w:id="154499340">
      <w:bodyDiv w:val="1"/>
      <w:marLeft w:val="0"/>
      <w:marRight w:val="0"/>
      <w:marTop w:val="0"/>
      <w:marBottom w:val="0"/>
      <w:divBdr>
        <w:top w:val="none" w:sz="0" w:space="0" w:color="auto"/>
        <w:left w:val="none" w:sz="0" w:space="0" w:color="auto"/>
        <w:bottom w:val="none" w:sz="0" w:space="0" w:color="auto"/>
        <w:right w:val="none" w:sz="0" w:space="0" w:color="auto"/>
      </w:divBdr>
    </w:div>
    <w:div w:id="218439660">
      <w:bodyDiv w:val="1"/>
      <w:marLeft w:val="0"/>
      <w:marRight w:val="0"/>
      <w:marTop w:val="0"/>
      <w:marBottom w:val="0"/>
      <w:divBdr>
        <w:top w:val="none" w:sz="0" w:space="0" w:color="auto"/>
        <w:left w:val="none" w:sz="0" w:space="0" w:color="auto"/>
        <w:bottom w:val="none" w:sz="0" w:space="0" w:color="auto"/>
        <w:right w:val="none" w:sz="0" w:space="0" w:color="auto"/>
      </w:divBdr>
    </w:div>
    <w:div w:id="270212717">
      <w:bodyDiv w:val="1"/>
      <w:marLeft w:val="0"/>
      <w:marRight w:val="0"/>
      <w:marTop w:val="0"/>
      <w:marBottom w:val="0"/>
      <w:divBdr>
        <w:top w:val="none" w:sz="0" w:space="0" w:color="auto"/>
        <w:left w:val="none" w:sz="0" w:space="0" w:color="auto"/>
        <w:bottom w:val="none" w:sz="0" w:space="0" w:color="auto"/>
        <w:right w:val="none" w:sz="0" w:space="0" w:color="auto"/>
      </w:divBdr>
    </w:div>
    <w:div w:id="278146701">
      <w:bodyDiv w:val="1"/>
      <w:marLeft w:val="0"/>
      <w:marRight w:val="0"/>
      <w:marTop w:val="0"/>
      <w:marBottom w:val="0"/>
      <w:divBdr>
        <w:top w:val="none" w:sz="0" w:space="0" w:color="auto"/>
        <w:left w:val="none" w:sz="0" w:space="0" w:color="auto"/>
        <w:bottom w:val="none" w:sz="0" w:space="0" w:color="auto"/>
        <w:right w:val="none" w:sz="0" w:space="0" w:color="auto"/>
      </w:divBdr>
    </w:div>
    <w:div w:id="308094350">
      <w:bodyDiv w:val="1"/>
      <w:marLeft w:val="0"/>
      <w:marRight w:val="0"/>
      <w:marTop w:val="0"/>
      <w:marBottom w:val="0"/>
      <w:divBdr>
        <w:top w:val="none" w:sz="0" w:space="0" w:color="auto"/>
        <w:left w:val="none" w:sz="0" w:space="0" w:color="auto"/>
        <w:bottom w:val="none" w:sz="0" w:space="0" w:color="auto"/>
        <w:right w:val="none" w:sz="0" w:space="0" w:color="auto"/>
      </w:divBdr>
      <w:divsChild>
        <w:div w:id="936837354">
          <w:marLeft w:val="360"/>
          <w:marRight w:val="0"/>
          <w:marTop w:val="0"/>
          <w:marBottom w:val="0"/>
          <w:divBdr>
            <w:top w:val="none" w:sz="0" w:space="0" w:color="auto"/>
            <w:left w:val="none" w:sz="0" w:space="0" w:color="auto"/>
            <w:bottom w:val="none" w:sz="0" w:space="0" w:color="auto"/>
            <w:right w:val="none" w:sz="0" w:space="0" w:color="auto"/>
          </w:divBdr>
        </w:div>
      </w:divsChild>
    </w:div>
    <w:div w:id="394008058">
      <w:bodyDiv w:val="1"/>
      <w:marLeft w:val="0"/>
      <w:marRight w:val="0"/>
      <w:marTop w:val="0"/>
      <w:marBottom w:val="0"/>
      <w:divBdr>
        <w:top w:val="none" w:sz="0" w:space="0" w:color="auto"/>
        <w:left w:val="none" w:sz="0" w:space="0" w:color="auto"/>
        <w:bottom w:val="none" w:sz="0" w:space="0" w:color="auto"/>
        <w:right w:val="none" w:sz="0" w:space="0" w:color="auto"/>
      </w:divBdr>
    </w:div>
    <w:div w:id="467086416">
      <w:bodyDiv w:val="1"/>
      <w:marLeft w:val="0"/>
      <w:marRight w:val="0"/>
      <w:marTop w:val="0"/>
      <w:marBottom w:val="0"/>
      <w:divBdr>
        <w:top w:val="none" w:sz="0" w:space="0" w:color="auto"/>
        <w:left w:val="none" w:sz="0" w:space="0" w:color="auto"/>
        <w:bottom w:val="none" w:sz="0" w:space="0" w:color="auto"/>
        <w:right w:val="none" w:sz="0" w:space="0" w:color="auto"/>
      </w:divBdr>
    </w:div>
    <w:div w:id="478769062">
      <w:bodyDiv w:val="1"/>
      <w:marLeft w:val="0"/>
      <w:marRight w:val="0"/>
      <w:marTop w:val="0"/>
      <w:marBottom w:val="0"/>
      <w:divBdr>
        <w:top w:val="none" w:sz="0" w:space="0" w:color="auto"/>
        <w:left w:val="none" w:sz="0" w:space="0" w:color="auto"/>
        <w:bottom w:val="none" w:sz="0" w:space="0" w:color="auto"/>
        <w:right w:val="none" w:sz="0" w:space="0" w:color="auto"/>
      </w:divBdr>
    </w:div>
    <w:div w:id="483468006">
      <w:bodyDiv w:val="1"/>
      <w:marLeft w:val="0"/>
      <w:marRight w:val="0"/>
      <w:marTop w:val="0"/>
      <w:marBottom w:val="0"/>
      <w:divBdr>
        <w:top w:val="none" w:sz="0" w:space="0" w:color="auto"/>
        <w:left w:val="none" w:sz="0" w:space="0" w:color="auto"/>
        <w:bottom w:val="none" w:sz="0" w:space="0" w:color="auto"/>
        <w:right w:val="none" w:sz="0" w:space="0" w:color="auto"/>
      </w:divBdr>
    </w:div>
    <w:div w:id="503210715">
      <w:bodyDiv w:val="1"/>
      <w:marLeft w:val="0"/>
      <w:marRight w:val="0"/>
      <w:marTop w:val="0"/>
      <w:marBottom w:val="0"/>
      <w:divBdr>
        <w:top w:val="none" w:sz="0" w:space="0" w:color="auto"/>
        <w:left w:val="none" w:sz="0" w:space="0" w:color="auto"/>
        <w:bottom w:val="none" w:sz="0" w:space="0" w:color="auto"/>
        <w:right w:val="none" w:sz="0" w:space="0" w:color="auto"/>
      </w:divBdr>
    </w:div>
    <w:div w:id="576324386">
      <w:bodyDiv w:val="1"/>
      <w:marLeft w:val="0"/>
      <w:marRight w:val="0"/>
      <w:marTop w:val="0"/>
      <w:marBottom w:val="0"/>
      <w:divBdr>
        <w:top w:val="none" w:sz="0" w:space="0" w:color="auto"/>
        <w:left w:val="none" w:sz="0" w:space="0" w:color="auto"/>
        <w:bottom w:val="none" w:sz="0" w:space="0" w:color="auto"/>
        <w:right w:val="none" w:sz="0" w:space="0" w:color="auto"/>
      </w:divBdr>
    </w:div>
    <w:div w:id="607153426">
      <w:bodyDiv w:val="1"/>
      <w:marLeft w:val="0"/>
      <w:marRight w:val="0"/>
      <w:marTop w:val="0"/>
      <w:marBottom w:val="0"/>
      <w:divBdr>
        <w:top w:val="none" w:sz="0" w:space="0" w:color="auto"/>
        <w:left w:val="none" w:sz="0" w:space="0" w:color="auto"/>
        <w:bottom w:val="none" w:sz="0" w:space="0" w:color="auto"/>
        <w:right w:val="none" w:sz="0" w:space="0" w:color="auto"/>
      </w:divBdr>
      <w:divsChild>
        <w:div w:id="1909800258">
          <w:marLeft w:val="274"/>
          <w:marRight w:val="0"/>
          <w:marTop w:val="120"/>
          <w:marBottom w:val="0"/>
          <w:divBdr>
            <w:top w:val="none" w:sz="0" w:space="0" w:color="auto"/>
            <w:left w:val="none" w:sz="0" w:space="0" w:color="auto"/>
            <w:bottom w:val="none" w:sz="0" w:space="0" w:color="auto"/>
            <w:right w:val="none" w:sz="0" w:space="0" w:color="auto"/>
          </w:divBdr>
        </w:div>
      </w:divsChild>
    </w:div>
    <w:div w:id="749158336">
      <w:bodyDiv w:val="1"/>
      <w:marLeft w:val="0"/>
      <w:marRight w:val="0"/>
      <w:marTop w:val="0"/>
      <w:marBottom w:val="0"/>
      <w:divBdr>
        <w:top w:val="none" w:sz="0" w:space="0" w:color="auto"/>
        <w:left w:val="none" w:sz="0" w:space="0" w:color="auto"/>
        <w:bottom w:val="none" w:sz="0" w:space="0" w:color="auto"/>
        <w:right w:val="none" w:sz="0" w:space="0" w:color="auto"/>
      </w:divBdr>
    </w:div>
    <w:div w:id="936672701">
      <w:bodyDiv w:val="1"/>
      <w:marLeft w:val="0"/>
      <w:marRight w:val="0"/>
      <w:marTop w:val="0"/>
      <w:marBottom w:val="0"/>
      <w:divBdr>
        <w:top w:val="none" w:sz="0" w:space="0" w:color="auto"/>
        <w:left w:val="none" w:sz="0" w:space="0" w:color="auto"/>
        <w:bottom w:val="none" w:sz="0" w:space="0" w:color="auto"/>
        <w:right w:val="none" w:sz="0" w:space="0" w:color="auto"/>
      </w:divBdr>
    </w:div>
    <w:div w:id="961764380">
      <w:bodyDiv w:val="1"/>
      <w:marLeft w:val="0"/>
      <w:marRight w:val="0"/>
      <w:marTop w:val="0"/>
      <w:marBottom w:val="0"/>
      <w:divBdr>
        <w:top w:val="none" w:sz="0" w:space="0" w:color="auto"/>
        <w:left w:val="none" w:sz="0" w:space="0" w:color="auto"/>
        <w:bottom w:val="none" w:sz="0" w:space="0" w:color="auto"/>
        <w:right w:val="none" w:sz="0" w:space="0" w:color="auto"/>
      </w:divBdr>
      <w:divsChild>
        <w:div w:id="1101610860">
          <w:marLeft w:val="360"/>
          <w:marRight w:val="0"/>
          <w:marTop w:val="0"/>
          <w:marBottom w:val="0"/>
          <w:divBdr>
            <w:top w:val="none" w:sz="0" w:space="0" w:color="auto"/>
            <w:left w:val="none" w:sz="0" w:space="0" w:color="auto"/>
            <w:bottom w:val="none" w:sz="0" w:space="0" w:color="auto"/>
            <w:right w:val="none" w:sz="0" w:space="0" w:color="auto"/>
          </w:divBdr>
        </w:div>
      </w:divsChild>
    </w:div>
    <w:div w:id="1012104201">
      <w:bodyDiv w:val="1"/>
      <w:marLeft w:val="0"/>
      <w:marRight w:val="0"/>
      <w:marTop w:val="0"/>
      <w:marBottom w:val="0"/>
      <w:divBdr>
        <w:top w:val="none" w:sz="0" w:space="0" w:color="auto"/>
        <w:left w:val="none" w:sz="0" w:space="0" w:color="auto"/>
        <w:bottom w:val="none" w:sz="0" w:space="0" w:color="auto"/>
        <w:right w:val="none" w:sz="0" w:space="0" w:color="auto"/>
      </w:divBdr>
      <w:divsChild>
        <w:div w:id="267153631">
          <w:marLeft w:val="274"/>
          <w:marRight w:val="0"/>
          <w:marTop w:val="120"/>
          <w:marBottom w:val="0"/>
          <w:divBdr>
            <w:top w:val="none" w:sz="0" w:space="0" w:color="auto"/>
            <w:left w:val="none" w:sz="0" w:space="0" w:color="auto"/>
            <w:bottom w:val="none" w:sz="0" w:space="0" w:color="auto"/>
            <w:right w:val="none" w:sz="0" w:space="0" w:color="auto"/>
          </w:divBdr>
        </w:div>
      </w:divsChild>
    </w:div>
    <w:div w:id="1405878801">
      <w:bodyDiv w:val="1"/>
      <w:marLeft w:val="0"/>
      <w:marRight w:val="0"/>
      <w:marTop w:val="0"/>
      <w:marBottom w:val="0"/>
      <w:divBdr>
        <w:top w:val="none" w:sz="0" w:space="0" w:color="auto"/>
        <w:left w:val="none" w:sz="0" w:space="0" w:color="auto"/>
        <w:bottom w:val="none" w:sz="0" w:space="0" w:color="auto"/>
        <w:right w:val="none" w:sz="0" w:space="0" w:color="auto"/>
      </w:divBdr>
    </w:div>
    <w:div w:id="1716126356">
      <w:bodyDiv w:val="1"/>
      <w:marLeft w:val="0"/>
      <w:marRight w:val="0"/>
      <w:marTop w:val="0"/>
      <w:marBottom w:val="0"/>
      <w:divBdr>
        <w:top w:val="none" w:sz="0" w:space="0" w:color="auto"/>
        <w:left w:val="none" w:sz="0" w:space="0" w:color="auto"/>
        <w:bottom w:val="none" w:sz="0" w:space="0" w:color="auto"/>
        <w:right w:val="none" w:sz="0" w:space="0" w:color="auto"/>
      </w:divBdr>
    </w:div>
    <w:div w:id="194576469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7">
          <w:marLeft w:val="274"/>
          <w:marRight w:val="0"/>
          <w:marTop w:val="120"/>
          <w:marBottom w:val="0"/>
          <w:divBdr>
            <w:top w:val="none" w:sz="0" w:space="0" w:color="auto"/>
            <w:left w:val="none" w:sz="0" w:space="0" w:color="auto"/>
            <w:bottom w:val="none" w:sz="0" w:space="0" w:color="auto"/>
            <w:right w:val="none" w:sz="0" w:space="0" w:color="auto"/>
          </w:divBdr>
        </w:div>
      </w:divsChild>
    </w:div>
    <w:div w:id="1979457313">
      <w:bodyDiv w:val="1"/>
      <w:marLeft w:val="0"/>
      <w:marRight w:val="0"/>
      <w:marTop w:val="0"/>
      <w:marBottom w:val="0"/>
      <w:divBdr>
        <w:top w:val="none" w:sz="0" w:space="0" w:color="auto"/>
        <w:left w:val="none" w:sz="0" w:space="0" w:color="auto"/>
        <w:bottom w:val="none" w:sz="0" w:space="0" w:color="auto"/>
        <w:right w:val="none" w:sz="0" w:space="0" w:color="auto"/>
      </w:divBdr>
      <w:divsChild>
        <w:div w:id="34729327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iona.carroll@ptsb.i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ott.rankin@ptsb.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TaxCatchAll xmlns="801a3cf6-255d-4ff5-98fe-b4415afa84b5" xsi:nil="true"/>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2025-07-31T06:21:59+00:00</DateReceived>
  </documentManagement>
</p:properties>
</file>

<file path=customXml/item4.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3EE7AD-E5F1-4AB3-A7F9-4967E1E11238}">
  <ds:schemaRefs>
    <ds:schemaRef ds:uri="http://schemas.openxmlformats.org/officeDocument/2006/bibliography"/>
  </ds:schemaRefs>
</ds:datastoreItem>
</file>

<file path=customXml/itemProps2.xml><?xml version="1.0" encoding="utf-8"?>
<ds:datastoreItem xmlns:ds="http://schemas.openxmlformats.org/officeDocument/2006/customXml" ds:itemID="{8333F277-24D8-45F9-A179-A9F0DEA177DE}">
  <ds:schemaRefs>
    <ds:schemaRef ds:uri="http://schemas.microsoft.com/sharepoint/v3/contenttype/forms"/>
  </ds:schemaRefs>
</ds:datastoreItem>
</file>

<file path=customXml/itemProps3.xml><?xml version="1.0" encoding="utf-8"?>
<ds:datastoreItem xmlns:ds="http://schemas.openxmlformats.org/officeDocument/2006/customXml" ds:itemID="{12146C2A-3616-4D80-BBD2-EE5154DE85FF}">
  <ds:schemaRefs>
    <ds:schemaRef ds:uri="http://schemas.microsoft.com/office/infopath/2007/PartnerControls"/>
    <ds:schemaRef ds:uri="http://purl.org/dc/terms/"/>
    <ds:schemaRef ds:uri="59f456fd-31cc-4bb1-8302-24c0f87d9efd"/>
    <ds:schemaRef ds:uri="http://schemas.microsoft.com/office/2006/documentManagement/types"/>
    <ds:schemaRef ds:uri="9ceb214f-acdf-47fd-be34-2ce4fdc0815f"/>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943FADE-0722-4E69-8742-33CF70754CFF}"/>
</file>

<file path=docProps/app.xml><?xml version="1.0" encoding="utf-8"?>
<Properties xmlns="http://schemas.openxmlformats.org/officeDocument/2006/extended-properties" xmlns:vt="http://schemas.openxmlformats.org/officeDocument/2006/docPropsVTypes">
  <Template>Normal</Template>
  <TotalTime>640</TotalTime>
  <Pages>5</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Permanent TSB</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Nicola</dc:creator>
  <cp:keywords/>
  <dc:description/>
  <cp:lastModifiedBy>Duddy, Niamh</cp:lastModifiedBy>
  <cp:revision>50</cp:revision>
  <cp:lastPrinted>2025-07-24T15:42:00Z</cp:lastPrinted>
  <dcterms:created xsi:type="dcterms:W3CDTF">2025-07-24T10:17:00Z</dcterms:created>
  <dcterms:modified xsi:type="dcterms:W3CDTF">2025-07-30T19:34:00Z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ClassificationContentMarkingFooterShapeIds">
    <vt:lpwstr>1,2,3</vt:lpwstr>
  </property>
  <property fmtid="{D5CDD505-2E9C-101B-9397-08002B2CF9AE}" pid="4" name="ClassificationContentMarkingFooterFontProps">
    <vt:lpwstr>#ff0000,10,Calibri</vt:lpwstr>
  </property>
  <property fmtid="{D5CDD505-2E9C-101B-9397-08002B2CF9AE}" pid="5" name="ClassificationContentMarkingFooterText">
    <vt:lpwstr>Confidential!</vt:lpwstr>
  </property>
  <property fmtid="{D5CDD505-2E9C-101B-9397-08002B2CF9AE}" pid="6" name="MSIP_Label_45149c40-6634-4ccb-8351-f65e48058dbc_Enabled">
    <vt:lpwstr>true</vt:lpwstr>
  </property>
  <property fmtid="{D5CDD505-2E9C-101B-9397-08002B2CF9AE}" pid="7" name="MSIP_Label_45149c40-6634-4ccb-8351-f65e48058dbc_SetDate">
    <vt:lpwstr>2025-01-08T14:18:00Z</vt:lpwstr>
  </property>
  <property fmtid="{D5CDD505-2E9C-101B-9397-08002B2CF9AE}" pid="8" name="MSIP_Label_45149c40-6634-4ccb-8351-f65e48058dbc_Method">
    <vt:lpwstr>Standard</vt:lpwstr>
  </property>
  <property fmtid="{D5CDD505-2E9C-101B-9397-08002B2CF9AE}" pid="9" name="MSIP_Label_45149c40-6634-4ccb-8351-f65e48058dbc_Name">
    <vt:lpwstr>PTSBSL02-M365</vt:lpwstr>
  </property>
  <property fmtid="{D5CDD505-2E9C-101B-9397-08002B2CF9AE}" pid="10" name="MSIP_Label_45149c40-6634-4ccb-8351-f65e48058dbc_SiteId">
    <vt:lpwstr>2b70841c-0d13-41c1-b3ac-15ef3536c49a</vt:lpwstr>
  </property>
  <property fmtid="{D5CDD505-2E9C-101B-9397-08002B2CF9AE}" pid="11" name="MSIP_Label_45149c40-6634-4ccb-8351-f65e48058dbc_ActionId">
    <vt:lpwstr>e95b4cdf-fc3b-4a10-928e-a34b4611f1ab</vt:lpwstr>
  </property>
  <property fmtid="{D5CDD505-2E9C-101B-9397-08002B2CF9AE}" pid="12" name="MSIP_Label_45149c40-6634-4ccb-8351-f65e48058dbc_ContentBits">
    <vt:lpwstr>2</vt:lpwstr>
  </property>
  <property fmtid="{D5CDD505-2E9C-101B-9397-08002B2CF9AE}" pid="13" name="_AdHocReviewCycleID">
    <vt:i4>485150585</vt:i4>
  </property>
  <property fmtid="{D5CDD505-2E9C-101B-9397-08002B2CF9AE}" pid="14" name="_NewReviewCycle">
    <vt:lpwstr/>
  </property>
  <property fmtid="{D5CDD505-2E9C-101B-9397-08002B2CF9AE}" pid="15" name="_EmailSubject">
    <vt:lpwstr>Trading statement for RNS upload</vt:lpwstr>
  </property>
  <property fmtid="{D5CDD505-2E9C-101B-9397-08002B2CF9AE}" pid="16" name="_AuthorEmail">
    <vt:lpwstr>Cathal.Barry@ptsb.ie</vt:lpwstr>
  </property>
  <property fmtid="{D5CDD505-2E9C-101B-9397-08002B2CF9AE}" pid="17" name="_AuthorEmailDisplayName">
    <vt:lpwstr>Barry, Cathal</vt:lpwstr>
  </property>
  <property fmtid="{D5CDD505-2E9C-101B-9397-08002B2CF9AE}" pid="18" name="_PreviousAdHocReviewCycleID">
    <vt:i4>-477808281</vt:i4>
  </property>
  <property fmtid="{D5CDD505-2E9C-101B-9397-08002B2CF9AE}" pid="19" name="_ReviewingToolsShownOnce">
    <vt:lpwstr/>
  </property>
  <property fmtid="{D5CDD505-2E9C-101B-9397-08002B2CF9AE}" pid="20" name="MediaServiceImageTags">
    <vt:lpwstr/>
  </property>
</Properties>
</file>