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3FD" w:rsidRPr="00B403FD" w:rsidRDefault="00B403FD" w:rsidP="00B403FD">
      <w:pPr>
        <w:rPr>
          <w:rFonts w:ascii="Arial" w:hAnsi="Arial" w:cs="Arial"/>
          <w:sz w:val="20"/>
          <w:szCs w:val="20"/>
        </w:rPr>
      </w:pPr>
      <w:r w:rsidRPr="00B403FD">
        <w:rPr>
          <w:rFonts w:ascii="Arial" w:hAnsi="Arial" w:cs="Arial"/>
          <w:sz w:val="20"/>
          <w:szCs w:val="20"/>
        </w:rPr>
        <w:t>13 March 2018</w:t>
      </w:r>
    </w:p>
    <w:p w:rsidR="00B403FD" w:rsidRPr="006B1D6A" w:rsidRDefault="00B403FD" w:rsidP="00B403FD">
      <w:pPr>
        <w:tabs>
          <w:tab w:val="left" w:pos="0"/>
          <w:tab w:val="left" w:pos="7200"/>
        </w:tabs>
        <w:ind w:right="-1234"/>
        <w:jc w:val="center"/>
        <w:rPr>
          <w:rFonts w:cs="Arial"/>
          <w:lang w:val="en-IE"/>
        </w:rPr>
      </w:pPr>
    </w:p>
    <w:p w:rsidR="003435A6" w:rsidRDefault="00B403FD" w:rsidP="00B403FD">
      <w:pPr>
        <w:tabs>
          <w:tab w:val="left" w:pos="0"/>
          <w:tab w:val="left" w:pos="7200"/>
        </w:tabs>
        <w:ind w:right="42"/>
        <w:jc w:val="center"/>
        <w:rPr>
          <w:rFonts w:ascii="Arial" w:hAnsi="Arial" w:cs="Arial"/>
          <w:b/>
          <w:lang w:val="en-IE"/>
        </w:rPr>
      </w:pPr>
      <w:r w:rsidRPr="001B3712">
        <w:rPr>
          <w:rFonts w:ascii="Arial" w:hAnsi="Arial" w:cs="Arial"/>
          <w:b/>
          <w:lang w:val="en-IE"/>
        </w:rPr>
        <w:t>GREENCORE GROUP PLC</w:t>
      </w:r>
    </w:p>
    <w:p w:rsidR="00B403FD" w:rsidRPr="00B403FD" w:rsidRDefault="00B403FD" w:rsidP="00B403FD">
      <w:pPr>
        <w:tabs>
          <w:tab w:val="left" w:pos="0"/>
          <w:tab w:val="left" w:pos="7200"/>
        </w:tabs>
        <w:ind w:right="42"/>
        <w:jc w:val="center"/>
        <w:rPr>
          <w:rFonts w:ascii="Arial" w:hAnsi="Arial" w:cs="Arial"/>
          <w:b/>
          <w:lang w:val="en-IE"/>
        </w:rPr>
      </w:pPr>
    </w:p>
    <w:p w:rsidR="003435A6" w:rsidRPr="002A69EB" w:rsidRDefault="009C2150" w:rsidP="009C2150">
      <w:pPr>
        <w:pStyle w:val="Body"/>
        <w:jc w:val="center"/>
        <w:rPr>
          <w:rFonts w:ascii="Arial" w:hAnsi="Arial" w:cs="Arial"/>
          <w:b/>
          <w:bCs/>
          <w:caps/>
          <w:lang w:val="en-US"/>
        </w:rPr>
      </w:pPr>
      <w:r w:rsidRPr="002A69EB">
        <w:rPr>
          <w:rFonts w:ascii="Arial" w:hAnsi="Arial" w:cs="Arial"/>
          <w:b/>
          <w:bCs/>
          <w:caps/>
          <w:lang w:val="en-US"/>
        </w:rPr>
        <w:t>Business and T</w:t>
      </w:r>
      <w:bookmarkStart w:id="0" w:name="_GoBack"/>
      <w:bookmarkEnd w:id="0"/>
      <w:r w:rsidRPr="002A69EB">
        <w:rPr>
          <w:rFonts w:ascii="Arial" w:hAnsi="Arial" w:cs="Arial"/>
          <w:b/>
          <w:bCs/>
          <w:caps/>
          <w:lang w:val="en-US"/>
        </w:rPr>
        <w:t xml:space="preserve">rading </w:t>
      </w:r>
      <w:r w:rsidR="00E20F19" w:rsidRPr="002A69EB">
        <w:rPr>
          <w:rFonts w:ascii="Arial" w:hAnsi="Arial" w:cs="Arial"/>
          <w:b/>
          <w:bCs/>
          <w:caps/>
          <w:lang w:val="en-US"/>
        </w:rPr>
        <w:t>Update</w:t>
      </w:r>
    </w:p>
    <w:p w:rsidR="00440783" w:rsidRDefault="00440783" w:rsidP="009C2150">
      <w:pPr>
        <w:pStyle w:val="Body"/>
        <w:jc w:val="center"/>
        <w:rPr>
          <w:b/>
          <w:bCs/>
        </w:rPr>
      </w:pPr>
    </w:p>
    <w:p w:rsidR="00E20F19" w:rsidRDefault="003435A6" w:rsidP="003435A6">
      <w:pPr>
        <w:pStyle w:val="Body"/>
        <w:rPr>
          <w:lang w:val="en-US"/>
        </w:rPr>
      </w:pPr>
      <w:r>
        <w:rPr>
          <w:lang w:val="fr-FR"/>
        </w:rPr>
        <w:t>Greencore Group plc (</w:t>
      </w:r>
      <w:r>
        <w:t>“</w:t>
      </w:r>
      <w:r>
        <w:rPr>
          <w:lang w:val="fr-FR"/>
        </w:rPr>
        <w:t>Greencore</w:t>
      </w:r>
      <w:r>
        <w:t>” or the “Group”</w:t>
      </w:r>
      <w:r>
        <w:rPr>
          <w:lang w:val="en-US"/>
        </w:rPr>
        <w:t xml:space="preserve">), the leading international convenience food business, today announces </w:t>
      </w:r>
      <w:r w:rsidR="00E20F19">
        <w:rPr>
          <w:lang w:val="en-US"/>
        </w:rPr>
        <w:t xml:space="preserve">a </w:t>
      </w:r>
      <w:r w:rsidR="009C2150">
        <w:rPr>
          <w:lang w:val="en-US"/>
        </w:rPr>
        <w:t>business and trading</w:t>
      </w:r>
      <w:r w:rsidR="00E20F19">
        <w:rPr>
          <w:lang w:val="en-US"/>
        </w:rPr>
        <w:t xml:space="preserve"> update.</w:t>
      </w:r>
    </w:p>
    <w:p w:rsidR="00701889" w:rsidRDefault="00701889" w:rsidP="003435A6">
      <w:pPr>
        <w:pStyle w:val="Body"/>
        <w:rPr>
          <w:lang w:val="en-US"/>
        </w:rPr>
      </w:pPr>
      <w:r>
        <w:rPr>
          <w:lang w:val="en-US"/>
        </w:rPr>
        <w:t>The key highlights are:</w:t>
      </w:r>
    </w:p>
    <w:p w:rsidR="00701889" w:rsidRDefault="00701889" w:rsidP="008F79F1">
      <w:pPr>
        <w:pStyle w:val="Body"/>
        <w:numPr>
          <w:ilvl w:val="0"/>
          <w:numId w:val="41"/>
        </w:numPr>
        <w:rPr>
          <w:lang w:val="en-US"/>
        </w:rPr>
      </w:pPr>
      <w:r>
        <w:rPr>
          <w:lang w:val="en-US"/>
        </w:rPr>
        <w:t xml:space="preserve">Restructuring </w:t>
      </w:r>
      <w:r w:rsidR="00B61197">
        <w:rPr>
          <w:lang w:val="en-US"/>
        </w:rPr>
        <w:t xml:space="preserve">of </w:t>
      </w:r>
      <w:r>
        <w:rPr>
          <w:lang w:val="en-US"/>
        </w:rPr>
        <w:t xml:space="preserve">the US network to </w:t>
      </w:r>
      <w:r w:rsidR="002845EF">
        <w:rPr>
          <w:lang w:val="en-US"/>
        </w:rPr>
        <w:t xml:space="preserve">match capacity to commercial pipeline </w:t>
      </w:r>
    </w:p>
    <w:p w:rsidR="00701889" w:rsidRDefault="00CA2046" w:rsidP="008F79F1">
      <w:pPr>
        <w:pStyle w:val="Body"/>
        <w:numPr>
          <w:ilvl w:val="0"/>
          <w:numId w:val="41"/>
        </w:numPr>
        <w:rPr>
          <w:lang w:val="en-US"/>
        </w:rPr>
      </w:pPr>
      <w:r>
        <w:rPr>
          <w:lang w:val="en-US"/>
        </w:rPr>
        <w:t xml:space="preserve">Changes in </w:t>
      </w:r>
      <w:r w:rsidR="00701889">
        <w:rPr>
          <w:lang w:val="en-US"/>
        </w:rPr>
        <w:t xml:space="preserve">the US leadership </w:t>
      </w:r>
      <w:r w:rsidR="002845EF">
        <w:rPr>
          <w:lang w:val="en-US"/>
        </w:rPr>
        <w:t xml:space="preserve">model and </w:t>
      </w:r>
      <w:r w:rsidR="00701889">
        <w:rPr>
          <w:lang w:val="en-US"/>
        </w:rPr>
        <w:t>team</w:t>
      </w:r>
    </w:p>
    <w:p w:rsidR="00F65FF0" w:rsidRPr="00B403FD" w:rsidRDefault="005A73BF" w:rsidP="00883EE9">
      <w:pPr>
        <w:pStyle w:val="Body"/>
        <w:numPr>
          <w:ilvl w:val="0"/>
          <w:numId w:val="41"/>
        </w:numPr>
        <w:rPr>
          <w:lang w:val="en-US"/>
        </w:rPr>
      </w:pPr>
      <w:r>
        <w:rPr>
          <w:lang w:val="en-US"/>
        </w:rPr>
        <w:t>Updated FY18 outlook for A</w:t>
      </w:r>
      <w:r w:rsidR="00701889">
        <w:rPr>
          <w:lang w:val="en-US"/>
        </w:rPr>
        <w:t>djusted EPS</w:t>
      </w:r>
      <w:r w:rsidRPr="005A73BF">
        <w:rPr>
          <w:vertAlign w:val="superscript"/>
          <w:lang w:val="en-US"/>
        </w:rPr>
        <w:t>1</w:t>
      </w:r>
      <w:r w:rsidR="00701889">
        <w:rPr>
          <w:lang w:val="en-US"/>
        </w:rPr>
        <w:t xml:space="preserve"> of 1</w:t>
      </w:r>
      <w:r w:rsidR="002845EF">
        <w:rPr>
          <w:lang w:val="en-US"/>
        </w:rPr>
        <w:t>4.7</w:t>
      </w:r>
      <w:r>
        <w:rPr>
          <w:lang w:val="en-US"/>
        </w:rPr>
        <w:t>p</w:t>
      </w:r>
      <w:r w:rsidR="00701889">
        <w:rPr>
          <w:lang w:val="en-US"/>
        </w:rPr>
        <w:t>-1</w:t>
      </w:r>
      <w:r w:rsidR="002845EF">
        <w:rPr>
          <w:lang w:val="en-US"/>
        </w:rPr>
        <w:t>5.7</w:t>
      </w:r>
      <w:r w:rsidR="00701889">
        <w:rPr>
          <w:lang w:val="en-US"/>
        </w:rPr>
        <w:t xml:space="preserve">p to reflect </w:t>
      </w:r>
      <w:r w:rsidR="002845EF">
        <w:rPr>
          <w:lang w:val="en-US"/>
        </w:rPr>
        <w:t xml:space="preserve">business </w:t>
      </w:r>
      <w:r w:rsidR="00701889">
        <w:rPr>
          <w:lang w:val="en-US"/>
        </w:rPr>
        <w:t>developments</w:t>
      </w:r>
      <w:r w:rsidR="002845EF">
        <w:rPr>
          <w:lang w:val="en-US"/>
        </w:rPr>
        <w:t xml:space="preserve"> and current exchange rates</w:t>
      </w:r>
    </w:p>
    <w:p w:rsidR="00883EE9" w:rsidRPr="00E20F19" w:rsidRDefault="00883EE9" w:rsidP="00883EE9">
      <w:pPr>
        <w:pStyle w:val="Body"/>
        <w:rPr>
          <w:b/>
        </w:rPr>
      </w:pPr>
      <w:r>
        <w:rPr>
          <w:b/>
        </w:rPr>
        <w:t xml:space="preserve">US </w:t>
      </w:r>
      <w:r w:rsidR="00F568A6">
        <w:rPr>
          <w:b/>
        </w:rPr>
        <w:t>Network and Commercial</w:t>
      </w:r>
      <w:r w:rsidR="007D55D3">
        <w:rPr>
          <w:b/>
        </w:rPr>
        <w:t xml:space="preserve"> Update</w:t>
      </w:r>
      <w:r w:rsidRPr="00E20F19">
        <w:rPr>
          <w:b/>
        </w:rPr>
        <w:t xml:space="preserve"> </w:t>
      </w:r>
    </w:p>
    <w:p w:rsidR="007D55D3" w:rsidRDefault="008A09CD" w:rsidP="003435A6">
      <w:pPr>
        <w:pStyle w:val="Body"/>
        <w:rPr>
          <w:lang w:val="en-US"/>
        </w:rPr>
      </w:pPr>
      <w:r>
        <w:rPr>
          <w:lang w:val="en-US"/>
        </w:rPr>
        <w:t xml:space="preserve">The acquisition of Peacock Foods in </w:t>
      </w:r>
      <w:r w:rsidR="009164AE">
        <w:rPr>
          <w:lang w:val="en-US"/>
        </w:rPr>
        <w:t>December 2016</w:t>
      </w:r>
      <w:r>
        <w:rPr>
          <w:lang w:val="en-US"/>
        </w:rPr>
        <w:t xml:space="preserve"> greatly enhanced the scale, operational capabilities and financial performance of Greencore US.  </w:t>
      </w:r>
      <w:r w:rsidR="002845EF">
        <w:rPr>
          <w:lang w:val="en-US"/>
        </w:rPr>
        <w:t>Since then</w:t>
      </w:r>
      <w:r>
        <w:rPr>
          <w:lang w:val="en-US"/>
        </w:rPr>
        <w:t xml:space="preserve"> the Group has been</w:t>
      </w:r>
      <w:r w:rsidR="00440783">
        <w:rPr>
          <w:lang w:val="en-US"/>
        </w:rPr>
        <w:t xml:space="preserve"> actively </w:t>
      </w:r>
      <w:r>
        <w:rPr>
          <w:lang w:val="en-US"/>
        </w:rPr>
        <w:t xml:space="preserve">seeking to </w:t>
      </w:r>
      <w:r w:rsidR="00440783">
        <w:rPr>
          <w:lang w:val="en-US"/>
        </w:rPr>
        <w:t xml:space="preserve">align </w:t>
      </w:r>
      <w:r>
        <w:rPr>
          <w:lang w:val="en-US"/>
        </w:rPr>
        <w:t>the</w:t>
      </w:r>
      <w:r w:rsidR="00440783">
        <w:rPr>
          <w:lang w:val="en-US"/>
        </w:rPr>
        <w:t xml:space="preserve"> manufacturing network </w:t>
      </w:r>
      <w:r w:rsidR="00F568A6">
        <w:rPr>
          <w:lang w:val="en-US"/>
        </w:rPr>
        <w:t>of</w:t>
      </w:r>
      <w:r w:rsidR="00B61197">
        <w:rPr>
          <w:lang w:val="en-US"/>
        </w:rPr>
        <w:t xml:space="preserve"> approximately 2.5m square feet</w:t>
      </w:r>
      <w:r w:rsidR="00F568A6">
        <w:rPr>
          <w:lang w:val="en-US"/>
        </w:rPr>
        <w:t xml:space="preserve"> </w:t>
      </w:r>
      <w:r w:rsidR="005E4A43">
        <w:rPr>
          <w:lang w:val="en-US"/>
        </w:rPr>
        <w:t>with</w:t>
      </w:r>
      <w:r>
        <w:rPr>
          <w:lang w:val="en-US"/>
        </w:rPr>
        <w:t xml:space="preserve"> </w:t>
      </w:r>
      <w:r w:rsidR="00440783">
        <w:rPr>
          <w:lang w:val="en-US"/>
        </w:rPr>
        <w:t xml:space="preserve">current and prospective commercial opportunities.  In </w:t>
      </w:r>
      <w:r w:rsidR="009164AE">
        <w:rPr>
          <w:lang w:val="en-US"/>
        </w:rPr>
        <w:t xml:space="preserve">its </w:t>
      </w:r>
      <w:r>
        <w:rPr>
          <w:lang w:val="en-US"/>
        </w:rPr>
        <w:t xml:space="preserve">FY17 results and </w:t>
      </w:r>
      <w:r w:rsidR="00440783">
        <w:rPr>
          <w:lang w:val="en-US"/>
        </w:rPr>
        <w:t xml:space="preserve">FY18 </w:t>
      </w:r>
      <w:r w:rsidR="007D55D3" w:rsidRPr="00883EE9">
        <w:rPr>
          <w:lang w:val="en-US"/>
        </w:rPr>
        <w:t xml:space="preserve">Q1 trading update, </w:t>
      </w:r>
      <w:r w:rsidR="009164AE">
        <w:rPr>
          <w:lang w:val="en-US"/>
        </w:rPr>
        <w:t xml:space="preserve">the Group </w:t>
      </w:r>
      <w:r w:rsidR="005A73BF">
        <w:rPr>
          <w:lang w:val="en-US"/>
        </w:rPr>
        <w:t>noted</w:t>
      </w:r>
      <w:r w:rsidR="005C12FF">
        <w:rPr>
          <w:lang w:val="en-US"/>
        </w:rPr>
        <w:t xml:space="preserve"> </w:t>
      </w:r>
      <w:r w:rsidR="009164AE">
        <w:rPr>
          <w:lang w:val="en-US"/>
        </w:rPr>
        <w:t xml:space="preserve">continued low capacity utilisation </w:t>
      </w:r>
      <w:r w:rsidR="00AD57AF">
        <w:rPr>
          <w:lang w:val="en-US"/>
        </w:rPr>
        <w:t xml:space="preserve">at </w:t>
      </w:r>
      <w:r w:rsidR="009164AE">
        <w:rPr>
          <w:lang w:val="en-US"/>
        </w:rPr>
        <w:t xml:space="preserve">some </w:t>
      </w:r>
      <w:r>
        <w:rPr>
          <w:lang w:val="en-US"/>
        </w:rPr>
        <w:t xml:space="preserve">of the </w:t>
      </w:r>
      <w:r w:rsidR="009164AE">
        <w:rPr>
          <w:lang w:val="en-US"/>
        </w:rPr>
        <w:t xml:space="preserve">original </w:t>
      </w:r>
      <w:r w:rsidR="00650A61">
        <w:rPr>
          <w:lang w:val="en-US"/>
        </w:rPr>
        <w:t>Greencore</w:t>
      </w:r>
      <w:r w:rsidR="00AD57AF" w:rsidRPr="00AD57AF">
        <w:rPr>
          <w:lang w:val="en-US"/>
        </w:rPr>
        <w:t xml:space="preserve"> </w:t>
      </w:r>
      <w:r w:rsidR="00650A61">
        <w:rPr>
          <w:lang w:val="en-US"/>
        </w:rPr>
        <w:t xml:space="preserve">US </w:t>
      </w:r>
      <w:r w:rsidR="00AD57AF" w:rsidRPr="00AD57AF">
        <w:rPr>
          <w:lang w:val="en-US"/>
        </w:rPr>
        <w:t>sites</w:t>
      </w:r>
      <w:r w:rsidR="00440783">
        <w:rPr>
          <w:lang w:val="en-US"/>
        </w:rPr>
        <w:t xml:space="preserve">.  </w:t>
      </w:r>
      <w:r w:rsidR="007F35AC">
        <w:rPr>
          <w:lang w:val="en-US"/>
        </w:rPr>
        <w:t xml:space="preserve">The Group is now restructuring its US network to reflect </w:t>
      </w:r>
      <w:r w:rsidR="009164AE">
        <w:rPr>
          <w:lang w:val="en-US"/>
        </w:rPr>
        <w:t xml:space="preserve">the </w:t>
      </w:r>
      <w:r w:rsidR="007F35AC">
        <w:rPr>
          <w:lang w:val="en-US"/>
        </w:rPr>
        <w:t xml:space="preserve">commercial </w:t>
      </w:r>
      <w:r w:rsidR="009164AE">
        <w:rPr>
          <w:lang w:val="en-US"/>
        </w:rPr>
        <w:t xml:space="preserve">pipeline </w:t>
      </w:r>
      <w:r w:rsidR="007F35AC">
        <w:rPr>
          <w:lang w:val="en-US"/>
        </w:rPr>
        <w:t xml:space="preserve">and </w:t>
      </w:r>
      <w:r w:rsidR="009164AE">
        <w:rPr>
          <w:lang w:val="en-US"/>
        </w:rPr>
        <w:t xml:space="preserve">to </w:t>
      </w:r>
      <w:r w:rsidR="007F35AC">
        <w:rPr>
          <w:lang w:val="en-US"/>
        </w:rPr>
        <w:t xml:space="preserve">address </w:t>
      </w:r>
      <w:r w:rsidR="005E4A43">
        <w:rPr>
          <w:lang w:val="en-US"/>
        </w:rPr>
        <w:t>these</w:t>
      </w:r>
      <w:r w:rsidR="002845EF">
        <w:rPr>
          <w:lang w:val="en-US"/>
        </w:rPr>
        <w:t xml:space="preserve"> </w:t>
      </w:r>
      <w:r w:rsidR="007F35AC">
        <w:rPr>
          <w:lang w:val="en-US"/>
        </w:rPr>
        <w:t>utilisation challenges.</w:t>
      </w:r>
    </w:p>
    <w:p w:rsidR="002C7349" w:rsidRPr="002C7349" w:rsidRDefault="002C7349" w:rsidP="002C7349">
      <w:pPr>
        <w:pStyle w:val="Body"/>
        <w:numPr>
          <w:ilvl w:val="0"/>
          <w:numId w:val="41"/>
        </w:numPr>
        <w:rPr>
          <w:lang w:val="en-US"/>
        </w:rPr>
      </w:pPr>
      <w:r w:rsidRPr="002C7349">
        <w:rPr>
          <w:b/>
          <w:lang w:val="en-US"/>
        </w:rPr>
        <w:t xml:space="preserve">Rhode Island:  </w:t>
      </w:r>
      <w:r w:rsidRPr="005D41F1">
        <w:rPr>
          <w:lang w:val="en-US"/>
        </w:rPr>
        <w:t>Current fresh production at the Rhode Island facility will cease</w:t>
      </w:r>
      <w:r w:rsidR="00B61197">
        <w:rPr>
          <w:lang w:val="en-US"/>
        </w:rPr>
        <w:t>,</w:t>
      </w:r>
      <w:r w:rsidRPr="005D41F1">
        <w:rPr>
          <w:lang w:val="en-US"/>
        </w:rPr>
        <w:t xml:space="preserve"> effective from 25 March 2018. The facility will be </w:t>
      </w:r>
      <w:r w:rsidR="009A62F6">
        <w:rPr>
          <w:lang w:val="en-US"/>
        </w:rPr>
        <w:t>retained</w:t>
      </w:r>
      <w:r>
        <w:rPr>
          <w:lang w:val="en-US"/>
        </w:rPr>
        <w:t xml:space="preserve"> for potential repurposing. </w:t>
      </w:r>
      <w:r w:rsidRPr="002C7349">
        <w:rPr>
          <w:lang w:val="en-US"/>
        </w:rPr>
        <w:t xml:space="preserve">The Rhode Island facility represented approximately 4% of the Group’s US manufacturing footprint and 2% of its pro forma revenue in FY17.  </w:t>
      </w:r>
      <w:r w:rsidR="00F568A6">
        <w:rPr>
          <w:lang w:val="en-US"/>
        </w:rPr>
        <w:t xml:space="preserve">This decision will address the operating losses </w:t>
      </w:r>
      <w:r w:rsidR="00B61197">
        <w:rPr>
          <w:lang w:val="en-US"/>
        </w:rPr>
        <w:t xml:space="preserve">of the site </w:t>
      </w:r>
      <w:r w:rsidR="00F568A6">
        <w:rPr>
          <w:lang w:val="en-US"/>
        </w:rPr>
        <w:t xml:space="preserve">that </w:t>
      </w:r>
      <w:r w:rsidRPr="002C7349">
        <w:rPr>
          <w:lang w:val="en-US"/>
        </w:rPr>
        <w:t xml:space="preserve">have </w:t>
      </w:r>
      <w:r w:rsidR="00F568A6">
        <w:rPr>
          <w:lang w:val="en-US"/>
        </w:rPr>
        <w:t>continu</w:t>
      </w:r>
      <w:r w:rsidRPr="002C7349">
        <w:rPr>
          <w:lang w:val="en-US"/>
        </w:rPr>
        <w:t>ed into FY18.</w:t>
      </w:r>
    </w:p>
    <w:p w:rsidR="000811AA" w:rsidRPr="008F79F1" w:rsidRDefault="005C12FF" w:rsidP="008F79F1">
      <w:pPr>
        <w:pStyle w:val="Body"/>
        <w:numPr>
          <w:ilvl w:val="0"/>
          <w:numId w:val="41"/>
        </w:numPr>
        <w:rPr>
          <w:b/>
          <w:lang w:val="en-US"/>
        </w:rPr>
      </w:pPr>
      <w:r w:rsidRPr="008F79F1">
        <w:rPr>
          <w:b/>
          <w:lang w:val="en-US"/>
        </w:rPr>
        <w:t xml:space="preserve">Jacksonville:  </w:t>
      </w:r>
      <w:r w:rsidRPr="008F79F1">
        <w:rPr>
          <w:lang w:val="en-US"/>
        </w:rPr>
        <w:t xml:space="preserve">In August 2017 </w:t>
      </w:r>
      <w:r w:rsidR="009164AE">
        <w:rPr>
          <w:lang w:val="en-US"/>
        </w:rPr>
        <w:t>the Group</w:t>
      </w:r>
      <w:r w:rsidR="009164AE" w:rsidRPr="008F79F1">
        <w:rPr>
          <w:lang w:val="en-US"/>
        </w:rPr>
        <w:t xml:space="preserve"> </w:t>
      </w:r>
      <w:r w:rsidRPr="008F79F1">
        <w:rPr>
          <w:lang w:val="en-US"/>
        </w:rPr>
        <w:t xml:space="preserve">announced </w:t>
      </w:r>
      <w:r w:rsidR="009164AE">
        <w:rPr>
          <w:lang w:val="en-US"/>
        </w:rPr>
        <w:t xml:space="preserve">its </w:t>
      </w:r>
      <w:r w:rsidRPr="008F79F1">
        <w:rPr>
          <w:lang w:val="en-US"/>
        </w:rPr>
        <w:t xml:space="preserve">intention to repurpose </w:t>
      </w:r>
      <w:r w:rsidR="00CF4002" w:rsidRPr="008F79F1">
        <w:rPr>
          <w:lang w:val="en-US"/>
        </w:rPr>
        <w:t>the</w:t>
      </w:r>
      <w:r w:rsidRPr="008F79F1">
        <w:rPr>
          <w:lang w:val="en-US"/>
        </w:rPr>
        <w:t xml:space="preserve"> </w:t>
      </w:r>
      <w:r w:rsidR="00624066" w:rsidRPr="008F79F1">
        <w:rPr>
          <w:lang w:val="en-US"/>
        </w:rPr>
        <w:t>Jacksonville facility</w:t>
      </w:r>
      <w:r w:rsidRPr="008F79F1">
        <w:rPr>
          <w:lang w:val="en-US"/>
        </w:rPr>
        <w:t xml:space="preserve"> following the</w:t>
      </w:r>
      <w:r w:rsidR="00B61197">
        <w:rPr>
          <w:lang w:val="en-US"/>
        </w:rPr>
        <w:t xml:space="preserve"> loss of a supply contract</w:t>
      </w:r>
      <w:r w:rsidRPr="008F79F1">
        <w:rPr>
          <w:lang w:val="en-US"/>
        </w:rPr>
        <w:t>.  While capacity utilisation has been low through the first half</w:t>
      </w:r>
      <w:r w:rsidR="00B61197">
        <w:rPr>
          <w:lang w:val="en-US"/>
        </w:rPr>
        <w:t xml:space="preserve"> of FY18, we now anticipate</w:t>
      </w:r>
      <w:r w:rsidR="00624066" w:rsidRPr="008F79F1">
        <w:rPr>
          <w:lang w:val="en-US"/>
        </w:rPr>
        <w:t xml:space="preserve"> </w:t>
      </w:r>
      <w:r w:rsidR="00B33B81">
        <w:rPr>
          <w:lang w:val="en-US"/>
        </w:rPr>
        <w:t>that</w:t>
      </w:r>
      <w:r w:rsidR="005A73BF">
        <w:rPr>
          <w:lang w:val="en-US"/>
        </w:rPr>
        <w:t xml:space="preserve"> </w:t>
      </w:r>
      <w:r w:rsidRPr="008F79F1">
        <w:rPr>
          <w:lang w:val="en-US"/>
        </w:rPr>
        <w:t xml:space="preserve">new </w:t>
      </w:r>
      <w:r w:rsidR="00624066" w:rsidRPr="008F79F1">
        <w:rPr>
          <w:lang w:val="en-US"/>
        </w:rPr>
        <w:t xml:space="preserve">business </w:t>
      </w:r>
      <w:r w:rsidR="00F568A6">
        <w:rPr>
          <w:lang w:val="en-US"/>
        </w:rPr>
        <w:t>win</w:t>
      </w:r>
      <w:r w:rsidR="00B33B81">
        <w:rPr>
          <w:lang w:val="en-US"/>
        </w:rPr>
        <w:t>s</w:t>
      </w:r>
      <w:r w:rsidRPr="008F79F1">
        <w:rPr>
          <w:lang w:val="en-US"/>
        </w:rPr>
        <w:t xml:space="preserve"> </w:t>
      </w:r>
      <w:r w:rsidR="00B33B81">
        <w:rPr>
          <w:lang w:val="en-US"/>
        </w:rPr>
        <w:t xml:space="preserve">will increase </w:t>
      </w:r>
      <w:r w:rsidR="00624066" w:rsidRPr="008F79F1">
        <w:rPr>
          <w:lang w:val="en-US"/>
        </w:rPr>
        <w:t xml:space="preserve">volumes </w:t>
      </w:r>
      <w:r w:rsidRPr="008F79F1">
        <w:rPr>
          <w:lang w:val="en-US"/>
        </w:rPr>
        <w:t xml:space="preserve">and site utilisation </w:t>
      </w:r>
      <w:r w:rsidR="00624066" w:rsidRPr="008F79F1">
        <w:rPr>
          <w:lang w:val="en-US"/>
        </w:rPr>
        <w:t>from Q4</w:t>
      </w:r>
      <w:r w:rsidRPr="008F79F1">
        <w:rPr>
          <w:lang w:val="en-US"/>
        </w:rPr>
        <w:t xml:space="preserve"> FY18</w:t>
      </w:r>
      <w:r w:rsidR="00624066" w:rsidRPr="008F79F1">
        <w:rPr>
          <w:lang w:val="en-US"/>
        </w:rPr>
        <w:t>.</w:t>
      </w:r>
    </w:p>
    <w:p w:rsidR="005C12FF" w:rsidRPr="008F79F1" w:rsidRDefault="005C12FF" w:rsidP="008F79F1">
      <w:pPr>
        <w:pStyle w:val="Body"/>
        <w:numPr>
          <w:ilvl w:val="0"/>
          <w:numId w:val="41"/>
        </w:numPr>
        <w:rPr>
          <w:b/>
          <w:lang w:val="en-US"/>
        </w:rPr>
      </w:pPr>
      <w:r w:rsidRPr="0084147B">
        <w:rPr>
          <w:b/>
          <w:lang w:val="en-US"/>
        </w:rPr>
        <w:t>Minneapolis</w:t>
      </w:r>
      <w:r w:rsidRPr="008F79F1">
        <w:rPr>
          <w:b/>
          <w:lang w:val="en-US"/>
        </w:rPr>
        <w:t xml:space="preserve">:  </w:t>
      </w:r>
      <w:r w:rsidR="00997EBB">
        <w:rPr>
          <w:lang w:val="en-US"/>
        </w:rPr>
        <w:t>At the point of the Peacock Foods acquisition,</w:t>
      </w:r>
      <w:r w:rsidRPr="009164AE">
        <w:rPr>
          <w:lang w:val="en-US"/>
        </w:rPr>
        <w:t xml:space="preserve"> </w:t>
      </w:r>
      <w:r w:rsidR="002D7163" w:rsidRPr="009164AE">
        <w:rPr>
          <w:lang w:val="en-US"/>
        </w:rPr>
        <w:t>capacity</w:t>
      </w:r>
      <w:r w:rsidRPr="009164AE">
        <w:rPr>
          <w:lang w:val="en-US"/>
        </w:rPr>
        <w:t xml:space="preserve"> utilisation and </w:t>
      </w:r>
      <w:r w:rsidR="002D7163" w:rsidRPr="009164AE">
        <w:rPr>
          <w:lang w:val="en-US"/>
        </w:rPr>
        <w:t xml:space="preserve">site economics were weak at </w:t>
      </w:r>
      <w:r w:rsidR="009164AE">
        <w:rPr>
          <w:lang w:val="en-US"/>
        </w:rPr>
        <w:t xml:space="preserve">the </w:t>
      </w:r>
      <w:r w:rsidR="002D7163" w:rsidRPr="009164AE">
        <w:rPr>
          <w:lang w:val="en-US"/>
        </w:rPr>
        <w:t xml:space="preserve">Minneapolis site.  Over the past 12 months </w:t>
      </w:r>
      <w:r w:rsidR="009164AE">
        <w:rPr>
          <w:lang w:val="en-US"/>
        </w:rPr>
        <w:t xml:space="preserve">the Group </w:t>
      </w:r>
      <w:r w:rsidR="002D7163" w:rsidRPr="009164AE">
        <w:rPr>
          <w:lang w:val="en-US"/>
        </w:rPr>
        <w:t>ha</w:t>
      </w:r>
      <w:r w:rsidR="009164AE">
        <w:rPr>
          <w:lang w:val="en-US"/>
        </w:rPr>
        <w:t>s</w:t>
      </w:r>
      <w:r w:rsidR="002D7163" w:rsidRPr="009164AE">
        <w:rPr>
          <w:lang w:val="en-US"/>
        </w:rPr>
        <w:t xml:space="preserve"> delivered several pieces of new business</w:t>
      </w:r>
      <w:r w:rsidR="00075994" w:rsidRPr="009164AE">
        <w:rPr>
          <w:lang w:val="en-US"/>
        </w:rPr>
        <w:t xml:space="preserve"> to the site</w:t>
      </w:r>
      <w:r w:rsidR="002D7163" w:rsidRPr="009164AE">
        <w:rPr>
          <w:lang w:val="en-US"/>
        </w:rPr>
        <w:t>, such that utilisation has improved</w:t>
      </w:r>
      <w:r w:rsidR="00997EBB">
        <w:rPr>
          <w:lang w:val="en-US"/>
        </w:rPr>
        <w:t xml:space="preserve"> </w:t>
      </w:r>
      <w:r w:rsidR="00026816">
        <w:rPr>
          <w:lang w:val="en-US"/>
        </w:rPr>
        <w:t>steadily through</w:t>
      </w:r>
      <w:r w:rsidR="009164AE">
        <w:rPr>
          <w:lang w:val="en-US"/>
        </w:rPr>
        <w:t xml:space="preserve"> </w:t>
      </w:r>
      <w:r w:rsidR="002D7163" w:rsidRPr="009164AE">
        <w:rPr>
          <w:lang w:val="en-US"/>
        </w:rPr>
        <w:t>FY18</w:t>
      </w:r>
      <w:r w:rsidR="00F568A6">
        <w:rPr>
          <w:lang w:val="en-US"/>
        </w:rPr>
        <w:t>.</w:t>
      </w:r>
    </w:p>
    <w:p w:rsidR="00883EE9" w:rsidRDefault="00B065C0" w:rsidP="003435A6">
      <w:pPr>
        <w:pStyle w:val="Body"/>
        <w:rPr>
          <w:lang w:val="en-US"/>
        </w:rPr>
      </w:pPr>
      <w:r>
        <w:rPr>
          <w:lang w:val="en-US"/>
        </w:rPr>
        <w:t xml:space="preserve">Greencore </w:t>
      </w:r>
      <w:r w:rsidR="009A4F5C">
        <w:rPr>
          <w:lang w:val="en-US"/>
        </w:rPr>
        <w:t xml:space="preserve">continues to make </w:t>
      </w:r>
      <w:r>
        <w:rPr>
          <w:lang w:val="en-US"/>
        </w:rPr>
        <w:t>progress</w:t>
      </w:r>
      <w:r w:rsidR="009A4F5C">
        <w:rPr>
          <w:lang w:val="en-US"/>
        </w:rPr>
        <w:t xml:space="preserve"> on </w:t>
      </w:r>
      <w:r>
        <w:rPr>
          <w:lang w:val="en-US"/>
        </w:rPr>
        <w:t xml:space="preserve">its </w:t>
      </w:r>
      <w:r w:rsidR="009164AE">
        <w:rPr>
          <w:lang w:val="en-US"/>
        </w:rPr>
        <w:t xml:space="preserve">US </w:t>
      </w:r>
      <w:r>
        <w:rPr>
          <w:lang w:val="en-US"/>
        </w:rPr>
        <w:t>commercial pipeline</w:t>
      </w:r>
      <w:r w:rsidR="00B33B81">
        <w:rPr>
          <w:lang w:val="en-US"/>
        </w:rPr>
        <w:t xml:space="preserve">, most particularly with </w:t>
      </w:r>
      <w:r w:rsidR="009164AE">
        <w:rPr>
          <w:lang w:val="en-US"/>
        </w:rPr>
        <w:t xml:space="preserve">its </w:t>
      </w:r>
      <w:r w:rsidR="009A4F5C">
        <w:rPr>
          <w:lang w:val="en-US"/>
        </w:rPr>
        <w:t>current</w:t>
      </w:r>
      <w:r w:rsidR="002D7163">
        <w:rPr>
          <w:lang w:val="en-US"/>
        </w:rPr>
        <w:t xml:space="preserve"> </w:t>
      </w:r>
      <w:r w:rsidR="009A4F5C">
        <w:rPr>
          <w:lang w:val="en-US"/>
        </w:rPr>
        <w:t xml:space="preserve">large </w:t>
      </w:r>
      <w:r w:rsidR="009164AE">
        <w:rPr>
          <w:lang w:val="en-US"/>
        </w:rPr>
        <w:t>Consumer Packaged Goods (“</w:t>
      </w:r>
      <w:r w:rsidR="002D7163">
        <w:rPr>
          <w:lang w:val="en-US"/>
        </w:rPr>
        <w:t>CPG</w:t>
      </w:r>
      <w:r w:rsidR="009164AE">
        <w:rPr>
          <w:lang w:val="en-US"/>
        </w:rPr>
        <w:t>”)</w:t>
      </w:r>
      <w:r w:rsidR="002D7163">
        <w:rPr>
          <w:lang w:val="en-US"/>
        </w:rPr>
        <w:t xml:space="preserve"> customer</w:t>
      </w:r>
      <w:r w:rsidR="009A4F5C">
        <w:rPr>
          <w:lang w:val="en-US"/>
        </w:rPr>
        <w:t>s</w:t>
      </w:r>
      <w:r w:rsidR="002D7163">
        <w:rPr>
          <w:lang w:val="en-US"/>
        </w:rPr>
        <w:t xml:space="preserve">. </w:t>
      </w:r>
      <w:r w:rsidR="00B61197">
        <w:rPr>
          <w:lang w:val="en-US"/>
        </w:rPr>
        <w:t>P</w:t>
      </w:r>
      <w:r w:rsidR="00091D83" w:rsidRPr="00091D83">
        <w:rPr>
          <w:lang w:val="en-US"/>
        </w:rPr>
        <w:t xml:space="preserve">lans </w:t>
      </w:r>
      <w:r w:rsidR="002D7163">
        <w:rPr>
          <w:lang w:val="en-US"/>
        </w:rPr>
        <w:t xml:space="preserve">are well </w:t>
      </w:r>
      <w:r w:rsidR="00091D83">
        <w:rPr>
          <w:lang w:val="en-US"/>
        </w:rPr>
        <w:t xml:space="preserve">advanced </w:t>
      </w:r>
      <w:r w:rsidR="001D3F44">
        <w:rPr>
          <w:lang w:val="en-US"/>
        </w:rPr>
        <w:t>which</w:t>
      </w:r>
      <w:r w:rsidR="00626551">
        <w:rPr>
          <w:lang w:val="en-US"/>
        </w:rPr>
        <w:t xml:space="preserve">, if successful, </w:t>
      </w:r>
      <w:r w:rsidR="001D3F44">
        <w:rPr>
          <w:lang w:val="en-US"/>
        </w:rPr>
        <w:t xml:space="preserve">would secure </w:t>
      </w:r>
      <w:r w:rsidR="009A09FE">
        <w:rPr>
          <w:lang w:val="en-US"/>
        </w:rPr>
        <w:t xml:space="preserve">significant </w:t>
      </w:r>
      <w:r w:rsidR="00883EE9" w:rsidRPr="00883EE9">
        <w:rPr>
          <w:lang w:val="en-US"/>
        </w:rPr>
        <w:t xml:space="preserve">new business </w:t>
      </w:r>
      <w:r w:rsidR="00075994">
        <w:rPr>
          <w:lang w:val="en-US"/>
        </w:rPr>
        <w:t>at several</w:t>
      </w:r>
      <w:r w:rsidR="00AD57AF">
        <w:rPr>
          <w:lang w:val="en-US"/>
        </w:rPr>
        <w:t xml:space="preserve"> sites </w:t>
      </w:r>
      <w:r w:rsidR="00883EE9" w:rsidRPr="00883EE9">
        <w:rPr>
          <w:lang w:val="en-US"/>
        </w:rPr>
        <w:t>in the Mid</w:t>
      </w:r>
      <w:r w:rsidR="009A09FE">
        <w:rPr>
          <w:lang w:val="en-US"/>
        </w:rPr>
        <w:t>west</w:t>
      </w:r>
      <w:r w:rsidR="00CF4002">
        <w:rPr>
          <w:lang w:val="en-US"/>
        </w:rPr>
        <w:t xml:space="preserve"> region</w:t>
      </w:r>
      <w:r w:rsidR="00883EE9" w:rsidRPr="00883EE9">
        <w:rPr>
          <w:lang w:val="en-US"/>
        </w:rPr>
        <w:t>.</w:t>
      </w:r>
      <w:r w:rsidR="00075994">
        <w:rPr>
          <w:lang w:val="en-US"/>
        </w:rPr>
        <w:t xml:space="preserve">  </w:t>
      </w:r>
      <w:r w:rsidR="00626551">
        <w:rPr>
          <w:lang w:val="en-US"/>
        </w:rPr>
        <w:t>T</w:t>
      </w:r>
      <w:r w:rsidR="003A1AE8">
        <w:rPr>
          <w:lang w:val="en-US"/>
        </w:rPr>
        <w:t>he Group anticipates that s</w:t>
      </w:r>
      <w:r w:rsidR="00075994">
        <w:rPr>
          <w:lang w:val="en-US"/>
        </w:rPr>
        <w:t xml:space="preserve">uch new business </w:t>
      </w:r>
      <w:r w:rsidR="009A09FE">
        <w:rPr>
          <w:lang w:val="en-US"/>
        </w:rPr>
        <w:t xml:space="preserve">would </w:t>
      </w:r>
      <w:r w:rsidR="00075994">
        <w:rPr>
          <w:lang w:val="en-US"/>
        </w:rPr>
        <w:t>co</w:t>
      </w:r>
      <w:r w:rsidR="003A1AE8">
        <w:rPr>
          <w:lang w:val="en-US"/>
        </w:rPr>
        <w:t>ntribute revenue and earnings from</w:t>
      </w:r>
      <w:r w:rsidR="00075994">
        <w:rPr>
          <w:lang w:val="en-US"/>
        </w:rPr>
        <w:t xml:space="preserve"> the </w:t>
      </w:r>
      <w:r w:rsidR="009A09FE">
        <w:rPr>
          <w:lang w:val="en-US"/>
        </w:rPr>
        <w:t xml:space="preserve">first half </w:t>
      </w:r>
      <w:r w:rsidR="00075994">
        <w:rPr>
          <w:lang w:val="en-US"/>
        </w:rPr>
        <w:t xml:space="preserve">of FY19.  </w:t>
      </w:r>
      <w:r w:rsidR="00F568A6">
        <w:rPr>
          <w:lang w:val="en-US"/>
        </w:rPr>
        <w:t xml:space="preserve">The timing of these wins represents a delay versus previous expectations.  </w:t>
      </w:r>
      <w:r w:rsidR="00075994">
        <w:rPr>
          <w:lang w:val="en-US"/>
        </w:rPr>
        <w:t>Any i</w:t>
      </w:r>
      <w:r w:rsidR="00AA3651">
        <w:rPr>
          <w:lang w:val="en-US"/>
        </w:rPr>
        <w:t xml:space="preserve">ncremental </w:t>
      </w:r>
      <w:r w:rsidR="00075994">
        <w:rPr>
          <w:lang w:val="en-US"/>
        </w:rPr>
        <w:t xml:space="preserve">capital and </w:t>
      </w:r>
      <w:r w:rsidR="00AA3651">
        <w:rPr>
          <w:lang w:val="en-US"/>
        </w:rPr>
        <w:t>c</w:t>
      </w:r>
      <w:r w:rsidR="00883EE9" w:rsidRPr="00883EE9">
        <w:rPr>
          <w:lang w:val="en-US"/>
        </w:rPr>
        <w:t>ash costs</w:t>
      </w:r>
      <w:r w:rsidR="00883EE9">
        <w:rPr>
          <w:lang w:val="en-US"/>
        </w:rPr>
        <w:t xml:space="preserve"> </w:t>
      </w:r>
      <w:r w:rsidR="00075994">
        <w:rPr>
          <w:lang w:val="en-US"/>
        </w:rPr>
        <w:t xml:space="preserve">related to the delivery of this </w:t>
      </w:r>
      <w:r w:rsidR="009A4F5C">
        <w:rPr>
          <w:lang w:val="en-US"/>
        </w:rPr>
        <w:t xml:space="preserve">new </w:t>
      </w:r>
      <w:r w:rsidR="00075994">
        <w:rPr>
          <w:lang w:val="en-US"/>
        </w:rPr>
        <w:t>business</w:t>
      </w:r>
      <w:r w:rsidR="00B6233B">
        <w:rPr>
          <w:lang w:val="en-US"/>
        </w:rPr>
        <w:t xml:space="preserve"> </w:t>
      </w:r>
      <w:r w:rsidR="00626551">
        <w:rPr>
          <w:lang w:val="en-US"/>
        </w:rPr>
        <w:t xml:space="preserve">are not expected to </w:t>
      </w:r>
      <w:r w:rsidR="00026816">
        <w:rPr>
          <w:lang w:val="en-US"/>
        </w:rPr>
        <w:t>be significant</w:t>
      </w:r>
      <w:r w:rsidR="00AB5DF1">
        <w:rPr>
          <w:lang w:val="en-US"/>
        </w:rPr>
        <w:t xml:space="preserve"> for </w:t>
      </w:r>
      <w:r w:rsidR="009A09FE">
        <w:rPr>
          <w:lang w:val="en-US"/>
        </w:rPr>
        <w:t>the Group</w:t>
      </w:r>
      <w:r w:rsidR="00E56288">
        <w:rPr>
          <w:lang w:val="en-US"/>
        </w:rPr>
        <w:t>.</w:t>
      </w:r>
    </w:p>
    <w:p w:rsidR="00F65FF0" w:rsidRDefault="00F65FF0" w:rsidP="00E553BB">
      <w:pPr>
        <w:pStyle w:val="Body"/>
        <w:rPr>
          <w:b/>
        </w:rPr>
      </w:pPr>
    </w:p>
    <w:p w:rsidR="00E553BB" w:rsidRPr="00F568A6" w:rsidRDefault="00CA2046" w:rsidP="00E553BB">
      <w:pPr>
        <w:pStyle w:val="Body"/>
        <w:rPr>
          <w:b/>
        </w:rPr>
      </w:pPr>
      <w:r w:rsidRPr="00F568A6">
        <w:rPr>
          <w:b/>
        </w:rPr>
        <w:t xml:space="preserve">Changes in </w:t>
      </w:r>
      <w:r w:rsidR="00E553BB" w:rsidRPr="00F568A6">
        <w:rPr>
          <w:b/>
        </w:rPr>
        <w:t xml:space="preserve">the </w:t>
      </w:r>
      <w:r w:rsidR="00075994" w:rsidRPr="00F568A6">
        <w:rPr>
          <w:b/>
        </w:rPr>
        <w:t xml:space="preserve">US </w:t>
      </w:r>
      <w:r w:rsidR="00E553BB" w:rsidRPr="00F568A6">
        <w:rPr>
          <w:b/>
        </w:rPr>
        <w:t>leadership team</w:t>
      </w:r>
    </w:p>
    <w:p w:rsidR="00075994" w:rsidRDefault="00E553BB" w:rsidP="00E553BB">
      <w:pPr>
        <w:pStyle w:val="Body"/>
      </w:pPr>
      <w:r>
        <w:t xml:space="preserve">The Group </w:t>
      </w:r>
      <w:r w:rsidR="00075994">
        <w:t>has restructured</w:t>
      </w:r>
      <w:r>
        <w:t xml:space="preserve"> its US leadership team to </w:t>
      </w:r>
      <w:r w:rsidR="00075994">
        <w:t xml:space="preserve">drive near term performance and to </w:t>
      </w:r>
      <w:r>
        <w:t xml:space="preserve">exploit </w:t>
      </w:r>
      <w:r w:rsidR="00FF4D7E">
        <w:t xml:space="preserve">its </w:t>
      </w:r>
      <w:r>
        <w:t>growth agenda</w:t>
      </w:r>
      <w:r w:rsidR="00075994">
        <w:t>.</w:t>
      </w:r>
    </w:p>
    <w:p w:rsidR="00E553BB" w:rsidRDefault="00075994" w:rsidP="008F79F1">
      <w:pPr>
        <w:pStyle w:val="Body"/>
        <w:numPr>
          <w:ilvl w:val="0"/>
          <w:numId w:val="45"/>
        </w:numPr>
      </w:pPr>
      <w:r w:rsidRPr="0084147B">
        <w:rPr>
          <w:b/>
        </w:rPr>
        <w:t>New leader</w:t>
      </w:r>
      <w:r w:rsidR="00CF4002">
        <w:rPr>
          <w:b/>
        </w:rPr>
        <w:t xml:space="preserve">ship </w:t>
      </w:r>
      <w:r w:rsidR="003A1AE8">
        <w:rPr>
          <w:b/>
        </w:rPr>
        <w:t>model</w:t>
      </w:r>
      <w:r>
        <w:t xml:space="preserve">:  </w:t>
      </w:r>
      <w:r w:rsidR="00CF4002">
        <w:t>Patrick Coveney, Group CEO, will take a direct role in the strategic, organisational and commercial leadership of Greencore US</w:t>
      </w:r>
      <w:r w:rsidR="007F35AC">
        <w:t>, spending approximately half his time in the US</w:t>
      </w:r>
      <w:r w:rsidR="00CF4002">
        <w:t xml:space="preserve">.  </w:t>
      </w:r>
      <w:r w:rsidR="00A271B3">
        <w:t xml:space="preserve">Chuck Metzger, COO of Greencore US, has assumed </w:t>
      </w:r>
      <w:r w:rsidR="00CF4002">
        <w:t xml:space="preserve">day-to-day </w:t>
      </w:r>
      <w:r w:rsidR="003A1AE8">
        <w:t>responsibility for the US business and will report to Patrick.</w:t>
      </w:r>
      <w:r>
        <w:t xml:space="preserve">  </w:t>
      </w:r>
      <w:r w:rsidR="008C14D3">
        <w:t xml:space="preserve">Chris Kirke, outgoing CEO of Greencore US, </w:t>
      </w:r>
      <w:r w:rsidR="007F35AC">
        <w:t xml:space="preserve">is leaving the Group to </w:t>
      </w:r>
      <w:r w:rsidR="008C14D3">
        <w:t>return to</w:t>
      </w:r>
      <w:r w:rsidR="007F35AC">
        <w:t xml:space="preserve"> the UK and will work with Chuck, Patrick and the team to ensure a smooth transition.</w:t>
      </w:r>
    </w:p>
    <w:p w:rsidR="001F7840" w:rsidRDefault="001F7840" w:rsidP="008F79F1">
      <w:pPr>
        <w:pStyle w:val="Body"/>
        <w:numPr>
          <w:ilvl w:val="0"/>
          <w:numId w:val="45"/>
        </w:numPr>
      </w:pPr>
      <w:r w:rsidRPr="0084147B">
        <w:rPr>
          <w:b/>
        </w:rPr>
        <w:t>New senior personnel</w:t>
      </w:r>
      <w:r>
        <w:t xml:space="preserve">:  Since January, the Group has </w:t>
      </w:r>
      <w:r w:rsidR="00670ED0">
        <w:t xml:space="preserve">made important additions to the US senior team, </w:t>
      </w:r>
      <w:r w:rsidR="002A6B06">
        <w:t xml:space="preserve">with four senior hires </w:t>
      </w:r>
      <w:r w:rsidR="00FF4D7E">
        <w:t>in</w:t>
      </w:r>
      <w:r w:rsidR="002A6B06">
        <w:t xml:space="preserve"> </w:t>
      </w:r>
      <w:r w:rsidR="00656A31">
        <w:t>the areas of Commercial, Finance, Strategy and HR</w:t>
      </w:r>
      <w:r w:rsidR="002A6B06">
        <w:t>.</w:t>
      </w:r>
      <w:r w:rsidR="00897BFD">
        <w:t xml:space="preserve"> </w:t>
      </w:r>
      <w:r w:rsidR="002A6B06">
        <w:t xml:space="preserve">These </w:t>
      </w:r>
      <w:r w:rsidR="008C14D3">
        <w:t xml:space="preserve">planned additions, combined with the existing Peacock </w:t>
      </w:r>
      <w:r w:rsidR="00626551">
        <w:t xml:space="preserve">Foods </w:t>
      </w:r>
      <w:r w:rsidR="008C14D3">
        <w:t xml:space="preserve">operational </w:t>
      </w:r>
      <w:r w:rsidR="00026816">
        <w:t>skills</w:t>
      </w:r>
      <w:r w:rsidR="008C14D3">
        <w:t xml:space="preserve">, </w:t>
      </w:r>
      <w:r w:rsidR="00626551">
        <w:t xml:space="preserve">and </w:t>
      </w:r>
      <w:r w:rsidR="00026816">
        <w:t xml:space="preserve">further investments in growth capability, </w:t>
      </w:r>
      <w:r w:rsidR="00897BFD">
        <w:t>significantly strengthen</w:t>
      </w:r>
      <w:r w:rsidR="008C14D3">
        <w:t>s</w:t>
      </w:r>
      <w:r w:rsidR="00897BFD">
        <w:t xml:space="preserve"> </w:t>
      </w:r>
      <w:r w:rsidR="00026816">
        <w:t>Greencore in the US</w:t>
      </w:r>
      <w:r w:rsidR="00897BFD">
        <w:t>.</w:t>
      </w:r>
    </w:p>
    <w:p w:rsidR="00F65FF0" w:rsidRDefault="00F65FF0" w:rsidP="00E20F19">
      <w:pPr>
        <w:pStyle w:val="Body"/>
        <w:rPr>
          <w:b/>
        </w:rPr>
      </w:pPr>
    </w:p>
    <w:p w:rsidR="00E20F19" w:rsidRPr="00E20F19" w:rsidRDefault="00E20F19" w:rsidP="00E20F19">
      <w:pPr>
        <w:pStyle w:val="Body"/>
        <w:rPr>
          <w:b/>
        </w:rPr>
      </w:pPr>
      <w:r>
        <w:rPr>
          <w:b/>
        </w:rPr>
        <w:t xml:space="preserve">FY18 </w:t>
      </w:r>
      <w:r w:rsidRPr="00E20F19">
        <w:rPr>
          <w:b/>
        </w:rPr>
        <w:t>Outlook</w:t>
      </w:r>
      <w:r w:rsidR="005A73BF">
        <w:rPr>
          <w:b/>
          <w:vertAlign w:val="superscript"/>
        </w:rPr>
        <w:t>2</w:t>
      </w:r>
    </w:p>
    <w:p w:rsidR="009A4F5C" w:rsidRDefault="001D75ED" w:rsidP="003435A6">
      <w:pPr>
        <w:pStyle w:val="Body"/>
        <w:rPr>
          <w:lang w:val="en-US"/>
        </w:rPr>
      </w:pPr>
      <w:r>
        <w:rPr>
          <w:lang w:val="en-US"/>
        </w:rPr>
        <w:t xml:space="preserve">In the UK, the Group </w:t>
      </w:r>
      <w:r w:rsidR="00B47109">
        <w:rPr>
          <w:lang w:val="en-US"/>
        </w:rPr>
        <w:t>continues to anticipate</w:t>
      </w:r>
      <w:r>
        <w:rPr>
          <w:lang w:val="en-US"/>
        </w:rPr>
        <w:t xml:space="preserve"> good organic revenue growth and a modest improvement in operating leverage </w:t>
      </w:r>
      <w:r w:rsidR="00E64A5E">
        <w:rPr>
          <w:lang w:val="en-US"/>
        </w:rPr>
        <w:t xml:space="preserve">in FY18, </w:t>
      </w:r>
      <w:r w:rsidR="00091D83">
        <w:rPr>
          <w:lang w:val="en-US"/>
        </w:rPr>
        <w:t>notwithstanding</w:t>
      </w:r>
      <w:r w:rsidR="00B47109">
        <w:rPr>
          <w:lang w:val="en-US"/>
        </w:rPr>
        <w:t xml:space="preserve"> softer volume</w:t>
      </w:r>
      <w:r w:rsidR="002A6B06">
        <w:rPr>
          <w:lang w:val="en-US"/>
        </w:rPr>
        <w:t xml:space="preserve"> growth in Q2 primarily</w:t>
      </w:r>
      <w:r w:rsidR="00AD57AF">
        <w:rPr>
          <w:lang w:val="en-US"/>
        </w:rPr>
        <w:t xml:space="preserve"> due to poor weather</w:t>
      </w:r>
      <w:r>
        <w:rPr>
          <w:lang w:val="en-US"/>
        </w:rPr>
        <w:t>.</w:t>
      </w:r>
    </w:p>
    <w:p w:rsidR="009A4F5C" w:rsidRDefault="00871119" w:rsidP="009A4F5C">
      <w:pPr>
        <w:pStyle w:val="Body"/>
      </w:pPr>
      <w:r>
        <w:t xml:space="preserve">In the </w:t>
      </w:r>
      <w:r w:rsidR="009A4F5C">
        <w:t>US</w:t>
      </w:r>
      <w:r>
        <w:t>, the core CPG business has continued</w:t>
      </w:r>
      <w:r w:rsidR="009A4F5C">
        <w:t xml:space="preserve"> </w:t>
      </w:r>
      <w:r>
        <w:t xml:space="preserve">to perform in line with expectations. </w:t>
      </w:r>
      <w:r w:rsidR="00026816">
        <w:t xml:space="preserve"> </w:t>
      </w:r>
      <w:r>
        <w:t>The n</w:t>
      </w:r>
      <w:r w:rsidR="009A4F5C">
        <w:t xml:space="preserve">etwork and commercial developments announced in this update </w:t>
      </w:r>
      <w:r>
        <w:t xml:space="preserve">give the Group </w:t>
      </w:r>
      <w:r w:rsidR="00B61197">
        <w:t xml:space="preserve">confidence </w:t>
      </w:r>
      <w:r w:rsidR="00B61197">
        <w:rPr>
          <w:lang w:val="en-US"/>
        </w:rPr>
        <w:t xml:space="preserve">in </w:t>
      </w:r>
      <w:r w:rsidR="009A4F5C" w:rsidRPr="00E553BB">
        <w:rPr>
          <w:lang w:val="en-US"/>
        </w:rPr>
        <w:t>improv</w:t>
      </w:r>
      <w:r w:rsidR="00D479B7">
        <w:rPr>
          <w:lang w:val="en-US"/>
        </w:rPr>
        <w:t>ed</w:t>
      </w:r>
      <w:r w:rsidR="009A4F5C" w:rsidRPr="00E553BB">
        <w:rPr>
          <w:lang w:val="en-US"/>
        </w:rPr>
        <w:t xml:space="preserve"> </w:t>
      </w:r>
      <w:r w:rsidR="00D479B7">
        <w:rPr>
          <w:lang w:val="en-US"/>
        </w:rPr>
        <w:t>financial performance</w:t>
      </w:r>
      <w:r w:rsidR="009A4F5C" w:rsidRPr="00E553BB">
        <w:rPr>
          <w:lang w:val="en-US"/>
        </w:rPr>
        <w:t xml:space="preserve"> through </w:t>
      </w:r>
      <w:r w:rsidR="009A4F5C">
        <w:rPr>
          <w:lang w:val="en-US"/>
        </w:rPr>
        <w:t xml:space="preserve">the second half of FY18 and into FY19.  However, </w:t>
      </w:r>
      <w:r w:rsidR="009A4F5C">
        <w:t xml:space="preserve">the </w:t>
      </w:r>
      <w:r w:rsidR="008C14D3">
        <w:t xml:space="preserve">weak </w:t>
      </w:r>
      <w:r>
        <w:t xml:space="preserve">performance </w:t>
      </w:r>
      <w:r w:rsidR="00D479B7">
        <w:t xml:space="preserve">of </w:t>
      </w:r>
      <w:r w:rsidR="009A4F5C">
        <w:t xml:space="preserve">the Group’s underutilised </w:t>
      </w:r>
      <w:r>
        <w:t xml:space="preserve">original </w:t>
      </w:r>
      <w:r w:rsidR="009A4F5C">
        <w:t>sites</w:t>
      </w:r>
      <w:r w:rsidR="00D479B7">
        <w:t xml:space="preserve"> in </w:t>
      </w:r>
      <w:r w:rsidR="00026816">
        <w:t>the first half of FY18</w:t>
      </w:r>
      <w:r w:rsidR="009A4F5C">
        <w:t xml:space="preserve">, </w:t>
      </w:r>
      <w:r w:rsidR="009A4F5C" w:rsidRPr="006850BE">
        <w:t xml:space="preserve">combined with </w:t>
      </w:r>
      <w:r w:rsidR="009A4F5C">
        <w:t xml:space="preserve">the timing </w:t>
      </w:r>
      <w:r w:rsidR="009A4F5C" w:rsidRPr="006850BE">
        <w:t>of new business contributions</w:t>
      </w:r>
      <w:r w:rsidR="00026816">
        <w:t>,</w:t>
      </w:r>
      <w:r w:rsidR="009A4F5C" w:rsidRPr="006850BE">
        <w:t xml:space="preserve"> </w:t>
      </w:r>
      <w:r w:rsidR="009A4F5C">
        <w:t xml:space="preserve">and </w:t>
      </w:r>
      <w:r w:rsidR="00026816">
        <w:t xml:space="preserve">the current </w:t>
      </w:r>
      <w:r w:rsidR="009A4F5C">
        <w:t xml:space="preserve">GBP/USD </w:t>
      </w:r>
      <w:r w:rsidR="00026816">
        <w:t>exchange rate</w:t>
      </w:r>
      <w:r>
        <w:t xml:space="preserve">, </w:t>
      </w:r>
      <w:r w:rsidR="009A4F5C">
        <w:t xml:space="preserve">will reduce the </w:t>
      </w:r>
      <w:r w:rsidR="008C14D3">
        <w:t xml:space="preserve">expected </w:t>
      </w:r>
      <w:r>
        <w:t xml:space="preserve">rate of US </w:t>
      </w:r>
      <w:r w:rsidR="002A6B06">
        <w:t xml:space="preserve">profit </w:t>
      </w:r>
      <w:r w:rsidR="008C14D3">
        <w:t>growth in FY18.</w:t>
      </w:r>
    </w:p>
    <w:p w:rsidR="008C14D3" w:rsidRPr="008C14D3" w:rsidRDefault="008C14D3" w:rsidP="009A4F5C">
      <w:pPr>
        <w:pStyle w:val="Body"/>
        <w:rPr>
          <w:lang w:val="en-US"/>
        </w:rPr>
      </w:pPr>
      <w:r>
        <w:t>The one off cash costs of resetting the US n</w:t>
      </w:r>
      <w:r w:rsidRPr="00E553BB">
        <w:t>etwork</w:t>
      </w:r>
      <w:r>
        <w:t xml:space="preserve"> and the management restructure are anticipated to be </w:t>
      </w:r>
      <w:r w:rsidR="00626551">
        <w:t>approximately £</w:t>
      </w:r>
      <w:r>
        <w:t xml:space="preserve">3m.  </w:t>
      </w:r>
      <w:r w:rsidRPr="00883EE9">
        <w:rPr>
          <w:lang w:val="en-US"/>
        </w:rPr>
        <w:t xml:space="preserve">The Group </w:t>
      </w:r>
      <w:r>
        <w:rPr>
          <w:lang w:val="en-US"/>
        </w:rPr>
        <w:t>may</w:t>
      </w:r>
      <w:r w:rsidRPr="00883EE9">
        <w:rPr>
          <w:lang w:val="en-US"/>
        </w:rPr>
        <w:t xml:space="preserve"> take a non-cash, asset impairment charge to the </w:t>
      </w:r>
      <w:r>
        <w:rPr>
          <w:lang w:val="en-US"/>
        </w:rPr>
        <w:t xml:space="preserve">FY18 </w:t>
      </w:r>
      <w:r w:rsidRPr="00883EE9">
        <w:rPr>
          <w:lang w:val="en-US"/>
        </w:rPr>
        <w:t>Income Stat</w:t>
      </w:r>
      <w:r>
        <w:rPr>
          <w:lang w:val="en-US"/>
        </w:rPr>
        <w:t>ement for the network restructuring.  The scale of such a charge would be determined by the prospective future use and value of these network assets.</w:t>
      </w:r>
    </w:p>
    <w:p w:rsidR="00E20F19" w:rsidRDefault="00AD57AF" w:rsidP="003435A6">
      <w:pPr>
        <w:pStyle w:val="Body"/>
        <w:rPr>
          <w:lang w:val="en-US"/>
        </w:rPr>
      </w:pPr>
      <w:r>
        <w:rPr>
          <w:lang w:val="en-US"/>
        </w:rPr>
        <w:t>For</w:t>
      </w:r>
      <w:r w:rsidR="00E64A5E">
        <w:rPr>
          <w:lang w:val="en-US"/>
        </w:rPr>
        <w:t xml:space="preserve"> </w:t>
      </w:r>
      <w:r w:rsidR="00B47109">
        <w:rPr>
          <w:lang w:val="en-US"/>
        </w:rPr>
        <w:t xml:space="preserve">FY18 </w:t>
      </w:r>
      <w:r w:rsidR="00E56288">
        <w:rPr>
          <w:lang w:val="en-US"/>
        </w:rPr>
        <w:t xml:space="preserve">the Group </w:t>
      </w:r>
      <w:r w:rsidR="00B47109">
        <w:rPr>
          <w:lang w:val="en-US"/>
        </w:rPr>
        <w:t xml:space="preserve">now </w:t>
      </w:r>
      <w:r w:rsidR="00E56288">
        <w:rPr>
          <w:lang w:val="en-US"/>
        </w:rPr>
        <w:t xml:space="preserve">anticipates </w:t>
      </w:r>
      <w:r w:rsidR="00B47109">
        <w:rPr>
          <w:lang w:val="en-US"/>
        </w:rPr>
        <w:t xml:space="preserve">Adjusted </w:t>
      </w:r>
      <w:r>
        <w:rPr>
          <w:lang w:val="en-US"/>
        </w:rPr>
        <w:t xml:space="preserve">EPS in the range of </w:t>
      </w:r>
      <w:r w:rsidR="002A6B06">
        <w:rPr>
          <w:lang w:val="en-US"/>
        </w:rPr>
        <w:t>14.7</w:t>
      </w:r>
      <w:r w:rsidR="00626551">
        <w:rPr>
          <w:lang w:val="en-US"/>
        </w:rPr>
        <w:t>p</w:t>
      </w:r>
      <w:r w:rsidR="00183665">
        <w:rPr>
          <w:lang w:val="en-US"/>
        </w:rPr>
        <w:t>-</w:t>
      </w:r>
      <w:r w:rsidR="002A6B06">
        <w:rPr>
          <w:lang w:val="en-US"/>
        </w:rPr>
        <w:t>15.7</w:t>
      </w:r>
      <w:r w:rsidR="00183665">
        <w:rPr>
          <w:lang w:val="en-US"/>
        </w:rPr>
        <w:t>p</w:t>
      </w:r>
      <w:r>
        <w:rPr>
          <w:lang w:val="en-US"/>
        </w:rPr>
        <w:t xml:space="preserve">, with </w:t>
      </w:r>
      <w:r w:rsidR="009A4F5C">
        <w:rPr>
          <w:lang w:val="en-US"/>
        </w:rPr>
        <w:t xml:space="preserve">approximately </w:t>
      </w:r>
      <w:r w:rsidR="008C14D3">
        <w:rPr>
          <w:lang w:val="en-US"/>
        </w:rPr>
        <w:t>two thirds</w:t>
      </w:r>
      <w:r w:rsidR="009A4F5C">
        <w:rPr>
          <w:lang w:val="en-US"/>
        </w:rPr>
        <w:t xml:space="preserve"> of that contribution delivered in the second half</w:t>
      </w:r>
      <w:r w:rsidR="00B61197">
        <w:rPr>
          <w:lang w:val="en-US"/>
        </w:rPr>
        <w:t xml:space="preserve">.  This </w:t>
      </w:r>
      <w:r w:rsidR="001D7DC6">
        <w:rPr>
          <w:lang w:val="en-US"/>
        </w:rPr>
        <w:t xml:space="preserve">contrasts with </w:t>
      </w:r>
      <w:r w:rsidR="00B61197">
        <w:rPr>
          <w:lang w:val="en-US"/>
        </w:rPr>
        <w:t xml:space="preserve">current </w:t>
      </w:r>
      <w:r w:rsidR="001D7DC6">
        <w:rPr>
          <w:lang w:val="en-US"/>
        </w:rPr>
        <w:t xml:space="preserve">market expectations </w:t>
      </w:r>
      <w:r w:rsidR="00B61197">
        <w:rPr>
          <w:lang w:val="en-US"/>
        </w:rPr>
        <w:t xml:space="preserve">of </w:t>
      </w:r>
      <w:r w:rsidR="001D7DC6">
        <w:rPr>
          <w:lang w:val="en-US"/>
        </w:rPr>
        <w:t>15.7</w:t>
      </w:r>
      <w:r w:rsidR="00626551">
        <w:rPr>
          <w:lang w:val="en-US"/>
        </w:rPr>
        <w:t>p</w:t>
      </w:r>
      <w:r w:rsidR="001D7DC6">
        <w:rPr>
          <w:lang w:val="en-US"/>
        </w:rPr>
        <w:t>-16.6p</w:t>
      </w:r>
      <w:r w:rsidR="004A4B7B" w:rsidRPr="004A4B7B">
        <w:rPr>
          <w:vertAlign w:val="superscript"/>
          <w:lang w:val="en-US"/>
        </w:rPr>
        <w:t>3</w:t>
      </w:r>
      <w:r w:rsidR="00B47109">
        <w:rPr>
          <w:lang w:val="en-US"/>
        </w:rPr>
        <w:t>.</w:t>
      </w:r>
      <w:r>
        <w:rPr>
          <w:lang w:val="en-US"/>
        </w:rPr>
        <w:t xml:space="preserve"> </w:t>
      </w:r>
      <w:r w:rsidR="009A4F5C">
        <w:rPr>
          <w:lang w:val="en-US"/>
        </w:rPr>
        <w:t xml:space="preserve"> </w:t>
      </w:r>
      <w:r w:rsidR="00E56288">
        <w:rPr>
          <w:lang w:val="en-US"/>
        </w:rPr>
        <w:t xml:space="preserve">The Group also anticipates that </w:t>
      </w:r>
      <w:r w:rsidR="00897BFD">
        <w:rPr>
          <w:lang w:val="en-US"/>
        </w:rPr>
        <w:t xml:space="preserve">it </w:t>
      </w:r>
      <w:r w:rsidR="00E56288">
        <w:rPr>
          <w:lang w:val="en-US"/>
        </w:rPr>
        <w:t xml:space="preserve">will </w:t>
      </w:r>
      <w:r w:rsidR="00897BFD">
        <w:rPr>
          <w:lang w:val="en-US"/>
        </w:rPr>
        <w:t xml:space="preserve">continue to </w:t>
      </w:r>
      <w:r w:rsidR="00B47109">
        <w:rPr>
          <w:lang w:val="en-US"/>
        </w:rPr>
        <w:t xml:space="preserve">progress towards </w:t>
      </w:r>
      <w:r w:rsidR="00E56288">
        <w:rPr>
          <w:lang w:val="en-US"/>
        </w:rPr>
        <w:t>its benchmark leverage ratio of approximately 2x Net Debt to EBITDA</w:t>
      </w:r>
      <w:r w:rsidR="00897BFD">
        <w:rPr>
          <w:lang w:val="en-US"/>
        </w:rPr>
        <w:t xml:space="preserve"> by the end of the </w:t>
      </w:r>
      <w:r w:rsidR="00871119">
        <w:rPr>
          <w:lang w:val="en-US"/>
        </w:rPr>
        <w:t xml:space="preserve">fiscal </w:t>
      </w:r>
      <w:r w:rsidR="00897BFD">
        <w:rPr>
          <w:lang w:val="en-US"/>
        </w:rPr>
        <w:t>year</w:t>
      </w:r>
      <w:r w:rsidR="00E56288">
        <w:rPr>
          <w:lang w:val="en-US"/>
        </w:rPr>
        <w:t>.</w:t>
      </w:r>
    </w:p>
    <w:p w:rsidR="004A4B7B" w:rsidRDefault="004A4B7B" w:rsidP="005A73BF">
      <w:pPr>
        <w:pStyle w:val="Body"/>
        <w:rPr>
          <w:vertAlign w:val="superscript"/>
          <w:lang w:val="en-US"/>
        </w:rPr>
      </w:pPr>
    </w:p>
    <w:p w:rsidR="004A4B7B" w:rsidRPr="00F65FF0" w:rsidRDefault="005A73BF" w:rsidP="004A4B7B">
      <w:pPr>
        <w:pStyle w:val="Body"/>
        <w:rPr>
          <w:sz w:val="16"/>
          <w:szCs w:val="16"/>
          <w:lang w:val="en-US"/>
        </w:rPr>
      </w:pPr>
      <w:r w:rsidRPr="00F65FF0">
        <w:rPr>
          <w:sz w:val="16"/>
          <w:szCs w:val="16"/>
          <w:vertAlign w:val="superscript"/>
          <w:lang w:val="en-US"/>
        </w:rPr>
        <w:t>1</w:t>
      </w:r>
      <w:r w:rsidR="004A4B7B" w:rsidRPr="00F65FF0">
        <w:rPr>
          <w:sz w:val="16"/>
          <w:szCs w:val="16"/>
          <w:lang w:val="en-US"/>
        </w:rPr>
        <w:t xml:space="preserve">Earnings for the purpose of calculating </w:t>
      </w:r>
      <w:r w:rsidRPr="005A73BF">
        <w:rPr>
          <w:sz w:val="16"/>
          <w:szCs w:val="16"/>
          <w:lang w:val="en-US"/>
        </w:rPr>
        <w:t xml:space="preserve">Adjusted EPS </w:t>
      </w:r>
      <w:r w:rsidR="004A4B7B" w:rsidRPr="00F65FF0">
        <w:rPr>
          <w:sz w:val="16"/>
          <w:szCs w:val="16"/>
          <w:lang w:val="en-US"/>
        </w:rPr>
        <w:t>are stated before exceptional items, pension finance items, amortisation of acquisition</w:t>
      </w:r>
      <w:r w:rsidR="00F65FF0">
        <w:rPr>
          <w:sz w:val="16"/>
          <w:szCs w:val="16"/>
          <w:lang w:val="en-US"/>
        </w:rPr>
        <w:t xml:space="preserve"> </w:t>
      </w:r>
      <w:r w:rsidR="004A4B7B" w:rsidRPr="00F65FF0">
        <w:rPr>
          <w:sz w:val="16"/>
          <w:szCs w:val="16"/>
          <w:lang w:val="en-US"/>
        </w:rPr>
        <w:t>related intangibles, FX on inter‐company and certain external balances and the movement in the fair value of all derivative financial</w:t>
      </w:r>
      <w:r w:rsidR="00F65FF0">
        <w:rPr>
          <w:sz w:val="16"/>
          <w:szCs w:val="16"/>
          <w:lang w:val="en-US"/>
        </w:rPr>
        <w:t xml:space="preserve"> </w:t>
      </w:r>
      <w:r w:rsidR="004A4B7B" w:rsidRPr="00F65FF0">
        <w:rPr>
          <w:sz w:val="16"/>
          <w:szCs w:val="16"/>
          <w:lang w:val="en-US"/>
        </w:rPr>
        <w:t>instruments and related debt adjustments</w:t>
      </w:r>
    </w:p>
    <w:p w:rsidR="005A73BF" w:rsidRDefault="005A73BF" w:rsidP="005A73BF">
      <w:pPr>
        <w:pStyle w:val="Body"/>
        <w:rPr>
          <w:sz w:val="16"/>
          <w:szCs w:val="16"/>
          <w:lang w:val="en-US"/>
        </w:rPr>
      </w:pPr>
      <w:r w:rsidRPr="005A73BF">
        <w:rPr>
          <w:sz w:val="16"/>
          <w:szCs w:val="16"/>
          <w:vertAlign w:val="superscript"/>
          <w:lang w:val="en-US"/>
        </w:rPr>
        <w:t>2</w:t>
      </w:r>
      <w:r w:rsidRPr="005A73BF">
        <w:rPr>
          <w:sz w:val="16"/>
          <w:szCs w:val="16"/>
          <w:lang w:val="en-US"/>
        </w:rPr>
        <w:t xml:space="preserve">The information in the FY18 Outlook constitutes Inside Information for the purposes of the Market Abuse Regulation </w:t>
      </w:r>
    </w:p>
    <w:p w:rsidR="004A4B7B" w:rsidRPr="005A73BF" w:rsidRDefault="004A4B7B" w:rsidP="005A73BF">
      <w:pPr>
        <w:pStyle w:val="Body"/>
        <w:rPr>
          <w:sz w:val="16"/>
          <w:szCs w:val="16"/>
          <w:lang w:val="en-US"/>
        </w:rPr>
      </w:pPr>
      <w:r w:rsidRPr="004A4B7B">
        <w:rPr>
          <w:sz w:val="16"/>
          <w:szCs w:val="16"/>
          <w:vertAlign w:val="superscript"/>
          <w:lang w:val="en-US"/>
        </w:rPr>
        <w:t>3</w:t>
      </w:r>
      <w:r>
        <w:rPr>
          <w:sz w:val="16"/>
          <w:szCs w:val="16"/>
          <w:lang w:val="en-US"/>
        </w:rPr>
        <w:t xml:space="preserve">Source: </w:t>
      </w:r>
      <w:r w:rsidRPr="004A4B7B">
        <w:rPr>
          <w:sz w:val="16"/>
          <w:szCs w:val="16"/>
          <w:lang w:val="en-US"/>
        </w:rPr>
        <w:t>www.greencore.com/investor-relations/analyst-coverage/</w:t>
      </w:r>
    </w:p>
    <w:p w:rsidR="00B403FD" w:rsidRDefault="00B403FD" w:rsidP="00C331D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sz w:val="22"/>
          <w:szCs w:val="22"/>
          <w:bdr w:val="none" w:sz="0" w:space="0" w:color="auto"/>
          <w:lang w:val="en-GB"/>
        </w:rPr>
      </w:pPr>
    </w:p>
    <w:p w:rsidR="00C331DE" w:rsidRPr="00C331DE" w:rsidRDefault="00C331DE" w:rsidP="00C331D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sz w:val="22"/>
          <w:szCs w:val="22"/>
          <w:bdr w:val="none" w:sz="0" w:space="0" w:color="auto"/>
          <w:lang w:val="en-GB"/>
        </w:rPr>
      </w:pPr>
      <w:r w:rsidRPr="00C331DE">
        <w:rPr>
          <w:rFonts w:ascii="Calibri" w:eastAsia="Calibri" w:hAnsi="Calibri"/>
          <w:b/>
          <w:sz w:val="22"/>
          <w:szCs w:val="22"/>
          <w:bdr w:val="none" w:sz="0" w:space="0" w:color="auto"/>
          <w:lang w:val="en-GB"/>
        </w:rPr>
        <w:lastRenderedPageBreak/>
        <w:t>Conference Call</w:t>
      </w:r>
    </w:p>
    <w:p w:rsidR="00C331DE" w:rsidRPr="00C331DE" w:rsidRDefault="00C331DE" w:rsidP="00C331D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lang w:val="en-GB"/>
        </w:rPr>
      </w:pPr>
      <w:r w:rsidRPr="00C331DE">
        <w:rPr>
          <w:rFonts w:ascii="Calibri" w:eastAsia="Calibri" w:hAnsi="Calibri"/>
          <w:sz w:val="22"/>
          <w:szCs w:val="22"/>
          <w:bdr w:val="none" w:sz="0" w:space="0" w:color="auto"/>
          <w:lang w:val="en-GB"/>
        </w:rPr>
        <w:t xml:space="preserve">A conference call for investors and analysts will be held at </w:t>
      </w:r>
      <w:r w:rsidRPr="008F79F1">
        <w:rPr>
          <w:rFonts w:ascii="Calibri" w:eastAsia="Calibri" w:hAnsi="Calibri"/>
          <w:sz w:val="22"/>
          <w:szCs w:val="22"/>
          <w:bdr w:val="none" w:sz="0" w:space="0" w:color="auto"/>
          <w:lang w:val="en-GB"/>
        </w:rPr>
        <w:t>8</w:t>
      </w:r>
      <w:r w:rsidR="00871119" w:rsidRPr="008F79F1">
        <w:rPr>
          <w:rFonts w:ascii="Calibri" w:eastAsia="Calibri" w:hAnsi="Calibri"/>
          <w:sz w:val="22"/>
          <w:szCs w:val="22"/>
          <w:bdr w:val="none" w:sz="0" w:space="0" w:color="auto"/>
          <w:lang w:val="en-GB"/>
        </w:rPr>
        <w:t>.30</w:t>
      </w:r>
      <w:r w:rsidRPr="008F79F1">
        <w:rPr>
          <w:rFonts w:ascii="Calibri" w:eastAsia="Calibri" w:hAnsi="Calibri"/>
          <w:sz w:val="22"/>
          <w:szCs w:val="22"/>
          <w:bdr w:val="none" w:sz="0" w:space="0" w:color="auto"/>
          <w:lang w:val="en-GB"/>
        </w:rPr>
        <w:t>am</w:t>
      </w:r>
      <w:r w:rsidRPr="00C331DE">
        <w:rPr>
          <w:rFonts w:ascii="Calibri" w:eastAsia="Calibri" w:hAnsi="Calibri"/>
          <w:sz w:val="22"/>
          <w:szCs w:val="22"/>
          <w:bdr w:val="none" w:sz="0" w:space="0" w:color="auto"/>
          <w:lang w:val="en-GB"/>
        </w:rPr>
        <w:t xml:space="preserve"> GMT today.  Dial in details are below and a 7 day replay facility will be available afterwards at www.greencore.com. </w:t>
      </w:r>
    </w:p>
    <w:p w:rsidR="00C331DE" w:rsidRPr="00C331DE" w:rsidRDefault="00C331DE" w:rsidP="00C331D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lang w:val="en-GB"/>
        </w:rPr>
      </w:pPr>
      <w:r w:rsidRPr="00C331DE">
        <w:rPr>
          <w:rFonts w:ascii="Calibri" w:eastAsia="Calibri" w:hAnsi="Calibri"/>
          <w:sz w:val="22"/>
          <w:szCs w:val="22"/>
          <w:bdr w:val="none" w:sz="0" w:space="0" w:color="auto"/>
          <w:lang w:val="en-GB"/>
        </w:rPr>
        <w:t>Dial in details:</w:t>
      </w:r>
    </w:p>
    <w:tbl>
      <w:tblPr>
        <w:tblW w:w="0" w:type="auto"/>
        <w:tblCellMar>
          <w:left w:w="0" w:type="dxa"/>
          <w:right w:w="0" w:type="dxa"/>
        </w:tblCellMar>
        <w:tblLook w:val="04A0" w:firstRow="1" w:lastRow="0" w:firstColumn="1" w:lastColumn="0" w:noHBand="0" w:noVBand="1"/>
      </w:tblPr>
      <w:tblGrid>
        <w:gridCol w:w="3260"/>
        <w:gridCol w:w="2835"/>
      </w:tblGrid>
      <w:tr w:rsidR="00C331DE" w:rsidRPr="00C331DE" w:rsidTr="008B4368">
        <w:trPr>
          <w:cantSplit/>
        </w:trPr>
        <w:tc>
          <w:tcPr>
            <w:tcW w:w="3260" w:type="dxa"/>
            <w:tcMar>
              <w:top w:w="30" w:type="dxa"/>
              <w:left w:w="30" w:type="dxa"/>
              <w:bottom w:w="30" w:type="dxa"/>
              <w:right w:w="30" w:type="dxa"/>
            </w:tcMar>
            <w:vAlign w:val="center"/>
            <w:hideMark/>
          </w:tcPr>
          <w:p w:rsidR="00C331DE" w:rsidRPr="00C331DE" w:rsidRDefault="00C331DE" w:rsidP="00C331D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Cs/>
                <w:sz w:val="18"/>
                <w:szCs w:val="22"/>
                <w:bdr w:val="none" w:sz="0" w:space="0" w:color="auto"/>
              </w:rPr>
            </w:pPr>
            <w:r w:rsidRPr="00C331DE">
              <w:rPr>
                <w:rFonts w:ascii="Calibri" w:eastAsia="Calibri" w:hAnsi="Calibri"/>
                <w:bCs/>
                <w:sz w:val="18"/>
                <w:szCs w:val="22"/>
                <w:bdr w:val="none" w:sz="0" w:space="0" w:color="auto"/>
              </w:rPr>
              <w:t>Confirmation Code:</w:t>
            </w:r>
          </w:p>
        </w:tc>
        <w:tc>
          <w:tcPr>
            <w:tcW w:w="2835" w:type="dxa"/>
            <w:tcMar>
              <w:top w:w="30" w:type="dxa"/>
              <w:left w:w="30" w:type="dxa"/>
              <w:bottom w:w="30" w:type="dxa"/>
              <w:right w:w="30" w:type="dxa"/>
            </w:tcMar>
            <w:vAlign w:val="center"/>
            <w:hideMark/>
          </w:tcPr>
          <w:p w:rsidR="00C331DE" w:rsidRPr="00C331DE" w:rsidRDefault="00731596" w:rsidP="00C331D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Cs/>
                <w:sz w:val="18"/>
                <w:szCs w:val="22"/>
                <w:highlight w:val="yellow"/>
                <w:bdr w:val="none" w:sz="0" w:space="0" w:color="auto"/>
              </w:rPr>
            </w:pPr>
            <w:r w:rsidRPr="00731596">
              <w:rPr>
                <w:rFonts w:ascii="Calibri" w:eastAsia="Calibri" w:hAnsi="Calibri"/>
                <w:bCs/>
                <w:sz w:val="18"/>
                <w:szCs w:val="22"/>
                <w:bdr w:val="none" w:sz="0" w:space="0" w:color="auto"/>
              </w:rPr>
              <w:t>8829929</w:t>
            </w:r>
          </w:p>
        </w:tc>
      </w:tr>
      <w:tr w:rsidR="00C331DE" w:rsidRPr="00C331DE" w:rsidTr="008B4368">
        <w:trPr>
          <w:cantSplit/>
        </w:trPr>
        <w:tc>
          <w:tcPr>
            <w:tcW w:w="3260" w:type="dxa"/>
            <w:tcMar>
              <w:top w:w="30" w:type="dxa"/>
              <w:left w:w="30" w:type="dxa"/>
              <w:bottom w:w="30" w:type="dxa"/>
              <w:right w:w="30" w:type="dxa"/>
            </w:tcMar>
            <w:vAlign w:val="center"/>
            <w:hideMark/>
          </w:tcPr>
          <w:p w:rsidR="00C331DE" w:rsidRPr="00C331DE" w:rsidRDefault="00C331DE" w:rsidP="00C331D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18"/>
                <w:szCs w:val="22"/>
                <w:bdr w:val="none" w:sz="0" w:space="0" w:color="auto"/>
                <w:lang w:val="sv-SE"/>
              </w:rPr>
            </w:pPr>
            <w:r w:rsidRPr="00C331DE">
              <w:rPr>
                <w:rFonts w:ascii="Calibri" w:eastAsia="Calibri" w:hAnsi="Calibri"/>
                <w:sz w:val="18"/>
                <w:szCs w:val="22"/>
                <w:bdr w:val="none" w:sz="0" w:space="0" w:color="auto"/>
                <w:lang w:val="sv-SE"/>
              </w:rPr>
              <w:t>Ireland, Dublin</w:t>
            </w:r>
          </w:p>
        </w:tc>
        <w:tc>
          <w:tcPr>
            <w:tcW w:w="2835" w:type="dxa"/>
            <w:tcMar>
              <w:top w:w="30" w:type="dxa"/>
              <w:left w:w="30" w:type="dxa"/>
              <w:bottom w:w="30" w:type="dxa"/>
              <w:right w:w="30" w:type="dxa"/>
            </w:tcMar>
            <w:vAlign w:val="center"/>
            <w:hideMark/>
          </w:tcPr>
          <w:p w:rsidR="00C331DE" w:rsidRPr="00C331DE" w:rsidRDefault="004A3D14" w:rsidP="00C331D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18"/>
                <w:szCs w:val="22"/>
                <w:highlight w:val="yellow"/>
                <w:bdr w:val="none" w:sz="0" w:space="0" w:color="auto"/>
                <w:lang w:val="sv-SE"/>
              </w:rPr>
            </w:pPr>
            <w:r w:rsidRPr="004A3D14">
              <w:rPr>
                <w:rFonts w:ascii="Calibri" w:eastAsia="Calibri" w:hAnsi="Calibri"/>
                <w:sz w:val="18"/>
                <w:szCs w:val="22"/>
                <w:bdr w:val="none" w:sz="0" w:space="0" w:color="auto"/>
                <w:lang w:val="sv-SE"/>
              </w:rPr>
              <w:t>+353 (0)1 2465621</w:t>
            </w:r>
          </w:p>
        </w:tc>
      </w:tr>
      <w:tr w:rsidR="00C331DE" w:rsidRPr="00C331DE" w:rsidTr="008B4368">
        <w:trPr>
          <w:cantSplit/>
        </w:trPr>
        <w:tc>
          <w:tcPr>
            <w:tcW w:w="3260" w:type="dxa"/>
            <w:tcMar>
              <w:top w:w="30" w:type="dxa"/>
              <w:left w:w="30" w:type="dxa"/>
              <w:bottom w:w="30" w:type="dxa"/>
              <w:right w:w="30" w:type="dxa"/>
            </w:tcMar>
            <w:vAlign w:val="center"/>
            <w:hideMark/>
          </w:tcPr>
          <w:p w:rsidR="00C331DE" w:rsidRPr="00C331DE" w:rsidRDefault="00C331DE" w:rsidP="00C331D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18"/>
                <w:szCs w:val="22"/>
                <w:bdr w:val="none" w:sz="0" w:space="0" w:color="auto"/>
                <w:lang w:val="sv-SE"/>
              </w:rPr>
            </w:pPr>
            <w:r w:rsidRPr="00C331DE">
              <w:rPr>
                <w:rFonts w:ascii="Calibri" w:eastAsia="Calibri" w:hAnsi="Calibri"/>
                <w:sz w:val="18"/>
                <w:szCs w:val="22"/>
                <w:bdr w:val="none" w:sz="0" w:space="0" w:color="auto"/>
                <w:lang w:val="sv-SE"/>
              </w:rPr>
              <w:t>United Kingdom</w:t>
            </w:r>
          </w:p>
        </w:tc>
        <w:tc>
          <w:tcPr>
            <w:tcW w:w="2835" w:type="dxa"/>
            <w:tcMar>
              <w:top w:w="30" w:type="dxa"/>
              <w:left w:w="30" w:type="dxa"/>
              <w:bottom w:w="30" w:type="dxa"/>
              <w:right w:w="30" w:type="dxa"/>
            </w:tcMar>
            <w:vAlign w:val="center"/>
            <w:hideMark/>
          </w:tcPr>
          <w:p w:rsidR="00C331DE" w:rsidRPr="00C331DE" w:rsidRDefault="004A3D14" w:rsidP="00C331D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18"/>
                <w:szCs w:val="22"/>
                <w:highlight w:val="yellow"/>
                <w:bdr w:val="none" w:sz="0" w:space="0" w:color="auto"/>
                <w:lang w:val="sv-SE"/>
              </w:rPr>
            </w:pPr>
            <w:r w:rsidRPr="004A3D14">
              <w:rPr>
                <w:rFonts w:ascii="Calibri" w:eastAsia="Calibri" w:hAnsi="Calibri"/>
                <w:sz w:val="18"/>
                <w:szCs w:val="22"/>
                <w:bdr w:val="none" w:sz="0" w:space="0" w:color="auto"/>
                <w:lang w:val="sv-SE"/>
              </w:rPr>
              <w:t>+44 (0)330 336 9411</w:t>
            </w:r>
          </w:p>
        </w:tc>
      </w:tr>
      <w:tr w:rsidR="00C331DE" w:rsidRPr="00C331DE" w:rsidTr="008B4368">
        <w:trPr>
          <w:cantSplit/>
        </w:trPr>
        <w:tc>
          <w:tcPr>
            <w:tcW w:w="3260" w:type="dxa"/>
            <w:tcMar>
              <w:top w:w="30" w:type="dxa"/>
              <w:left w:w="30" w:type="dxa"/>
              <w:bottom w:w="30" w:type="dxa"/>
              <w:right w:w="30" w:type="dxa"/>
            </w:tcMar>
            <w:vAlign w:val="center"/>
            <w:hideMark/>
          </w:tcPr>
          <w:p w:rsidR="00C331DE" w:rsidRPr="00C331DE" w:rsidRDefault="00C331DE" w:rsidP="00C331D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18"/>
                <w:szCs w:val="22"/>
                <w:bdr w:val="none" w:sz="0" w:space="0" w:color="auto"/>
                <w:lang w:val="sv-SE"/>
              </w:rPr>
            </w:pPr>
            <w:r w:rsidRPr="00C331DE">
              <w:rPr>
                <w:rFonts w:ascii="Calibri" w:eastAsia="Calibri" w:hAnsi="Calibri"/>
                <w:sz w:val="18"/>
                <w:szCs w:val="22"/>
                <w:bdr w:val="none" w:sz="0" w:space="0" w:color="auto"/>
                <w:lang w:val="sv-SE"/>
              </w:rPr>
              <w:t>United States</w:t>
            </w:r>
          </w:p>
        </w:tc>
        <w:tc>
          <w:tcPr>
            <w:tcW w:w="2835" w:type="dxa"/>
            <w:tcMar>
              <w:top w:w="30" w:type="dxa"/>
              <w:left w:w="30" w:type="dxa"/>
              <w:bottom w:w="30" w:type="dxa"/>
              <w:right w:w="30" w:type="dxa"/>
            </w:tcMar>
            <w:vAlign w:val="center"/>
            <w:hideMark/>
          </w:tcPr>
          <w:p w:rsidR="00C331DE" w:rsidRPr="00C331DE" w:rsidRDefault="004A3D14" w:rsidP="00C331D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18"/>
                <w:szCs w:val="22"/>
                <w:highlight w:val="yellow"/>
                <w:bdr w:val="none" w:sz="0" w:space="0" w:color="auto"/>
                <w:lang w:val="sv-SE"/>
              </w:rPr>
            </w:pPr>
            <w:r w:rsidRPr="004A3D14">
              <w:rPr>
                <w:rFonts w:ascii="Calibri" w:eastAsia="Calibri" w:hAnsi="Calibri"/>
                <w:sz w:val="18"/>
                <w:szCs w:val="22"/>
                <w:bdr w:val="none" w:sz="0" w:space="0" w:color="auto"/>
                <w:lang w:val="sv-SE"/>
              </w:rPr>
              <w:t>+1 929-477-0448</w:t>
            </w:r>
          </w:p>
        </w:tc>
      </w:tr>
    </w:tbl>
    <w:p w:rsidR="00851B23" w:rsidRDefault="00851B23" w:rsidP="003435A6">
      <w:pPr>
        <w:pStyle w:val="Body"/>
      </w:pPr>
    </w:p>
    <w:p w:rsidR="003435A6" w:rsidRDefault="003435A6" w:rsidP="003435A6">
      <w:pPr>
        <w:pStyle w:val="Body"/>
      </w:pPr>
      <w:r>
        <w:rPr>
          <w:lang w:val="en-US"/>
        </w:rPr>
        <w:t>For further information, please contact:</w:t>
      </w:r>
    </w:p>
    <w:tbl>
      <w:tblPr>
        <w:tblW w:w="88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977"/>
        <w:gridCol w:w="3143"/>
        <w:gridCol w:w="2700"/>
      </w:tblGrid>
      <w:tr w:rsidR="00980633" w:rsidTr="00980633">
        <w:trPr>
          <w:trHeight w:val="309"/>
        </w:trPr>
        <w:tc>
          <w:tcPr>
            <w:tcW w:w="2977" w:type="dxa"/>
            <w:tcBorders>
              <w:top w:val="nil"/>
              <w:left w:val="nil"/>
              <w:bottom w:val="nil"/>
              <w:right w:val="nil"/>
            </w:tcBorders>
            <w:shd w:val="clear" w:color="auto" w:fill="auto"/>
            <w:tcMar>
              <w:top w:w="80" w:type="dxa"/>
              <w:left w:w="80" w:type="dxa"/>
              <w:bottom w:w="80" w:type="dxa"/>
              <w:right w:w="80" w:type="dxa"/>
            </w:tcMar>
          </w:tcPr>
          <w:p w:rsidR="00980633" w:rsidRDefault="00980633" w:rsidP="00DC56A8">
            <w:pPr>
              <w:pStyle w:val="Body"/>
              <w:rPr>
                <w:sz w:val="18"/>
                <w:szCs w:val="18"/>
                <w:lang w:val="en-US"/>
              </w:rPr>
            </w:pPr>
            <w:r>
              <w:rPr>
                <w:sz w:val="18"/>
                <w:szCs w:val="18"/>
                <w:lang w:val="en-US"/>
              </w:rPr>
              <w:t>Patrick Coveney</w:t>
            </w:r>
          </w:p>
        </w:tc>
        <w:tc>
          <w:tcPr>
            <w:tcW w:w="3143" w:type="dxa"/>
            <w:tcBorders>
              <w:top w:val="nil"/>
              <w:left w:val="nil"/>
              <w:bottom w:val="nil"/>
              <w:right w:val="nil"/>
            </w:tcBorders>
            <w:shd w:val="clear" w:color="auto" w:fill="auto"/>
            <w:tcMar>
              <w:top w:w="80" w:type="dxa"/>
              <w:left w:w="80" w:type="dxa"/>
              <w:bottom w:w="80" w:type="dxa"/>
              <w:right w:w="80" w:type="dxa"/>
            </w:tcMar>
          </w:tcPr>
          <w:p w:rsidR="00980633" w:rsidRDefault="00980633" w:rsidP="00DC56A8">
            <w:pPr>
              <w:pStyle w:val="Body"/>
              <w:rPr>
                <w:sz w:val="18"/>
                <w:szCs w:val="18"/>
                <w:lang w:val="en-US"/>
              </w:rPr>
            </w:pPr>
            <w:r>
              <w:rPr>
                <w:sz w:val="18"/>
                <w:szCs w:val="18"/>
                <w:lang w:val="en-US"/>
              </w:rPr>
              <w:t>Chief Executive Officer</w:t>
            </w:r>
          </w:p>
        </w:tc>
        <w:tc>
          <w:tcPr>
            <w:tcW w:w="2700" w:type="dxa"/>
            <w:tcBorders>
              <w:top w:val="nil"/>
              <w:left w:val="nil"/>
              <w:bottom w:val="nil"/>
              <w:right w:val="nil"/>
            </w:tcBorders>
            <w:shd w:val="clear" w:color="auto" w:fill="auto"/>
            <w:tcMar>
              <w:top w:w="80" w:type="dxa"/>
              <w:left w:w="80" w:type="dxa"/>
              <w:bottom w:w="80" w:type="dxa"/>
              <w:right w:w="80" w:type="dxa"/>
            </w:tcMar>
          </w:tcPr>
          <w:p w:rsidR="00980633" w:rsidRDefault="00980633" w:rsidP="00DC56A8">
            <w:pPr>
              <w:pStyle w:val="Body"/>
              <w:rPr>
                <w:sz w:val="18"/>
                <w:szCs w:val="18"/>
                <w:lang w:val="en-US"/>
              </w:rPr>
            </w:pPr>
            <w:r>
              <w:rPr>
                <w:sz w:val="18"/>
                <w:szCs w:val="18"/>
                <w:lang w:val="en-US"/>
              </w:rPr>
              <w:t>Tel: +353 (0) 1 605 1045</w:t>
            </w:r>
          </w:p>
        </w:tc>
      </w:tr>
      <w:tr w:rsidR="003435A6" w:rsidTr="00980633">
        <w:trPr>
          <w:trHeight w:val="20"/>
        </w:trPr>
        <w:tc>
          <w:tcPr>
            <w:tcW w:w="2977" w:type="dxa"/>
            <w:tcBorders>
              <w:top w:val="nil"/>
              <w:left w:val="nil"/>
              <w:bottom w:val="nil"/>
              <w:right w:val="nil"/>
            </w:tcBorders>
            <w:shd w:val="clear" w:color="auto" w:fill="auto"/>
            <w:tcMar>
              <w:top w:w="80" w:type="dxa"/>
              <w:left w:w="80" w:type="dxa"/>
              <w:bottom w:w="80" w:type="dxa"/>
              <w:right w:w="80" w:type="dxa"/>
            </w:tcMar>
          </w:tcPr>
          <w:p w:rsidR="003435A6" w:rsidRDefault="003435A6" w:rsidP="00DC56A8">
            <w:pPr>
              <w:pStyle w:val="Body"/>
            </w:pPr>
            <w:r>
              <w:rPr>
                <w:sz w:val="18"/>
                <w:szCs w:val="18"/>
                <w:lang w:val="en-US"/>
              </w:rPr>
              <w:t>Eoin Tonge</w:t>
            </w:r>
          </w:p>
        </w:tc>
        <w:tc>
          <w:tcPr>
            <w:tcW w:w="3143" w:type="dxa"/>
            <w:tcBorders>
              <w:top w:val="nil"/>
              <w:left w:val="nil"/>
              <w:bottom w:val="nil"/>
              <w:right w:val="nil"/>
            </w:tcBorders>
            <w:shd w:val="clear" w:color="auto" w:fill="auto"/>
            <w:tcMar>
              <w:top w:w="80" w:type="dxa"/>
              <w:left w:w="80" w:type="dxa"/>
              <w:bottom w:w="80" w:type="dxa"/>
              <w:right w:w="80" w:type="dxa"/>
            </w:tcMar>
          </w:tcPr>
          <w:p w:rsidR="003435A6" w:rsidRDefault="003435A6" w:rsidP="00DC56A8">
            <w:pPr>
              <w:pStyle w:val="Body"/>
            </w:pPr>
            <w:r>
              <w:rPr>
                <w:sz w:val="18"/>
                <w:szCs w:val="18"/>
                <w:lang w:val="en-US"/>
              </w:rPr>
              <w:t>Chief Financial Officer</w:t>
            </w:r>
          </w:p>
        </w:tc>
        <w:tc>
          <w:tcPr>
            <w:tcW w:w="2700" w:type="dxa"/>
            <w:tcBorders>
              <w:top w:val="nil"/>
              <w:left w:val="nil"/>
              <w:bottom w:val="nil"/>
              <w:right w:val="nil"/>
            </w:tcBorders>
            <w:shd w:val="clear" w:color="auto" w:fill="auto"/>
            <w:tcMar>
              <w:top w:w="80" w:type="dxa"/>
              <w:left w:w="80" w:type="dxa"/>
              <w:bottom w:w="80" w:type="dxa"/>
              <w:right w:w="80" w:type="dxa"/>
            </w:tcMar>
          </w:tcPr>
          <w:p w:rsidR="003435A6" w:rsidRDefault="003435A6" w:rsidP="00DC56A8">
            <w:pPr>
              <w:pStyle w:val="Body"/>
            </w:pPr>
            <w:r>
              <w:rPr>
                <w:sz w:val="18"/>
                <w:szCs w:val="18"/>
                <w:lang w:val="en-US"/>
              </w:rPr>
              <w:t>Tel: +353 (0) 1 605 1029</w:t>
            </w:r>
          </w:p>
        </w:tc>
      </w:tr>
      <w:tr w:rsidR="003435A6" w:rsidTr="00980633">
        <w:trPr>
          <w:trHeight w:val="20"/>
        </w:trPr>
        <w:tc>
          <w:tcPr>
            <w:tcW w:w="2977" w:type="dxa"/>
            <w:tcBorders>
              <w:top w:val="nil"/>
              <w:left w:val="nil"/>
              <w:bottom w:val="nil"/>
              <w:right w:val="nil"/>
            </w:tcBorders>
            <w:shd w:val="clear" w:color="auto" w:fill="auto"/>
            <w:tcMar>
              <w:top w:w="80" w:type="dxa"/>
              <w:left w:w="80" w:type="dxa"/>
              <w:bottom w:w="80" w:type="dxa"/>
              <w:right w:w="80" w:type="dxa"/>
            </w:tcMar>
          </w:tcPr>
          <w:p w:rsidR="003435A6" w:rsidRDefault="003435A6" w:rsidP="00DC56A8">
            <w:pPr>
              <w:pStyle w:val="Body"/>
            </w:pPr>
            <w:r>
              <w:rPr>
                <w:sz w:val="18"/>
                <w:szCs w:val="18"/>
                <w:lang w:val="en-US"/>
              </w:rPr>
              <w:t>Jack Gorman</w:t>
            </w:r>
          </w:p>
        </w:tc>
        <w:tc>
          <w:tcPr>
            <w:tcW w:w="3143" w:type="dxa"/>
            <w:tcBorders>
              <w:top w:val="nil"/>
              <w:left w:val="nil"/>
              <w:bottom w:val="nil"/>
              <w:right w:val="nil"/>
            </w:tcBorders>
            <w:shd w:val="clear" w:color="auto" w:fill="auto"/>
            <w:tcMar>
              <w:top w:w="80" w:type="dxa"/>
              <w:left w:w="80" w:type="dxa"/>
              <w:bottom w:w="80" w:type="dxa"/>
              <w:right w:w="80" w:type="dxa"/>
            </w:tcMar>
          </w:tcPr>
          <w:p w:rsidR="003435A6" w:rsidRDefault="003435A6" w:rsidP="00DC56A8">
            <w:pPr>
              <w:pStyle w:val="Body"/>
            </w:pPr>
            <w:r>
              <w:rPr>
                <w:sz w:val="18"/>
                <w:szCs w:val="18"/>
                <w:lang w:val="en-US"/>
              </w:rPr>
              <w:t>Head of Investor Relations</w:t>
            </w:r>
          </w:p>
        </w:tc>
        <w:tc>
          <w:tcPr>
            <w:tcW w:w="2700" w:type="dxa"/>
            <w:tcBorders>
              <w:top w:val="nil"/>
              <w:left w:val="nil"/>
              <w:bottom w:val="nil"/>
              <w:right w:val="nil"/>
            </w:tcBorders>
            <w:shd w:val="clear" w:color="auto" w:fill="auto"/>
            <w:tcMar>
              <w:top w:w="80" w:type="dxa"/>
              <w:left w:w="80" w:type="dxa"/>
              <w:bottom w:w="80" w:type="dxa"/>
              <w:right w:w="80" w:type="dxa"/>
            </w:tcMar>
          </w:tcPr>
          <w:p w:rsidR="003435A6" w:rsidRDefault="003435A6" w:rsidP="00DC56A8">
            <w:pPr>
              <w:pStyle w:val="Body"/>
            </w:pPr>
            <w:r>
              <w:rPr>
                <w:sz w:val="18"/>
                <w:szCs w:val="18"/>
                <w:lang w:val="en-US"/>
              </w:rPr>
              <w:t>Tel: +353 (0) 1 605 1020</w:t>
            </w:r>
          </w:p>
        </w:tc>
      </w:tr>
      <w:tr w:rsidR="003435A6" w:rsidTr="00980633">
        <w:trPr>
          <w:trHeight w:val="20"/>
        </w:trPr>
        <w:tc>
          <w:tcPr>
            <w:tcW w:w="2977" w:type="dxa"/>
            <w:tcBorders>
              <w:top w:val="nil"/>
              <w:left w:val="nil"/>
              <w:bottom w:val="nil"/>
              <w:right w:val="nil"/>
            </w:tcBorders>
            <w:shd w:val="clear" w:color="auto" w:fill="auto"/>
            <w:tcMar>
              <w:top w:w="80" w:type="dxa"/>
              <w:left w:w="80" w:type="dxa"/>
              <w:bottom w:w="80" w:type="dxa"/>
              <w:right w:w="80" w:type="dxa"/>
            </w:tcMar>
          </w:tcPr>
          <w:p w:rsidR="003435A6" w:rsidRDefault="003435A6" w:rsidP="00DC56A8">
            <w:pPr>
              <w:pStyle w:val="Body"/>
            </w:pPr>
            <w:r>
              <w:rPr>
                <w:sz w:val="18"/>
                <w:szCs w:val="18"/>
                <w:lang w:val="en-US"/>
              </w:rPr>
              <w:t>Rob Greening or Lisa Kavanagh</w:t>
            </w:r>
          </w:p>
        </w:tc>
        <w:tc>
          <w:tcPr>
            <w:tcW w:w="3143" w:type="dxa"/>
            <w:tcBorders>
              <w:top w:val="nil"/>
              <w:left w:val="nil"/>
              <w:bottom w:val="nil"/>
              <w:right w:val="nil"/>
            </w:tcBorders>
            <w:shd w:val="clear" w:color="auto" w:fill="auto"/>
            <w:tcMar>
              <w:top w:w="80" w:type="dxa"/>
              <w:left w:w="80" w:type="dxa"/>
              <w:bottom w:w="80" w:type="dxa"/>
              <w:right w:w="80" w:type="dxa"/>
            </w:tcMar>
          </w:tcPr>
          <w:p w:rsidR="003435A6" w:rsidRDefault="003435A6" w:rsidP="00DC56A8">
            <w:pPr>
              <w:pStyle w:val="Body"/>
            </w:pPr>
            <w:r>
              <w:rPr>
                <w:sz w:val="18"/>
                <w:szCs w:val="18"/>
                <w:lang w:val="en-US"/>
              </w:rPr>
              <w:t>Powerscourt</w:t>
            </w:r>
          </w:p>
        </w:tc>
        <w:tc>
          <w:tcPr>
            <w:tcW w:w="2700" w:type="dxa"/>
            <w:tcBorders>
              <w:top w:val="nil"/>
              <w:left w:val="nil"/>
              <w:bottom w:val="nil"/>
              <w:right w:val="nil"/>
            </w:tcBorders>
            <w:shd w:val="clear" w:color="auto" w:fill="auto"/>
            <w:tcMar>
              <w:top w:w="80" w:type="dxa"/>
              <w:left w:w="80" w:type="dxa"/>
              <w:bottom w:w="80" w:type="dxa"/>
              <w:right w:w="80" w:type="dxa"/>
            </w:tcMar>
          </w:tcPr>
          <w:p w:rsidR="003435A6" w:rsidRDefault="003435A6" w:rsidP="00DC56A8">
            <w:pPr>
              <w:pStyle w:val="Body"/>
            </w:pPr>
            <w:r>
              <w:rPr>
                <w:sz w:val="18"/>
                <w:szCs w:val="18"/>
                <w:lang w:val="en-US"/>
              </w:rPr>
              <w:t>Tel: +44 (0) 20 7250 1446</w:t>
            </w:r>
          </w:p>
        </w:tc>
      </w:tr>
      <w:tr w:rsidR="003435A6" w:rsidTr="00980633">
        <w:trPr>
          <w:trHeight w:val="213"/>
        </w:trPr>
        <w:tc>
          <w:tcPr>
            <w:tcW w:w="2977" w:type="dxa"/>
            <w:tcBorders>
              <w:top w:val="nil"/>
              <w:left w:val="nil"/>
              <w:bottom w:val="nil"/>
              <w:right w:val="nil"/>
            </w:tcBorders>
            <w:shd w:val="clear" w:color="auto" w:fill="auto"/>
            <w:tcMar>
              <w:top w:w="80" w:type="dxa"/>
              <w:left w:w="80" w:type="dxa"/>
              <w:bottom w:w="80" w:type="dxa"/>
              <w:right w:w="80" w:type="dxa"/>
            </w:tcMar>
          </w:tcPr>
          <w:p w:rsidR="003435A6" w:rsidRDefault="003435A6" w:rsidP="00DC56A8">
            <w:pPr>
              <w:pStyle w:val="Body"/>
            </w:pPr>
            <w:r>
              <w:rPr>
                <w:sz w:val="18"/>
                <w:szCs w:val="18"/>
                <w:lang w:val="en-US"/>
              </w:rPr>
              <w:t>Billy Murphy or Louise Walsh</w:t>
            </w:r>
          </w:p>
        </w:tc>
        <w:tc>
          <w:tcPr>
            <w:tcW w:w="3143" w:type="dxa"/>
            <w:tcBorders>
              <w:top w:val="nil"/>
              <w:left w:val="nil"/>
              <w:bottom w:val="nil"/>
              <w:right w:val="nil"/>
            </w:tcBorders>
            <w:shd w:val="clear" w:color="auto" w:fill="auto"/>
            <w:tcMar>
              <w:top w:w="80" w:type="dxa"/>
              <w:left w:w="80" w:type="dxa"/>
              <w:bottom w:w="80" w:type="dxa"/>
              <w:right w:w="80" w:type="dxa"/>
            </w:tcMar>
          </w:tcPr>
          <w:p w:rsidR="003435A6" w:rsidRDefault="003435A6" w:rsidP="00DC56A8">
            <w:pPr>
              <w:pStyle w:val="Body"/>
            </w:pPr>
            <w:r>
              <w:rPr>
                <w:sz w:val="18"/>
                <w:szCs w:val="18"/>
                <w:lang w:val="en-US"/>
              </w:rPr>
              <w:t>Drury | Porter Novelli</w:t>
            </w:r>
          </w:p>
        </w:tc>
        <w:tc>
          <w:tcPr>
            <w:tcW w:w="2700" w:type="dxa"/>
            <w:tcBorders>
              <w:top w:val="nil"/>
              <w:left w:val="nil"/>
              <w:bottom w:val="nil"/>
              <w:right w:val="nil"/>
            </w:tcBorders>
            <w:shd w:val="clear" w:color="auto" w:fill="auto"/>
            <w:tcMar>
              <w:top w:w="80" w:type="dxa"/>
              <w:left w:w="80" w:type="dxa"/>
              <w:bottom w:w="80" w:type="dxa"/>
              <w:right w:w="80" w:type="dxa"/>
            </w:tcMar>
          </w:tcPr>
          <w:p w:rsidR="003435A6" w:rsidRDefault="003435A6" w:rsidP="00DC56A8">
            <w:pPr>
              <w:pStyle w:val="Body"/>
            </w:pPr>
            <w:r>
              <w:rPr>
                <w:sz w:val="18"/>
                <w:szCs w:val="18"/>
                <w:lang w:val="en-US"/>
              </w:rPr>
              <w:t>Tel: +353 (0) 1 260 5000</w:t>
            </w:r>
          </w:p>
        </w:tc>
      </w:tr>
    </w:tbl>
    <w:p w:rsidR="003435A6" w:rsidRDefault="003435A6" w:rsidP="003435A6">
      <w:pPr>
        <w:pStyle w:val="Body"/>
        <w:widowControl w:val="0"/>
        <w:spacing w:line="240" w:lineRule="auto"/>
      </w:pPr>
    </w:p>
    <w:p w:rsidR="003435A6" w:rsidRDefault="003435A6" w:rsidP="003435A6">
      <w:pPr>
        <w:pStyle w:val="Body"/>
      </w:pPr>
    </w:p>
    <w:p w:rsidR="003435A6" w:rsidRDefault="003435A6" w:rsidP="003435A6">
      <w:pPr>
        <w:pStyle w:val="Body"/>
        <w:rPr>
          <w:b/>
          <w:bCs/>
        </w:rPr>
      </w:pPr>
      <w:r>
        <w:rPr>
          <w:b/>
          <w:bCs/>
          <w:lang w:val="en-US"/>
        </w:rPr>
        <w:t>NOTES TO EDITORS</w:t>
      </w:r>
    </w:p>
    <w:p w:rsidR="00980633" w:rsidRPr="00980633" w:rsidRDefault="00980633" w:rsidP="0098063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0"/>
          <w:szCs w:val="22"/>
          <w:bdr w:val="none" w:sz="0" w:space="0" w:color="auto"/>
          <w:lang w:val="en-GB"/>
        </w:rPr>
      </w:pPr>
      <w:r w:rsidRPr="00980633">
        <w:rPr>
          <w:rFonts w:ascii="Calibri" w:eastAsia="Calibri" w:hAnsi="Calibri"/>
          <w:sz w:val="20"/>
          <w:szCs w:val="22"/>
          <w:bdr w:val="none" w:sz="0" w:space="0" w:color="auto"/>
          <w:lang w:val="en-GB"/>
        </w:rPr>
        <w:t xml:space="preserve">Greencore is a leading international producer of convenience foods with extensive operations in the UK and the US. Headquartered in Dublin, it employs approximately </w:t>
      </w:r>
      <w:r w:rsidR="004A4B7B" w:rsidRPr="004A4B7B">
        <w:rPr>
          <w:rFonts w:ascii="Calibri" w:eastAsia="Calibri" w:hAnsi="Calibri"/>
          <w:sz w:val="20"/>
          <w:szCs w:val="22"/>
          <w:bdr w:val="none" w:sz="0" w:space="0" w:color="auto"/>
          <w:lang w:val="en-GB"/>
        </w:rPr>
        <w:t>15</w:t>
      </w:r>
      <w:r w:rsidRPr="004A4B7B">
        <w:rPr>
          <w:rFonts w:ascii="Calibri" w:eastAsia="Calibri" w:hAnsi="Calibri"/>
          <w:sz w:val="20"/>
          <w:szCs w:val="22"/>
          <w:bdr w:val="none" w:sz="0" w:space="0" w:color="auto"/>
          <w:lang w:val="en-GB"/>
        </w:rPr>
        <w:t>,000 people in 30 m</w:t>
      </w:r>
      <w:r w:rsidRPr="00980633">
        <w:rPr>
          <w:rFonts w:ascii="Calibri" w:eastAsia="Calibri" w:hAnsi="Calibri"/>
          <w:sz w:val="20"/>
          <w:szCs w:val="22"/>
          <w:bdr w:val="none" w:sz="0" w:space="0" w:color="auto"/>
          <w:lang w:val="en-GB"/>
        </w:rPr>
        <w:t>anufacturing facilities across the UK and the US. On average, it manufactures around 1.5 billion sandwiches, over 600m salad and lunch kits, and 140 million ready meals every year.</w:t>
      </w:r>
    </w:p>
    <w:p w:rsidR="00980633" w:rsidRPr="00980633" w:rsidRDefault="00980633" w:rsidP="0098063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0"/>
          <w:szCs w:val="22"/>
          <w:bdr w:val="none" w:sz="0" w:space="0" w:color="auto"/>
          <w:lang w:val="en-GB"/>
        </w:rPr>
      </w:pPr>
      <w:r w:rsidRPr="00980633">
        <w:rPr>
          <w:rFonts w:ascii="Calibri" w:eastAsia="Calibri" w:hAnsi="Calibri"/>
          <w:sz w:val="20"/>
          <w:szCs w:val="22"/>
          <w:bdr w:val="none" w:sz="0" w:space="0" w:color="auto"/>
          <w:lang w:val="en-GB"/>
        </w:rPr>
        <w:t xml:space="preserve">In the UK, it is a supplier of own-label convenience food products to all of the major UK supermarkets, and has world-class manufacturing sites with industry-leading technology and supply chain capabilities. It has strong market positions across sandwiches and other food to go products as well as complementary positions in other convenience food categories, including chilled prepared meals, chilled soups and sauces, ambient sauces and pickles, and Yorkshire Puddings. </w:t>
      </w:r>
    </w:p>
    <w:p w:rsidR="00980633" w:rsidRPr="00980633" w:rsidRDefault="00980633" w:rsidP="0098063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0"/>
          <w:szCs w:val="22"/>
          <w:bdr w:val="none" w:sz="0" w:space="0" w:color="auto"/>
          <w:lang w:val="en-GB"/>
        </w:rPr>
      </w:pPr>
      <w:r w:rsidRPr="00980633">
        <w:rPr>
          <w:rFonts w:ascii="Calibri" w:eastAsia="Calibri" w:hAnsi="Calibri"/>
          <w:sz w:val="20"/>
          <w:szCs w:val="22"/>
          <w:bdr w:val="none" w:sz="0" w:space="0" w:color="auto"/>
          <w:lang w:val="en-GB"/>
        </w:rPr>
        <w:t>In the US, Greencore is a leading manufacturer of convenience food products for many of the largest food brands, convenience retail and food service leaders in the US. It produces a wide range of fresh, frozen and ambient products including sandwiches, meal kits and salad kits. It has a well invested network of high quality, scale facilities which supports the Group’s ambitions to grow in value added, assembly-led, convenience food manufacturing.</w:t>
      </w:r>
    </w:p>
    <w:p w:rsidR="00980633" w:rsidRPr="00980633" w:rsidRDefault="00980633" w:rsidP="0098063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0"/>
          <w:szCs w:val="22"/>
          <w:bdr w:val="none" w:sz="0" w:space="0" w:color="auto"/>
          <w:lang w:val="en-GB"/>
        </w:rPr>
      </w:pPr>
      <w:r w:rsidRPr="00980633">
        <w:rPr>
          <w:rFonts w:ascii="Calibri" w:eastAsia="Calibri" w:hAnsi="Calibri"/>
          <w:sz w:val="20"/>
          <w:szCs w:val="22"/>
          <w:bdr w:val="none" w:sz="0" w:space="0" w:color="auto"/>
          <w:lang w:val="en-GB"/>
        </w:rPr>
        <w:t>For more information go to www.greencore.com or follow Greencore on social media.</w:t>
      </w:r>
    </w:p>
    <w:p w:rsidR="00980633" w:rsidRPr="00980633" w:rsidRDefault="00980633" w:rsidP="0098063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0"/>
          <w:szCs w:val="22"/>
          <w:bdr w:val="none" w:sz="0" w:space="0" w:color="auto"/>
          <w:lang w:val="en-GB"/>
        </w:rPr>
      </w:pPr>
    </w:p>
    <w:p w:rsidR="00980633" w:rsidRPr="00980633" w:rsidRDefault="00980633" w:rsidP="0098063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0"/>
          <w:szCs w:val="22"/>
          <w:bdr w:val="none" w:sz="0" w:space="0" w:color="auto"/>
          <w:lang w:val="en-GB"/>
        </w:rPr>
      </w:pPr>
    </w:p>
    <w:p w:rsidR="00980633" w:rsidRPr="00980633" w:rsidRDefault="00980633" w:rsidP="0098063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0"/>
          <w:szCs w:val="22"/>
          <w:bdr w:val="none" w:sz="0" w:space="0" w:color="auto"/>
          <w:lang w:val="en-GB"/>
        </w:rPr>
      </w:pPr>
    </w:p>
    <w:p w:rsidR="00980633" w:rsidRPr="00980633" w:rsidRDefault="00980633" w:rsidP="0098063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lang w:val="en-GB"/>
        </w:rPr>
      </w:pPr>
      <w:r w:rsidRPr="00980633">
        <w:rPr>
          <w:rFonts w:ascii="Calibri" w:eastAsia="Calibri" w:hAnsi="Calibri"/>
          <w:sz w:val="20"/>
          <w:szCs w:val="22"/>
          <w:bdr w:val="none" w:sz="0" w:space="0" w:color="auto"/>
          <w:lang w:val="en-GB"/>
        </w:rPr>
        <w:t>This announcement contains certain forward looking statements with respect to the financial conditions, results of operations and businesses of the Group. These statements involve risk and uncertainty because they relate to events and depend upon circumstances that will occur in the future. There are a number of factors that could cause actual results or developments to differ materially from those expressed or implied by these forward looking statements. Nothing in this announcement should be construed as a profit forecast. The Group expressly disclaims any obligation to update these forward-looking statements other than as required by law.</w:t>
      </w:r>
    </w:p>
    <w:p w:rsidR="00980633" w:rsidRDefault="00980633" w:rsidP="00C331DE">
      <w:pPr>
        <w:pStyle w:val="Body"/>
        <w:rPr>
          <w:sz w:val="18"/>
          <w:szCs w:val="18"/>
          <w:lang w:val="fr-FR"/>
        </w:rPr>
      </w:pPr>
    </w:p>
    <w:p w:rsidR="00FA4C54" w:rsidRPr="00FA4C54" w:rsidRDefault="00FA4C54" w:rsidP="008F79F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szCs w:val="20"/>
        </w:rPr>
      </w:pPr>
    </w:p>
    <w:sectPr w:rsidR="00FA4C54" w:rsidRPr="00FA4C54" w:rsidSect="006F09E6">
      <w:pgSz w:w="11900" w:h="16840"/>
      <w:pgMar w:top="1440" w:right="1440" w:bottom="1440" w:left="1440" w:header="708" w:footer="70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328A" w:rsidRDefault="0069328A">
      <w:r>
        <w:separator/>
      </w:r>
    </w:p>
  </w:endnote>
  <w:endnote w:type="continuationSeparator" w:id="0">
    <w:p w:rsidR="0069328A" w:rsidRDefault="00693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Helvetica Neue">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328A" w:rsidRDefault="0069328A">
      <w:r>
        <w:separator/>
      </w:r>
    </w:p>
  </w:footnote>
  <w:footnote w:type="continuationSeparator" w:id="0">
    <w:p w:rsidR="0069328A" w:rsidRDefault="006932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23829"/>
    <w:multiLevelType w:val="hybridMultilevel"/>
    <w:tmpl w:val="5ED0C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36CB2"/>
    <w:multiLevelType w:val="hybridMultilevel"/>
    <w:tmpl w:val="89E21D3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EC6E68"/>
    <w:multiLevelType w:val="hybridMultilevel"/>
    <w:tmpl w:val="97F8A642"/>
    <w:styleLink w:val="ImportedStyle1"/>
    <w:lvl w:ilvl="0" w:tplc="AC3C260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0701812">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3584014">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F202DD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B841488">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5C0B4C2">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1F2B48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00060F4">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6423210">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C94324F"/>
    <w:multiLevelType w:val="hybridMultilevel"/>
    <w:tmpl w:val="EFDA356C"/>
    <w:numStyleLink w:val="ImportedStyle2"/>
  </w:abstractNum>
  <w:abstractNum w:abstractNumId="4" w15:restartNumberingAfterBreak="0">
    <w:nsid w:val="0E267D1A"/>
    <w:multiLevelType w:val="hybridMultilevel"/>
    <w:tmpl w:val="6A469534"/>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EF17080"/>
    <w:multiLevelType w:val="hybridMultilevel"/>
    <w:tmpl w:val="7AC693CE"/>
    <w:lvl w:ilvl="0" w:tplc="BB240DB4">
      <w:start w:val="1"/>
      <w:numFmt w:val="bullet"/>
      <w:lvlText w:val="•"/>
      <w:lvlJc w:val="left"/>
      <w:pPr>
        <w:tabs>
          <w:tab w:val="num" w:pos="720"/>
        </w:tabs>
        <w:ind w:left="720" w:hanging="360"/>
      </w:pPr>
      <w:rPr>
        <w:rFonts w:ascii="Arial" w:hAnsi="Arial" w:hint="default"/>
      </w:rPr>
    </w:lvl>
    <w:lvl w:ilvl="1" w:tplc="0D1680C8" w:tentative="1">
      <w:start w:val="1"/>
      <w:numFmt w:val="bullet"/>
      <w:lvlText w:val="•"/>
      <w:lvlJc w:val="left"/>
      <w:pPr>
        <w:tabs>
          <w:tab w:val="num" w:pos="1440"/>
        </w:tabs>
        <w:ind w:left="1440" w:hanging="360"/>
      </w:pPr>
      <w:rPr>
        <w:rFonts w:ascii="Arial" w:hAnsi="Arial" w:hint="default"/>
      </w:rPr>
    </w:lvl>
    <w:lvl w:ilvl="2" w:tplc="16F29600">
      <w:start w:val="1"/>
      <w:numFmt w:val="bullet"/>
      <w:lvlText w:val="•"/>
      <w:lvlJc w:val="left"/>
      <w:pPr>
        <w:tabs>
          <w:tab w:val="num" w:pos="2160"/>
        </w:tabs>
        <w:ind w:left="2160" w:hanging="360"/>
      </w:pPr>
      <w:rPr>
        <w:rFonts w:ascii="Arial" w:hAnsi="Arial" w:hint="default"/>
      </w:rPr>
    </w:lvl>
    <w:lvl w:ilvl="3" w:tplc="E902B21C" w:tentative="1">
      <w:start w:val="1"/>
      <w:numFmt w:val="bullet"/>
      <w:lvlText w:val="•"/>
      <w:lvlJc w:val="left"/>
      <w:pPr>
        <w:tabs>
          <w:tab w:val="num" w:pos="2880"/>
        </w:tabs>
        <w:ind w:left="2880" w:hanging="360"/>
      </w:pPr>
      <w:rPr>
        <w:rFonts w:ascii="Arial" w:hAnsi="Arial" w:hint="default"/>
      </w:rPr>
    </w:lvl>
    <w:lvl w:ilvl="4" w:tplc="80800C38" w:tentative="1">
      <w:start w:val="1"/>
      <w:numFmt w:val="bullet"/>
      <w:lvlText w:val="•"/>
      <w:lvlJc w:val="left"/>
      <w:pPr>
        <w:tabs>
          <w:tab w:val="num" w:pos="3600"/>
        </w:tabs>
        <w:ind w:left="3600" w:hanging="360"/>
      </w:pPr>
      <w:rPr>
        <w:rFonts w:ascii="Arial" w:hAnsi="Arial" w:hint="default"/>
      </w:rPr>
    </w:lvl>
    <w:lvl w:ilvl="5" w:tplc="2898B262" w:tentative="1">
      <w:start w:val="1"/>
      <w:numFmt w:val="bullet"/>
      <w:lvlText w:val="•"/>
      <w:lvlJc w:val="left"/>
      <w:pPr>
        <w:tabs>
          <w:tab w:val="num" w:pos="4320"/>
        </w:tabs>
        <w:ind w:left="4320" w:hanging="360"/>
      </w:pPr>
      <w:rPr>
        <w:rFonts w:ascii="Arial" w:hAnsi="Arial" w:hint="default"/>
      </w:rPr>
    </w:lvl>
    <w:lvl w:ilvl="6" w:tplc="EA9E5106" w:tentative="1">
      <w:start w:val="1"/>
      <w:numFmt w:val="bullet"/>
      <w:lvlText w:val="•"/>
      <w:lvlJc w:val="left"/>
      <w:pPr>
        <w:tabs>
          <w:tab w:val="num" w:pos="5040"/>
        </w:tabs>
        <w:ind w:left="5040" w:hanging="360"/>
      </w:pPr>
      <w:rPr>
        <w:rFonts w:ascii="Arial" w:hAnsi="Arial" w:hint="default"/>
      </w:rPr>
    </w:lvl>
    <w:lvl w:ilvl="7" w:tplc="EBF83D60" w:tentative="1">
      <w:start w:val="1"/>
      <w:numFmt w:val="bullet"/>
      <w:lvlText w:val="•"/>
      <w:lvlJc w:val="left"/>
      <w:pPr>
        <w:tabs>
          <w:tab w:val="num" w:pos="5760"/>
        </w:tabs>
        <w:ind w:left="5760" w:hanging="360"/>
      </w:pPr>
      <w:rPr>
        <w:rFonts w:ascii="Arial" w:hAnsi="Arial" w:hint="default"/>
      </w:rPr>
    </w:lvl>
    <w:lvl w:ilvl="8" w:tplc="0ECE749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69A4AC1"/>
    <w:multiLevelType w:val="hybridMultilevel"/>
    <w:tmpl w:val="30848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8F7117"/>
    <w:multiLevelType w:val="hybridMultilevel"/>
    <w:tmpl w:val="AB80F6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C841B57"/>
    <w:multiLevelType w:val="hybridMultilevel"/>
    <w:tmpl w:val="0E44A67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4D7094"/>
    <w:multiLevelType w:val="hybridMultilevel"/>
    <w:tmpl w:val="35AA45FC"/>
    <w:lvl w:ilvl="0" w:tplc="13B8C7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F92C9B"/>
    <w:multiLevelType w:val="hybridMultilevel"/>
    <w:tmpl w:val="0558602E"/>
    <w:lvl w:ilvl="0" w:tplc="4A5AE9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6A4235"/>
    <w:multiLevelType w:val="hybridMultilevel"/>
    <w:tmpl w:val="79C0416A"/>
    <w:lvl w:ilvl="0" w:tplc="0809000F">
      <w:start w:val="1"/>
      <w:numFmt w:val="decimal"/>
      <w:lvlText w:val="%1."/>
      <w:lvlJc w:val="left"/>
      <w:pPr>
        <w:ind w:left="360" w:hanging="360"/>
      </w:pPr>
      <w:rPr>
        <w:rFonts w:hint="default"/>
        <w:caps w:val="0"/>
        <w:smallCaps w:val="0"/>
        <w:strike w:val="0"/>
        <w:dstrike w:val="0"/>
        <w:outline w:val="0"/>
        <w:emboss w:val="0"/>
        <w:imprint w:val="0"/>
        <w:spacing w:val="0"/>
        <w:w w:val="100"/>
        <w:kern w:val="0"/>
        <w:position w:val="0"/>
        <w:highlight w:val="none"/>
        <w:vertAlign w:val="baseline"/>
      </w:rPr>
    </w:lvl>
    <w:lvl w:ilvl="1" w:tplc="D58839A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B0AEAAF2">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773EF944">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5EA8AAF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C79E8356">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DEB8CDC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821A964E">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DA7EAE2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1B233B6"/>
    <w:multiLevelType w:val="hybridMultilevel"/>
    <w:tmpl w:val="97F8A642"/>
    <w:numStyleLink w:val="ImportedStyle1"/>
  </w:abstractNum>
  <w:abstractNum w:abstractNumId="13" w15:restartNumberingAfterBreak="0">
    <w:nsid w:val="322D2E17"/>
    <w:multiLevelType w:val="hybridMultilevel"/>
    <w:tmpl w:val="CCAEA97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993198"/>
    <w:multiLevelType w:val="hybridMultilevel"/>
    <w:tmpl w:val="B020294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B54B1F"/>
    <w:multiLevelType w:val="hybridMultilevel"/>
    <w:tmpl w:val="74A4404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03">
      <w:start w:val="1"/>
      <w:numFmt w:val="bullet"/>
      <w:lvlText w:val="o"/>
      <w:lvlJc w:val="left"/>
      <w:pPr>
        <w:ind w:left="2160" w:hanging="180"/>
      </w:pPr>
      <w:rPr>
        <w:rFonts w:ascii="Courier New" w:hAnsi="Courier New" w:cs="Courier New"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8E5A02"/>
    <w:multiLevelType w:val="hybridMultilevel"/>
    <w:tmpl w:val="08CA76C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B074E80"/>
    <w:multiLevelType w:val="hybridMultilevel"/>
    <w:tmpl w:val="6A825548"/>
    <w:numStyleLink w:val="ImportedStyle3"/>
  </w:abstractNum>
  <w:abstractNum w:abstractNumId="18" w15:restartNumberingAfterBreak="0">
    <w:nsid w:val="3E963568"/>
    <w:multiLevelType w:val="hybridMultilevel"/>
    <w:tmpl w:val="0B44AB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4537696"/>
    <w:multiLevelType w:val="hybridMultilevel"/>
    <w:tmpl w:val="32EAC45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7C46C14"/>
    <w:multiLevelType w:val="hybridMultilevel"/>
    <w:tmpl w:val="EFDA356C"/>
    <w:styleLink w:val="ImportedStyle2"/>
    <w:lvl w:ilvl="0" w:tplc="FC34FAC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8DC3024">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5156A072">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A2309496">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C950A1C8">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056A18D0">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38A21E06">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1C401124">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06123396">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48F4701F"/>
    <w:multiLevelType w:val="hybridMultilevel"/>
    <w:tmpl w:val="B03A1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353007"/>
    <w:multiLevelType w:val="hybridMultilevel"/>
    <w:tmpl w:val="6A825548"/>
    <w:styleLink w:val="ImportedStyle3"/>
    <w:lvl w:ilvl="0" w:tplc="23BC6B3C">
      <w:start w:val="1"/>
      <w:numFmt w:val="bullet"/>
      <w:lvlText w:val="o"/>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B62903E">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2A0EB114">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DCA8BDE4">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6D26D30C">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2616689C">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9714871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CED2E63E">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7DBE5CEC">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4FC61B24"/>
    <w:multiLevelType w:val="hybridMultilevel"/>
    <w:tmpl w:val="DFBCC4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8771DB7"/>
    <w:multiLevelType w:val="hybridMultilevel"/>
    <w:tmpl w:val="61FEB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030D16"/>
    <w:multiLevelType w:val="hybridMultilevel"/>
    <w:tmpl w:val="4BE293FC"/>
    <w:lvl w:ilvl="0" w:tplc="0809000F">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117759F"/>
    <w:multiLevelType w:val="hybridMultilevel"/>
    <w:tmpl w:val="5FF6D30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BE326FD"/>
    <w:multiLevelType w:val="hybridMultilevel"/>
    <w:tmpl w:val="C180DE0E"/>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CD27E59"/>
    <w:multiLevelType w:val="hybridMultilevel"/>
    <w:tmpl w:val="B7DE4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F30147"/>
    <w:multiLevelType w:val="hybridMultilevel"/>
    <w:tmpl w:val="422280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42D3B6F"/>
    <w:multiLevelType w:val="hybridMultilevel"/>
    <w:tmpl w:val="9B9C2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9B4A5D"/>
    <w:multiLevelType w:val="hybridMultilevel"/>
    <w:tmpl w:val="3A9262FE"/>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D9F1B3E"/>
    <w:multiLevelType w:val="hybridMultilevel"/>
    <w:tmpl w:val="932681B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EDB6BAD"/>
    <w:multiLevelType w:val="hybridMultilevel"/>
    <w:tmpl w:val="1A44E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20"/>
  </w:num>
  <w:num w:numId="4">
    <w:abstractNumId w:val="3"/>
  </w:num>
  <w:num w:numId="5">
    <w:abstractNumId w:val="12"/>
    <w:lvlOverride w:ilvl="0">
      <w:startOverride w:val="2"/>
    </w:lvlOverride>
  </w:num>
  <w:num w:numId="6">
    <w:abstractNumId w:val="12"/>
    <w:lvlOverride w:ilvl="0">
      <w:startOverride w:val="3"/>
    </w:lvlOverride>
  </w:num>
  <w:num w:numId="7">
    <w:abstractNumId w:val="12"/>
  </w:num>
  <w:num w:numId="8">
    <w:abstractNumId w:val="12"/>
    <w:lvlOverride w:ilvl="0">
      <w:startOverride w:val="5"/>
    </w:lvlOverride>
  </w:num>
  <w:num w:numId="9">
    <w:abstractNumId w:val="12"/>
    <w:lvlOverride w:ilvl="0">
      <w:startOverride w:val="6"/>
    </w:lvlOverride>
  </w:num>
  <w:num w:numId="10">
    <w:abstractNumId w:val="12"/>
    <w:lvlOverride w:ilvl="0">
      <w:startOverride w:val="7"/>
    </w:lvlOverride>
  </w:num>
  <w:num w:numId="11">
    <w:abstractNumId w:val="12"/>
    <w:lvlOverride w:ilvl="0">
      <w:startOverride w:val="8"/>
    </w:lvlOverride>
  </w:num>
  <w:num w:numId="12">
    <w:abstractNumId w:val="22"/>
  </w:num>
  <w:num w:numId="13">
    <w:abstractNumId w:val="17"/>
  </w:num>
  <w:num w:numId="14">
    <w:abstractNumId w:val="12"/>
    <w:lvlOverride w:ilvl="0">
      <w:startOverride w:val="9"/>
    </w:lvlOverride>
  </w:num>
  <w:num w:numId="15">
    <w:abstractNumId w:val="12"/>
    <w:lvlOverride w:ilvl="0">
      <w:startOverride w:val="10"/>
    </w:lvlOverride>
  </w:num>
  <w:num w:numId="16">
    <w:abstractNumId w:val="12"/>
    <w:lvlOverride w:ilvl="0">
      <w:startOverride w:val="11"/>
    </w:lvlOverride>
  </w:num>
  <w:num w:numId="17">
    <w:abstractNumId w:val="12"/>
    <w:lvlOverride w:ilvl="0">
      <w:startOverride w:val="12"/>
    </w:lvlOverride>
  </w:num>
  <w:num w:numId="18">
    <w:abstractNumId w:val="33"/>
  </w:num>
  <w:num w:numId="19">
    <w:abstractNumId w:val="16"/>
  </w:num>
  <w:num w:numId="20">
    <w:abstractNumId w:val="25"/>
  </w:num>
  <w:num w:numId="21">
    <w:abstractNumId w:val="7"/>
  </w:num>
  <w:num w:numId="22">
    <w:abstractNumId w:val="6"/>
  </w:num>
  <w:num w:numId="23">
    <w:abstractNumId w:val="0"/>
  </w:num>
  <w:num w:numId="24">
    <w:abstractNumId w:val="24"/>
  </w:num>
  <w:num w:numId="25">
    <w:abstractNumId w:val="9"/>
  </w:num>
  <w:num w:numId="26">
    <w:abstractNumId w:val="10"/>
  </w:num>
  <w:num w:numId="27">
    <w:abstractNumId w:val="11"/>
  </w:num>
  <w:num w:numId="28">
    <w:abstractNumId w:val="13"/>
  </w:num>
  <w:num w:numId="29">
    <w:abstractNumId w:val="31"/>
  </w:num>
  <w:num w:numId="30">
    <w:abstractNumId w:val="8"/>
  </w:num>
  <w:num w:numId="31">
    <w:abstractNumId w:val="19"/>
  </w:num>
  <w:num w:numId="32">
    <w:abstractNumId w:val="32"/>
  </w:num>
  <w:num w:numId="33">
    <w:abstractNumId w:val="1"/>
  </w:num>
  <w:num w:numId="34">
    <w:abstractNumId w:val="27"/>
  </w:num>
  <w:num w:numId="35">
    <w:abstractNumId w:val="4"/>
  </w:num>
  <w:num w:numId="36">
    <w:abstractNumId w:val="14"/>
  </w:num>
  <w:num w:numId="37">
    <w:abstractNumId w:val="26"/>
  </w:num>
  <w:num w:numId="38">
    <w:abstractNumId w:val="15"/>
  </w:num>
  <w:num w:numId="39">
    <w:abstractNumId w:val="5"/>
  </w:num>
  <w:num w:numId="40">
    <w:abstractNumId w:val="23"/>
  </w:num>
  <w:num w:numId="41">
    <w:abstractNumId w:val="21"/>
  </w:num>
  <w:num w:numId="42">
    <w:abstractNumId w:val="18"/>
  </w:num>
  <w:num w:numId="43">
    <w:abstractNumId w:val="30"/>
  </w:num>
  <w:num w:numId="44">
    <w:abstractNumId w:val="29"/>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CF9"/>
    <w:rsid w:val="00001EED"/>
    <w:rsid w:val="0000254C"/>
    <w:rsid w:val="00023BBC"/>
    <w:rsid w:val="00026816"/>
    <w:rsid w:val="000522F2"/>
    <w:rsid w:val="00072DD5"/>
    <w:rsid w:val="00075994"/>
    <w:rsid w:val="000811AA"/>
    <w:rsid w:val="000838C6"/>
    <w:rsid w:val="00091D83"/>
    <w:rsid w:val="000B0DD4"/>
    <w:rsid w:val="000B7533"/>
    <w:rsid w:val="000E146D"/>
    <w:rsid w:val="000F2A2D"/>
    <w:rsid w:val="00123491"/>
    <w:rsid w:val="00130434"/>
    <w:rsid w:val="001749EA"/>
    <w:rsid w:val="001756A0"/>
    <w:rsid w:val="00183665"/>
    <w:rsid w:val="001D3F44"/>
    <w:rsid w:val="001D75ED"/>
    <w:rsid w:val="001D7DC6"/>
    <w:rsid w:val="001F7840"/>
    <w:rsid w:val="002150F5"/>
    <w:rsid w:val="00221EAD"/>
    <w:rsid w:val="002229DC"/>
    <w:rsid w:val="002554FC"/>
    <w:rsid w:val="002845EF"/>
    <w:rsid w:val="00291EE5"/>
    <w:rsid w:val="002A69EB"/>
    <w:rsid w:val="002A6B06"/>
    <w:rsid w:val="002C7349"/>
    <w:rsid w:val="002D7163"/>
    <w:rsid w:val="00310D8E"/>
    <w:rsid w:val="00314F57"/>
    <w:rsid w:val="003304F2"/>
    <w:rsid w:val="003435A6"/>
    <w:rsid w:val="00360727"/>
    <w:rsid w:val="00374480"/>
    <w:rsid w:val="003906C2"/>
    <w:rsid w:val="003A14C0"/>
    <w:rsid w:val="003A1AE8"/>
    <w:rsid w:val="003B1815"/>
    <w:rsid w:val="003C4F24"/>
    <w:rsid w:val="003D333E"/>
    <w:rsid w:val="003E16C1"/>
    <w:rsid w:val="003E7864"/>
    <w:rsid w:val="00402740"/>
    <w:rsid w:val="00410CF9"/>
    <w:rsid w:val="00415A71"/>
    <w:rsid w:val="004404EC"/>
    <w:rsid w:val="00440783"/>
    <w:rsid w:val="004458CA"/>
    <w:rsid w:val="00446740"/>
    <w:rsid w:val="0044697F"/>
    <w:rsid w:val="00494A39"/>
    <w:rsid w:val="004A0EC0"/>
    <w:rsid w:val="004A3D14"/>
    <w:rsid w:val="004A4B7B"/>
    <w:rsid w:val="004C0B91"/>
    <w:rsid w:val="004C1B55"/>
    <w:rsid w:val="004D63B5"/>
    <w:rsid w:val="00500A2C"/>
    <w:rsid w:val="0052464A"/>
    <w:rsid w:val="00555C7D"/>
    <w:rsid w:val="00583475"/>
    <w:rsid w:val="005A1B96"/>
    <w:rsid w:val="005A73BF"/>
    <w:rsid w:val="005C12FF"/>
    <w:rsid w:val="005D21E4"/>
    <w:rsid w:val="005D51A7"/>
    <w:rsid w:val="005E0FEE"/>
    <w:rsid w:val="005E4A43"/>
    <w:rsid w:val="005F3655"/>
    <w:rsid w:val="006061A1"/>
    <w:rsid w:val="00606F2F"/>
    <w:rsid w:val="00620B14"/>
    <w:rsid w:val="00624066"/>
    <w:rsid w:val="00626551"/>
    <w:rsid w:val="00630F5B"/>
    <w:rsid w:val="00634F38"/>
    <w:rsid w:val="00650A61"/>
    <w:rsid w:val="00656A31"/>
    <w:rsid w:val="00670ED0"/>
    <w:rsid w:val="00677DCF"/>
    <w:rsid w:val="006828F5"/>
    <w:rsid w:val="006849D0"/>
    <w:rsid w:val="006850BE"/>
    <w:rsid w:val="0069328A"/>
    <w:rsid w:val="006934B3"/>
    <w:rsid w:val="006A3785"/>
    <w:rsid w:val="006B3614"/>
    <w:rsid w:val="006D4649"/>
    <w:rsid w:val="006F09E6"/>
    <w:rsid w:val="00701889"/>
    <w:rsid w:val="0070242E"/>
    <w:rsid w:val="00706CD3"/>
    <w:rsid w:val="00706EA2"/>
    <w:rsid w:val="007150BC"/>
    <w:rsid w:val="00731596"/>
    <w:rsid w:val="00734FAD"/>
    <w:rsid w:val="00761625"/>
    <w:rsid w:val="00766F41"/>
    <w:rsid w:val="007A36C6"/>
    <w:rsid w:val="007C3280"/>
    <w:rsid w:val="007D55D3"/>
    <w:rsid w:val="007F1985"/>
    <w:rsid w:val="007F35AC"/>
    <w:rsid w:val="00801CDB"/>
    <w:rsid w:val="00820423"/>
    <w:rsid w:val="00835268"/>
    <w:rsid w:val="0084147B"/>
    <w:rsid w:val="00851131"/>
    <w:rsid w:val="00851B23"/>
    <w:rsid w:val="00871119"/>
    <w:rsid w:val="0088345C"/>
    <w:rsid w:val="00883EE9"/>
    <w:rsid w:val="00897BFD"/>
    <w:rsid w:val="008A09CD"/>
    <w:rsid w:val="008A2FD9"/>
    <w:rsid w:val="008C14D3"/>
    <w:rsid w:val="008F1360"/>
    <w:rsid w:val="008F79F1"/>
    <w:rsid w:val="008F7A2D"/>
    <w:rsid w:val="009032BB"/>
    <w:rsid w:val="009066BD"/>
    <w:rsid w:val="009164AE"/>
    <w:rsid w:val="00937EEE"/>
    <w:rsid w:val="00950BB2"/>
    <w:rsid w:val="0096733E"/>
    <w:rsid w:val="00973A89"/>
    <w:rsid w:val="00980633"/>
    <w:rsid w:val="009950BF"/>
    <w:rsid w:val="00997EBB"/>
    <w:rsid w:val="009A09FE"/>
    <w:rsid w:val="009A436D"/>
    <w:rsid w:val="009A4F5C"/>
    <w:rsid w:val="009A62F6"/>
    <w:rsid w:val="009B6BE1"/>
    <w:rsid w:val="009C084A"/>
    <w:rsid w:val="009C2150"/>
    <w:rsid w:val="009F2661"/>
    <w:rsid w:val="00A02579"/>
    <w:rsid w:val="00A0512E"/>
    <w:rsid w:val="00A20E0A"/>
    <w:rsid w:val="00A271B3"/>
    <w:rsid w:val="00A44F3E"/>
    <w:rsid w:val="00A50B57"/>
    <w:rsid w:val="00AA3651"/>
    <w:rsid w:val="00AB5DF1"/>
    <w:rsid w:val="00AD57AF"/>
    <w:rsid w:val="00B065C0"/>
    <w:rsid w:val="00B232D1"/>
    <w:rsid w:val="00B33B81"/>
    <w:rsid w:val="00B403FD"/>
    <w:rsid w:val="00B47109"/>
    <w:rsid w:val="00B53D93"/>
    <w:rsid w:val="00B61197"/>
    <w:rsid w:val="00B619FB"/>
    <w:rsid w:val="00B6233B"/>
    <w:rsid w:val="00B94FF0"/>
    <w:rsid w:val="00BA0CE2"/>
    <w:rsid w:val="00BD5ADF"/>
    <w:rsid w:val="00BE7E36"/>
    <w:rsid w:val="00BF5003"/>
    <w:rsid w:val="00C14675"/>
    <w:rsid w:val="00C27A6A"/>
    <w:rsid w:val="00C32778"/>
    <w:rsid w:val="00C331DE"/>
    <w:rsid w:val="00C50505"/>
    <w:rsid w:val="00C842AD"/>
    <w:rsid w:val="00C853EB"/>
    <w:rsid w:val="00C9728F"/>
    <w:rsid w:val="00CA06BC"/>
    <w:rsid w:val="00CA2046"/>
    <w:rsid w:val="00CA2670"/>
    <w:rsid w:val="00CB0C90"/>
    <w:rsid w:val="00CF324A"/>
    <w:rsid w:val="00CF4002"/>
    <w:rsid w:val="00D038F9"/>
    <w:rsid w:val="00D20F85"/>
    <w:rsid w:val="00D479B7"/>
    <w:rsid w:val="00D547E3"/>
    <w:rsid w:val="00D86C17"/>
    <w:rsid w:val="00D936B3"/>
    <w:rsid w:val="00D97500"/>
    <w:rsid w:val="00DC2FDE"/>
    <w:rsid w:val="00DE025C"/>
    <w:rsid w:val="00DE50FF"/>
    <w:rsid w:val="00DE789B"/>
    <w:rsid w:val="00E20F19"/>
    <w:rsid w:val="00E27EBE"/>
    <w:rsid w:val="00E3160F"/>
    <w:rsid w:val="00E553BB"/>
    <w:rsid w:val="00E56288"/>
    <w:rsid w:val="00E62644"/>
    <w:rsid w:val="00E64A5E"/>
    <w:rsid w:val="00E678E1"/>
    <w:rsid w:val="00E77EA8"/>
    <w:rsid w:val="00ED1CBE"/>
    <w:rsid w:val="00F05D6B"/>
    <w:rsid w:val="00F26082"/>
    <w:rsid w:val="00F54A6D"/>
    <w:rsid w:val="00F568A6"/>
    <w:rsid w:val="00F65FF0"/>
    <w:rsid w:val="00F778A8"/>
    <w:rsid w:val="00FA4C54"/>
    <w:rsid w:val="00FB7950"/>
    <w:rsid w:val="00FC0D6E"/>
    <w:rsid w:val="00FC4C41"/>
    <w:rsid w:val="00FD0AE9"/>
    <w:rsid w:val="00FE6EB9"/>
    <w:rsid w:val="00FF4D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E2E649-E100-4AEB-979A-171B1CA38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A4C54"/>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paragraph" w:styleId="ListParagraph">
    <w:name w:val="List Paragraph"/>
    <w:uiPriority w:val="34"/>
    <w:qFormat/>
    <w:pPr>
      <w:spacing w:after="160" w:line="259" w:lineRule="auto"/>
      <w:ind w:left="720"/>
    </w:pPr>
    <w:rPr>
      <w:rFonts w:ascii="Calibri" w:eastAsia="Calibri" w:hAnsi="Calibri" w:cs="Calibri"/>
      <w:color w:val="000000"/>
      <w:sz w:val="22"/>
      <w:szCs w:val="22"/>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12"/>
      </w:numPr>
    </w:pPr>
  </w:style>
  <w:style w:type="paragraph" w:styleId="BalloonText">
    <w:name w:val="Balloon Text"/>
    <w:basedOn w:val="Normal"/>
    <w:link w:val="BalloonTextChar"/>
    <w:uiPriority w:val="99"/>
    <w:semiHidden/>
    <w:unhideWhenUsed/>
    <w:rsid w:val="005D51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51A7"/>
    <w:rPr>
      <w:rFonts w:ascii="Segoe UI" w:hAnsi="Segoe UI" w:cs="Segoe UI"/>
      <w:sz w:val="18"/>
      <w:szCs w:val="18"/>
      <w:lang w:val="en-US" w:eastAsia="en-US"/>
    </w:rPr>
  </w:style>
  <w:style w:type="numbering" w:customStyle="1" w:styleId="ImportedStyle31">
    <w:name w:val="Imported Style 31"/>
    <w:rsid w:val="00FA4C54"/>
  </w:style>
  <w:style w:type="numbering" w:customStyle="1" w:styleId="ImportedStyle32">
    <w:name w:val="Imported Style 32"/>
    <w:rsid w:val="00FC0D6E"/>
  </w:style>
  <w:style w:type="paragraph" w:styleId="Header">
    <w:name w:val="header"/>
    <w:basedOn w:val="Normal"/>
    <w:link w:val="HeaderChar"/>
    <w:uiPriority w:val="99"/>
    <w:unhideWhenUsed/>
    <w:rsid w:val="00883EE9"/>
    <w:pPr>
      <w:tabs>
        <w:tab w:val="center" w:pos="4513"/>
        <w:tab w:val="right" w:pos="9026"/>
      </w:tabs>
    </w:pPr>
  </w:style>
  <w:style w:type="character" w:customStyle="1" w:styleId="HeaderChar">
    <w:name w:val="Header Char"/>
    <w:basedOn w:val="DefaultParagraphFont"/>
    <w:link w:val="Header"/>
    <w:uiPriority w:val="99"/>
    <w:rsid w:val="00883EE9"/>
    <w:rPr>
      <w:sz w:val="24"/>
      <w:szCs w:val="24"/>
      <w:lang w:val="en-US" w:eastAsia="en-US"/>
    </w:rPr>
  </w:style>
  <w:style w:type="paragraph" w:styleId="Footer">
    <w:name w:val="footer"/>
    <w:basedOn w:val="Normal"/>
    <w:link w:val="FooterChar"/>
    <w:uiPriority w:val="99"/>
    <w:unhideWhenUsed/>
    <w:rsid w:val="00883EE9"/>
    <w:pPr>
      <w:tabs>
        <w:tab w:val="center" w:pos="4513"/>
        <w:tab w:val="right" w:pos="9026"/>
      </w:tabs>
    </w:pPr>
  </w:style>
  <w:style w:type="character" w:customStyle="1" w:styleId="FooterChar">
    <w:name w:val="Footer Char"/>
    <w:basedOn w:val="DefaultParagraphFont"/>
    <w:link w:val="Footer"/>
    <w:uiPriority w:val="99"/>
    <w:rsid w:val="00883EE9"/>
    <w:rPr>
      <w:sz w:val="24"/>
      <w:szCs w:val="24"/>
      <w:lang w:val="en-US" w:eastAsia="en-US"/>
    </w:rPr>
  </w:style>
  <w:style w:type="character" w:styleId="CommentReference">
    <w:name w:val="annotation reference"/>
    <w:basedOn w:val="DefaultParagraphFont"/>
    <w:uiPriority w:val="99"/>
    <w:semiHidden/>
    <w:unhideWhenUsed/>
    <w:rsid w:val="00AA3651"/>
    <w:rPr>
      <w:sz w:val="16"/>
      <w:szCs w:val="16"/>
    </w:rPr>
  </w:style>
  <w:style w:type="paragraph" w:styleId="CommentText">
    <w:name w:val="annotation text"/>
    <w:basedOn w:val="Normal"/>
    <w:link w:val="CommentTextChar"/>
    <w:uiPriority w:val="99"/>
    <w:semiHidden/>
    <w:unhideWhenUsed/>
    <w:rsid w:val="00AA3651"/>
    <w:rPr>
      <w:sz w:val="20"/>
      <w:szCs w:val="20"/>
    </w:rPr>
  </w:style>
  <w:style w:type="character" w:customStyle="1" w:styleId="CommentTextChar">
    <w:name w:val="Comment Text Char"/>
    <w:basedOn w:val="DefaultParagraphFont"/>
    <w:link w:val="CommentText"/>
    <w:uiPriority w:val="99"/>
    <w:semiHidden/>
    <w:rsid w:val="00AA3651"/>
    <w:rPr>
      <w:lang w:val="en-US" w:eastAsia="en-US"/>
    </w:rPr>
  </w:style>
  <w:style w:type="paragraph" w:styleId="CommentSubject">
    <w:name w:val="annotation subject"/>
    <w:basedOn w:val="CommentText"/>
    <w:next w:val="CommentText"/>
    <w:link w:val="CommentSubjectChar"/>
    <w:uiPriority w:val="99"/>
    <w:semiHidden/>
    <w:unhideWhenUsed/>
    <w:rsid w:val="00AA3651"/>
    <w:rPr>
      <w:b/>
      <w:bCs/>
    </w:rPr>
  </w:style>
  <w:style w:type="character" w:customStyle="1" w:styleId="CommentSubjectChar">
    <w:name w:val="Comment Subject Char"/>
    <w:basedOn w:val="CommentTextChar"/>
    <w:link w:val="CommentSubject"/>
    <w:uiPriority w:val="99"/>
    <w:semiHidden/>
    <w:rsid w:val="00AA3651"/>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966281">
      <w:bodyDiv w:val="1"/>
      <w:marLeft w:val="0"/>
      <w:marRight w:val="0"/>
      <w:marTop w:val="0"/>
      <w:marBottom w:val="0"/>
      <w:divBdr>
        <w:top w:val="none" w:sz="0" w:space="0" w:color="auto"/>
        <w:left w:val="none" w:sz="0" w:space="0" w:color="auto"/>
        <w:bottom w:val="none" w:sz="0" w:space="0" w:color="auto"/>
        <w:right w:val="none" w:sz="0" w:space="0" w:color="auto"/>
      </w:divBdr>
    </w:div>
    <w:div w:id="1420564080">
      <w:bodyDiv w:val="1"/>
      <w:marLeft w:val="0"/>
      <w:marRight w:val="0"/>
      <w:marTop w:val="0"/>
      <w:marBottom w:val="0"/>
      <w:divBdr>
        <w:top w:val="none" w:sz="0" w:space="0" w:color="auto"/>
        <w:left w:val="none" w:sz="0" w:space="0" w:color="auto"/>
        <w:bottom w:val="none" w:sz="0" w:space="0" w:color="auto"/>
        <w:right w:val="none" w:sz="0" w:space="0" w:color="auto"/>
      </w:divBdr>
      <w:divsChild>
        <w:div w:id="1713581201">
          <w:marLeft w:val="1987"/>
          <w:marRight w:val="0"/>
          <w:marTop w:val="0"/>
          <w:marBottom w:val="0"/>
          <w:divBdr>
            <w:top w:val="none" w:sz="0" w:space="0" w:color="auto"/>
            <w:left w:val="none" w:sz="0" w:space="0" w:color="auto"/>
            <w:bottom w:val="none" w:sz="0" w:space="0" w:color="auto"/>
            <w:right w:val="none" w:sz="0" w:space="0" w:color="auto"/>
          </w:divBdr>
        </w:div>
      </w:divsChild>
    </w:div>
    <w:div w:id="1817069599">
      <w:bodyDiv w:val="1"/>
      <w:marLeft w:val="0"/>
      <w:marRight w:val="0"/>
      <w:marTop w:val="0"/>
      <w:marBottom w:val="0"/>
      <w:divBdr>
        <w:top w:val="none" w:sz="0" w:space="0" w:color="auto"/>
        <w:left w:val="none" w:sz="0" w:space="0" w:color="auto"/>
        <w:bottom w:val="none" w:sz="0" w:space="0" w:color="auto"/>
        <w:right w:val="none" w:sz="0" w:space="0" w:color="auto"/>
      </w:divBdr>
    </w:div>
    <w:div w:id="21173581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2018-03-13T07:06:05+00:00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CC85A6B6-16C9-4B2D-B3BC-3055E03E10BE}"/>
</file>

<file path=customXml/itemProps2.xml><?xml version="1.0" encoding="utf-8"?>
<ds:datastoreItem xmlns:ds="http://schemas.openxmlformats.org/officeDocument/2006/customXml" ds:itemID="{96044843-6AF9-4AEC-8E38-B66F9F5AAFD9}"/>
</file>

<file path=customXml/itemProps3.xml><?xml version="1.0" encoding="utf-8"?>
<ds:datastoreItem xmlns:ds="http://schemas.openxmlformats.org/officeDocument/2006/customXml" ds:itemID="{C2BB9793-61A1-46D0-867D-95A609957C75}"/>
</file>

<file path=docProps/app.xml><?xml version="1.0" encoding="utf-8"?>
<Properties xmlns="http://schemas.openxmlformats.org/officeDocument/2006/extended-properties" xmlns:vt="http://schemas.openxmlformats.org/officeDocument/2006/docPropsVTypes">
  <Template>Normal</Template>
  <TotalTime>4</TotalTime>
  <Pages>4</Pages>
  <Words>1259</Words>
  <Characters>7179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Eoin Tonge</dc:creator>
  <cp:lastModifiedBy>Natasha Short</cp:lastModifiedBy>
  <cp:revision>4</cp:revision>
  <cp:lastPrinted>2018-03-12T18:34:00Z</cp:lastPrinted>
  <dcterms:created xsi:type="dcterms:W3CDTF">2018-03-12T23:03:00Z</dcterms:created>
  <dcterms:modified xsi:type="dcterms:W3CDTF">2018-03-12T23:08:00Z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DocType_AnnouncementDocument">
    <vt:lpwstr>Announcement</vt:lpwstr>
  </property>
  <property fmtid="{D5CDD505-2E9C-101B-9397-08002B2CF9AE}" pid="5" name="SendToWeb">
    <vt:bool>false</vt:bool>
  </property>
  <property fmtid="{D5CDD505-2E9C-101B-9397-08002B2CF9AE}" pid="6" name="Visible">
    <vt:bool>false</vt:bool>
  </property>
  <property fmtid="{D5CDD505-2E9C-101B-9397-08002B2CF9AE}" pid="8" name="DocType_Miscellaneous">
    <vt:lpwstr>Miscellaneous</vt:lpwstr>
  </property>
  <property fmtid="{D5CDD505-2E9C-101B-9397-08002B2CF9AE}" pid="10" name="IssuerID">
    <vt:lpwstr/>
  </property>
  <property fmtid="{D5CDD505-2E9C-101B-9397-08002B2CF9AE}" pid="11" name="JobContentType">
    <vt:lpwstr/>
  </property>
  <property fmtid="{D5CDD505-2E9C-101B-9397-08002B2CF9AE}" pid="12" name="Organisation">
    <vt:lpwstr/>
  </property>
  <property fmtid="{D5CDD505-2E9C-101B-9397-08002B2CF9AE}" pid="13" name="MediaServiceImageTags">
    <vt:lpwstr/>
  </property>
  <property fmtid="{D5CDD505-2E9C-101B-9397-08002B2CF9AE}" pid="14" name="JobType">
    <vt:lpwstr/>
  </property>
  <property fmtid="{D5CDD505-2E9C-101B-9397-08002B2CF9AE}" pid="15" name="Contact">
    <vt:lpwstr/>
  </property>
  <property fmtid="{D5CDD505-2E9C-101B-9397-08002B2CF9AE}" pid="17" name="IssuerName">
    <vt:lpwstr/>
  </property>
</Properties>
</file>