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5D03A" w14:textId="77777777" w:rsidR="00544C6F" w:rsidRDefault="00544C6F" w:rsidP="00544C6F"/>
    <w:p w14:paraId="37EABF81" w14:textId="77777777" w:rsidR="002442FD" w:rsidRPr="002442FD" w:rsidRDefault="002442FD" w:rsidP="002442FD">
      <w:pPr>
        <w:adjustRightInd/>
        <w:spacing w:after="120"/>
        <w:jc w:val="left"/>
        <w:rPr>
          <w:rFonts w:asciiTheme="minorHAnsi" w:eastAsiaTheme="minorHAnsi" w:hAnsiTheme="minorHAnsi" w:cstheme="minorHAnsi"/>
          <w:b/>
          <w:sz w:val="20"/>
          <w:szCs w:val="20"/>
          <w:lang w:val="en-GB" w:eastAsia="en-US"/>
        </w:rPr>
      </w:pPr>
      <w:r w:rsidRPr="002442FD">
        <w:rPr>
          <w:rFonts w:asciiTheme="minorHAnsi" w:eastAsiaTheme="minorHAnsi" w:hAnsiTheme="minorHAnsi" w:cstheme="minorHAnsi"/>
          <w:b/>
          <w:sz w:val="20"/>
          <w:szCs w:val="20"/>
          <w:lang w:val="en-GB" w:eastAsia="en-US"/>
        </w:rPr>
        <w:t>NOT FOR RELEASE, PUBLICATION OR DISTRIBUTION IN ANY JURISDICTION WHERE TO DO SO WOULD CONSTITUTE A VIOLATION OF THE RELEVANT LAWS OF SUCH JURISDICTION</w:t>
      </w:r>
    </w:p>
    <w:p w14:paraId="43C18830" w14:textId="77777777" w:rsidR="002442FD" w:rsidRPr="002442FD" w:rsidRDefault="002442FD" w:rsidP="002442FD">
      <w:pPr>
        <w:adjustRightInd/>
        <w:spacing w:after="120"/>
        <w:jc w:val="left"/>
        <w:rPr>
          <w:rFonts w:asciiTheme="minorHAnsi" w:eastAsiaTheme="minorHAnsi" w:hAnsiTheme="minorHAnsi" w:cstheme="minorHAnsi"/>
          <w:b/>
          <w:sz w:val="20"/>
          <w:szCs w:val="20"/>
          <w:lang w:val="en-GB" w:eastAsia="en-US"/>
        </w:rPr>
      </w:pPr>
      <w:r w:rsidRPr="002442FD">
        <w:rPr>
          <w:rFonts w:asciiTheme="minorHAnsi" w:eastAsiaTheme="minorHAnsi" w:hAnsiTheme="minorHAnsi" w:cstheme="minorHAnsi"/>
          <w:b/>
          <w:sz w:val="20"/>
          <w:szCs w:val="20"/>
          <w:lang w:val="en-GB" w:eastAsia="en-US"/>
        </w:rPr>
        <w:t>For Immediate Release</w:t>
      </w:r>
    </w:p>
    <w:p w14:paraId="7292687C" w14:textId="77777777" w:rsidR="002442FD" w:rsidRPr="002442FD" w:rsidRDefault="002442FD" w:rsidP="002442FD">
      <w:pPr>
        <w:adjustRightInd/>
        <w:spacing w:after="120"/>
        <w:jc w:val="center"/>
        <w:rPr>
          <w:rFonts w:asciiTheme="minorHAnsi" w:eastAsiaTheme="minorHAnsi" w:hAnsiTheme="minorHAnsi" w:cstheme="minorHAnsi"/>
          <w:b/>
          <w:sz w:val="20"/>
          <w:szCs w:val="20"/>
          <w:lang w:val="en-GB" w:eastAsia="en-US"/>
        </w:rPr>
      </w:pPr>
      <w:r w:rsidRPr="002442FD">
        <w:rPr>
          <w:rFonts w:asciiTheme="minorHAnsi" w:eastAsiaTheme="minorHAnsi" w:hAnsiTheme="minorHAnsi" w:cstheme="minorHAnsi"/>
          <w:b/>
          <w:sz w:val="20"/>
          <w:szCs w:val="20"/>
          <w:lang w:val="en-GB" w:eastAsia="en-US"/>
        </w:rPr>
        <w:t>GREENCORE GROUP PLC</w:t>
      </w:r>
    </w:p>
    <w:p w14:paraId="78A4D22B" w14:textId="11C2B2D2" w:rsidR="00544C6F" w:rsidRPr="002442FD" w:rsidRDefault="002442FD" w:rsidP="002442FD">
      <w:pPr>
        <w:spacing w:after="120" w:line="264" w:lineRule="auto"/>
        <w:jc w:val="center"/>
        <w:rPr>
          <w:rFonts w:asciiTheme="minorHAnsi" w:eastAsiaTheme="minorHAnsi" w:hAnsiTheme="minorHAnsi" w:cstheme="minorHAnsi"/>
          <w:b/>
          <w:sz w:val="20"/>
          <w:szCs w:val="20"/>
          <w:lang w:val="en-GB" w:eastAsia="en-US"/>
        </w:rPr>
      </w:pPr>
      <w:r w:rsidRPr="002442FD">
        <w:rPr>
          <w:rFonts w:asciiTheme="minorHAnsi" w:eastAsiaTheme="minorHAnsi" w:hAnsiTheme="minorHAnsi" w:cstheme="minorHAnsi"/>
          <w:b/>
          <w:sz w:val="20"/>
          <w:szCs w:val="20"/>
          <w:lang w:val="en-GB" w:eastAsia="en-US"/>
        </w:rPr>
        <w:t xml:space="preserve">Results of Extraordinary General Meeting </w:t>
      </w:r>
    </w:p>
    <w:p w14:paraId="7552E8F2" w14:textId="04AE7C15" w:rsidR="002442FD" w:rsidRDefault="002442FD" w:rsidP="002442FD">
      <w:pPr>
        <w:spacing w:after="120" w:line="264" w:lineRule="auto"/>
        <w:rPr>
          <w:rFonts w:cstheme="minorHAnsi"/>
          <w:b/>
          <w:sz w:val="20"/>
          <w:szCs w:val="20"/>
          <w:lang w:val="en-GB"/>
        </w:rPr>
      </w:pPr>
    </w:p>
    <w:p w14:paraId="34DAE1F5" w14:textId="5D74F321" w:rsidR="002442FD" w:rsidRPr="00356870" w:rsidRDefault="0066682C" w:rsidP="002442FD">
      <w:pPr>
        <w:spacing w:after="120" w:line="264" w:lineRule="auto"/>
        <w:rPr>
          <w:rFonts w:asciiTheme="minorHAnsi" w:eastAsiaTheme="minorHAnsi" w:hAnsiTheme="minorHAnsi" w:cstheme="minorHAnsi"/>
          <w:b/>
          <w:sz w:val="20"/>
          <w:szCs w:val="20"/>
          <w:lang w:val="en-GB" w:eastAsia="en-US"/>
        </w:rPr>
      </w:pPr>
      <w:r w:rsidRPr="00356870">
        <w:rPr>
          <w:rFonts w:asciiTheme="minorHAnsi" w:eastAsiaTheme="minorHAnsi" w:hAnsiTheme="minorHAnsi" w:cstheme="minorHAnsi"/>
          <w:b/>
          <w:sz w:val="20"/>
          <w:szCs w:val="20"/>
          <w:lang w:val="en-GB" w:eastAsia="en-US"/>
        </w:rPr>
        <w:t>7</w:t>
      </w:r>
      <w:r w:rsidR="00CE77D8" w:rsidRPr="00356870">
        <w:rPr>
          <w:rFonts w:asciiTheme="minorHAnsi" w:eastAsiaTheme="minorHAnsi" w:hAnsiTheme="minorHAnsi" w:cstheme="minorHAnsi"/>
          <w:b/>
          <w:sz w:val="20"/>
          <w:szCs w:val="20"/>
          <w:lang w:val="en-GB" w:eastAsia="en-US"/>
        </w:rPr>
        <w:t xml:space="preserve"> </w:t>
      </w:r>
      <w:r w:rsidR="002442FD" w:rsidRPr="00356870">
        <w:rPr>
          <w:rFonts w:asciiTheme="minorHAnsi" w:eastAsiaTheme="minorHAnsi" w:hAnsiTheme="minorHAnsi" w:cstheme="minorHAnsi"/>
          <w:b/>
          <w:sz w:val="20"/>
          <w:szCs w:val="20"/>
          <w:lang w:val="en-GB" w:eastAsia="en-US"/>
        </w:rPr>
        <w:t>November 2018</w:t>
      </w:r>
    </w:p>
    <w:p w14:paraId="661FA292" w14:textId="5532CC3C" w:rsidR="00544C6F" w:rsidRDefault="00544C6F" w:rsidP="00F146C8">
      <w:pPr>
        <w:tabs>
          <w:tab w:val="left" w:pos="2977"/>
        </w:tabs>
        <w:rPr>
          <w:rFonts w:asciiTheme="minorHAnsi" w:eastAsiaTheme="minorHAnsi" w:hAnsiTheme="minorHAnsi" w:cstheme="minorHAnsi"/>
          <w:sz w:val="20"/>
          <w:szCs w:val="20"/>
          <w:lang w:val="en-GB" w:eastAsia="en-US"/>
        </w:rPr>
      </w:pPr>
      <w:r w:rsidRPr="002442FD">
        <w:rPr>
          <w:rFonts w:asciiTheme="minorHAnsi" w:eastAsiaTheme="minorHAnsi" w:hAnsiTheme="minorHAnsi" w:cstheme="minorHAnsi"/>
          <w:sz w:val="20"/>
          <w:szCs w:val="20"/>
          <w:lang w:val="en-GB" w:eastAsia="en-US"/>
        </w:rPr>
        <w:t>The Board of Greencore</w:t>
      </w:r>
      <w:r w:rsidR="002442FD">
        <w:rPr>
          <w:rFonts w:asciiTheme="minorHAnsi" w:eastAsiaTheme="minorHAnsi" w:hAnsiTheme="minorHAnsi" w:cstheme="minorHAnsi"/>
          <w:sz w:val="20"/>
          <w:szCs w:val="20"/>
          <w:lang w:val="en-GB" w:eastAsia="en-US"/>
        </w:rPr>
        <w:t xml:space="preserve"> Group plc </w:t>
      </w:r>
      <w:r w:rsidR="002442FD" w:rsidRPr="002442FD">
        <w:rPr>
          <w:rFonts w:asciiTheme="minorHAnsi" w:eastAsiaTheme="minorHAnsi" w:hAnsiTheme="minorHAnsi" w:cstheme="minorHAnsi"/>
          <w:sz w:val="20"/>
          <w:szCs w:val="20"/>
          <w:lang w:val="en-GB" w:eastAsia="en-US"/>
        </w:rPr>
        <w:t>(“</w:t>
      </w:r>
      <w:r w:rsidR="002442FD" w:rsidRPr="002442FD">
        <w:rPr>
          <w:rFonts w:asciiTheme="minorHAnsi" w:eastAsiaTheme="minorHAnsi" w:hAnsiTheme="minorHAnsi" w:cstheme="minorHAnsi"/>
          <w:b/>
          <w:sz w:val="20"/>
          <w:szCs w:val="20"/>
          <w:lang w:val="en-GB" w:eastAsia="en-US"/>
        </w:rPr>
        <w:t>Greencore</w:t>
      </w:r>
      <w:r w:rsidR="002442FD" w:rsidRPr="002442FD">
        <w:rPr>
          <w:rFonts w:asciiTheme="minorHAnsi" w:eastAsiaTheme="minorHAnsi" w:hAnsiTheme="minorHAnsi" w:cstheme="minorHAnsi"/>
          <w:sz w:val="20"/>
          <w:szCs w:val="20"/>
          <w:lang w:val="en-GB" w:eastAsia="en-US"/>
        </w:rPr>
        <w:t>” or the “</w:t>
      </w:r>
      <w:r w:rsidR="002442FD" w:rsidRPr="002442FD">
        <w:rPr>
          <w:rFonts w:asciiTheme="minorHAnsi" w:eastAsiaTheme="minorHAnsi" w:hAnsiTheme="minorHAnsi" w:cstheme="minorHAnsi"/>
          <w:b/>
          <w:sz w:val="20"/>
          <w:szCs w:val="20"/>
          <w:lang w:val="en-GB" w:eastAsia="en-US"/>
        </w:rPr>
        <w:t>Group</w:t>
      </w:r>
      <w:r w:rsidR="002442FD" w:rsidRPr="002442FD">
        <w:rPr>
          <w:rFonts w:asciiTheme="minorHAnsi" w:eastAsiaTheme="minorHAnsi" w:hAnsiTheme="minorHAnsi" w:cstheme="minorHAnsi"/>
          <w:sz w:val="20"/>
          <w:szCs w:val="20"/>
          <w:lang w:val="en-GB" w:eastAsia="en-US"/>
        </w:rPr>
        <w:t>”)</w:t>
      </w:r>
      <w:r w:rsidRPr="002442FD">
        <w:rPr>
          <w:rFonts w:asciiTheme="minorHAnsi" w:eastAsiaTheme="minorHAnsi" w:hAnsiTheme="minorHAnsi" w:cstheme="minorHAnsi"/>
          <w:sz w:val="20"/>
          <w:szCs w:val="20"/>
          <w:lang w:val="en-GB" w:eastAsia="en-US"/>
        </w:rPr>
        <w:t xml:space="preserve"> announces that, at the Extraordinary General Meeting</w:t>
      </w:r>
      <w:r w:rsidR="00822532">
        <w:rPr>
          <w:rFonts w:asciiTheme="minorHAnsi" w:eastAsiaTheme="minorHAnsi" w:hAnsiTheme="minorHAnsi" w:cstheme="minorHAnsi"/>
          <w:sz w:val="20"/>
          <w:szCs w:val="20"/>
          <w:lang w:val="en-GB" w:eastAsia="en-US"/>
        </w:rPr>
        <w:t xml:space="preserve"> (“</w:t>
      </w:r>
      <w:r w:rsidR="00822532" w:rsidRPr="002E4FF1">
        <w:rPr>
          <w:rFonts w:asciiTheme="minorHAnsi" w:eastAsiaTheme="minorHAnsi" w:hAnsiTheme="minorHAnsi" w:cstheme="minorHAnsi"/>
          <w:b/>
          <w:sz w:val="20"/>
          <w:szCs w:val="20"/>
          <w:lang w:val="en-GB" w:eastAsia="en-US"/>
        </w:rPr>
        <w:t>EGM</w:t>
      </w:r>
      <w:r w:rsidR="00822532">
        <w:rPr>
          <w:rFonts w:asciiTheme="minorHAnsi" w:eastAsiaTheme="minorHAnsi" w:hAnsiTheme="minorHAnsi" w:cstheme="minorHAnsi"/>
          <w:sz w:val="20"/>
          <w:szCs w:val="20"/>
          <w:lang w:val="en-GB" w:eastAsia="en-US"/>
        </w:rPr>
        <w:t>”)</w:t>
      </w:r>
      <w:r w:rsidRPr="002442FD">
        <w:rPr>
          <w:rFonts w:asciiTheme="minorHAnsi" w:eastAsiaTheme="minorHAnsi" w:hAnsiTheme="minorHAnsi" w:cstheme="minorHAnsi"/>
          <w:sz w:val="20"/>
          <w:szCs w:val="20"/>
          <w:lang w:val="en-GB" w:eastAsia="en-US"/>
        </w:rPr>
        <w:t xml:space="preserve"> held earlier today, the Resolutions to approve the </w:t>
      </w:r>
      <w:r w:rsidR="002442FD">
        <w:rPr>
          <w:rFonts w:asciiTheme="minorHAnsi" w:eastAsiaTheme="minorHAnsi" w:hAnsiTheme="minorHAnsi" w:cstheme="minorHAnsi"/>
          <w:sz w:val="20"/>
          <w:szCs w:val="20"/>
          <w:lang w:val="en-GB" w:eastAsia="en-US"/>
        </w:rPr>
        <w:t xml:space="preserve">disposal of </w:t>
      </w:r>
      <w:r w:rsidR="009B5854">
        <w:rPr>
          <w:rFonts w:asciiTheme="minorHAnsi" w:eastAsiaTheme="minorHAnsi" w:hAnsiTheme="minorHAnsi" w:cstheme="minorHAnsi"/>
          <w:sz w:val="20"/>
          <w:szCs w:val="20"/>
          <w:lang w:val="en-GB" w:eastAsia="en-US"/>
        </w:rPr>
        <w:t>its entire US business (“</w:t>
      </w:r>
      <w:r w:rsidR="002442FD">
        <w:rPr>
          <w:rFonts w:asciiTheme="minorHAnsi" w:eastAsiaTheme="minorHAnsi" w:hAnsiTheme="minorHAnsi" w:cstheme="minorHAnsi"/>
          <w:sz w:val="20"/>
          <w:szCs w:val="20"/>
          <w:lang w:val="en-GB" w:eastAsia="en-US"/>
        </w:rPr>
        <w:t>Greencore US</w:t>
      </w:r>
      <w:r w:rsidR="009B5854">
        <w:rPr>
          <w:rFonts w:asciiTheme="minorHAnsi" w:eastAsiaTheme="minorHAnsi" w:hAnsiTheme="minorHAnsi" w:cstheme="minorHAnsi"/>
          <w:sz w:val="20"/>
          <w:szCs w:val="20"/>
          <w:lang w:val="en-GB" w:eastAsia="en-US"/>
        </w:rPr>
        <w:t>”)</w:t>
      </w:r>
      <w:r w:rsidR="006642E4" w:rsidRPr="002442FD">
        <w:rPr>
          <w:rFonts w:asciiTheme="minorHAnsi" w:eastAsiaTheme="minorHAnsi" w:hAnsiTheme="minorHAnsi" w:cstheme="minorHAnsi"/>
          <w:sz w:val="20"/>
          <w:szCs w:val="20"/>
          <w:lang w:val="en-GB" w:eastAsia="en-US"/>
        </w:rPr>
        <w:t xml:space="preserve"> </w:t>
      </w:r>
      <w:r w:rsidRPr="002442FD">
        <w:rPr>
          <w:rFonts w:asciiTheme="minorHAnsi" w:eastAsiaTheme="minorHAnsi" w:hAnsiTheme="minorHAnsi" w:cstheme="minorHAnsi"/>
          <w:sz w:val="20"/>
          <w:szCs w:val="20"/>
          <w:lang w:val="en-GB" w:eastAsia="en-US"/>
        </w:rPr>
        <w:t>a</w:t>
      </w:r>
      <w:r w:rsidR="002442FD">
        <w:rPr>
          <w:rFonts w:asciiTheme="minorHAnsi" w:eastAsiaTheme="minorHAnsi" w:hAnsiTheme="minorHAnsi" w:cstheme="minorHAnsi"/>
          <w:sz w:val="20"/>
          <w:szCs w:val="20"/>
          <w:lang w:val="en-GB" w:eastAsia="en-US"/>
        </w:rPr>
        <w:t xml:space="preserve">s well as </w:t>
      </w:r>
      <w:r w:rsidR="001920A8">
        <w:rPr>
          <w:rFonts w:asciiTheme="minorHAnsi" w:eastAsiaTheme="minorHAnsi" w:hAnsiTheme="minorHAnsi" w:cstheme="minorHAnsi"/>
          <w:sz w:val="20"/>
          <w:szCs w:val="20"/>
          <w:lang w:val="en-GB" w:eastAsia="en-US"/>
        </w:rPr>
        <w:t xml:space="preserve">to </w:t>
      </w:r>
      <w:r w:rsidR="002442FD">
        <w:rPr>
          <w:rFonts w:asciiTheme="minorHAnsi" w:eastAsiaTheme="minorHAnsi" w:hAnsiTheme="minorHAnsi" w:cstheme="minorHAnsi"/>
          <w:sz w:val="20"/>
          <w:szCs w:val="20"/>
          <w:lang w:val="en-GB" w:eastAsia="en-US"/>
        </w:rPr>
        <w:t xml:space="preserve">allow flexibility to implement a Special Dividend and </w:t>
      </w:r>
      <w:r w:rsidR="00FD3965">
        <w:rPr>
          <w:rFonts w:asciiTheme="minorHAnsi" w:eastAsiaTheme="minorHAnsi" w:hAnsiTheme="minorHAnsi" w:cstheme="minorHAnsi"/>
          <w:sz w:val="20"/>
          <w:szCs w:val="20"/>
          <w:lang w:val="en-GB" w:eastAsia="en-US"/>
        </w:rPr>
        <w:t xml:space="preserve">to approve </w:t>
      </w:r>
      <w:r w:rsidR="002442FD">
        <w:rPr>
          <w:rFonts w:asciiTheme="minorHAnsi" w:eastAsiaTheme="minorHAnsi" w:hAnsiTheme="minorHAnsi" w:cstheme="minorHAnsi"/>
          <w:sz w:val="20"/>
          <w:szCs w:val="20"/>
          <w:lang w:val="en-GB" w:eastAsia="en-US"/>
        </w:rPr>
        <w:t>an accompanying customary Share Consolidation,</w:t>
      </w:r>
      <w:r w:rsidRPr="002442FD">
        <w:rPr>
          <w:rFonts w:asciiTheme="minorHAnsi" w:eastAsiaTheme="minorHAnsi" w:hAnsiTheme="minorHAnsi" w:cstheme="minorHAnsi"/>
          <w:sz w:val="20"/>
          <w:szCs w:val="20"/>
          <w:lang w:val="en-GB" w:eastAsia="en-US"/>
        </w:rPr>
        <w:t xml:space="preserve"> details of which were set out in the</w:t>
      </w:r>
      <w:r w:rsidR="00454465" w:rsidRPr="002442FD">
        <w:rPr>
          <w:rFonts w:asciiTheme="minorHAnsi" w:eastAsiaTheme="minorHAnsi" w:hAnsiTheme="minorHAnsi" w:cstheme="minorHAnsi"/>
          <w:sz w:val="20"/>
          <w:szCs w:val="20"/>
          <w:lang w:val="en-GB" w:eastAsia="en-US"/>
        </w:rPr>
        <w:t xml:space="preserve"> </w:t>
      </w:r>
      <w:r w:rsidR="002442FD">
        <w:rPr>
          <w:rFonts w:asciiTheme="minorHAnsi" w:eastAsiaTheme="minorHAnsi" w:hAnsiTheme="minorHAnsi" w:cstheme="minorHAnsi"/>
          <w:sz w:val="20"/>
          <w:szCs w:val="20"/>
          <w:lang w:val="en-GB" w:eastAsia="en-US"/>
        </w:rPr>
        <w:t>Circular</w:t>
      </w:r>
      <w:r w:rsidR="00454465" w:rsidRPr="002442FD">
        <w:rPr>
          <w:rFonts w:asciiTheme="minorHAnsi" w:eastAsiaTheme="minorHAnsi" w:hAnsiTheme="minorHAnsi" w:cstheme="minorHAnsi"/>
          <w:sz w:val="20"/>
          <w:szCs w:val="20"/>
          <w:lang w:val="en-GB" w:eastAsia="en-US"/>
        </w:rPr>
        <w:t xml:space="preserve"> dated </w:t>
      </w:r>
      <w:r w:rsidR="002442FD">
        <w:rPr>
          <w:rFonts w:asciiTheme="minorHAnsi" w:eastAsiaTheme="minorHAnsi" w:hAnsiTheme="minorHAnsi" w:cstheme="minorHAnsi"/>
          <w:sz w:val="20"/>
          <w:szCs w:val="20"/>
          <w:lang w:val="en-GB" w:eastAsia="en-US"/>
        </w:rPr>
        <w:t>15 October 2018</w:t>
      </w:r>
      <w:r w:rsidR="00454465" w:rsidRPr="002442FD">
        <w:rPr>
          <w:rFonts w:asciiTheme="minorHAnsi" w:eastAsiaTheme="minorHAnsi" w:hAnsiTheme="minorHAnsi" w:cstheme="minorHAnsi"/>
          <w:sz w:val="20"/>
          <w:szCs w:val="20"/>
          <w:lang w:val="en-GB" w:eastAsia="en-US"/>
        </w:rPr>
        <w:t xml:space="preserve"> </w:t>
      </w:r>
      <w:r w:rsidR="002442FD">
        <w:rPr>
          <w:rFonts w:asciiTheme="minorHAnsi" w:eastAsiaTheme="minorHAnsi" w:hAnsiTheme="minorHAnsi" w:cstheme="minorHAnsi"/>
          <w:sz w:val="20"/>
          <w:szCs w:val="20"/>
          <w:lang w:val="en-GB" w:eastAsia="en-US"/>
        </w:rPr>
        <w:t>(</w:t>
      </w:r>
      <w:r w:rsidR="006C0CBB">
        <w:rPr>
          <w:rFonts w:asciiTheme="minorHAnsi" w:eastAsiaTheme="minorHAnsi" w:hAnsiTheme="minorHAnsi" w:cstheme="minorHAnsi"/>
          <w:sz w:val="20"/>
          <w:szCs w:val="20"/>
          <w:lang w:val="en-GB" w:eastAsia="en-US"/>
        </w:rPr>
        <w:t>the ”</w:t>
      </w:r>
      <w:r w:rsidR="002442FD" w:rsidRPr="002442FD">
        <w:rPr>
          <w:rFonts w:asciiTheme="minorHAnsi" w:eastAsiaTheme="minorHAnsi" w:hAnsiTheme="minorHAnsi" w:cstheme="minorHAnsi"/>
          <w:b/>
          <w:sz w:val="20"/>
          <w:szCs w:val="20"/>
          <w:lang w:val="en-GB" w:eastAsia="en-US"/>
        </w:rPr>
        <w:t>Circular</w:t>
      </w:r>
      <w:r w:rsidR="00F053C6">
        <w:rPr>
          <w:rFonts w:asciiTheme="minorHAnsi" w:eastAsiaTheme="minorHAnsi" w:hAnsiTheme="minorHAnsi" w:cstheme="minorHAnsi"/>
          <w:b/>
          <w:sz w:val="20"/>
          <w:szCs w:val="20"/>
          <w:lang w:val="en-GB" w:eastAsia="en-US"/>
        </w:rPr>
        <w:t>”</w:t>
      </w:r>
      <w:r w:rsidR="002442FD">
        <w:rPr>
          <w:rFonts w:asciiTheme="minorHAnsi" w:eastAsiaTheme="minorHAnsi" w:hAnsiTheme="minorHAnsi" w:cstheme="minorHAnsi"/>
          <w:sz w:val="20"/>
          <w:szCs w:val="20"/>
          <w:lang w:val="en-GB" w:eastAsia="en-US"/>
        </w:rPr>
        <w:t>)</w:t>
      </w:r>
      <w:r w:rsidRPr="002442FD">
        <w:rPr>
          <w:rFonts w:asciiTheme="minorHAnsi" w:eastAsiaTheme="minorHAnsi" w:hAnsiTheme="minorHAnsi" w:cstheme="minorHAnsi"/>
          <w:sz w:val="20"/>
          <w:szCs w:val="20"/>
          <w:lang w:val="en-GB" w:eastAsia="en-US"/>
        </w:rPr>
        <w:t xml:space="preserve">, were duly </w:t>
      </w:r>
      <w:r w:rsidR="004C4502">
        <w:rPr>
          <w:rFonts w:asciiTheme="minorHAnsi" w:eastAsiaTheme="minorHAnsi" w:hAnsiTheme="minorHAnsi" w:cstheme="minorHAnsi"/>
          <w:sz w:val="20"/>
          <w:szCs w:val="20"/>
          <w:lang w:val="en-GB" w:eastAsia="en-US"/>
        </w:rPr>
        <w:t>approved</w:t>
      </w:r>
      <w:r w:rsidRPr="002442FD">
        <w:rPr>
          <w:rFonts w:asciiTheme="minorHAnsi" w:eastAsiaTheme="minorHAnsi" w:hAnsiTheme="minorHAnsi" w:cstheme="minorHAnsi"/>
          <w:sz w:val="20"/>
          <w:szCs w:val="20"/>
          <w:lang w:val="en-GB" w:eastAsia="en-US"/>
        </w:rPr>
        <w:t>.</w:t>
      </w:r>
    </w:p>
    <w:p w14:paraId="75D349CF" w14:textId="77777777" w:rsidR="00822532" w:rsidRPr="00D9170B" w:rsidRDefault="00822532" w:rsidP="00544C6F">
      <w:pPr>
        <w:rPr>
          <w:rFonts w:asciiTheme="minorHAnsi" w:eastAsiaTheme="minorHAnsi" w:hAnsiTheme="minorHAnsi"/>
          <w:sz w:val="20"/>
          <w:lang w:val="en-GB"/>
        </w:rPr>
      </w:pPr>
    </w:p>
    <w:p w14:paraId="092B2722" w14:textId="30BB89A8" w:rsidR="00544C6F" w:rsidRPr="002442FD" w:rsidRDefault="00544C6F" w:rsidP="00544C6F">
      <w:pPr>
        <w:rPr>
          <w:rFonts w:asciiTheme="minorHAnsi" w:eastAsiaTheme="minorHAnsi" w:hAnsiTheme="minorHAnsi" w:cstheme="minorHAnsi"/>
          <w:sz w:val="20"/>
          <w:szCs w:val="20"/>
          <w:lang w:val="en-GB" w:eastAsia="en-US"/>
        </w:rPr>
      </w:pPr>
      <w:r w:rsidRPr="002442FD">
        <w:rPr>
          <w:rFonts w:asciiTheme="minorHAnsi" w:eastAsiaTheme="minorHAnsi" w:hAnsiTheme="minorHAnsi" w:cstheme="minorHAnsi"/>
          <w:sz w:val="20"/>
          <w:szCs w:val="20"/>
          <w:lang w:val="en-GB" w:eastAsia="en-US"/>
        </w:rPr>
        <w:t xml:space="preserve">Details of the </w:t>
      </w:r>
      <w:r w:rsidR="006642E4" w:rsidRPr="002442FD">
        <w:rPr>
          <w:rFonts w:asciiTheme="minorHAnsi" w:eastAsiaTheme="minorHAnsi" w:hAnsiTheme="minorHAnsi" w:cstheme="minorHAnsi"/>
          <w:sz w:val="20"/>
          <w:szCs w:val="20"/>
          <w:lang w:val="en-GB" w:eastAsia="en-US"/>
        </w:rPr>
        <w:t>total</w:t>
      </w:r>
      <w:r w:rsidRPr="002442FD">
        <w:rPr>
          <w:rFonts w:asciiTheme="minorHAnsi" w:eastAsiaTheme="minorHAnsi" w:hAnsiTheme="minorHAnsi" w:cstheme="minorHAnsi"/>
          <w:sz w:val="20"/>
          <w:szCs w:val="20"/>
          <w:lang w:val="en-GB" w:eastAsia="en-US"/>
        </w:rPr>
        <w:t xml:space="preserve"> votes received in relation to each of the Resolutions</w:t>
      </w:r>
      <w:r w:rsidR="00F638AC">
        <w:rPr>
          <w:rFonts w:asciiTheme="minorHAnsi" w:eastAsiaTheme="minorHAnsi" w:hAnsiTheme="minorHAnsi" w:cstheme="minorHAnsi"/>
          <w:sz w:val="20"/>
          <w:szCs w:val="20"/>
          <w:lang w:val="en-GB" w:eastAsia="en-US"/>
        </w:rPr>
        <w:t xml:space="preserve"> are as follows</w:t>
      </w:r>
      <w:r w:rsidRPr="002442FD">
        <w:rPr>
          <w:rFonts w:asciiTheme="minorHAnsi" w:eastAsiaTheme="minorHAnsi" w:hAnsiTheme="minorHAnsi" w:cstheme="minorHAnsi"/>
          <w:sz w:val="20"/>
          <w:szCs w:val="20"/>
          <w:lang w:val="en-GB" w:eastAsia="en-US"/>
        </w:rPr>
        <w:t>:</w:t>
      </w:r>
    </w:p>
    <w:p w14:paraId="5788FE2B" w14:textId="77777777" w:rsidR="00544C6F" w:rsidRDefault="00544C6F" w:rsidP="00544C6F"/>
    <w:tbl>
      <w:tblPr>
        <w:tblStyle w:val="TableGrid"/>
        <w:tblW w:w="0" w:type="auto"/>
        <w:tblLook w:val="04A0" w:firstRow="1" w:lastRow="0" w:firstColumn="1" w:lastColumn="0" w:noHBand="0" w:noVBand="1"/>
      </w:tblPr>
      <w:tblGrid>
        <w:gridCol w:w="1830"/>
        <w:gridCol w:w="1783"/>
        <w:gridCol w:w="1798"/>
        <w:gridCol w:w="1805"/>
        <w:gridCol w:w="1800"/>
      </w:tblGrid>
      <w:tr w:rsidR="00D84B4D" w:rsidRPr="00D84B4D" w14:paraId="5AB4D7F0" w14:textId="77777777" w:rsidTr="002442FD">
        <w:tc>
          <w:tcPr>
            <w:tcW w:w="1830" w:type="dxa"/>
          </w:tcPr>
          <w:p w14:paraId="3D8BA804" w14:textId="77777777" w:rsidR="00D84B4D" w:rsidRPr="002442FD" w:rsidRDefault="00D84B4D" w:rsidP="00D84B4D">
            <w:pPr>
              <w:pStyle w:val="bp"/>
              <w:rPr>
                <w:rFonts w:asciiTheme="minorHAnsi" w:eastAsiaTheme="minorHAnsi" w:hAnsiTheme="minorHAnsi" w:cstheme="minorHAnsi"/>
                <w:sz w:val="20"/>
                <w:szCs w:val="20"/>
                <w:lang w:val="en-GB" w:eastAsia="en-US"/>
              </w:rPr>
            </w:pPr>
          </w:p>
        </w:tc>
        <w:tc>
          <w:tcPr>
            <w:tcW w:w="1783" w:type="dxa"/>
          </w:tcPr>
          <w:p w14:paraId="31B9669D" w14:textId="77777777" w:rsidR="00D84B4D" w:rsidRPr="002442FD" w:rsidRDefault="00A53F46" w:rsidP="00A53F46">
            <w:pPr>
              <w:pStyle w:val="bp"/>
              <w:rPr>
                <w:rFonts w:asciiTheme="minorHAnsi" w:eastAsiaTheme="minorHAnsi" w:hAnsiTheme="minorHAnsi" w:cstheme="minorHAnsi"/>
                <w:sz w:val="20"/>
                <w:szCs w:val="20"/>
                <w:lang w:val="en-GB" w:eastAsia="en-US"/>
              </w:rPr>
            </w:pPr>
            <w:r w:rsidRPr="002442FD">
              <w:rPr>
                <w:rFonts w:asciiTheme="minorHAnsi" w:eastAsiaTheme="minorHAnsi" w:hAnsiTheme="minorHAnsi" w:cstheme="minorHAnsi"/>
                <w:sz w:val="20"/>
                <w:szCs w:val="20"/>
                <w:lang w:val="en-GB" w:eastAsia="en-US"/>
              </w:rPr>
              <w:t xml:space="preserve">Votes FOR </w:t>
            </w:r>
          </w:p>
        </w:tc>
        <w:tc>
          <w:tcPr>
            <w:tcW w:w="1798" w:type="dxa"/>
          </w:tcPr>
          <w:p w14:paraId="30A2619D" w14:textId="77777777" w:rsidR="00D84B4D" w:rsidRPr="002442FD" w:rsidRDefault="00A53F46">
            <w:pPr>
              <w:pStyle w:val="bp"/>
              <w:rPr>
                <w:rFonts w:asciiTheme="minorHAnsi" w:eastAsiaTheme="minorHAnsi" w:hAnsiTheme="minorHAnsi" w:cstheme="minorHAnsi"/>
                <w:sz w:val="20"/>
                <w:szCs w:val="20"/>
                <w:lang w:val="en-GB" w:eastAsia="en-US"/>
              </w:rPr>
            </w:pPr>
            <w:r w:rsidRPr="002442FD">
              <w:rPr>
                <w:rFonts w:asciiTheme="minorHAnsi" w:eastAsiaTheme="minorHAnsi" w:hAnsiTheme="minorHAnsi" w:cstheme="minorHAnsi"/>
                <w:sz w:val="20"/>
                <w:szCs w:val="20"/>
                <w:lang w:val="en-GB" w:eastAsia="en-US"/>
              </w:rPr>
              <w:t xml:space="preserve">Votes AGAINST </w:t>
            </w:r>
          </w:p>
          <w:p w14:paraId="60878FF0" w14:textId="77777777" w:rsidR="00D84B4D" w:rsidRPr="002442FD" w:rsidRDefault="00D84B4D">
            <w:pPr>
              <w:pStyle w:val="bp"/>
              <w:rPr>
                <w:rFonts w:asciiTheme="minorHAnsi" w:eastAsiaTheme="minorHAnsi" w:hAnsiTheme="minorHAnsi" w:cstheme="minorHAnsi"/>
                <w:sz w:val="20"/>
                <w:szCs w:val="20"/>
                <w:lang w:val="en-GB" w:eastAsia="en-US"/>
              </w:rPr>
            </w:pPr>
            <w:r w:rsidRPr="002442FD">
              <w:rPr>
                <w:rFonts w:asciiTheme="minorHAnsi" w:eastAsiaTheme="minorHAnsi" w:hAnsiTheme="minorHAnsi" w:cstheme="minorHAnsi"/>
                <w:sz w:val="20"/>
                <w:szCs w:val="20"/>
                <w:lang w:val="en-GB" w:eastAsia="en-US"/>
              </w:rPr>
              <w:t> </w:t>
            </w:r>
          </w:p>
        </w:tc>
        <w:tc>
          <w:tcPr>
            <w:tcW w:w="1805" w:type="dxa"/>
          </w:tcPr>
          <w:p w14:paraId="4BA9C41A" w14:textId="102B5EB9" w:rsidR="00D84B4D" w:rsidRPr="002442FD" w:rsidRDefault="00A53F46" w:rsidP="00A53F46">
            <w:pPr>
              <w:pStyle w:val="bp"/>
              <w:rPr>
                <w:rFonts w:asciiTheme="minorHAnsi" w:eastAsiaTheme="minorHAnsi" w:hAnsiTheme="minorHAnsi" w:cstheme="minorHAnsi"/>
                <w:sz w:val="20"/>
                <w:szCs w:val="20"/>
                <w:lang w:val="en-GB" w:eastAsia="en-US"/>
              </w:rPr>
            </w:pPr>
            <w:r w:rsidRPr="002442FD">
              <w:rPr>
                <w:rFonts w:asciiTheme="minorHAnsi" w:eastAsiaTheme="minorHAnsi" w:hAnsiTheme="minorHAnsi" w:cstheme="minorHAnsi"/>
                <w:sz w:val="20"/>
                <w:szCs w:val="20"/>
                <w:lang w:val="en-GB" w:eastAsia="en-US"/>
              </w:rPr>
              <w:t xml:space="preserve">Total Votes </w:t>
            </w:r>
            <w:r w:rsidR="00293CDD">
              <w:rPr>
                <w:rFonts w:asciiTheme="minorHAnsi" w:eastAsiaTheme="minorHAnsi" w:hAnsiTheme="minorHAnsi" w:cstheme="minorHAnsi"/>
                <w:sz w:val="20"/>
                <w:szCs w:val="20"/>
                <w:lang w:val="en-GB" w:eastAsia="en-US"/>
              </w:rPr>
              <w:t>Cast and % of Issued Share Capital</w:t>
            </w:r>
            <w:r w:rsidRPr="002442FD">
              <w:rPr>
                <w:rFonts w:asciiTheme="minorHAnsi" w:eastAsiaTheme="minorHAnsi" w:hAnsiTheme="minorHAnsi" w:cstheme="minorHAnsi"/>
                <w:sz w:val="20"/>
                <w:szCs w:val="20"/>
                <w:lang w:val="en-GB" w:eastAsia="en-US"/>
              </w:rPr>
              <w:t xml:space="preserve"> (Excluding Withheld)</w:t>
            </w:r>
          </w:p>
        </w:tc>
        <w:tc>
          <w:tcPr>
            <w:tcW w:w="1800" w:type="dxa"/>
          </w:tcPr>
          <w:p w14:paraId="4AD4F216" w14:textId="77777777" w:rsidR="00A53F46" w:rsidRPr="002442FD" w:rsidRDefault="00A53F46" w:rsidP="00A53F46">
            <w:pPr>
              <w:pStyle w:val="bp"/>
              <w:rPr>
                <w:rFonts w:asciiTheme="minorHAnsi" w:eastAsiaTheme="minorHAnsi" w:hAnsiTheme="minorHAnsi" w:cstheme="minorHAnsi"/>
                <w:sz w:val="20"/>
                <w:szCs w:val="20"/>
                <w:lang w:val="en-GB" w:eastAsia="en-US"/>
              </w:rPr>
            </w:pPr>
            <w:r w:rsidRPr="002442FD">
              <w:rPr>
                <w:rFonts w:asciiTheme="minorHAnsi" w:eastAsiaTheme="minorHAnsi" w:hAnsiTheme="minorHAnsi" w:cstheme="minorHAnsi"/>
                <w:sz w:val="20"/>
                <w:szCs w:val="20"/>
                <w:lang w:val="en-GB" w:eastAsia="en-US"/>
              </w:rPr>
              <w:t xml:space="preserve">Number of Votes Withheld </w:t>
            </w:r>
          </w:p>
          <w:p w14:paraId="66580B42" w14:textId="77777777" w:rsidR="00D84B4D" w:rsidRPr="002442FD" w:rsidRDefault="00D84B4D">
            <w:pPr>
              <w:pStyle w:val="bp"/>
              <w:rPr>
                <w:rFonts w:asciiTheme="minorHAnsi" w:eastAsiaTheme="minorHAnsi" w:hAnsiTheme="minorHAnsi" w:cstheme="minorHAnsi"/>
                <w:sz w:val="20"/>
                <w:szCs w:val="20"/>
                <w:lang w:val="en-GB" w:eastAsia="en-US"/>
              </w:rPr>
            </w:pPr>
          </w:p>
        </w:tc>
      </w:tr>
      <w:tr w:rsidR="00A53F46" w14:paraId="16B2AFB7" w14:textId="77777777" w:rsidTr="002442FD">
        <w:tc>
          <w:tcPr>
            <w:tcW w:w="1830" w:type="dxa"/>
          </w:tcPr>
          <w:p w14:paraId="3365B1FA" w14:textId="5F699B7C" w:rsidR="00FF35E1" w:rsidRDefault="00FF35E1" w:rsidP="00FF35E1">
            <w:pPr>
              <w:jc w:val="left"/>
              <w:rPr>
                <w:rFonts w:asciiTheme="minorHAnsi" w:eastAsiaTheme="minorHAnsi" w:hAnsiTheme="minorHAnsi" w:cstheme="minorHAnsi"/>
                <w:sz w:val="20"/>
                <w:szCs w:val="20"/>
                <w:lang w:val="en-GB" w:eastAsia="en-US"/>
              </w:rPr>
            </w:pPr>
            <w:r>
              <w:rPr>
                <w:rFonts w:asciiTheme="minorHAnsi" w:eastAsiaTheme="minorHAnsi" w:hAnsiTheme="minorHAnsi" w:cstheme="minorHAnsi"/>
                <w:sz w:val="20"/>
                <w:szCs w:val="20"/>
                <w:lang w:val="en-GB" w:eastAsia="en-US"/>
              </w:rPr>
              <w:t>Resolution 1:</w:t>
            </w:r>
          </w:p>
          <w:p w14:paraId="717ED1D0" w14:textId="77777777" w:rsidR="00FF35E1" w:rsidRDefault="00FF35E1" w:rsidP="00FF35E1">
            <w:pPr>
              <w:jc w:val="left"/>
              <w:rPr>
                <w:rFonts w:asciiTheme="minorHAnsi" w:eastAsiaTheme="minorHAnsi" w:hAnsiTheme="minorHAnsi" w:cstheme="minorHAnsi"/>
                <w:sz w:val="20"/>
                <w:szCs w:val="20"/>
                <w:lang w:val="en-GB" w:eastAsia="en-US"/>
              </w:rPr>
            </w:pPr>
          </w:p>
          <w:p w14:paraId="61A3D664" w14:textId="67B855B8" w:rsidR="00A53F46" w:rsidRPr="002442FD" w:rsidRDefault="00A53F46" w:rsidP="00FF35E1">
            <w:pPr>
              <w:jc w:val="left"/>
              <w:rPr>
                <w:rFonts w:asciiTheme="minorHAnsi" w:eastAsiaTheme="minorHAnsi" w:hAnsiTheme="minorHAnsi" w:cstheme="minorHAnsi"/>
                <w:sz w:val="20"/>
                <w:szCs w:val="20"/>
                <w:lang w:val="en-GB" w:eastAsia="en-US"/>
              </w:rPr>
            </w:pPr>
            <w:r w:rsidRPr="002442FD">
              <w:rPr>
                <w:rFonts w:asciiTheme="minorHAnsi" w:eastAsiaTheme="minorHAnsi" w:hAnsiTheme="minorHAnsi" w:cstheme="minorHAnsi"/>
                <w:sz w:val="20"/>
                <w:szCs w:val="20"/>
                <w:lang w:val="en-GB" w:eastAsia="en-US"/>
              </w:rPr>
              <w:t xml:space="preserve">To approve </w:t>
            </w:r>
            <w:r w:rsidR="002442FD">
              <w:rPr>
                <w:rFonts w:asciiTheme="minorHAnsi" w:eastAsiaTheme="minorHAnsi" w:hAnsiTheme="minorHAnsi" w:cstheme="minorHAnsi"/>
                <w:sz w:val="20"/>
                <w:szCs w:val="20"/>
                <w:lang w:val="en-GB" w:eastAsia="en-US"/>
              </w:rPr>
              <w:t xml:space="preserve">the disposal of Greencore US </w:t>
            </w:r>
          </w:p>
        </w:tc>
        <w:tc>
          <w:tcPr>
            <w:tcW w:w="1783" w:type="dxa"/>
          </w:tcPr>
          <w:p w14:paraId="7DC7B73D" w14:textId="4494945E" w:rsidR="00356870" w:rsidRPr="00356870" w:rsidRDefault="00356870" w:rsidP="00356870">
            <w:pPr>
              <w:adjustRightInd/>
              <w:rPr>
                <w:rFonts w:ascii="Calibri" w:hAnsi="Calibri" w:cs="Calibri"/>
                <w:sz w:val="20"/>
                <w:szCs w:val="20"/>
                <w:lang w:val="en-GB" w:eastAsia="en-GB"/>
              </w:rPr>
            </w:pPr>
            <w:r w:rsidRPr="00356870">
              <w:rPr>
                <w:rFonts w:ascii="Calibri" w:hAnsi="Calibri" w:cs="Calibri"/>
                <w:sz w:val="20"/>
                <w:szCs w:val="20"/>
              </w:rPr>
              <w:t>467,422,039</w:t>
            </w:r>
          </w:p>
          <w:p w14:paraId="14096141" w14:textId="77777777" w:rsidR="00260ADE" w:rsidRPr="00356870" w:rsidRDefault="00260ADE" w:rsidP="00D7094A">
            <w:pPr>
              <w:rPr>
                <w:rFonts w:ascii="Calibri" w:eastAsiaTheme="minorHAnsi" w:hAnsi="Calibri" w:cs="Calibri"/>
                <w:sz w:val="20"/>
                <w:szCs w:val="20"/>
                <w:lang w:val="en-GB" w:eastAsia="en-US"/>
              </w:rPr>
            </w:pPr>
          </w:p>
          <w:p w14:paraId="65649D15" w14:textId="0E6975DE" w:rsidR="00260ADE" w:rsidRPr="00356870" w:rsidRDefault="00260ADE" w:rsidP="00D7094A">
            <w:pPr>
              <w:rPr>
                <w:rFonts w:ascii="Calibri" w:eastAsiaTheme="minorHAnsi" w:hAnsi="Calibri" w:cs="Calibri"/>
                <w:sz w:val="20"/>
                <w:szCs w:val="20"/>
                <w:lang w:val="en-GB" w:eastAsia="en-US"/>
              </w:rPr>
            </w:pPr>
            <w:r w:rsidRPr="00356870">
              <w:rPr>
                <w:rFonts w:ascii="Calibri" w:eastAsiaTheme="minorHAnsi" w:hAnsi="Calibri" w:cs="Calibri"/>
                <w:sz w:val="20"/>
                <w:szCs w:val="20"/>
                <w:lang w:val="en-GB" w:eastAsia="en-US"/>
              </w:rPr>
              <w:t>(</w:t>
            </w:r>
            <w:r w:rsidR="00356870" w:rsidRPr="00356870">
              <w:rPr>
                <w:rFonts w:ascii="Calibri" w:hAnsi="Calibri" w:cs="Calibri"/>
                <w:sz w:val="20"/>
                <w:szCs w:val="20"/>
              </w:rPr>
              <w:t>97.04</w:t>
            </w:r>
            <w:r w:rsidRPr="00356870">
              <w:rPr>
                <w:rFonts w:ascii="Calibri" w:eastAsiaTheme="minorHAnsi" w:hAnsi="Calibri" w:cs="Calibri"/>
                <w:sz w:val="20"/>
                <w:szCs w:val="20"/>
                <w:lang w:val="en-GB" w:eastAsia="en-US"/>
              </w:rPr>
              <w:t>%)</w:t>
            </w:r>
          </w:p>
        </w:tc>
        <w:tc>
          <w:tcPr>
            <w:tcW w:w="1798" w:type="dxa"/>
          </w:tcPr>
          <w:p w14:paraId="5600F241" w14:textId="77777777" w:rsidR="00356870" w:rsidRPr="00356870" w:rsidRDefault="00356870" w:rsidP="00356870">
            <w:pPr>
              <w:adjustRightInd/>
              <w:rPr>
                <w:rFonts w:ascii="Calibri" w:hAnsi="Calibri" w:cs="Calibri"/>
                <w:sz w:val="20"/>
                <w:szCs w:val="20"/>
                <w:lang w:val="en-GB" w:eastAsia="en-GB"/>
              </w:rPr>
            </w:pPr>
            <w:r w:rsidRPr="00356870">
              <w:rPr>
                <w:rFonts w:ascii="Calibri" w:hAnsi="Calibri" w:cs="Calibri"/>
                <w:sz w:val="20"/>
                <w:szCs w:val="20"/>
              </w:rPr>
              <w:t>14,238,403</w:t>
            </w:r>
          </w:p>
          <w:p w14:paraId="3D2A8DAF" w14:textId="77777777" w:rsidR="00260ADE" w:rsidRPr="00356870" w:rsidRDefault="00260ADE" w:rsidP="00D7094A">
            <w:pPr>
              <w:rPr>
                <w:rFonts w:ascii="Calibri" w:eastAsiaTheme="minorHAnsi" w:hAnsi="Calibri" w:cs="Calibri"/>
                <w:sz w:val="20"/>
                <w:szCs w:val="20"/>
                <w:lang w:val="en-GB" w:eastAsia="en-US"/>
              </w:rPr>
            </w:pPr>
          </w:p>
          <w:p w14:paraId="5FEB17E7" w14:textId="313FD9FF" w:rsidR="00260ADE" w:rsidRPr="00356870" w:rsidRDefault="00260ADE" w:rsidP="00D7094A">
            <w:pPr>
              <w:rPr>
                <w:rFonts w:ascii="Calibri" w:eastAsiaTheme="minorHAnsi" w:hAnsi="Calibri" w:cs="Calibri"/>
                <w:sz w:val="20"/>
                <w:szCs w:val="20"/>
                <w:lang w:val="en-GB" w:eastAsia="en-US"/>
              </w:rPr>
            </w:pPr>
            <w:r w:rsidRPr="00356870">
              <w:rPr>
                <w:rFonts w:ascii="Calibri" w:eastAsiaTheme="minorHAnsi" w:hAnsi="Calibri" w:cs="Calibri"/>
                <w:sz w:val="20"/>
                <w:szCs w:val="20"/>
                <w:lang w:val="en-GB" w:eastAsia="en-US"/>
              </w:rPr>
              <w:t>(</w:t>
            </w:r>
            <w:r w:rsidR="00356870" w:rsidRPr="00356870">
              <w:rPr>
                <w:rFonts w:ascii="Calibri" w:hAnsi="Calibri" w:cs="Calibri"/>
                <w:sz w:val="20"/>
                <w:szCs w:val="20"/>
              </w:rPr>
              <w:t>2.96</w:t>
            </w:r>
            <w:r w:rsidRPr="00356870">
              <w:rPr>
                <w:rFonts w:ascii="Calibri" w:eastAsiaTheme="minorHAnsi" w:hAnsi="Calibri" w:cs="Calibri"/>
                <w:sz w:val="20"/>
                <w:szCs w:val="20"/>
                <w:lang w:val="en-GB" w:eastAsia="en-US"/>
              </w:rPr>
              <w:t>%)</w:t>
            </w:r>
          </w:p>
        </w:tc>
        <w:tc>
          <w:tcPr>
            <w:tcW w:w="1805" w:type="dxa"/>
          </w:tcPr>
          <w:p w14:paraId="293E7C25" w14:textId="77777777" w:rsidR="00356870" w:rsidRPr="00356870" w:rsidRDefault="00356870" w:rsidP="00356870">
            <w:pPr>
              <w:adjustRightInd/>
              <w:rPr>
                <w:rFonts w:ascii="Calibri" w:hAnsi="Calibri" w:cs="Calibri"/>
                <w:sz w:val="20"/>
                <w:szCs w:val="20"/>
                <w:lang w:val="en-GB" w:eastAsia="en-GB"/>
              </w:rPr>
            </w:pPr>
            <w:r w:rsidRPr="00356870">
              <w:rPr>
                <w:rFonts w:ascii="Calibri" w:hAnsi="Calibri" w:cs="Calibri"/>
                <w:sz w:val="20"/>
                <w:szCs w:val="20"/>
              </w:rPr>
              <w:t>481,660,442</w:t>
            </w:r>
          </w:p>
          <w:p w14:paraId="5709C922" w14:textId="799ACB19" w:rsidR="00A53F46" w:rsidRPr="00356870" w:rsidRDefault="00A53F46" w:rsidP="00544C6F">
            <w:pPr>
              <w:rPr>
                <w:rFonts w:ascii="Calibri" w:eastAsiaTheme="minorHAnsi" w:hAnsi="Calibri" w:cs="Calibri"/>
                <w:sz w:val="20"/>
                <w:szCs w:val="20"/>
                <w:lang w:val="en-GB" w:eastAsia="en-US"/>
              </w:rPr>
            </w:pPr>
          </w:p>
          <w:p w14:paraId="0471A7CE" w14:textId="56FC0C7A" w:rsidR="00356870" w:rsidRPr="00356870" w:rsidRDefault="00356870" w:rsidP="00356870">
            <w:pPr>
              <w:adjustRightInd/>
              <w:rPr>
                <w:rFonts w:ascii="Calibri" w:hAnsi="Calibri" w:cs="Calibri"/>
                <w:sz w:val="20"/>
                <w:szCs w:val="20"/>
                <w:lang w:val="en-GB" w:eastAsia="en-GB"/>
              </w:rPr>
            </w:pPr>
            <w:r w:rsidRPr="00356870">
              <w:rPr>
                <w:rFonts w:ascii="Calibri" w:hAnsi="Calibri" w:cs="Calibri"/>
                <w:sz w:val="20"/>
                <w:szCs w:val="20"/>
              </w:rPr>
              <w:t>(68.13%)</w:t>
            </w:r>
          </w:p>
          <w:p w14:paraId="25C9143C" w14:textId="77777777" w:rsidR="00260ADE" w:rsidRPr="00356870" w:rsidRDefault="00260ADE" w:rsidP="00544C6F">
            <w:pPr>
              <w:rPr>
                <w:rFonts w:ascii="Calibri" w:eastAsiaTheme="minorHAnsi" w:hAnsi="Calibri" w:cs="Calibri"/>
                <w:sz w:val="20"/>
                <w:szCs w:val="20"/>
                <w:lang w:val="en-GB" w:eastAsia="en-US"/>
              </w:rPr>
            </w:pPr>
          </w:p>
          <w:p w14:paraId="5900DAA0" w14:textId="5396AEE8" w:rsidR="00260ADE" w:rsidRPr="00356870" w:rsidRDefault="00260ADE" w:rsidP="00544C6F">
            <w:pPr>
              <w:rPr>
                <w:rFonts w:ascii="Calibri" w:hAnsi="Calibri" w:cs="Calibri"/>
              </w:rPr>
            </w:pPr>
          </w:p>
        </w:tc>
        <w:tc>
          <w:tcPr>
            <w:tcW w:w="1800" w:type="dxa"/>
          </w:tcPr>
          <w:p w14:paraId="3A61B48D" w14:textId="77777777" w:rsidR="00356870" w:rsidRPr="00356870" w:rsidRDefault="00356870" w:rsidP="00356870">
            <w:pPr>
              <w:adjustRightInd/>
              <w:rPr>
                <w:rFonts w:ascii="Calibri" w:hAnsi="Calibri" w:cs="Calibri"/>
                <w:sz w:val="20"/>
                <w:szCs w:val="20"/>
                <w:lang w:val="en-GB" w:eastAsia="en-GB"/>
              </w:rPr>
            </w:pPr>
            <w:r w:rsidRPr="00356870">
              <w:rPr>
                <w:rFonts w:ascii="Calibri" w:hAnsi="Calibri" w:cs="Calibri"/>
                <w:sz w:val="20"/>
                <w:szCs w:val="20"/>
              </w:rPr>
              <w:t>58,385</w:t>
            </w:r>
          </w:p>
          <w:p w14:paraId="4B3F679D" w14:textId="3C934371" w:rsidR="00A53F46" w:rsidRPr="00356870" w:rsidRDefault="00A53F46" w:rsidP="00D7094A">
            <w:pPr>
              <w:rPr>
                <w:rFonts w:ascii="Calibri" w:eastAsiaTheme="minorHAnsi" w:hAnsi="Calibri" w:cs="Calibri"/>
                <w:sz w:val="20"/>
                <w:szCs w:val="20"/>
                <w:lang w:val="en-GB" w:eastAsia="en-US"/>
              </w:rPr>
            </w:pPr>
          </w:p>
          <w:p w14:paraId="1AE55D23" w14:textId="77777777" w:rsidR="00260ADE" w:rsidRPr="00356870" w:rsidRDefault="00260ADE" w:rsidP="00D7094A">
            <w:pPr>
              <w:rPr>
                <w:rFonts w:ascii="Calibri" w:eastAsiaTheme="minorHAnsi" w:hAnsi="Calibri" w:cs="Calibri"/>
                <w:sz w:val="20"/>
                <w:szCs w:val="20"/>
                <w:lang w:val="en-GB" w:eastAsia="en-US"/>
              </w:rPr>
            </w:pPr>
          </w:p>
          <w:p w14:paraId="10D00093" w14:textId="78118328" w:rsidR="00260ADE" w:rsidRPr="00356870" w:rsidRDefault="00260ADE" w:rsidP="00D7094A">
            <w:pPr>
              <w:rPr>
                <w:rFonts w:ascii="Calibri" w:hAnsi="Calibri" w:cs="Calibri"/>
              </w:rPr>
            </w:pPr>
          </w:p>
        </w:tc>
      </w:tr>
      <w:tr w:rsidR="00A53F46" w14:paraId="27A54B53" w14:textId="77777777" w:rsidTr="002442FD">
        <w:tc>
          <w:tcPr>
            <w:tcW w:w="1830" w:type="dxa"/>
          </w:tcPr>
          <w:p w14:paraId="25649EF9" w14:textId="2033722D" w:rsidR="00FF35E1" w:rsidRDefault="00FF35E1" w:rsidP="00FF35E1">
            <w:pPr>
              <w:jc w:val="left"/>
              <w:rPr>
                <w:rFonts w:asciiTheme="minorHAnsi" w:eastAsiaTheme="minorHAnsi" w:hAnsiTheme="minorHAnsi" w:cstheme="minorHAnsi"/>
                <w:sz w:val="20"/>
                <w:szCs w:val="20"/>
                <w:lang w:val="en-GB" w:eastAsia="en-US"/>
              </w:rPr>
            </w:pPr>
            <w:r>
              <w:rPr>
                <w:rFonts w:asciiTheme="minorHAnsi" w:eastAsiaTheme="minorHAnsi" w:hAnsiTheme="minorHAnsi" w:cstheme="minorHAnsi"/>
                <w:sz w:val="20"/>
                <w:szCs w:val="20"/>
                <w:lang w:val="en-GB" w:eastAsia="en-US"/>
              </w:rPr>
              <w:t>Resolution 2:</w:t>
            </w:r>
          </w:p>
          <w:p w14:paraId="70AFF944" w14:textId="77777777" w:rsidR="00FF35E1" w:rsidRDefault="00FF35E1" w:rsidP="00FF35E1">
            <w:pPr>
              <w:jc w:val="left"/>
              <w:rPr>
                <w:rFonts w:asciiTheme="minorHAnsi" w:eastAsiaTheme="minorHAnsi" w:hAnsiTheme="minorHAnsi" w:cstheme="minorHAnsi"/>
                <w:sz w:val="20"/>
                <w:szCs w:val="20"/>
                <w:lang w:val="en-GB" w:eastAsia="en-US"/>
              </w:rPr>
            </w:pPr>
          </w:p>
          <w:p w14:paraId="4004C2D3" w14:textId="20A52FF1" w:rsidR="00A53F46" w:rsidRPr="002442FD" w:rsidRDefault="002442FD" w:rsidP="00FF35E1">
            <w:pPr>
              <w:jc w:val="left"/>
              <w:rPr>
                <w:rFonts w:asciiTheme="minorHAnsi" w:eastAsiaTheme="minorHAnsi" w:hAnsiTheme="minorHAnsi" w:cstheme="minorHAnsi"/>
                <w:sz w:val="20"/>
                <w:szCs w:val="20"/>
                <w:lang w:val="en-GB" w:eastAsia="en-US"/>
              </w:rPr>
            </w:pPr>
            <w:r>
              <w:rPr>
                <w:rFonts w:asciiTheme="minorHAnsi" w:eastAsiaTheme="minorHAnsi" w:hAnsiTheme="minorHAnsi" w:cstheme="minorHAnsi"/>
                <w:sz w:val="20"/>
                <w:szCs w:val="20"/>
                <w:lang w:val="en-GB" w:eastAsia="en-US"/>
              </w:rPr>
              <w:t xml:space="preserve">To approve the creation of distributable reserves through the cancellation of the Company’s share premium account </w:t>
            </w:r>
          </w:p>
        </w:tc>
        <w:tc>
          <w:tcPr>
            <w:tcW w:w="1783" w:type="dxa"/>
          </w:tcPr>
          <w:p w14:paraId="2B0715FC" w14:textId="77777777" w:rsidR="00356870" w:rsidRPr="00356870" w:rsidRDefault="00356870" w:rsidP="00356870">
            <w:pPr>
              <w:adjustRightInd/>
              <w:rPr>
                <w:rFonts w:asciiTheme="minorHAnsi" w:hAnsiTheme="minorHAnsi" w:cstheme="minorHAnsi"/>
                <w:sz w:val="20"/>
                <w:szCs w:val="20"/>
                <w:lang w:val="en-GB" w:eastAsia="en-GB"/>
              </w:rPr>
            </w:pPr>
            <w:r w:rsidRPr="00356870">
              <w:rPr>
                <w:rFonts w:asciiTheme="minorHAnsi" w:hAnsiTheme="minorHAnsi" w:cstheme="minorHAnsi"/>
                <w:sz w:val="20"/>
                <w:szCs w:val="20"/>
              </w:rPr>
              <w:t>469,014,141</w:t>
            </w:r>
          </w:p>
          <w:p w14:paraId="25785DA5" w14:textId="77777777" w:rsidR="00260ADE" w:rsidRPr="00356870" w:rsidRDefault="00260ADE" w:rsidP="00260ADE">
            <w:pPr>
              <w:rPr>
                <w:rFonts w:asciiTheme="minorHAnsi" w:eastAsiaTheme="minorHAnsi" w:hAnsiTheme="minorHAnsi" w:cstheme="minorHAnsi"/>
                <w:sz w:val="20"/>
                <w:szCs w:val="20"/>
                <w:lang w:val="en-GB" w:eastAsia="en-US"/>
              </w:rPr>
            </w:pPr>
          </w:p>
          <w:p w14:paraId="11B2FBC9" w14:textId="7D2DA06F" w:rsidR="00A53F46" w:rsidRPr="00356870" w:rsidRDefault="00260ADE" w:rsidP="00260ADE">
            <w:pPr>
              <w:rPr>
                <w:rFonts w:asciiTheme="minorHAnsi" w:eastAsiaTheme="minorHAnsi" w:hAnsiTheme="minorHAnsi" w:cstheme="minorHAnsi"/>
                <w:sz w:val="20"/>
                <w:szCs w:val="20"/>
                <w:lang w:val="en-GB" w:eastAsia="en-US"/>
              </w:rPr>
            </w:pPr>
            <w:r w:rsidRPr="00356870">
              <w:rPr>
                <w:rFonts w:asciiTheme="minorHAnsi" w:eastAsiaTheme="minorHAnsi" w:hAnsiTheme="minorHAnsi" w:cstheme="minorHAnsi"/>
                <w:sz w:val="20"/>
                <w:szCs w:val="20"/>
                <w:lang w:val="en-GB" w:eastAsia="en-US"/>
              </w:rPr>
              <w:t>(</w:t>
            </w:r>
            <w:r w:rsidR="00356870" w:rsidRPr="00356870">
              <w:rPr>
                <w:rFonts w:asciiTheme="minorHAnsi" w:hAnsiTheme="minorHAnsi" w:cstheme="minorHAnsi"/>
                <w:sz w:val="20"/>
                <w:szCs w:val="20"/>
              </w:rPr>
              <w:t>97.31</w:t>
            </w:r>
            <w:r w:rsidRPr="00356870">
              <w:rPr>
                <w:rFonts w:asciiTheme="minorHAnsi" w:eastAsiaTheme="minorHAnsi" w:hAnsiTheme="minorHAnsi" w:cstheme="minorHAnsi"/>
                <w:sz w:val="20"/>
                <w:szCs w:val="20"/>
                <w:lang w:val="en-GB" w:eastAsia="en-US"/>
              </w:rPr>
              <w:t>%)</w:t>
            </w:r>
          </w:p>
        </w:tc>
        <w:tc>
          <w:tcPr>
            <w:tcW w:w="1798" w:type="dxa"/>
          </w:tcPr>
          <w:p w14:paraId="1DA89ED9" w14:textId="77777777" w:rsidR="00356870" w:rsidRPr="00356870" w:rsidRDefault="00356870" w:rsidP="00356870">
            <w:pPr>
              <w:adjustRightInd/>
              <w:rPr>
                <w:rFonts w:asciiTheme="minorHAnsi" w:hAnsiTheme="minorHAnsi" w:cstheme="minorHAnsi"/>
                <w:sz w:val="20"/>
                <w:szCs w:val="20"/>
                <w:lang w:val="en-GB" w:eastAsia="en-GB"/>
              </w:rPr>
            </w:pPr>
            <w:r w:rsidRPr="00356870">
              <w:rPr>
                <w:rFonts w:asciiTheme="minorHAnsi" w:hAnsiTheme="minorHAnsi" w:cstheme="minorHAnsi"/>
                <w:sz w:val="20"/>
                <w:szCs w:val="20"/>
              </w:rPr>
              <w:t>12,976,360</w:t>
            </w:r>
          </w:p>
          <w:p w14:paraId="7B66BA7D" w14:textId="77777777" w:rsidR="00260ADE" w:rsidRPr="00356870" w:rsidRDefault="00260ADE" w:rsidP="00260ADE">
            <w:pPr>
              <w:rPr>
                <w:rFonts w:asciiTheme="minorHAnsi" w:eastAsiaTheme="minorHAnsi" w:hAnsiTheme="minorHAnsi" w:cstheme="minorHAnsi"/>
                <w:sz w:val="20"/>
                <w:szCs w:val="20"/>
                <w:lang w:val="en-GB" w:eastAsia="en-US"/>
              </w:rPr>
            </w:pPr>
          </w:p>
          <w:p w14:paraId="1A720D69" w14:textId="53BD4444" w:rsidR="00260ADE" w:rsidRPr="00356870" w:rsidRDefault="00260ADE" w:rsidP="00260ADE">
            <w:pPr>
              <w:rPr>
                <w:rFonts w:asciiTheme="minorHAnsi" w:eastAsiaTheme="minorHAnsi" w:hAnsiTheme="minorHAnsi" w:cstheme="minorHAnsi"/>
                <w:sz w:val="20"/>
                <w:szCs w:val="20"/>
                <w:lang w:val="en-GB" w:eastAsia="en-US"/>
              </w:rPr>
            </w:pPr>
            <w:r w:rsidRPr="00356870">
              <w:rPr>
                <w:rFonts w:asciiTheme="minorHAnsi" w:eastAsiaTheme="minorHAnsi" w:hAnsiTheme="minorHAnsi" w:cstheme="minorHAnsi"/>
                <w:sz w:val="20"/>
                <w:szCs w:val="20"/>
                <w:lang w:val="en-GB" w:eastAsia="en-US"/>
              </w:rPr>
              <w:t>(</w:t>
            </w:r>
            <w:r w:rsidR="00356870" w:rsidRPr="00356870">
              <w:rPr>
                <w:rFonts w:asciiTheme="minorHAnsi" w:hAnsiTheme="minorHAnsi" w:cstheme="minorHAnsi"/>
                <w:sz w:val="20"/>
                <w:szCs w:val="20"/>
              </w:rPr>
              <w:t>2.69</w:t>
            </w:r>
            <w:r w:rsidRPr="00356870">
              <w:rPr>
                <w:rFonts w:asciiTheme="minorHAnsi" w:eastAsiaTheme="minorHAnsi" w:hAnsiTheme="minorHAnsi" w:cstheme="minorHAnsi"/>
                <w:sz w:val="20"/>
                <w:szCs w:val="20"/>
                <w:lang w:val="en-GB" w:eastAsia="en-US"/>
              </w:rPr>
              <w:t>%)</w:t>
            </w:r>
          </w:p>
        </w:tc>
        <w:tc>
          <w:tcPr>
            <w:tcW w:w="1805" w:type="dxa"/>
          </w:tcPr>
          <w:p w14:paraId="4646E3F5" w14:textId="77777777" w:rsidR="00356870" w:rsidRPr="00356870" w:rsidRDefault="00356870" w:rsidP="00356870">
            <w:pPr>
              <w:adjustRightInd/>
              <w:rPr>
                <w:rFonts w:asciiTheme="minorHAnsi" w:hAnsiTheme="minorHAnsi" w:cstheme="minorHAnsi"/>
                <w:sz w:val="20"/>
                <w:szCs w:val="20"/>
                <w:lang w:val="en-GB" w:eastAsia="en-GB"/>
              </w:rPr>
            </w:pPr>
            <w:r w:rsidRPr="00356870">
              <w:rPr>
                <w:rFonts w:asciiTheme="minorHAnsi" w:hAnsiTheme="minorHAnsi" w:cstheme="minorHAnsi"/>
                <w:sz w:val="20"/>
                <w:szCs w:val="20"/>
              </w:rPr>
              <w:t>481,990,501</w:t>
            </w:r>
          </w:p>
          <w:p w14:paraId="7615537B" w14:textId="77777777" w:rsidR="00A53F46" w:rsidRPr="00356870" w:rsidRDefault="00A53F46" w:rsidP="00544C6F">
            <w:pPr>
              <w:rPr>
                <w:rFonts w:asciiTheme="minorHAnsi" w:hAnsiTheme="minorHAnsi" w:cstheme="minorHAnsi"/>
                <w:b/>
              </w:rPr>
            </w:pPr>
          </w:p>
          <w:p w14:paraId="0DB4B443" w14:textId="133BD12A" w:rsidR="00356870" w:rsidRPr="00356870" w:rsidRDefault="00356870" w:rsidP="00356870">
            <w:pPr>
              <w:adjustRightInd/>
              <w:rPr>
                <w:rFonts w:asciiTheme="minorHAnsi" w:hAnsiTheme="minorHAnsi" w:cstheme="minorHAnsi"/>
                <w:sz w:val="20"/>
                <w:szCs w:val="20"/>
                <w:lang w:val="en-GB" w:eastAsia="en-GB"/>
              </w:rPr>
            </w:pPr>
            <w:r w:rsidRPr="00356870">
              <w:rPr>
                <w:rFonts w:asciiTheme="minorHAnsi" w:hAnsiTheme="minorHAnsi" w:cstheme="minorHAnsi"/>
                <w:sz w:val="20"/>
                <w:szCs w:val="20"/>
              </w:rPr>
              <w:t>(68.18%)</w:t>
            </w:r>
          </w:p>
          <w:p w14:paraId="2479423F" w14:textId="4C94733A" w:rsidR="00356870" w:rsidRPr="00356870" w:rsidRDefault="00356870" w:rsidP="00544C6F">
            <w:pPr>
              <w:rPr>
                <w:rFonts w:asciiTheme="minorHAnsi" w:hAnsiTheme="minorHAnsi" w:cstheme="minorHAnsi"/>
                <w:b/>
              </w:rPr>
            </w:pPr>
          </w:p>
        </w:tc>
        <w:tc>
          <w:tcPr>
            <w:tcW w:w="1800" w:type="dxa"/>
          </w:tcPr>
          <w:p w14:paraId="76B962D3" w14:textId="77777777" w:rsidR="00356870" w:rsidRPr="00356870" w:rsidRDefault="00356870" w:rsidP="00356870">
            <w:pPr>
              <w:adjustRightInd/>
              <w:rPr>
                <w:rFonts w:asciiTheme="minorHAnsi" w:hAnsiTheme="minorHAnsi" w:cstheme="minorHAnsi"/>
                <w:sz w:val="20"/>
                <w:szCs w:val="20"/>
                <w:lang w:val="en-GB" w:eastAsia="en-GB"/>
              </w:rPr>
            </w:pPr>
            <w:r w:rsidRPr="00356870">
              <w:rPr>
                <w:rFonts w:asciiTheme="minorHAnsi" w:hAnsiTheme="minorHAnsi" w:cstheme="minorHAnsi"/>
                <w:sz w:val="20"/>
                <w:szCs w:val="20"/>
              </w:rPr>
              <w:t>149,446</w:t>
            </w:r>
          </w:p>
          <w:p w14:paraId="5AEF4134" w14:textId="78D3F998" w:rsidR="00A53F46" w:rsidRPr="00356870" w:rsidRDefault="00A53F46" w:rsidP="00D7094A">
            <w:pPr>
              <w:rPr>
                <w:rFonts w:asciiTheme="minorHAnsi" w:hAnsiTheme="minorHAnsi" w:cstheme="minorHAnsi"/>
                <w:b/>
              </w:rPr>
            </w:pPr>
          </w:p>
        </w:tc>
      </w:tr>
      <w:tr w:rsidR="00A53F46" w14:paraId="721DBCE6" w14:textId="77777777" w:rsidTr="002442FD">
        <w:tc>
          <w:tcPr>
            <w:tcW w:w="1830" w:type="dxa"/>
          </w:tcPr>
          <w:p w14:paraId="7A4C71C6" w14:textId="77777777" w:rsidR="00FF35E1" w:rsidRDefault="00A53F46" w:rsidP="00FF35E1">
            <w:pPr>
              <w:jc w:val="left"/>
              <w:rPr>
                <w:rFonts w:asciiTheme="minorHAnsi" w:eastAsiaTheme="minorHAnsi" w:hAnsiTheme="minorHAnsi" w:cstheme="minorHAnsi"/>
                <w:sz w:val="20"/>
                <w:szCs w:val="20"/>
                <w:lang w:val="en-GB" w:eastAsia="en-US"/>
              </w:rPr>
            </w:pPr>
            <w:r w:rsidRPr="002442FD">
              <w:rPr>
                <w:rFonts w:asciiTheme="minorHAnsi" w:eastAsiaTheme="minorHAnsi" w:hAnsiTheme="minorHAnsi" w:cstheme="minorHAnsi"/>
                <w:sz w:val="20"/>
                <w:szCs w:val="20"/>
                <w:lang w:val="en-GB" w:eastAsia="en-US"/>
              </w:rPr>
              <w:t>Resolution 3</w:t>
            </w:r>
            <w:r w:rsidR="00FF35E1">
              <w:rPr>
                <w:rFonts w:asciiTheme="minorHAnsi" w:eastAsiaTheme="minorHAnsi" w:hAnsiTheme="minorHAnsi" w:cstheme="minorHAnsi"/>
                <w:sz w:val="20"/>
                <w:szCs w:val="20"/>
                <w:lang w:val="en-GB" w:eastAsia="en-US"/>
              </w:rPr>
              <w:t>:</w:t>
            </w:r>
          </w:p>
          <w:p w14:paraId="152A0C7A" w14:textId="77777777" w:rsidR="00FF35E1" w:rsidRDefault="00FF35E1" w:rsidP="00FF35E1">
            <w:pPr>
              <w:jc w:val="left"/>
              <w:rPr>
                <w:rFonts w:asciiTheme="minorHAnsi" w:eastAsiaTheme="minorHAnsi" w:hAnsiTheme="minorHAnsi" w:cstheme="minorHAnsi"/>
                <w:sz w:val="20"/>
                <w:szCs w:val="20"/>
                <w:lang w:val="en-GB" w:eastAsia="en-US"/>
              </w:rPr>
            </w:pPr>
          </w:p>
          <w:p w14:paraId="4CD629B4" w14:textId="7C2CE6B8" w:rsidR="00A53F46" w:rsidRPr="002442FD" w:rsidRDefault="001920A8" w:rsidP="00FF35E1">
            <w:pPr>
              <w:jc w:val="left"/>
              <w:rPr>
                <w:rFonts w:asciiTheme="minorHAnsi" w:eastAsiaTheme="minorHAnsi" w:hAnsiTheme="minorHAnsi" w:cstheme="minorHAnsi"/>
                <w:sz w:val="20"/>
                <w:szCs w:val="20"/>
                <w:lang w:val="en-GB" w:eastAsia="en-US"/>
              </w:rPr>
            </w:pPr>
            <w:r w:rsidRPr="002442FD">
              <w:rPr>
                <w:rFonts w:asciiTheme="minorHAnsi" w:eastAsiaTheme="minorHAnsi" w:hAnsiTheme="minorHAnsi" w:cstheme="minorHAnsi"/>
                <w:sz w:val="20"/>
                <w:szCs w:val="20"/>
                <w:lang w:val="en-GB" w:eastAsia="en-US"/>
              </w:rPr>
              <w:t>To approve</w:t>
            </w:r>
            <w:r w:rsidR="002442FD">
              <w:rPr>
                <w:rFonts w:asciiTheme="minorHAnsi" w:eastAsiaTheme="minorHAnsi" w:hAnsiTheme="minorHAnsi" w:cstheme="minorHAnsi"/>
                <w:sz w:val="20"/>
                <w:szCs w:val="20"/>
                <w:lang w:val="en-GB" w:eastAsia="en-US"/>
              </w:rPr>
              <w:t xml:space="preserve"> the amendment of the Company’s Articles of Association </w:t>
            </w:r>
          </w:p>
        </w:tc>
        <w:tc>
          <w:tcPr>
            <w:tcW w:w="1783" w:type="dxa"/>
          </w:tcPr>
          <w:p w14:paraId="54C77207" w14:textId="77777777" w:rsidR="00356870" w:rsidRPr="00356870" w:rsidRDefault="00356870" w:rsidP="00356870">
            <w:pPr>
              <w:adjustRightInd/>
              <w:rPr>
                <w:rFonts w:asciiTheme="minorHAnsi" w:hAnsiTheme="minorHAnsi" w:cstheme="minorHAnsi"/>
                <w:sz w:val="20"/>
                <w:szCs w:val="20"/>
                <w:lang w:val="en-GB" w:eastAsia="en-GB"/>
              </w:rPr>
            </w:pPr>
            <w:r w:rsidRPr="00356870">
              <w:rPr>
                <w:rFonts w:asciiTheme="minorHAnsi" w:hAnsiTheme="minorHAnsi" w:cstheme="minorHAnsi"/>
                <w:sz w:val="20"/>
                <w:szCs w:val="20"/>
              </w:rPr>
              <w:t>468,603,387</w:t>
            </w:r>
          </w:p>
          <w:p w14:paraId="7208F4FA" w14:textId="77777777" w:rsidR="00260ADE" w:rsidRPr="00356870" w:rsidRDefault="00260ADE" w:rsidP="00260ADE">
            <w:pPr>
              <w:rPr>
                <w:rFonts w:asciiTheme="minorHAnsi" w:eastAsiaTheme="minorHAnsi" w:hAnsiTheme="minorHAnsi" w:cstheme="minorHAnsi"/>
                <w:sz w:val="20"/>
                <w:szCs w:val="20"/>
                <w:lang w:val="en-GB" w:eastAsia="en-US"/>
              </w:rPr>
            </w:pPr>
          </w:p>
          <w:p w14:paraId="4F0AB635" w14:textId="5D063C30" w:rsidR="00260ADE" w:rsidRPr="00356870" w:rsidRDefault="00260ADE" w:rsidP="00260ADE">
            <w:pPr>
              <w:rPr>
                <w:rFonts w:asciiTheme="minorHAnsi" w:eastAsiaTheme="minorHAnsi" w:hAnsiTheme="minorHAnsi" w:cstheme="minorHAnsi"/>
                <w:sz w:val="20"/>
                <w:szCs w:val="20"/>
                <w:lang w:val="en-GB" w:eastAsia="en-US"/>
              </w:rPr>
            </w:pPr>
            <w:r w:rsidRPr="00356870">
              <w:rPr>
                <w:rFonts w:asciiTheme="minorHAnsi" w:eastAsiaTheme="minorHAnsi" w:hAnsiTheme="minorHAnsi" w:cstheme="minorHAnsi"/>
                <w:sz w:val="20"/>
                <w:szCs w:val="20"/>
                <w:lang w:val="en-GB" w:eastAsia="en-US"/>
              </w:rPr>
              <w:t>(</w:t>
            </w:r>
            <w:r w:rsidR="00356870" w:rsidRPr="00356870">
              <w:rPr>
                <w:rFonts w:asciiTheme="minorHAnsi" w:hAnsiTheme="minorHAnsi" w:cstheme="minorHAnsi"/>
                <w:sz w:val="20"/>
                <w:szCs w:val="20"/>
              </w:rPr>
              <w:t>97.23</w:t>
            </w:r>
            <w:r w:rsidRPr="00356870">
              <w:rPr>
                <w:rFonts w:asciiTheme="minorHAnsi" w:eastAsiaTheme="minorHAnsi" w:hAnsiTheme="minorHAnsi" w:cstheme="minorHAnsi"/>
                <w:sz w:val="20"/>
                <w:szCs w:val="20"/>
                <w:lang w:val="en-GB" w:eastAsia="en-US"/>
              </w:rPr>
              <w:t>%)</w:t>
            </w:r>
          </w:p>
        </w:tc>
        <w:tc>
          <w:tcPr>
            <w:tcW w:w="1798" w:type="dxa"/>
          </w:tcPr>
          <w:p w14:paraId="589C1226" w14:textId="77777777" w:rsidR="00356870" w:rsidRPr="00356870" w:rsidRDefault="00356870" w:rsidP="00356870">
            <w:pPr>
              <w:adjustRightInd/>
              <w:rPr>
                <w:rFonts w:asciiTheme="minorHAnsi" w:hAnsiTheme="minorHAnsi" w:cstheme="minorHAnsi"/>
                <w:sz w:val="20"/>
                <w:szCs w:val="20"/>
                <w:lang w:val="en-GB" w:eastAsia="en-GB"/>
              </w:rPr>
            </w:pPr>
            <w:r w:rsidRPr="00356870">
              <w:rPr>
                <w:rFonts w:asciiTheme="minorHAnsi" w:hAnsiTheme="minorHAnsi" w:cstheme="minorHAnsi"/>
                <w:sz w:val="20"/>
                <w:szCs w:val="20"/>
              </w:rPr>
              <w:t>13,339,054</w:t>
            </w:r>
          </w:p>
          <w:p w14:paraId="02853DFC" w14:textId="77777777" w:rsidR="00260ADE" w:rsidRPr="00356870" w:rsidRDefault="00260ADE" w:rsidP="00260ADE">
            <w:pPr>
              <w:rPr>
                <w:rFonts w:asciiTheme="minorHAnsi" w:eastAsiaTheme="minorHAnsi" w:hAnsiTheme="minorHAnsi" w:cstheme="minorHAnsi"/>
                <w:sz w:val="20"/>
                <w:szCs w:val="20"/>
                <w:lang w:val="en-GB" w:eastAsia="en-US"/>
              </w:rPr>
            </w:pPr>
          </w:p>
          <w:p w14:paraId="68FCE498" w14:textId="5455327B" w:rsidR="00260ADE" w:rsidRPr="00356870" w:rsidRDefault="00260ADE" w:rsidP="00260ADE">
            <w:pPr>
              <w:rPr>
                <w:rFonts w:asciiTheme="minorHAnsi" w:eastAsiaTheme="minorHAnsi" w:hAnsiTheme="minorHAnsi" w:cstheme="minorHAnsi"/>
                <w:sz w:val="20"/>
                <w:szCs w:val="20"/>
                <w:lang w:val="en-GB" w:eastAsia="en-US"/>
              </w:rPr>
            </w:pPr>
            <w:r w:rsidRPr="00356870">
              <w:rPr>
                <w:rFonts w:asciiTheme="minorHAnsi" w:eastAsiaTheme="minorHAnsi" w:hAnsiTheme="minorHAnsi" w:cstheme="minorHAnsi"/>
                <w:sz w:val="20"/>
                <w:szCs w:val="20"/>
                <w:lang w:val="en-GB" w:eastAsia="en-US"/>
              </w:rPr>
              <w:t>(</w:t>
            </w:r>
            <w:r w:rsidR="00356870" w:rsidRPr="00356870">
              <w:rPr>
                <w:rFonts w:asciiTheme="minorHAnsi" w:hAnsiTheme="minorHAnsi" w:cstheme="minorHAnsi"/>
                <w:sz w:val="20"/>
                <w:szCs w:val="20"/>
              </w:rPr>
              <w:t>2.77</w:t>
            </w:r>
            <w:r w:rsidRPr="00356870">
              <w:rPr>
                <w:rFonts w:asciiTheme="minorHAnsi" w:eastAsiaTheme="minorHAnsi" w:hAnsiTheme="minorHAnsi" w:cstheme="minorHAnsi"/>
                <w:sz w:val="20"/>
                <w:szCs w:val="20"/>
                <w:lang w:val="en-GB" w:eastAsia="en-US"/>
              </w:rPr>
              <w:t>%)</w:t>
            </w:r>
          </w:p>
        </w:tc>
        <w:tc>
          <w:tcPr>
            <w:tcW w:w="1805" w:type="dxa"/>
          </w:tcPr>
          <w:p w14:paraId="74054623" w14:textId="77777777" w:rsidR="00356870" w:rsidRPr="00356870" w:rsidRDefault="00356870" w:rsidP="00356870">
            <w:pPr>
              <w:adjustRightInd/>
              <w:rPr>
                <w:rFonts w:asciiTheme="minorHAnsi" w:hAnsiTheme="minorHAnsi" w:cstheme="minorHAnsi"/>
                <w:sz w:val="20"/>
                <w:szCs w:val="20"/>
                <w:lang w:val="en-GB" w:eastAsia="en-GB"/>
              </w:rPr>
            </w:pPr>
            <w:r w:rsidRPr="00356870">
              <w:rPr>
                <w:rFonts w:asciiTheme="minorHAnsi" w:hAnsiTheme="minorHAnsi" w:cstheme="minorHAnsi"/>
                <w:sz w:val="20"/>
                <w:szCs w:val="20"/>
              </w:rPr>
              <w:t>481,942,441</w:t>
            </w:r>
          </w:p>
          <w:p w14:paraId="0AE7E1E0" w14:textId="77777777" w:rsidR="00A53F46" w:rsidRPr="00356870" w:rsidRDefault="00A53F46" w:rsidP="00544C6F">
            <w:pPr>
              <w:rPr>
                <w:rFonts w:asciiTheme="minorHAnsi" w:hAnsiTheme="minorHAnsi" w:cstheme="minorHAnsi"/>
              </w:rPr>
            </w:pPr>
          </w:p>
          <w:p w14:paraId="30CB9F0C" w14:textId="6DE64C73" w:rsidR="00356870" w:rsidRPr="00356870" w:rsidRDefault="00356870" w:rsidP="00356870">
            <w:pPr>
              <w:adjustRightInd/>
              <w:rPr>
                <w:rFonts w:asciiTheme="minorHAnsi" w:hAnsiTheme="minorHAnsi" w:cstheme="minorHAnsi"/>
                <w:sz w:val="20"/>
                <w:szCs w:val="20"/>
                <w:lang w:val="en-GB" w:eastAsia="en-GB"/>
              </w:rPr>
            </w:pPr>
            <w:r w:rsidRPr="00356870">
              <w:rPr>
                <w:rFonts w:asciiTheme="minorHAnsi" w:hAnsiTheme="minorHAnsi" w:cstheme="minorHAnsi"/>
                <w:sz w:val="20"/>
                <w:szCs w:val="20"/>
              </w:rPr>
              <w:t>(68.17%)</w:t>
            </w:r>
          </w:p>
          <w:p w14:paraId="48DA9726" w14:textId="38C57A0C" w:rsidR="00356870" w:rsidRPr="00356870" w:rsidRDefault="00356870" w:rsidP="00544C6F">
            <w:pPr>
              <w:rPr>
                <w:rFonts w:asciiTheme="minorHAnsi" w:hAnsiTheme="minorHAnsi" w:cstheme="minorHAnsi"/>
              </w:rPr>
            </w:pPr>
          </w:p>
        </w:tc>
        <w:tc>
          <w:tcPr>
            <w:tcW w:w="1800" w:type="dxa"/>
          </w:tcPr>
          <w:p w14:paraId="5B1F2C7C" w14:textId="77777777" w:rsidR="00356870" w:rsidRPr="00356870" w:rsidRDefault="00356870" w:rsidP="00356870">
            <w:pPr>
              <w:adjustRightInd/>
              <w:rPr>
                <w:rFonts w:asciiTheme="minorHAnsi" w:hAnsiTheme="minorHAnsi" w:cstheme="minorHAnsi"/>
                <w:sz w:val="20"/>
                <w:szCs w:val="20"/>
                <w:lang w:val="en-GB" w:eastAsia="en-GB"/>
              </w:rPr>
            </w:pPr>
            <w:r w:rsidRPr="00356870">
              <w:rPr>
                <w:rFonts w:asciiTheme="minorHAnsi" w:hAnsiTheme="minorHAnsi" w:cstheme="minorHAnsi"/>
                <w:sz w:val="20"/>
                <w:szCs w:val="20"/>
              </w:rPr>
              <w:t>152,533</w:t>
            </w:r>
          </w:p>
          <w:p w14:paraId="04E57748" w14:textId="370FD582" w:rsidR="00A53F46" w:rsidRPr="00356870" w:rsidRDefault="00A53F46" w:rsidP="00D7094A">
            <w:pPr>
              <w:rPr>
                <w:rFonts w:asciiTheme="minorHAnsi" w:hAnsiTheme="minorHAnsi" w:cstheme="minorHAnsi"/>
              </w:rPr>
            </w:pPr>
          </w:p>
        </w:tc>
      </w:tr>
      <w:tr w:rsidR="00A53F46" w14:paraId="2ADEEB97" w14:textId="77777777" w:rsidTr="002442FD">
        <w:tc>
          <w:tcPr>
            <w:tcW w:w="1830" w:type="dxa"/>
          </w:tcPr>
          <w:p w14:paraId="28DFE06E" w14:textId="2FB1925C" w:rsidR="00FF35E1" w:rsidRDefault="00FF35E1" w:rsidP="00FF35E1">
            <w:pPr>
              <w:jc w:val="left"/>
              <w:rPr>
                <w:rFonts w:asciiTheme="minorHAnsi" w:eastAsiaTheme="minorHAnsi" w:hAnsiTheme="minorHAnsi" w:cstheme="minorHAnsi"/>
                <w:sz w:val="20"/>
                <w:szCs w:val="20"/>
                <w:lang w:val="en-GB" w:eastAsia="en-US"/>
              </w:rPr>
            </w:pPr>
            <w:r>
              <w:rPr>
                <w:rFonts w:asciiTheme="minorHAnsi" w:eastAsiaTheme="minorHAnsi" w:hAnsiTheme="minorHAnsi" w:cstheme="minorHAnsi"/>
                <w:sz w:val="20"/>
                <w:szCs w:val="20"/>
                <w:lang w:val="en-GB" w:eastAsia="en-US"/>
              </w:rPr>
              <w:t>Resolution 4:</w:t>
            </w:r>
          </w:p>
          <w:p w14:paraId="76A4C0B1" w14:textId="77777777" w:rsidR="00FF35E1" w:rsidRDefault="00FF35E1" w:rsidP="00FF35E1">
            <w:pPr>
              <w:jc w:val="left"/>
              <w:rPr>
                <w:rFonts w:asciiTheme="minorHAnsi" w:eastAsiaTheme="minorHAnsi" w:hAnsiTheme="minorHAnsi" w:cstheme="minorHAnsi"/>
                <w:sz w:val="20"/>
                <w:szCs w:val="20"/>
                <w:lang w:val="en-GB" w:eastAsia="en-US"/>
              </w:rPr>
            </w:pPr>
          </w:p>
          <w:p w14:paraId="5905B1E9" w14:textId="619C2D8F" w:rsidR="00A53F46" w:rsidRPr="002442FD" w:rsidRDefault="00A53F46" w:rsidP="00FF35E1">
            <w:pPr>
              <w:jc w:val="left"/>
              <w:rPr>
                <w:rFonts w:asciiTheme="minorHAnsi" w:eastAsiaTheme="minorHAnsi" w:hAnsiTheme="minorHAnsi" w:cstheme="minorHAnsi"/>
                <w:sz w:val="20"/>
                <w:szCs w:val="20"/>
                <w:lang w:val="en-GB" w:eastAsia="en-US"/>
              </w:rPr>
            </w:pPr>
            <w:r w:rsidRPr="002442FD">
              <w:rPr>
                <w:rFonts w:asciiTheme="minorHAnsi" w:eastAsiaTheme="minorHAnsi" w:hAnsiTheme="minorHAnsi" w:cstheme="minorHAnsi"/>
                <w:sz w:val="20"/>
                <w:szCs w:val="20"/>
                <w:lang w:val="en-GB" w:eastAsia="en-US"/>
              </w:rPr>
              <w:t xml:space="preserve">To </w:t>
            </w:r>
            <w:r w:rsidR="002442FD">
              <w:rPr>
                <w:rFonts w:asciiTheme="minorHAnsi" w:eastAsiaTheme="minorHAnsi" w:hAnsiTheme="minorHAnsi" w:cstheme="minorHAnsi"/>
                <w:sz w:val="20"/>
                <w:szCs w:val="20"/>
                <w:lang w:val="en-GB" w:eastAsia="en-US"/>
              </w:rPr>
              <w:t xml:space="preserve">approve the share consolidation </w:t>
            </w:r>
          </w:p>
        </w:tc>
        <w:tc>
          <w:tcPr>
            <w:tcW w:w="1783" w:type="dxa"/>
          </w:tcPr>
          <w:p w14:paraId="58E0E2E8" w14:textId="77777777" w:rsidR="00356870" w:rsidRPr="00356870" w:rsidRDefault="00356870" w:rsidP="00356870">
            <w:pPr>
              <w:adjustRightInd/>
              <w:rPr>
                <w:rFonts w:asciiTheme="minorHAnsi" w:hAnsiTheme="minorHAnsi" w:cstheme="minorHAnsi"/>
                <w:sz w:val="20"/>
                <w:szCs w:val="20"/>
                <w:lang w:val="en-GB" w:eastAsia="en-GB"/>
              </w:rPr>
            </w:pPr>
            <w:r w:rsidRPr="00356870">
              <w:rPr>
                <w:rFonts w:asciiTheme="minorHAnsi" w:hAnsiTheme="minorHAnsi" w:cstheme="minorHAnsi"/>
                <w:sz w:val="20"/>
                <w:szCs w:val="20"/>
              </w:rPr>
              <w:t>395,990,198</w:t>
            </w:r>
          </w:p>
          <w:p w14:paraId="5800BA43" w14:textId="77777777" w:rsidR="00260ADE" w:rsidRPr="00356870" w:rsidRDefault="00260ADE" w:rsidP="00260ADE">
            <w:pPr>
              <w:rPr>
                <w:rFonts w:asciiTheme="minorHAnsi" w:eastAsiaTheme="minorHAnsi" w:hAnsiTheme="minorHAnsi" w:cstheme="minorHAnsi"/>
                <w:sz w:val="20"/>
                <w:szCs w:val="20"/>
                <w:lang w:val="en-GB" w:eastAsia="en-US"/>
              </w:rPr>
            </w:pPr>
          </w:p>
          <w:p w14:paraId="4A872244" w14:textId="6CFDC2BB" w:rsidR="00260ADE" w:rsidRPr="00356870" w:rsidRDefault="00260ADE" w:rsidP="00260ADE">
            <w:pPr>
              <w:rPr>
                <w:rFonts w:asciiTheme="minorHAnsi" w:eastAsiaTheme="minorHAnsi" w:hAnsiTheme="minorHAnsi" w:cstheme="minorHAnsi"/>
                <w:sz w:val="20"/>
                <w:szCs w:val="20"/>
                <w:lang w:val="en-GB" w:eastAsia="en-US"/>
              </w:rPr>
            </w:pPr>
            <w:r w:rsidRPr="00356870">
              <w:rPr>
                <w:rFonts w:asciiTheme="minorHAnsi" w:eastAsiaTheme="minorHAnsi" w:hAnsiTheme="minorHAnsi" w:cstheme="minorHAnsi"/>
                <w:sz w:val="20"/>
                <w:szCs w:val="20"/>
                <w:lang w:val="en-GB" w:eastAsia="en-US"/>
              </w:rPr>
              <w:t>(</w:t>
            </w:r>
            <w:r w:rsidR="00356870" w:rsidRPr="00356870">
              <w:rPr>
                <w:rFonts w:asciiTheme="minorHAnsi" w:hAnsiTheme="minorHAnsi" w:cstheme="minorHAnsi"/>
                <w:sz w:val="20"/>
                <w:szCs w:val="20"/>
              </w:rPr>
              <w:t>82.15</w:t>
            </w:r>
            <w:r w:rsidRPr="00356870">
              <w:rPr>
                <w:rFonts w:asciiTheme="minorHAnsi" w:eastAsiaTheme="minorHAnsi" w:hAnsiTheme="minorHAnsi" w:cstheme="minorHAnsi"/>
                <w:sz w:val="20"/>
                <w:szCs w:val="20"/>
                <w:lang w:val="en-GB" w:eastAsia="en-US"/>
              </w:rPr>
              <w:t>%)</w:t>
            </w:r>
          </w:p>
        </w:tc>
        <w:tc>
          <w:tcPr>
            <w:tcW w:w="1798" w:type="dxa"/>
          </w:tcPr>
          <w:p w14:paraId="31C73855" w14:textId="77777777" w:rsidR="00356870" w:rsidRPr="00356870" w:rsidRDefault="00356870" w:rsidP="00356870">
            <w:pPr>
              <w:adjustRightInd/>
              <w:rPr>
                <w:rFonts w:asciiTheme="minorHAnsi" w:hAnsiTheme="minorHAnsi" w:cstheme="minorHAnsi"/>
                <w:sz w:val="20"/>
                <w:szCs w:val="20"/>
                <w:lang w:val="en-GB" w:eastAsia="en-GB"/>
              </w:rPr>
            </w:pPr>
            <w:r w:rsidRPr="00356870">
              <w:rPr>
                <w:rFonts w:asciiTheme="minorHAnsi" w:hAnsiTheme="minorHAnsi" w:cstheme="minorHAnsi"/>
                <w:sz w:val="20"/>
                <w:szCs w:val="20"/>
              </w:rPr>
              <w:t>86,063,244</w:t>
            </w:r>
          </w:p>
          <w:p w14:paraId="6CED9AF0" w14:textId="77777777" w:rsidR="00260ADE" w:rsidRPr="00356870" w:rsidRDefault="00260ADE" w:rsidP="00260ADE">
            <w:pPr>
              <w:rPr>
                <w:rFonts w:asciiTheme="minorHAnsi" w:eastAsiaTheme="minorHAnsi" w:hAnsiTheme="minorHAnsi" w:cstheme="minorHAnsi"/>
                <w:sz w:val="20"/>
                <w:szCs w:val="20"/>
                <w:lang w:val="en-GB" w:eastAsia="en-US"/>
              </w:rPr>
            </w:pPr>
          </w:p>
          <w:p w14:paraId="3D3A76C0" w14:textId="03004AC9" w:rsidR="00260ADE" w:rsidRPr="00356870" w:rsidRDefault="00260ADE" w:rsidP="00260ADE">
            <w:pPr>
              <w:rPr>
                <w:rFonts w:asciiTheme="minorHAnsi" w:eastAsiaTheme="minorHAnsi" w:hAnsiTheme="minorHAnsi" w:cstheme="minorHAnsi"/>
                <w:sz w:val="20"/>
                <w:szCs w:val="20"/>
                <w:lang w:val="en-GB" w:eastAsia="en-US"/>
              </w:rPr>
            </w:pPr>
            <w:r w:rsidRPr="00356870">
              <w:rPr>
                <w:rFonts w:asciiTheme="minorHAnsi" w:eastAsiaTheme="minorHAnsi" w:hAnsiTheme="minorHAnsi" w:cstheme="minorHAnsi"/>
                <w:sz w:val="20"/>
                <w:szCs w:val="20"/>
                <w:lang w:val="en-GB" w:eastAsia="en-US"/>
              </w:rPr>
              <w:t>(</w:t>
            </w:r>
            <w:r w:rsidR="00356870" w:rsidRPr="00356870">
              <w:rPr>
                <w:rFonts w:asciiTheme="minorHAnsi" w:hAnsiTheme="minorHAnsi" w:cstheme="minorHAnsi"/>
                <w:sz w:val="20"/>
                <w:szCs w:val="20"/>
              </w:rPr>
              <w:t>17.85</w:t>
            </w:r>
            <w:r w:rsidRPr="00356870">
              <w:rPr>
                <w:rFonts w:asciiTheme="minorHAnsi" w:eastAsiaTheme="minorHAnsi" w:hAnsiTheme="minorHAnsi" w:cstheme="minorHAnsi"/>
                <w:sz w:val="20"/>
                <w:szCs w:val="20"/>
                <w:lang w:val="en-GB" w:eastAsia="en-US"/>
              </w:rPr>
              <w:t>%)</w:t>
            </w:r>
          </w:p>
        </w:tc>
        <w:tc>
          <w:tcPr>
            <w:tcW w:w="1805" w:type="dxa"/>
          </w:tcPr>
          <w:p w14:paraId="558A08A4" w14:textId="77777777" w:rsidR="00356870" w:rsidRPr="00356870" w:rsidRDefault="00356870" w:rsidP="00356870">
            <w:pPr>
              <w:adjustRightInd/>
              <w:rPr>
                <w:rFonts w:asciiTheme="minorHAnsi" w:hAnsiTheme="minorHAnsi" w:cstheme="minorHAnsi"/>
                <w:sz w:val="20"/>
                <w:szCs w:val="20"/>
                <w:lang w:val="en-GB" w:eastAsia="en-GB"/>
              </w:rPr>
            </w:pPr>
            <w:r w:rsidRPr="00356870">
              <w:rPr>
                <w:rFonts w:asciiTheme="minorHAnsi" w:hAnsiTheme="minorHAnsi" w:cstheme="minorHAnsi"/>
                <w:sz w:val="20"/>
                <w:szCs w:val="20"/>
              </w:rPr>
              <w:t>482,053,442</w:t>
            </w:r>
          </w:p>
          <w:p w14:paraId="138FFC51" w14:textId="77777777" w:rsidR="00A53F46" w:rsidRPr="00356870" w:rsidRDefault="00A53F46" w:rsidP="00544C6F">
            <w:pPr>
              <w:rPr>
                <w:rFonts w:asciiTheme="minorHAnsi" w:hAnsiTheme="minorHAnsi" w:cstheme="minorHAnsi"/>
              </w:rPr>
            </w:pPr>
          </w:p>
          <w:p w14:paraId="57728A5E" w14:textId="11B92EC8" w:rsidR="00356870" w:rsidRPr="00356870" w:rsidRDefault="00356870" w:rsidP="00356870">
            <w:pPr>
              <w:adjustRightInd/>
              <w:rPr>
                <w:rFonts w:asciiTheme="minorHAnsi" w:hAnsiTheme="minorHAnsi" w:cstheme="minorHAnsi"/>
                <w:sz w:val="20"/>
                <w:szCs w:val="20"/>
                <w:lang w:val="en-GB" w:eastAsia="en-GB"/>
              </w:rPr>
            </w:pPr>
            <w:r>
              <w:rPr>
                <w:rFonts w:asciiTheme="minorHAnsi" w:hAnsiTheme="minorHAnsi" w:cstheme="minorHAnsi"/>
                <w:sz w:val="20"/>
                <w:szCs w:val="20"/>
              </w:rPr>
              <w:t>(</w:t>
            </w:r>
            <w:r w:rsidRPr="00356870">
              <w:rPr>
                <w:rFonts w:asciiTheme="minorHAnsi" w:hAnsiTheme="minorHAnsi" w:cstheme="minorHAnsi"/>
                <w:sz w:val="20"/>
                <w:szCs w:val="20"/>
              </w:rPr>
              <w:t>68.19%</w:t>
            </w:r>
            <w:r>
              <w:rPr>
                <w:rFonts w:asciiTheme="minorHAnsi" w:hAnsiTheme="minorHAnsi" w:cstheme="minorHAnsi"/>
                <w:sz w:val="20"/>
                <w:szCs w:val="20"/>
              </w:rPr>
              <w:t>)</w:t>
            </w:r>
          </w:p>
          <w:p w14:paraId="06EA7ABF" w14:textId="07A9AE4A" w:rsidR="00356870" w:rsidRPr="00356870" w:rsidRDefault="00356870" w:rsidP="00544C6F">
            <w:pPr>
              <w:rPr>
                <w:rFonts w:asciiTheme="minorHAnsi" w:hAnsiTheme="minorHAnsi" w:cstheme="minorHAnsi"/>
              </w:rPr>
            </w:pPr>
          </w:p>
        </w:tc>
        <w:tc>
          <w:tcPr>
            <w:tcW w:w="1800" w:type="dxa"/>
          </w:tcPr>
          <w:p w14:paraId="4AFFCEE3" w14:textId="77777777" w:rsidR="00356870" w:rsidRPr="00356870" w:rsidRDefault="00356870" w:rsidP="00356870">
            <w:pPr>
              <w:adjustRightInd/>
              <w:rPr>
                <w:rFonts w:asciiTheme="minorHAnsi" w:hAnsiTheme="minorHAnsi" w:cstheme="minorHAnsi"/>
                <w:sz w:val="20"/>
                <w:szCs w:val="20"/>
                <w:lang w:val="en-GB" w:eastAsia="en-GB"/>
              </w:rPr>
            </w:pPr>
            <w:r w:rsidRPr="00356870">
              <w:rPr>
                <w:rFonts w:asciiTheme="minorHAnsi" w:hAnsiTheme="minorHAnsi" w:cstheme="minorHAnsi"/>
                <w:sz w:val="20"/>
                <w:szCs w:val="20"/>
              </w:rPr>
              <w:t>86,505</w:t>
            </w:r>
          </w:p>
          <w:p w14:paraId="6C73A070" w14:textId="27576E71" w:rsidR="00A53F46" w:rsidRPr="00356870" w:rsidRDefault="00A53F46" w:rsidP="00D7094A">
            <w:pPr>
              <w:rPr>
                <w:rFonts w:asciiTheme="minorHAnsi" w:hAnsiTheme="minorHAnsi" w:cstheme="minorHAnsi"/>
              </w:rPr>
            </w:pPr>
          </w:p>
        </w:tc>
      </w:tr>
    </w:tbl>
    <w:p w14:paraId="5FC83131" w14:textId="77777777" w:rsidR="00FF35E1" w:rsidRDefault="00FF35E1" w:rsidP="00544C6F">
      <w:pPr>
        <w:rPr>
          <w:rFonts w:asciiTheme="minorHAnsi" w:eastAsiaTheme="minorHAnsi" w:hAnsiTheme="minorHAnsi" w:cstheme="minorHAnsi"/>
          <w:sz w:val="20"/>
          <w:szCs w:val="20"/>
          <w:lang w:val="en-GB" w:eastAsia="en-US"/>
        </w:rPr>
      </w:pPr>
    </w:p>
    <w:p w14:paraId="7F87D0AB" w14:textId="6D991372" w:rsidR="00544C6F" w:rsidRPr="006C0CBB" w:rsidRDefault="006C0CBB" w:rsidP="00544C6F">
      <w:pPr>
        <w:rPr>
          <w:rFonts w:asciiTheme="minorHAnsi" w:eastAsiaTheme="minorHAnsi" w:hAnsiTheme="minorHAnsi" w:cstheme="minorHAnsi"/>
          <w:sz w:val="20"/>
          <w:szCs w:val="20"/>
          <w:lang w:val="en-GB" w:eastAsia="en-US"/>
        </w:rPr>
      </w:pPr>
      <w:r w:rsidRPr="006C0CBB">
        <w:rPr>
          <w:rFonts w:asciiTheme="minorHAnsi" w:eastAsiaTheme="minorHAnsi" w:hAnsiTheme="minorHAnsi" w:cstheme="minorHAnsi"/>
          <w:sz w:val="20"/>
          <w:szCs w:val="20"/>
          <w:lang w:val="en-GB" w:eastAsia="en-US"/>
        </w:rPr>
        <w:t xml:space="preserve">The </w:t>
      </w:r>
      <w:r>
        <w:rPr>
          <w:rFonts w:asciiTheme="minorHAnsi" w:eastAsiaTheme="minorHAnsi" w:hAnsiTheme="minorHAnsi" w:cstheme="minorHAnsi"/>
          <w:sz w:val="20"/>
          <w:szCs w:val="20"/>
          <w:lang w:val="en-GB" w:eastAsia="en-US"/>
        </w:rPr>
        <w:t>B</w:t>
      </w:r>
      <w:r w:rsidRPr="006C0CBB">
        <w:rPr>
          <w:rFonts w:asciiTheme="minorHAnsi" w:eastAsiaTheme="minorHAnsi" w:hAnsiTheme="minorHAnsi" w:cstheme="minorHAnsi"/>
          <w:sz w:val="20"/>
          <w:szCs w:val="20"/>
          <w:lang w:val="en-GB" w:eastAsia="en-US"/>
        </w:rPr>
        <w:t xml:space="preserve">oard of Greencore welcome the results of the vote on each of the resolutions and will consider the views received from all </w:t>
      </w:r>
      <w:bookmarkStart w:id="0" w:name="_GoBack"/>
      <w:r w:rsidRPr="006C0CBB">
        <w:rPr>
          <w:rFonts w:asciiTheme="minorHAnsi" w:eastAsiaTheme="minorHAnsi" w:hAnsiTheme="minorHAnsi" w:cstheme="minorHAnsi"/>
          <w:sz w:val="20"/>
          <w:szCs w:val="20"/>
          <w:lang w:val="en-GB" w:eastAsia="en-US"/>
        </w:rPr>
        <w:t>shareholder</w:t>
      </w:r>
      <w:bookmarkEnd w:id="0"/>
      <w:r w:rsidRPr="006C0CBB">
        <w:rPr>
          <w:rFonts w:asciiTheme="minorHAnsi" w:eastAsiaTheme="minorHAnsi" w:hAnsiTheme="minorHAnsi" w:cstheme="minorHAnsi"/>
          <w:sz w:val="20"/>
          <w:szCs w:val="20"/>
          <w:lang w:val="en-GB" w:eastAsia="en-US"/>
        </w:rPr>
        <w:t>s further in due course</w:t>
      </w:r>
      <w:r>
        <w:rPr>
          <w:rFonts w:asciiTheme="minorHAnsi" w:eastAsiaTheme="minorHAnsi" w:hAnsiTheme="minorHAnsi" w:cstheme="minorHAnsi"/>
          <w:sz w:val="20"/>
          <w:szCs w:val="20"/>
          <w:lang w:val="en-GB" w:eastAsia="en-US"/>
        </w:rPr>
        <w:t>.</w:t>
      </w:r>
    </w:p>
    <w:p w14:paraId="622CB875" w14:textId="637B10BE" w:rsidR="003069D2" w:rsidRPr="003069D2" w:rsidRDefault="003069D2" w:rsidP="003069D2">
      <w:pPr>
        <w:rPr>
          <w:rFonts w:asciiTheme="minorHAnsi" w:eastAsiaTheme="minorHAnsi" w:hAnsiTheme="minorHAnsi" w:cstheme="minorHAnsi"/>
          <w:sz w:val="20"/>
          <w:szCs w:val="20"/>
          <w:lang w:val="en-GB" w:eastAsia="en-US"/>
        </w:rPr>
      </w:pPr>
    </w:p>
    <w:p w14:paraId="68AD468E" w14:textId="08537C81" w:rsidR="003069D2" w:rsidRPr="003069D2" w:rsidRDefault="003069D2" w:rsidP="003069D2">
      <w:pPr>
        <w:rPr>
          <w:rFonts w:asciiTheme="minorHAnsi" w:eastAsiaTheme="minorHAnsi" w:hAnsiTheme="minorHAnsi" w:cstheme="minorHAnsi"/>
          <w:sz w:val="20"/>
          <w:szCs w:val="20"/>
          <w:lang w:val="en-GB" w:eastAsia="en-US"/>
        </w:rPr>
      </w:pPr>
      <w:r>
        <w:rPr>
          <w:rFonts w:asciiTheme="minorHAnsi" w:eastAsiaTheme="minorHAnsi" w:hAnsiTheme="minorHAnsi" w:cstheme="minorHAnsi"/>
          <w:sz w:val="20"/>
          <w:szCs w:val="20"/>
          <w:lang w:val="en-GB" w:eastAsia="en-US"/>
        </w:rPr>
        <w:t>To date, Greencore has received s</w:t>
      </w:r>
      <w:r w:rsidRPr="003069D2">
        <w:rPr>
          <w:rFonts w:asciiTheme="minorHAnsi" w:eastAsiaTheme="minorHAnsi" w:hAnsiTheme="minorHAnsi" w:cstheme="minorHAnsi"/>
          <w:sz w:val="20"/>
          <w:szCs w:val="20"/>
          <w:lang w:val="en-GB" w:eastAsia="en-US"/>
        </w:rPr>
        <w:t xml:space="preserve">ufficient waivers </w:t>
      </w:r>
      <w:r>
        <w:rPr>
          <w:rFonts w:asciiTheme="minorHAnsi" w:eastAsiaTheme="minorHAnsi" w:hAnsiTheme="minorHAnsi" w:cstheme="minorHAnsi"/>
          <w:sz w:val="20"/>
          <w:szCs w:val="20"/>
          <w:lang w:val="en-GB" w:eastAsia="en-US"/>
        </w:rPr>
        <w:t xml:space="preserve">pursuant to the Debt Agreements (as defined in the Circular to </w:t>
      </w:r>
      <w:r w:rsidR="005F6CB5">
        <w:rPr>
          <w:rFonts w:asciiTheme="minorHAnsi" w:eastAsiaTheme="minorHAnsi" w:hAnsiTheme="minorHAnsi" w:cstheme="minorHAnsi"/>
          <w:sz w:val="20"/>
          <w:szCs w:val="20"/>
          <w:lang w:val="en-GB" w:eastAsia="en-US"/>
        </w:rPr>
        <w:t>s</w:t>
      </w:r>
      <w:r>
        <w:rPr>
          <w:rFonts w:asciiTheme="minorHAnsi" w:eastAsiaTheme="minorHAnsi" w:hAnsiTheme="minorHAnsi" w:cstheme="minorHAnsi"/>
          <w:sz w:val="20"/>
          <w:szCs w:val="20"/>
          <w:lang w:val="en-GB" w:eastAsia="en-US"/>
        </w:rPr>
        <w:t xml:space="preserve">hareholders dated 15 October 2018) </w:t>
      </w:r>
      <w:r w:rsidRPr="003069D2">
        <w:rPr>
          <w:rFonts w:asciiTheme="minorHAnsi" w:eastAsiaTheme="minorHAnsi" w:hAnsiTheme="minorHAnsi" w:cstheme="minorHAnsi"/>
          <w:sz w:val="20"/>
          <w:szCs w:val="20"/>
          <w:lang w:val="en-GB" w:eastAsia="en-US"/>
        </w:rPr>
        <w:t>to allow the payment and declaration of the Special Dividend</w:t>
      </w:r>
      <w:r>
        <w:rPr>
          <w:rFonts w:asciiTheme="minorHAnsi" w:eastAsiaTheme="minorHAnsi" w:hAnsiTheme="minorHAnsi" w:cstheme="minorHAnsi"/>
          <w:sz w:val="20"/>
          <w:szCs w:val="20"/>
          <w:lang w:val="en-GB" w:eastAsia="en-US"/>
        </w:rPr>
        <w:t xml:space="preserve"> in line with the intentions set out in the Circular.</w:t>
      </w:r>
    </w:p>
    <w:p w14:paraId="5A789E8F" w14:textId="77777777" w:rsidR="003069D2" w:rsidRPr="003069D2" w:rsidRDefault="003069D2" w:rsidP="003069D2">
      <w:pPr>
        <w:rPr>
          <w:rFonts w:asciiTheme="minorHAnsi" w:eastAsiaTheme="minorHAnsi" w:hAnsiTheme="minorHAnsi" w:cstheme="minorHAnsi"/>
          <w:sz w:val="20"/>
          <w:szCs w:val="20"/>
          <w:lang w:val="en-GB" w:eastAsia="en-US"/>
        </w:rPr>
      </w:pPr>
      <w:r w:rsidRPr="003069D2">
        <w:rPr>
          <w:rFonts w:asciiTheme="minorHAnsi" w:eastAsiaTheme="minorHAnsi" w:hAnsiTheme="minorHAnsi" w:cstheme="minorHAnsi"/>
          <w:sz w:val="20"/>
          <w:szCs w:val="20"/>
          <w:lang w:val="en-GB" w:eastAsia="en-US"/>
        </w:rPr>
        <w:lastRenderedPageBreak/>
        <w:t> </w:t>
      </w:r>
    </w:p>
    <w:p w14:paraId="65385365" w14:textId="602511C9" w:rsidR="00260ADE" w:rsidRPr="00950617" w:rsidRDefault="001F6414" w:rsidP="00950617">
      <w:pPr>
        <w:rPr>
          <w:rFonts w:asciiTheme="minorHAnsi" w:eastAsiaTheme="minorHAnsi" w:hAnsiTheme="minorHAnsi" w:cstheme="minorHAnsi"/>
          <w:sz w:val="20"/>
          <w:szCs w:val="20"/>
          <w:lang w:val="en-GB" w:eastAsia="en-US"/>
        </w:rPr>
      </w:pPr>
      <w:r w:rsidRPr="006C0CBB">
        <w:rPr>
          <w:rFonts w:asciiTheme="minorHAnsi" w:eastAsiaTheme="minorHAnsi" w:hAnsiTheme="minorHAnsi" w:cstheme="minorHAnsi"/>
          <w:sz w:val="20"/>
          <w:szCs w:val="20"/>
          <w:lang w:val="en-GB" w:eastAsia="en-US"/>
        </w:rPr>
        <w:t>Greencore</w:t>
      </w:r>
      <w:r w:rsidRPr="00FD3965">
        <w:rPr>
          <w:rFonts w:asciiTheme="minorHAnsi" w:eastAsiaTheme="minorHAnsi" w:hAnsiTheme="minorHAnsi" w:cstheme="minorHAnsi"/>
          <w:sz w:val="20"/>
          <w:szCs w:val="20"/>
          <w:lang w:val="en-GB" w:eastAsia="en-US"/>
        </w:rPr>
        <w:t xml:space="preserve"> also confirms that it has received the regulatory US anti-trust clearance </w:t>
      </w:r>
      <w:r w:rsidR="00260ADE">
        <w:rPr>
          <w:rFonts w:asciiTheme="minorHAnsi" w:eastAsiaTheme="minorHAnsi" w:hAnsiTheme="minorHAnsi" w:cstheme="minorHAnsi"/>
          <w:sz w:val="20"/>
          <w:szCs w:val="20"/>
          <w:lang w:val="en-GB" w:eastAsia="en-US"/>
        </w:rPr>
        <w:t xml:space="preserve">for the proposed sale of its US business </w:t>
      </w:r>
      <w:r w:rsidRPr="00FD3965">
        <w:rPr>
          <w:rFonts w:asciiTheme="minorHAnsi" w:eastAsiaTheme="minorHAnsi" w:hAnsiTheme="minorHAnsi" w:cstheme="minorHAnsi"/>
          <w:sz w:val="20"/>
          <w:szCs w:val="20"/>
          <w:lang w:val="en-GB" w:eastAsia="en-US"/>
        </w:rPr>
        <w:t xml:space="preserve">as </w:t>
      </w:r>
      <w:r w:rsidR="00260ADE">
        <w:rPr>
          <w:rFonts w:asciiTheme="minorHAnsi" w:eastAsiaTheme="minorHAnsi" w:hAnsiTheme="minorHAnsi" w:cstheme="minorHAnsi"/>
          <w:sz w:val="20"/>
          <w:szCs w:val="20"/>
          <w:lang w:val="en-GB" w:eastAsia="en-US"/>
        </w:rPr>
        <w:t xml:space="preserve">is </w:t>
      </w:r>
      <w:r w:rsidRPr="00FD3965">
        <w:rPr>
          <w:rFonts w:asciiTheme="minorHAnsi" w:eastAsiaTheme="minorHAnsi" w:hAnsiTheme="minorHAnsi" w:cstheme="minorHAnsi"/>
          <w:sz w:val="20"/>
          <w:szCs w:val="20"/>
          <w:lang w:val="en-GB" w:eastAsia="en-US"/>
        </w:rPr>
        <w:t xml:space="preserve">required under the Hart Scott </w:t>
      </w:r>
      <w:proofErr w:type="spellStart"/>
      <w:r w:rsidRPr="00FD3965">
        <w:rPr>
          <w:rFonts w:asciiTheme="minorHAnsi" w:eastAsiaTheme="minorHAnsi" w:hAnsiTheme="minorHAnsi" w:cstheme="minorHAnsi"/>
          <w:sz w:val="20"/>
          <w:szCs w:val="20"/>
          <w:lang w:val="en-GB" w:eastAsia="en-US"/>
        </w:rPr>
        <w:t>Rodino</w:t>
      </w:r>
      <w:proofErr w:type="spellEnd"/>
      <w:r w:rsidRPr="00FD3965">
        <w:rPr>
          <w:rFonts w:asciiTheme="minorHAnsi" w:eastAsiaTheme="minorHAnsi" w:hAnsiTheme="minorHAnsi" w:cstheme="minorHAnsi"/>
          <w:sz w:val="20"/>
          <w:szCs w:val="20"/>
          <w:lang w:val="en-GB" w:eastAsia="en-US"/>
        </w:rPr>
        <w:t xml:space="preserve"> Act.</w:t>
      </w:r>
      <w:r w:rsidR="00F638AC">
        <w:rPr>
          <w:rFonts w:asciiTheme="minorHAnsi" w:eastAsiaTheme="minorHAnsi" w:hAnsiTheme="minorHAnsi" w:cstheme="minorHAnsi"/>
          <w:sz w:val="20"/>
          <w:szCs w:val="20"/>
          <w:lang w:val="en-GB" w:eastAsia="en-US"/>
        </w:rPr>
        <w:t xml:space="preserve"> </w:t>
      </w:r>
      <w:r w:rsidR="00D9170B">
        <w:rPr>
          <w:rFonts w:asciiTheme="minorHAnsi" w:eastAsiaTheme="minorHAnsi" w:hAnsiTheme="minorHAnsi" w:cstheme="minorHAnsi"/>
          <w:sz w:val="20"/>
          <w:szCs w:val="20"/>
          <w:lang w:val="en-GB" w:eastAsia="en-US"/>
        </w:rPr>
        <w:t xml:space="preserve">Accordingly, all material conditions to the consummation of the Transaction have now been met, and </w:t>
      </w:r>
      <w:r w:rsidR="00F638AC">
        <w:rPr>
          <w:rFonts w:asciiTheme="minorHAnsi" w:eastAsiaTheme="minorHAnsi" w:hAnsiTheme="minorHAnsi"/>
          <w:sz w:val="20"/>
          <w:lang w:val="en-GB"/>
        </w:rPr>
        <w:t xml:space="preserve">Greencore expects the sale to complete in late November 2018. </w:t>
      </w:r>
    </w:p>
    <w:p w14:paraId="3D6CEB74" w14:textId="77777777" w:rsidR="00F638AC" w:rsidRDefault="00F638AC" w:rsidP="004F697A">
      <w:pPr>
        <w:rPr>
          <w:rFonts w:asciiTheme="minorHAnsi" w:eastAsiaTheme="minorHAnsi" w:hAnsiTheme="minorHAnsi" w:cstheme="minorHAnsi"/>
          <w:sz w:val="20"/>
          <w:szCs w:val="20"/>
          <w:lang w:val="en-GB" w:eastAsia="en-US"/>
        </w:rPr>
      </w:pPr>
    </w:p>
    <w:p w14:paraId="0096751F" w14:textId="2A38F08A" w:rsidR="00544C6F" w:rsidRPr="001920A8" w:rsidRDefault="00260ADE" w:rsidP="004F697A">
      <w:pPr>
        <w:rPr>
          <w:rFonts w:asciiTheme="minorHAnsi" w:eastAsiaTheme="minorHAnsi" w:hAnsiTheme="minorHAnsi" w:cstheme="minorHAnsi"/>
          <w:sz w:val="20"/>
          <w:szCs w:val="20"/>
          <w:lang w:val="en-GB" w:eastAsia="en-US"/>
        </w:rPr>
      </w:pPr>
      <w:r>
        <w:rPr>
          <w:rFonts w:asciiTheme="minorHAnsi" w:eastAsiaTheme="minorHAnsi" w:hAnsiTheme="minorHAnsi" w:cstheme="minorHAnsi"/>
          <w:sz w:val="20"/>
          <w:szCs w:val="20"/>
          <w:lang w:val="en-GB" w:eastAsia="en-US"/>
        </w:rPr>
        <w:t xml:space="preserve">Copies of the resolutions approved are as set out in the Notice of </w:t>
      </w:r>
      <w:r w:rsidR="00F638AC">
        <w:rPr>
          <w:rFonts w:asciiTheme="minorHAnsi" w:eastAsiaTheme="minorHAnsi" w:hAnsiTheme="minorHAnsi" w:cstheme="minorHAnsi"/>
          <w:sz w:val="20"/>
          <w:szCs w:val="20"/>
          <w:lang w:val="en-GB" w:eastAsia="en-US"/>
        </w:rPr>
        <w:t xml:space="preserve">the EGM </w:t>
      </w:r>
      <w:r>
        <w:rPr>
          <w:rFonts w:asciiTheme="minorHAnsi" w:eastAsiaTheme="minorHAnsi" w:hAnsiTheme="minorHAnsi" w:cstheme="minorHAnsi"/>
          <w:sz w:val="20"/>
          <w:szCs w:val="20"/>
          <w:lang w:val="en-GB" w:eastAsia="en-US"/>
        </w:rPr>
        <w:t xml:space="preserve">included at pages 69 – 71 of the Circular and have been provided to the Financial Conduct Authority for publication through </w:t>
      </w:r>
      <w:r w:rsidR="00100C2E">
        <w:rPr>
          <w:rFonts w:asciiTheme="minorHAnsi" w:eastAsiaTheme="minorHAnsi" w:hAnsiTheme="minorHAnsi" w:cstheme="minorHAnsi"/>
          <w:sz w:val="20"/>
          <w:szCs w:val="20"/>
          <w:lang w:val="en-GB" w:eastAsia="en-US"/>
        </w:rPr>
        <w:t xml:space="preserve">its document viewing facility. </w:t>
      </w:r>
      <w:r>
        <w:rPr>
          <w:rFonts w:asciiTheme="minorHAnsi" w:eastAsiaTheme="minorHAnsi" w:hAnsiTheme="minorHAnsi" w:cstheme="minorHAnsi"/>
          <w:sz w:val="20"/>
          <w:szCs w:val="20"/>
          <w:lang w:val="en-GB" w:eastAsia="en-US"/>
        </w:rPr>
        <w:t xml:space="preserve"> </w:t>
      </w:r>
      <w:r w:rsidR="00544C6F" w:rsidRPr="001920A8">
        <w:rPr>
          <w:rFonts w:asciiTheme="minorHAnsi" w:eastAsiaTheme="minorHAnsi" w:hAnsiTheme="minorHAnsi" w:cstheme="minorHAnsi"/>
          <w:sz w:val="20"/>
          <w:szCs w:val="20"/>
          <w:lang w:val="en-GB" w:eastAsia="en-US"/>
        </w:rPr>
        <w:t xml:space="preserve">For </w:t>
      </w:r>
      <w:r w:rsidR="00454465" w:rsidRPr="001920A8">
        <w:rPr>
          <w:rFonts w:asciiTheme="minorHAnsi" w:eastAsiaTheme="minorHAnsi" w:hAnsiTheme="minorHAnsi" w:cstheme="minorHAnsi"/>
          <w:sz w:val="20"/>
          <w:szCs w:val="20"/>
          <w:lang w:val="en-GB" w:eastAsia="en-US"/>
        </w:rPr>
        <w:t>further</w:t>
      </w:r>
      <w:r w:rsidR="00544C6F" w:rsidRPr="001920A8">
        <w:rPr>
          <w:rFonts w:asciiTheme="minorHAnsi" w:eastAsiaTheme="minorHAnsi" w:hAnsiTheme="minorHAnsi" w:cstheme="minorHAnsi"/>
          <w:sz w:val="20"/>
          <w:szCs w:val="20"/>
          <w:lang w:val="en-GB" w:eastAsia="en-US"/>
        </w:rPr>
        <w:t xml:space="preserve"> details, please refer to the </w:t>
      </w:r>
      <w:r w:rsidR="001920A8" w:rsidRPr="001920A8">
        <w:rPr>
          <w:rFonts w:asciiTheme="minorHAnsi" w:eastAsiaTheme="minorHAnsi" w:hAnsiTheme="minorHAnsi" w:cstheme="minorHAnsi"/>
          <w:sz w:val="20"/>
          <w:szCs w:val="20"/>
          <w:lang w:val="en-GB" w:eastAsia="en-US"/>
        </w:rPr>
        <w:t>Circular</w:t>
      </w:r>
      <w:r w:rsidR="00544C6F" w:rsidRPr="001920A8">
        <w:rPr>
          <w:rFonts w:asciiTheme="minorHAnsi" w:eastAsiaTheme="minorHAnsi" w:hAnsiTheme="minorHAnsi" w:cstheme="minorHAnsi"/>
          <w:sz w:val="20"/>
          <w:szCs w:val="20"/>
          <w:lang w:val="en-GB" w:eastAsia="en-US"/>
        </w:rPr>
        <w:t xml:space="preserve">, which </w:t>
      </w:r>
      <w:r w:rsidR="001920A8">
        <w:rPr>
          <w:rFonts w:asciiTheme="minorHAnsi" w:eastAsiaTheme="minorHAnsi" w:hAnsiTheme="minorHAnsi" w:cstheme="minorHAnsi"/>
          <w:sz w:val="20"/>
          <w:szCs w:val="20"/>
          <w:lang w:val="en-GB" w:eastAsia="en-US"/>
        </w:rPr>
        <w:t>is</w:t>
      </w:r>
      <w:r w:rsidR="0076374F" w:rsidRPr="001920A8">
        <w:rPr>
          <w:rFonts w:asciiTheme="minorHAnsi" w:eastAsiaTheme="minorHAnsi" w:hAnsiTheme="minorHAnsi" w:cstheme="minorHAnsi"/>
          <w:sz w:val="20"/>
          <w:szCs w:val="20"/>
          <w:lang w:val="en-GB" w:eastAsia="en-US"/>
        </w:rPr>
        <w:t xml:space="preserve"> </w:t>
      </w:r>
      <w:r w:rsidR="00544C6F" w:rsidRPr="001920A8">
        <w:rPr>
          <w:rFonts w:asciiTheme="minorHAnsi" w:eastAsiaTheme="minorHAnsi" w:hAnsiTheme="minorHAnsi" w:cstheme="minorHAnsi"/>
          <w:sz w:val="20"/>
          <w:szCs w:val="20"/>
          <w:lang w:val="en-GB" w:eastAsia="en-US"/>
        </w:rPr>
        <w:t>available on the Company</w:t>
      </w:r>
      <w:r w:rsidR="00D84B4D" w:rsidRPr="001920A8">
        <w:rPr>
          <w:rFonts w:asciiTheme="minorHAnsi" w:eastAsiaTheme="minorHAnsi" w:hAnsiTheme="minorHAnsi" w:cstheme="minorHAnsi"/>
          <w:sz w:val="20"/>
          <w:szCs w:val="20"/>
          <w:lang w:val="en-GB" w:eastAsia="en-US"/>
        </w:rPr>
        <w:t>’</w:t>
      </w:r>
      <w:r w:rsidR="00454465" w:rsidRPr="001920A8">
        <w:rPr>
          <w:rFonts w:asciiTheme="minorHAnsi" w:eastAsiaTheme="minorHAnsi" w:hAnsiTheme="minorHAnsi" w:cstheme="minorHAnsi"/>
          <w:sz w:val="20"/>
          <w:szCs w:val="20"/>
          <w:lang w:val="en-GB" w:eastAsia="en-US"/>
        </w:rPr>
        <w:t>s website www.greencore.com.</w:t>
      </w:r>
    </w:p>
    <w:p w14:paraId="2717D11F" w14:textId="77777777" w:rsidR="00544C6F" w:rsidRPr="001920A8" w:rsidRDefault="00544C6F" w:rsidP="00544C6F">
      <w:pPr>
        <w:rPr>
          <w:rFonts w:asciiTheme="minorHAnsi" w:eastAsiaTheme="minorHAnsi" w:hAnsiTheme="minorHAnsi" w:cstheme="minorHAnsi"/>
          <w:sz w:val="20"/>
          <w:szCs w:val="20"/>
          <w:lang w:val="en-GB" w:eastAsia="en-US"/>
        </w:rPr>
      </w:pPr>
    </w:p>
    <w:p w14:paraId="57BE6834" w14:textId="316F32C6" w:rsidR="00544C6F" w:rsidRPr="001920A8" w:rsidRDefault="00544C6F" w:rsidP="00544C6F">
      <w:pPr>
        <w:rPr>
          <w:rFonts w:asciiTheme="minorHAnsi" w:eastAsiaTheme="minorHAnsi" w:hAnsiTheme="minorHAnsi" w:cstheme="minorHAnsi"/>
          <w:sz w:val="20"/>
          <w:szCs w:val="20"/>
          <w:lang w:val="en-GB" w:eastAsia="en-US"/>
        </w:rPr>
      </w:pPr>
      <w:r w:rsidRPr="001920A8">
        <w:rPr>
          <w:rFonts w:asciiTheme="minorHAnsi" w:eastAsiaTheme="minorHAnsi" w:hAnsiTheme="minorHAnsi" w:cstheme="minorHAnsi"/>
          <w:sz w:val="20"/>
          <w:szCs w:val="20"/>
          <w:lang w:val="en-GB" w:eastAsia="en-US"/>
        </w:rPr>
        <w:t xml:space="preserve">Terms defined in the </w:t>
      </w:r>
      <w:r w:rsidR="001920A8" w:rsidRPr="001920A8">
        <w:rPr>
          <w:rFonts w:asciiTheme="minorHAnsi" w:eastAsiaTheme="minorHAnsi" w:hAnsiTheme="minorHAnsi" w:cstheme="minorHAnsi"/>
          <w:sz w:val="20"/>
          <w:szCs w:val="20"/>
          <w:lang w:val="en-GB" w:eastAsia="en-US"/>
        </w:rPr>
        <w:t xml:space="preserve">Circular </w:t>
      </w:r>
      <w:r w:rsidRPr="001920A8">
        <w:rPr>
          <w:rFonts w:asciiTheme="minorHAnsi" w:eastAsiaTheme="minorHAnsi" w:hAnsiTheme="minorHAnsi" w:cstheme="minorHAnsi"/>
          <w:sz w:val="20"/>
          <w:szCs w:val="20"/>
          <w:lang w:val="en-GB" w:eastAsia="en-US"/>
        </w:rPr>
        <w:t>have the same meaning</w:t>
      </w:r>
      <w:r w:rsidR="00454465" w:rsidRPr="001920A8">
        <w:rPr>
          <w:rFonts w:asciiTheme="minorHAnsi" w:eastAsiaTheme="minorHAnsi" w:hAnsiTheme="minorHAnsi" w:cstheme="minorHAnsi"/>
          <w:sz w:val="20"/>
          <w:szCs w:val="20"/>
          <w:lang w:val="en-GB" w:eastAsia="en-US"/>
        </w:rPr>
        <w:t>s</w:t>
      </w:r>
      <w:r w:rsidRPr="001920A8">
        <w:rPr>
          <w:rFonts w:asciiTheme="minorHAnsi" w:eastAsiaTheme="minorHAnsi" w:hAnsiTheme="minorHAnsi" w:cstheme="minorHAnsi"/>
          <w:sz w:val="20"/>
          <w:szCs w:val="20"/>
          <w:lang w:val="en-GB" w:eastAsia="en-US"/>
        </w:rPr>
        <w:t xml:space="preserve"> when used in this announcement</w:t>
      </w:r>
      <w:r w:rsidR="00454465" w:rsidRPr="001920A8">
        <w:rPr>
          <w:rFonts w:asciiTheme="minorHAnsi" w:eastAsiaTheme="minorHAnsi" w:hAnsiTheme="minorHAnsi" w:cstheme="minorHAnsi"/>
          <w:sz w:val="20"/>
          <w:szCs w:val="20"/>
          <w:lang w:val="en-GB" w:eastAsia="en-US"/>
        </w:rPr>
        <w:t>, unless otherwise defined</w:t>
      </w:r>
      <w:r w:rsidRPr="001920A8">
        <w:rPr>
          <w:rFonts w:asciiTheme="minorHAnsi" w:eastAsiaTheme="minorHAnsi" w:hAnsiTheme="minorHAnsi" w:cstheme="minorHAnsi"/>
          <w:sz w:val="20"/>
          <w:szCs w:val="20"/>
          <w:lang w:val="en-GB" w:eastAsia="en-US"/>
        </w:rPr>
        <w:t>.</w:t>
      </w:r>
    </w:p>
    <w:p w14:paraId="3EB08558" w14:textId="77777777" w:rsidR="00544C6F" w:rsidRPr="001920A8" w:rsidRDefault="00544C6F" w:rsidP="00544C6F">
      <w:pPr>
        <w:rPr>
          <w:rFonts w:asciiTheme="minorHAnsi" w:eastAsiaTheme="minorHAnsi" w:hAnsiTheme="minorHAnsi" w:cstheme="minorHAnsi"/>
          <w:sz w:val="20"/>
          <w:szCs w:val="20"/>
          <w:lang w:val="en-GB" w:eastAsia="en-US"/>
        </w:rPr>
      </w:pPr>
    </w:p>
    <w:p w14:paraId="26EB117C" w14:textId="77777777" w:rsidR="001920A8" w:rsidRPr="001920A8" w:rsidRDefault="001920A8" w:rsidP="001920A8">
      <w:pPr>
        <w:adjustRightInd/>
        <w:spacing w:after="120" w:line="264" w:lineRule="auto"/>
        <w:jc w:val="left"/>
        <w:rPr>
          <w:rFonts w:ascii="Calibri" w:eastAsia="Calibri" w:hAnsi="Calibri" w:cs="Calibri"/>
          <w:b/>
          <w:caps/>
          <w:sz w:val="20"/>
          <w:szCs w:val="20"/>
          <w:lang w:val="en-GB" w:eastAsia="en-US"/>
        </w:rPr>
      </w:pPr>
      <w:r w:rsidRPr="001920A8">
        <w:rPr>
          <w:rFonts w:ascii="Calibri" w:eastAsia="Calibri" w:hAnsi="Calibri" w:cs="Calibri"/>
          <w:b/>
          <w:caps/>
          <w:sz w:val="20"/>
          <w:szCs w:val="20"/>
          <w:lang w:val="en-GB" w:eastAsia="en-US"/>
        </w:rPr>
        <w:t>Enquiries</w:t>
      </w:r>
    </w:p>
    <w:p w14:paraId="230A9C43" w14:textId="77777777" w:rsidR="001920A8" w:rsidRPr="001920A8" w:rsidRDefault="001920A8" w:rsidP="001920A8">
      <w:pPr>
        <w:adjustRightInd/>
        <w:spacing w:before="20" w:after="20" w:line="264" w:lineRule="auto"/>
        <w:jc w:val="left"/>
        <w:rPr>
          <w:rFonts w:ascii="Calibri" w:eastAsia="Calibri" w:hAnsi="Calibri" w:cs="Calibri"/>
          <w:b/>
          <w:sz w:val="20"/>
          <w:szCs w:val="20"/>
          <w:lang w:val="en-GB" w:eastAsia="en-US"/>
        </w:rPr>
      </w:pPr>
      <w:r w:rsidRPr="001920A8">
        <w:rPr>
          <w:rFonts w:ascii="Calibri" w:eastAsia="Calibri" w:hAnsi="Calibri" w:cs="Calibri"/>
          <w:b/>
          <w:sz w:val="20"/>
          <w:szCs w:val="20"/>
          <w:lang w:val="en-GB" w:eastAsia="en-US"/>
        </w:rPr>
        <w:t>Greencore</w:t>
      </w:r>
    </w:p>
    <w:p w14:paraId="6919847D" w14:textId="77777777" w:rsidR="001920A8" w:rsidRPr="001920A8" w:rsidRDefault="001920A8" w:rsidP="001920A8">
      <w:pPr>
        <w:adjustRightInd/>
        <w:spacing w:before="20" w:after="20" w:line="264" w:lineRule="auto"/>
        <w:jc w:val="left"/>
        <w:rPr>
          <w:rFonts w:ascii="Calibri" w:eastAsia="Calibri" w:hAnsi="Calibri" w:cs="Calibri"/>
          <w:sz w:val="20"/>
          <w:szCs w:val="20"/>
          <w:lang w:val="en-GB" w:eastAsia="en-US"/>
        </w:rPr>
      </w:pPr>
      <w:r w:rsidRPr="001920A8">
        <w:rPr>
          <w:rFonts w:ascii="Calibri" w:eastAsia="Calibri" w:hAnsi="Calibri" w:cs="Calibri"/>
          <w:sz w:val="20"/>
          <w:szCs w:val="20"/>
          <w:lang w:val="en-GB" w:eastAsia="en-US"/>
        </w:rPr>
        <w:t>Patrick Coveney, Chief Executive Officer</w:t>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t xml:space="preserve">+353 (0) 1 486 3313 </w:t>
      </w:r>
    </w:p>
    <w:p w14:paraId="12FC9A90" w14:textId="77777777" w:rsidR="001920A8" w:rsidRPr="001920A8" w:rsidRDefault="001920A8" w:rsidP="001920A8">
      <w:pPr>
        <w:adjustRightInd/>
        <w:spacing w:before="20" w:after="20" w:line="264" w:lineRule="auto"/>
        <w:jc w:val="left"/>
        <w:rPr>
          <w:rFonts w:ascii="Calibri" w:eastAsia="Calibri" w:hAnsi="Calibri" w:cs="Calibri"/>
          <w:sz w:val="20"/>
          <w:szCs w:val="20"/>
          <w:lang w:val="en-GB" w:eastAsia="en-US"/>
        </w:rPr>
      </w:pPr>
      <w:r w:rsidRPr="001920A8">
        <w:rPr>
          <w:rFonts w:ascii="Calibri" w:eastAsia="Calibri" w:hAnsi="Calibri" w:cs="Calibri"/>
          <w:sz w:val="20"/>
          <w:szCs w:val="20"/>
          <w:lang w:val="en-GB" w:eastAsia="en-US"/>
        </w:rPr>
        <w:t>Eoin Tonge, Chief Financial Officer</w:t>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t xml:space="preserve">+353 (0) 1 486 3316 </w:t>
      </w:r>
    </w:p>
    <w:p w14:paraId="7FC2300B" w14:textId="77777777" w:rsidR="001920A8" w:rsidRPr="001920A8" w:rsidRDefault="001920A8" w:rsidP="001920A8">
      <w:pPr>
        <w:adjustRightInd/>
        <w:spacing w:before="20" w:after="20" w:line="264" w:lineRule="auto"/>
        <w:jc w:val="left"/>
        <w:rPr>
          <w:rFonts w:ascii="Calibri" w:eastAsia="Calibri" w:hAnsi="Calibri" w:cs="Calibri"/>
          <w:sz w:val="20"/>
          <w:szCs w:val="20"/>
          <w:lang w:val="en-GB" w:eastAsia="en-US"/>
        </w:rPr>
      </w:pPr>
      <w:r w:rsidRPr="001920A8">
        <w:rPr>
          <w:rFonts w:ascii="Calibri" w:eastAsia="Calibri" w:hAnsi="Calibri" w:cs="Calibri"/>
          <w:sz w:val="20"/>
          <w:szCs w:val="20"/>
          <w:lang w:val="en-GB" w:eastAsia="en-US"/>
        </w:rPr>
        <w:t>Jack Gorman, Head of Investor Relations</w:t>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t xml:space="preserve">+353 (0) 1 486 3308 </w:t>
      </w:r>
    </w:p>
    <w:p w14:paraId="57BA1CDE" w14:textId="77777777" w:rsidR="001920A8" w:rsidRPr="001920A8" w:rsidRDefault="001920A8" w:rsidP="001920A8">
      <w:pPr>
        <w:adjustRightInd/>
        <w:spacing w:before="20" w:after="20" w:line="264" w:lineRule="auto"/>
        <w:jc w:val="left"/>
        <w:rPr>
          <w:rFonts w:ascii="Calibri" w:eastAsia="Calibri" w:hAnsi="Calibri" w:cs="Calibri"/>
          <w:sz w:val="20"/>
          <w:szCs w:val="20"/>
          <w:lang w:val="en-GB" w:eastAsia="en-US"/>
        </w:rPr>
      </w:pPr>
    </w:p>
    <w:p w14:paraId="19F248B1" w14:textId="77777777" w:rsidR="001920A8" w:rsidRPr="001920A8" w:rsidRDefault="001920A8" w:rsidP="001920A8">
      <w:pPr>
        <w:adjustRightInd/>
        <w:spacing w:before="20" w:after="20" w:line="264" w:lineRule="auto"/>
        <w:jc w:val="left"/>
        <w:rPr>
          <w:rFonts w:ascii="Calibri" w:eastAsia="Calibri" w:hAnsi="Calibri" w:cs="Calibri"/>
          <w:sz w:val="20"/>
          <w:szCs w:val="20"/>
          <w:lang w:val="en-GB" w:eastAsia="en-US"/>
        </w:rPr>
      </w:pPr>
      <w:r w:rsidRPr="001920A8">
        <w:rPr>
          <w:rFonts w:ascii="Calibri" w:eastAsia="Calibri" w:hAnsi="Calibri" w:cs="Calibri"/>
          <w:b/>
          <w:sz w:val="20"/>
          <w:szCs w:val="20"/>
          <w:lang w:val="en-GB" w:eastAsia="en-US"/>
        </w:rPr>
        <w:t>Greenhill &amp; Co. International LLP – Sponsor and Joint Financial Adviser</w:t>
      </w:r>
      <w:r w:rsidRPr="001920A8">
        <w:rPr>
          <w:rFonts w:ascii="Calibri" w:eastAsia="Calibri" w:hAnsi="Calibri" w:cs="Calibri"/>
          <w:sz w:val="20"/>
          <w:szCs w:val="20"/>
          <w:lang w:val="en-GB" w:eastAsia="en-US"/>
        </w:rPr>
        <w:tab/>
        <w:t>+44 (0) 20 7198 7400</w:t>
      </w:r>
    </w:p>
    <w:p w14:paraId="7EDB722F" w14:textId="77777777" w:rsidR="001920A8" w:rsidRPr="001920A8" w:rsidRDefault="001920A8" w:rsidP="001920A8">
      <w:pPr>
        <w:adjustRightInd/>
        <w:spacing w:before="20" w:after="20" w:line="264" w:lineRule="auto"/>
        <w:jc w:val="left"/>
        <w:rPr>
          <w:rFonts w:ascii="Calibri" w:eastAsia="Calibri" w:hAnsi="Calibri" w:cs="Calibri"/>
          <w:sz w:val="20"/>
          <w:szCs w:val="20"/>
          <w:lang w:val="en-GB" w:eastAsia="en-US"/>
        </w:rPr>
      </w:pPr>
      <w:r w:rsidRPr="001920A8">
        <w:rPr>
          <w:rFonts w:ascii="Calibri" w:eastAsia="Calibri" w:hAnsi="Calibri" w:cs="Calibri"/>
          <w:sz w:val="20"/>
          <w:szCs w:val="20"/>
          <w:lang w:val="en-GB" w:eastAsia="en-US"/>
        </w:rPr>
        <w:t>Seamus Moorhead, David Wyles, Dean Rodrigues</w:t>
      </w:r>
    </w:p>
    <w:p w14:paraId="43B864A4" w14:textId="77777777" w:rsidR="001920A8" w:rsidRPr="001920A8" w:rsidRDefault="001920A8" w:rsidP="001920A8">
      <w:pPr>
        <w:adjustRightInd/>
        <w:spacing w:before="20" w:after="20" w:line="264" w:lineRule="auto"/>
        <w:jc w:val="left"/>
        <w:rPr>
          <w:rFonts w:ascii="Calibri" w:eastAsia="Calibri" w:hAnsi="Calibri" w:cs="Calibri"/>
          <w:sz w:val="20"/>
          <w:szCs w:val="20"/>
          <w:lang w:val="en-GB" w:eastAsia="en-US"/>
        </w:rPr>
      </w:pPr>
    </w:p>
    <w:p w14:paraId="13F9D341" w14:textId="77777777" w:rsidR="001920A8" w:rsidRPr="001920A8" w:rsidRDefault="001920A8" w:rsidP="001920A8">
      <w:pPr>
        <w:adjustRightInd/>
        <w:spacing w:before="20" w:after="20" w:line="264" w:lineRule="auto"/>
        <w:jc w:val="left"/>
        <w:rPr>
          <w:rFonts w:ascii="Calibri" w:eastAsia="Calibri" w:hAnsi="Calibri" w:cs="Calibri"/>
          <w:sz w:val="20"/>
          <w:szCs w:val="20"/>
          <w:lang w:val="en-GB" w:eastAsia="en-US"/>
        </w:rPr>
      </w:pPr>
      <w:r w:rsidRPr="001920A8">
        <w:rPr>
          <w:rFonts w:ascii="Calibri" w:eastAsia="Calibri" w:hAnsi="Calibri" w:cs="Calibri"/>
          <w:b/>
          <w:sz w:val="20"/>
          <w:szCs w:val="20"/>
          <w:lang w:val="en-GB" w:eastAsia="en-US"/>
        </w:rPr>
        <w:t>Goldman Sachs International – Joint Financial Adviser</w:t>
      </w:r>
      <w:r w:rsidRPr="001920A8">
        <w:rPr>
          <w:rFonts w:ascii="Calibri" w:eastAsia="Calibri" w:hAnsi="Calibri" w:cs="Calibri"/>
          <w:b/>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t>+44 (0) 20 7774 1000</w:t>
      </w:r>
    </w:p>
    <w:p w14:paraId="722A18C3" w14:textId="77777777" w:rsidR="001920A8" w:rsidRPr="001920A8" w:rsidRDefault="001920A8" w:rsidP="001920A8">
      <w:pPr>
        <w:adjustRightInd/>
        <w:spacing w:before="20" w:after="20" w:line="264" w:lineRule="auto"/>
        <w:jc w:val="left"/>
        <w:rPr>
          <w:rFonts w:ascii="Calibri" w:eastAsia="Calibri" w:hAnsi="Calibri" w:cs="Calibri"/>
          <w:sz w:val="20"/>
          <w:szCs w:val="20"/>
          <w:lang w:val="en-GB" w:eastAsia="en-US"/>
        </w:rPr>
      </w:pPr>
      <w:r w:rsidRPr="001920A8">
        <w:rPr>
          <w:rFonts w:ascii="Calibri" w:eastAsia="Calibri" w:hAnsi="Calibri" w:cs="Calibri"/>
          <w:sz w:val="20"/>
          <w:szCs w:val="20"/>
          <w:lang w:val="en-GB" w:eastAsia="en-US"/>
        </w:rPr>
        <w:t xml:space="preserve">Anthony Gutman, </w:t>
      </w:r>
      <w:proofErr w:type="spellStart"/>
      <w:r w:rsidRPr="001920A8">
        <w:rPr>
          <w:rFonts w:ascii="Calibri" w:eastAsia="Calibri" w:hAnsi="Calibri" w:cs="Calibri"/>
          <w:sz w:val="20"/>
          <w:szCs w:val="20"/>
          <w:lang w:val="en-GB" w:eastAsia="en-US"/>
        </w:rPr>
        <w:t>Asad</w:t>
      </w:r>
      <w:proofErr w:type="spellEnd"/>
      <w:r w:rsidRPr="001920A8">
        <w:rPr>
          <w:rFonts w:ascii="Calibri" w:eastAsia="Calibri" w:hAnsi="Calibri" w:cs="Calibri"/>
          <w:sz w:val="20"/>
          <w:szCs w:val="20"/>
          <w:lang w:val="en-GB" w:eastAsia="en-US"/>
        </w:rPr>
        <w:t xml:space="preserve"> Ali, Owain Evans, Jimmy Bastock</w:t>
      </w:r>
    </w:p>
    <w:p w14:paraId="5404DADD" w14:textId="77777777" w:rsidR="001920A8" w:rsidRPr="001920A8" w:rsidRDefault="001920A8" w:rsidP="001920A8">
      <w:pPr>
        <w:adjustRightInd/>
        <w:spacing w:before="20" w:after="20" w:line="264" w:lineRule="auto"/>
        <w:jc w:val="left"/>
        <w:rPr>
          <w:rFonts w:ascii="Calibri" w:eastAsia="Calibri" w:hAnsi="Calibri" w:cs="Calibri"/>
          <w:sz w:val="20"/>
          <w:szCs w:val="20"/>
          <w:lang w:val="en-GB" w:eastAsia="en-US"/>
        </w:rPr>
      </w:pPr>
    </w:p>
    <w:p w14:paraId="594D2B06" w14:textId="77777777" w:rsidR="001920A8" w:rsidRPr="001920A8" w:rsidRDefault="001920A8" w:rsidP="001920A8">
      <w:pPr>
        <w:adjustRightInd/>
        <w:spacing w:before="20" w:after="20" w:line="264" w:lineRule="auto"/>
        <w:jc w:val="left"/>
        <w:rPr>
          <w:rFonts w:ascii="Calibri" w:eastAsia="Calibri" w:hAnsi="Calibri" w:cs="Calibri"/>
          <w:sz w:val="20"/>
          <w:szCs w:val="20"/>
          <w:lang w:val="en-GB" w:eastAsia="en-US"/>
        </w:rPr>
      </w:pPr>
      <w:r w:rsidRPr="001920A8">
        <w:rPr>
          <w:rFonts w:ascii="Calibri" w:eastAsia="Calibri" w:hAnsi="Calibri" w:cs="Calibri"/>
          <w:b/>
          <w:sz w:val="20"/>
          <w:szCs w:val="20"/>
          <w:lang w:val="en-GB" w:eastAsia="en-US"/>
        </w:rPr>
        <w:t>Powerscourt</w:t>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t>+44 (0) 20 7250 1446</w:t>
      </w:r>
    </w:p>
    <w:p w14:paraId="00785DC0" w14:textId="77777777" w:rsidR="001920A8" w:rsidRPr="001920A8" w:rsidRDefault="001920A8" w:rsidP="001920A8">
      <w:pPr>
        <w:adjustRightInd/>
        <w:spacing w:before="20" w:after="20" w:line="264" w:lineRule="auto"/>
        <w:jc w:val="left"/>
        <w:rPr>
          <w:rFonts w:ascii="Calibri" w:eastAsia="Calibri" w:hAnsi="Calibri" w:cs="Calibri"/>
          <w:sz w:val="20"/>
          <w:szCs w:val="20"/>
          <w:lang w:val="en-GB" w:eastAsia="en-US"/>
        </w:rPr>
      </w:pPr>
      <w:r w:rsidRPr="001920A8">
        <w:rPr>
          <w:rFonts w:ascii="Calibri" w:eastAsia="Calibri" w:hAnsi="Calibri" w:cs="Calibri"/>
          <w:sz w:val="20"/>
          <w:szCs w:val="20"/>
          <w:lang w:val="en-GB" w:eastAsia="en-US"/>
        </w:rPr>
        <w:t xml:space="preserve">Rob Greening, Sam </w:t>
      </w:r>
      <w:proofErr w:type="spellStart"/>
      <w:r w:rsidRPr="001920A8">
        <w:rPr>
          <w:rFonts w:ascii="Calibri" w:eastAsia="Calibri" w:hAnsi="Calibri" w:cs="Calibri"/>
          <w:sz w:val="20"/>
          <w:szCs w:val="20"/>
          <w:lang w:val="en-GB" w:eastAsia="en-US"/>
        </w:rPr>
        <w:t>Austrums</w:t>
      </w:r>
      <w:proofErr w:type="spellEnd"/>
    </w:p>
    <w:p w14:paraId="24B136B0" w14:textId="77777777" w:rsidR="001920A8" w:rsidRPr="001920A8" w:rsidRDefault="001920A8" w:rsidP="001920A8">
      <w:pPr>
        <w:adjustRightInd/>
        <w:spacing w:before="20" w:after="20" w:line="264" w:lineRule="auto"/>
        <w:jc w:val="left"/>
        <w:rPr>
          <w:rFonts w:ascii="Calibri" w:eastAsia="Calibri" w:hAnsi="Calibri" w:cs="Calibri"/>
          <w:b/>
          <w:sz w:val="20"/>
          <w:szCs w:val="20"/>
          <w:lang w:val="en-GB" w:eastAsia="en-US"/>
        </w:rPr>
      </w:pPr>
    </w:p>
    <w:p w14:paraId="3D8BD0A9" w14:textId="77777777" w:rsidR="001920A8" w:rsidRPr="001920A8" w:rsidRDefault="001920A8" w:rsidP="001920A8">
      <w:pPr>
        <w:adjustRightInd/>
        <w:spacing w:before="20" w:after="20" w:line="264" w:lineRule="auto"/>
        <w:jc w:val="left"/>
        <w:rPr>
          <w:rFonts w:ascii="Calibri" w:eastAsia="Calibri" w:hAnsi="Calibri" w:cs="Calibri"/>
          <w:sz w:val="20"/>
          <w:szCs w:val="20"/>
          <w:lang w:val="en-GB" w:eastAsia="en-US"/>
        </w:rPr>
      </w:pPr>
      <w:r w:rsidRPr="001920A8">
        <w:rPr>
          <w:rFonts w:ascii="Calibri" w:eastAsia="Calibri" w:hAnsi="Calibri" w:cs="Calibri"/>
          <w:b/>
          <w:sz w:val="20"/>
          <w:szCs w:val="20"/>
          <w:lang w:val="en-GB" w:eastAsia="en-US"/>
        </w:rPr>
        <w:t xml:space="preserve">Drury | Porter </w:t>
      </w:r>
      <w:proofErr w:type="spellStart"/>
      <w:r w:rsidRPr="001920A8">
        <w:rPr>
          <w:rFonts w:ascii="Calibri" w:eastAsia="Calibri" w:hAnsi="Calibri" w:cs="Calibri"/>
          <w:b/>
          <w:sz w:val="20"/>
          <w:szCs w:val="20"/>
          <w:lang w:val="en-GB" w:eastAsia="en-US"/>
        </w:rPr>
        <w:t>Novelli</w:t>
      </w:r>
      <w:proofErr w:type="spellEnd"/>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t>+353 (0) 1 260 5000</w:t>
      </w:r>
    </w:p>
    <w:p w14:paraId="37D0B6C1" w14:textId="77777777" w:rsidR="001920A8" w:rsidRPr="001920A8" w:rsidRDefault="001920A8" w:rsidP="001920A8">
      <w:pPr>
        <w:adjustRightInd/>
        <w:spacing w:before="20" w:after="20" w:line="264" w:lineRule="auto"/>
        <w:jc w:val="left"/>
        <w:rPr>
          <w:rFonts w:ascii="Calibri" w:eastAsia="Calibri" w:hAnsi="Calibri" w:cs="Calibri"/>
          <w:sz w:val="20"/>
          <w:szCs w:val="20"/>
          <w:lang w:val="en-GB" w:eastAsia="en-US"/>
        </w:rPr>
      </w:pPr>
      <w:r w:rsidRPr="001920A8">
        <w:rPr>
          <w:rFonts w:ascii="Calibri" w:eastAsia="Calibri" w:hAnsi="Calibri" w:cs="Calibri"/>
          <w:sz w:val="20"/>
          <w:szCs w:val="20"/>
          <w:lang w:val="en-GB" w:eastAsia="en-US"/>
        </w:rPr>
        <w:t>Billy Murphy, Louise Walsh</w:t>
      </w:r>
    </w:p>
    <w:p w14:paraId="77AC59DB" w14:textId="77777777" w:rsidR="006642E4" w:rsidRDefault="006642E4" w:rsidP="00544C6F"/>
    <w:p w14:paraId="2BE4130A" w14:textId="77777777" w:rsidR="001920A8" w:rsidRPr="001920A8" w:rsidRDefault="001920A8" w:rsidP="001920A8">
      <w:pPr>
        <w:adjustRightInd/>
        <w:spacing w:before="20" w:after="20" w:line="264" w:lineRule="auto"/>
        <w:jc w:val="left"/>
        <w:rPr>
          <w:rFonts w:ascii="Calibri" w:eastAsia="Calibri" w:hAnsi="Calibri" w:cs="Calibri"/>
          <w:b/>
          <w:bCs/>
          <w:sz w:val="18"/>
          <w:szCs w:val="20"/>
          <w:lang w:val="en-GB" w:eastAsia="en-US"/>
        </w:rPr>
      </w:pPr>
      <w:bookmarkStart w:id="1" w:name="_Toc523756839"/>
      <w:bookmarkStart w:id="2" w:name="_Toc523757354"/>
      <w:bookmarkStart w:id="3" w:name="_Toc523758092"/>
      <w:bookmarkStart w:id="4" w:name="_Toc523759780"/>
      <w:bookmarkStart w:id="5" w:name="_Toc523759894"/>
      <w:r w:rsidRPr="001920A8">
        <w:rPr>
          <w:rFonts w:ascii="Calibri" w:eastAsia="Calibri" w:hAnsi="Calibri" w:cs="Calibri"/>
          <w:b/>
          <w:bCs/>
          <w:sz w:val="18"/>
          <w:szCs w:val="20"/>
          <w:lang w:val="en-GB" w:eastAsia="en-US"/>
        </w:rPr>
        <w:t xml:space="preserve">IMPORTANT NOTICES </w:t>
      </w:r>
    </w:p>
    <w:p w14:paraId="67BB2DE3" w14:textId="77777777" w:rsidR="001920A8" w:rsidRPr="001920A8" w:rsidRDefault="001920A8" w:rsidP="001920A8">
      <w:pPr>
        <w:adjustRightInd/>
        <w:spacing w:before="20" w:after="20" w:line="264" w:lineRule="auto"/>
        <w:rPr>
          <w:rFonts w:ascii="Calibri" w:eastAsia="Calibri" w:hAnsi="Calibri" w:cs="Calibri"/>
          <w:bCs/>
          <w:sz w:val="18"/>
          <w:szCs w:val="20"/>
          <w:lang w:val="en-GB" w:eastAsia="en-US"/>
        </w:rPr>
      </w:pPr>
    </w:p>
    <w:p w14:paraId="12DC53B4" w14:textId="77777777" w:rsidR="001920A8" w:rsidRPr="001920A8" w:rsidRDefault="001920A8" w:rsidP="001920A8">
      <w:pPr>
        <w:adjustRightInd/>
        <w:spacing w:before="20" w:after="20" w:line="264" w:lineRule="auto"/>
        <w:rPr>
          <w:rFonts w:ascii="Calibri" w:eastAsia="Calibri" w:hAnsi="Calibri" w:cs="Calibri"/>
          <w:bCs/>
          <w:sz w:val="18"/>
          <w:szCs w:val="20"/>
          <w:lang w:val="en-GB" w:eastAsia="en-US"/>
        </w:rPr>
      </w:pPr>
      <w:r w:rsidRPr="001920A8">
        <w:rPr>
          <w:rFonts w:ascii="Calibri" w:eastAsia="Calibri" w:hAnsi="Calibri" w:cs="Calibri"/>
          <w:bCs/>
          <w:sz w:val="18"/>
          <w:szCs w:val="20"/>
          <w:lang w:val="en-GB" w:eastAsia="en-US"/>
        </w:rPr>
        <w:t>This announcement is not intended to, and does not constitute, or form part of, any offer to sell or an invitation to purchase or subscribe for any securities or a solicitation of any vote or approval in any jurisdiction.  Greencore shareholders are advised to read carefully the Circular.  Any response to the Transaction should be made only on the basis of the information in the Circular.</w:t>
      </w:r>
    </w:p>
    <w:p w14:paraId="2983EBFF" w14:textId="77777777" w:rsidR="001920A8" w:rsidRPr="001920A8" w:rsidRDefault="001920A8" w:rsidP="001920A8">
      <w:pPr>
        <w:adjustRightInd/>
        <w:spacing w:before="20" w:after="20" w:line="264" w:lineRule="auto"/>
        <w:rPr>
          <w:rFonts w:ascii="Calibri" w:eastAsia="Calibri" w:hAnsi="Calibri" w:cs="Calibri"/>
          <w:bCs/>
          <w:sz w:val="18"/>
          <w:szCs w:val="20"/>
          <w:lang w:val="en-GB" w:eastAsia="en-US"/>
        </w:rPr>
      </w:pPr>
    </w:p>
    <w:p w14:paraId="450153AD" w14:textId="77777777" w:rsidR="001920A8" w:rsidRPr="001920A8" w:rsidRDefault="001920A8" w:rsidP="001920A8">
      <w:pPr>
        <w:adjustRightInd/>
        <w:spacing w:before="20" w:after="20" w:line="264" w:lineRule="auto"/>
        <w:rPr>
          <w:rFonts w:ascii="Calibri" w:eastAsia="Calibri" w:hAnsi="Calibri" w:cs="Calibri"/>
          <w:bCs/>
          <w:sz w:val="18"/>
          <w:szCs w:val="20"/>
          <w:lang w:val="en-GB" w:eastAsia="en-US"/>
        </w:rPr>
      </w:pPr>
      <w:r w:rsidRPr="001920A8">
        <w:rPr>
          <w:rFonts w:ascii="Calibri" w:eastAsia="Calibri" w:hAnsi="Calibri" w:cs="Calibri"/>
          <w:bCs/>
          <w:sz w:val="18"/>
          <w:szCs w:val="20"/>
          <w:lang w:val="en-GB" w:eastAsia="en-US"/>
        </w:rPr>
        <w:t>Each of Greenhill &amp; Co. International LLP (“</w:t>
      </w:r>
      <w:r w:rsidRPr="001920A8">
        <w:rPr>
          <w:rFonts w:ascii="Calibri" w:eastAsia="Calibri" w:hAnsi="Calibri" w:cs="Calibri"/>
          <w:b/>
          <w:bCs/>
          <w:sz w:val="18"/>
          <w:szCs w:val="20"/>
          <w:lang w:val="en-GB" w:eastAsia="en-US"/>
        </w:rPr>
        <w:t>Greenhill</w:t>
      </w:r>
      <w:r w:rsidRPr="001920A8">
        <w:rPr>
          <w:rFonts w:ascii="Calibri" w:eastAsia="Calibri" w:hAnsi="Calibri" w:cs="Calibri"/>
          <w:bCs/>
          <w:sz w:val="18"/>
          <w:szCs w:val="20"/>
          <w:lang w:val="en-GB" w:eastAsia="en-US"/>
        </w:rPr>
        <w:t>”), which is authorised and regulated in the UK by the FCA, and Goldman Sachs International (“</w:t>
      </w:r>
      <w:r w:rsidRPr="001920A8">
        <w:rPr>
          <w:rFonts w:ascii="Calibri" w:eastAsia="Calibri" w:hAnsi="Calibri" w:cs="Calibri"/>
          <w:b/>
          <w:bCs/>
          <w:sz w:val="18"/>
          <w:szCs w:val="20"/>
          <w:lang w:val="en-GB" w:eastAsia="en-US"/>
        </w:rPr>
        <w:t>Goldman Sachs</w:t>
      </w:r>
      <w:r w:rsidRPr="001920A8">
        <w:rPr>
          <w:rFonts w:ascii="Calibri" w:eastAsia="Calibri" w:hAnsi="Calibri" w:cs="Calibri"/>
          <w:bCs/>
          <w:sz w:val="18"/>
          <w:szCs w:val="20"/>
          <w:lang w:val="en-GB" w:eastAsia="en-US"/>
        </w:rPr>
        <w:t>”), which is authorised by the Prudential Regulatory Authority and regulated by the FCA and the Prudential Regulation Authority in the UK, is acting exclusively for Greencore and no one else in connection with the Transaction and will not regard any other person as its client in relation to the Transaction and accordingly will not be responsible to anyone other than Greencore for providing the protections afforded to its clients, or for providing advice in connection with the Transaction, the contents of this announcement or any other transaction, arrangement or other matter referred to in this announcement as relevant.  Goldman Sachs and its affiliates have provided various investment banking, financial advisory and other services for Greencore and are providing financing services to Hearthside for which they will receive customary fees.</w:t>
      </w:r>
    </w:p>
    <w:p w14:paraId="1732528B" w14:textId="77777777" w:rsidR="00D1494D" w:rsidRPr="001920A8" w:rsidRDefault="00D1494D" w:rsidP="001920A8">
      <w:pPr>
        <w:adjustRightInd/>
        <w:spacing w:before="20" w:after="20" w:line="264" w:lineRule="auto"/>
        <w:rPr>
          <w:rFonts w:ascii="Calibri" w:eastAsia="Calibri" w:hAnsi="Calibri" w:cs="Calibri"/>
          <w:bCs/>
          <w:sz w:val="18"/>
          <w:szCs w:val="20"/>
          <w:lang w:val="en-GB" w:eastAsia="en-US"/>
        </w:rPr>
      </w:pPr>
    </w:p>
    <w:p w14:paraId="513CB03A" w14:textId="77777777" w:rsidR="001920A8" w:rsidRPr="001920A8" w:rsidRDefault="001920A8" w:rsidP="001920A8">
      <w:pPr>
        <w:adjustRightInd/>
        <w:spacing w:before="20" w:after="20" w:line="264" w:lineRule="auto"/>
        <w:rPr>
          <w:rFonts w:ascii="Calibri" w:eastAsia="Calibri" w:hAnsi="Calibri" w:cs="Calibri"/>
          <w:bCs/>
          <w:sz w:val="18"/>
          <w:szCs w:val="20"/>
          <w:lang w:val="en-GB" w:eastAsia="en-US"/>
        </w:rPr>
      </w:pPr>
      <w:r w:rsidRPr="001920A8">
        <w:rPr>
          <w:rFonts w:ascii="Calibri" w:eastAsia="Calibri" w:hAnsi="Calibri" w:cs="Calibri"/>
          <w:bCs/>
          <w:sz w:val="18"/>
          <w:szCs w:val="20"/>
          <w:lang w:val="en-GB" w:eastAsia="en-US"/>
        </w:rPr>
        <w:t xml:space="preserve">Apart from the responsibilities and liabilities, if any, which may be imposed on Greenhill or Goldman Sachs under the FSMA, as amended, or the regulatory regime established thereunder, Greenhill and Goldman Sachs accept no responsibility whatsoever for the contents of this announcement, including its accuracy, completeness or verification or for any other statement made or purported to be made by it, or on its behalf, in connection with Greencore, the Transaction, or any other </w:t>
      </w:r>
      <w:r w:rsidRPr="001920A8">
        <w:rPr>
          <w:rFonts w:ascii="Calibri" w:eastAsia="Calibri" w:hAnsi="Calibri" w:cs="Calibri"/>
          <w:bCs/>
          <w:sz w:val="18"/>
          <w:szCs w:val="20"/>
          <w:lang w:val="en-GB" w:eastAsia="en-US"/>
        </w:rPr>
        <w:lastRenderedPageBreak/>
        <w:t>matter referred to herein.  Subject to applicable law, each of Greenhill and Goldman Sachs accordingly disclaims, to the fullest extent permitted by law, all and any liability whether arising in tort, contract or otherwise (save as referred to above) which it might otherwise have in respect of this announcement or any such statement.</w:t>
      </w:r>
    </w:p>
    <w:p w14:paraId="20417DC2" w14:textId="77777777" w:rsidR="001920A8" w:rsidRPr="001920A8" w:rsidRDefault="001920A8" w:rsidP="001920A8">
      <w:pPr>
        <w:adjustRightInd/>
        <w:spacing w:before="20" w:after="20" w:line="264" w:lineRule="auto"/>
        <w:rPr>
          <w:rFonts w:ascii="Calibri" w:eastAsia="Calibri" w:hAnsi="Calibri" w:cs="Calibri"/>
          <w:bCs/>
          <w:sz w:val="18"/>
          <w:szCs w:val="20"/>
          <w:lang w:val="en-GB" w:eastAsia="en-US"/>
        </w:rPr>
      </w:pPr>
    </w:p>
    <w:p w14:paraId="0B824968" w14:textId="77777777" w:rsidR="001920A8" w:rsidRPr="001920A8" w:rsidRDefault="001920A8" w:rsidP="00F638AC">
      <w:pPr>
        <w:keepNext/>
        <w:adjustRightInd/>
        <w:spacing w:before="20" w:after="20" w:line="264" w:lineRule="auto"/>
        <w:rPr>
          <w:rFonts w:ascii="Calibri" w:eastAsia="Calibri" w:hAnsi="Calibri" w:cs="Calibri"/>
          <w:b/>
          <w:bCs/>
          <w:i/>
          <w:sz w:val="18"/>
          <w:szCs w:val="20"/>
          <w:lang w:val="en-GB" w:eastAsia="en-US"/>
        </w:rPr>
      </w:pPr>
      <w:r w:rsidRPr="001920A8">
        <w:rPr>
          <w:rFonts w:ascii="Calibri" w:eastAsia="Calibri" w:hAnsi="Calibri" w:cs="Calibri"/>
          <w:b/>
          <w:bCs/>
          <w:i/>
          <w:sz w:val="18"/>
          <w:szCs w:val="20"/>
          <w:lang w:val="en-GB" w:eastAsia="en-US"/>
        </w:rPr>
        <w:t>Cautionary statement regarding forward-looking statements</w:t>
      </w:r>
    </w:p>
    <w:p w14:paraId="2046CAAA" w14:textId="77777777" w:rsidR="001920A8" w:rsidRPr="001920A8" w:rsidRDefault="001920A8" w:rsidP="00F638AC">
      <w:pPr>
        <w:keepNext/>
        <w:adjustRightInd/>
        <w:spacing w:before="20" w:after="20" w:line="264" w:lineRule="auto"/>
        <w:rPr>
          <w:rFonts w:ascii="Calibri" w:eastAsia="Calibri" w:hAnsi="Calibri" w:cs="Calibri"/>
          <w:bCs/>
          <w:sz w:val="18"/>
          <w:szCs w:val="20"/>
          <w:lang w:val="en-GB" w:eastAsia="en-US"/>
        </w:rPr>
      </w:pPr>
    </w:p>
    <w:p w14:paraId="56D991DB" w14:textId="77777777" w:rsidR="001920A8" w:rsidRPr="001920A8" w:rsidRDefault="001920A8" w:rsidP="00F638AC">
      <w:pPr>
        <w:keepNext/>
        <w:adjustRightInd/>
        <w:spacing w:before="20" w:after="20" w:line="264" w:lineRule="auto"/>
        <w:rPr>
          <w:rFonts w:ascii="Calibri" w:eastAsia="Calibri" w:hAnsi="Calibri" w:cs="Calibri"/>
          <w:bCs/>
          <w:sz w:val="18"/>
          <w:szCs w:val="20"/>
          <w:lang w:val="en-GB" w:eastAsia="en-US"/>
        </w:rPr>
      </w:pPr>
      <w:r w:rsidRPr="001920A8">
        <w:rPr>
          <w:rFonts w:ascii="Calibri" w:eastAsia="Calibri" w:hAnsi="Calibri" w:cs="Calibri"/>
          <w:bCs/>
          <w:sz w:val="18"/>
          <w:szCs w:val="20"/>
          <w:lang w:val="en-GB" w:eastAsia="en-US"/>
        </w:rPr>
        <w:t>Announcements related to the Transaction contain statements about Greencore and the Retained Group that are or may be forward-looking statements.  All statements other than statements of historical facts included in announcements related to the Transaction may be forward-looking statements.  Without limitation, any statements preceded or followed by or that include the words “targets”, “should”, “continue”, “plans”, “believes”, “expects”, “aims”, “intends”, “will”, “may”, “anticipates”, “estimates”, “projects” or words or terms of similar substance or the negative thereof, are forward-looking statements.  Forward-looking statements include all matters that are not historical facts and statements relating to the following: (i) future capital expenditures, expenses, revenues, earnings, synergies, economic performance, future capital-raising activities, indebtedness, financial condition, dividend policy, losses and future prospects; (ii) business and management strategies and the expansion and growth of Greencore’s or the Retained Group’s operations and potential effects the Transaction; and (iii) the effects of government regulation on Greencore’s or the Retained Group’s business.</w:t>
      </w:r>
    </w:p>
    <w:p w14:paraId="73BD5DF1" w14:textId="77777777" w:rsidR="001920A8" w:rsidRPr="001920A8" w:rsidRDefault="001920A8" w:rsidP="001920A8">
      <w:pPr>
        <w:adjustRightInd/>
        <w:spacing w:before="20" w:after="20" w:line="264" w:lineRule="auto"/>
        <w:rPr>
          <w:rFonts w:ascii="Calibri" w:eastAsia="Calibri" w:hAnsi="Calibri" w:cs="Calibri"/>
          <w:bCs/>
          <w:sz w:val="18"/>
          <w:szCs w:val="20"/>
          <w:lang w:val="en-GB" w:eastAsia="en-US"/>
        </w:rPr>
      </w:pPr>
    </w:p>
    <w:p w14:paraId="42C9C928" w14:textId="77777777" w:rsidR="001920A8" w:rsidRPr="001920A8" w:rsidRDefault="001920A8" w:rsidP="001920A8">
      <w:pPr>
        <w:adjustRightInd/>
        <w:spacing w:before="20" w:after="20" w:line="264" w:lineRule="auto"/>
        <w:rPr>
          <w:rFonts w:ascii="Calibri" w:eastAsia="Calibri" w:hAnsi="Calibri" w:cs="Calibri"/>
          <w:bCs/>
          <w:sz w:val="18"/>
          <w:szCs w:val="20"/>
          <w:lang w:val="en-GB" w:eastAsia="en-US"/>
        </w:rPr>
      </w:pPr>
      <w:r w:rsidRPr="001920A8">
        <w:rPr>
          <w:rFonts w:ascii="Calibri" w:eastAsia="Calibri" w:hAnsi="Calibri" w:cs="Calibri"/>
          <w:bCs/>
          <w:sz w:val="18"/>
          <w:szCs w:val="20"/>
          <w:lang w:val="en-GB" w:eastAsia="en-US"/>
        </w:rPr>
        <w:t>By their nature, forward-looking statements involve risk and uncertainty because they relate to future events and circumstances that are difficult to predict and outside of Greencore’s or the Retained Group’s ability to control.  Forward-looking statements are not guarantees of future performance and the actual results of Greencore’s or the Retained Group’s operations and the development of the markets and the industry in which Greencore or the Retained Group operates, may differ materially from those described in, or suggested by, the forward-looking statements contained in announcements related to the Transaction.  In addition, even if Greencore’s or the Retained Group’s business results of operations, financial position and/or prospects, and the development of the markets and the industry in which Greencore or the Retained Group operates, are consistent with the forward-looking statements contained in announcements related to the Transaction, those results and developments may not be indicative of results or developments in subsequent periods.  A number of factors could cause results and developments of Greencore or the Retained Group to differ materially from those expressed or implied by the forward-looking statements including, without limitation:</w:t>
      </w:r>
    </w:p>
    <w:p w14:paraId="5236DEDE" w14:textId="77777777" w:rsidR="001920A8" w:rsidRPr="001920A8" w:rsidRDefault="001920A8" w:rsidP="001920A8">
      <w:pPr>
        <w:adjustRightInd/>
        <w:spacing w:before="20" w:after="20" w:line="264" w:lineRule="auto"/>
        <w:rPr>
          <w:rFonts w:ascii="Calibri" w:eastAsia="Calibri" w:hAnsi="Calibri" w:cs="Calibri"/>
          <w:bCs/>
          <w:sz w:val="18"/>
          <w:szCs w:val="20"/>
          <w:lang w:val="en-GB" w:eastAsia="en-US"/>
        </w:rPr>
      </w:pPr>
    </w:p>
    <w:p w14:paraId="1E10D499" w14:textId="77777777" w:rsidR="001920A8" w:rsidRPr="001920A8" w:rsidRDefault="001920A8" w:rsidP="001920A8">
      <w:pPr>
        <w:numPr>
          <w:ilvl w:val="0"/>
          <w:numId w:val="20"/>
        </w:numPr>
        <w:adjustRightInd/>
        <w:spacing w:before="20" w:after="20" w:line="264" w:lineRule="auto"/>
        <w:contextualSpacing/>
        <w:jc w:val="left"/>
        <w:rPr>
          <w:rFonts w:ascii="Calibri" w:eastAsia="Calibri" w:hAnsi="Calibri" w:cs="Calibri"/>
          <w:bCs/>
          <w:sz w:val="18"/>
          <w:szCs w:val="20"/>
          <w:lang w:val="en-GB" w:eastAsia="en-US"/>
        </w:rPr>
      </w:pPr>
      <w:r w:rsidRPr="001920A8">
        <w:rPr>
          <w:rFonts w:ascii="Calibri" w:eastAsia="Calibri" w:hAnsi="Calibri" w:cs="Calibri"/>
          <w:bCs/>
          <w:sz w:val="18"/>
          <w:szCs w:val="20"/>
          <w:lang w:val="en-GB" w:eastAsia="en-US"/>
        </w:rPr>
        <w:t>the performance of Greencore’s and, following the Transaction, the Retained Group’s customers may be adversely impacted by changing retail and industry structure, which in turn may affect Greencore’s and, following the Transaction, the Retained Group’s performance;</w:t>
      </w:r>
    </w:p>
    <w:p w14:paraId="06B8C548" w14:textId="77777777" w:rsidR="001920A8" w:rsidRPr="001920A8" w:rsidRDefault="001920A8" w:rsidP="001920A8">
      <w:pPr>
        <w:numPr>
          <w:ilvl w:val="0"/>
          <w:numId w:val="20"/>
        </w:numPr>
        <w:adjustRightInd/>
        <w:spacing w:before="20" w:after="20" w:line="264" w:lineRule="auto"/>
        <w:contextualSpacing/>
        <w:jc w:val="left"/>
        <w:rPr>
          <w:rFonts w:ascii="Calibri" w:eastAsia="Calibri" w:hAnsi="Calibri" w:cs="Calibri"/>
          <w:bCs/>
          <w:sz w:val="18"/>
          <w:szCs w:val="20"/>
          <w:lang w:val="en-GB" w:eastAsia="en-US"/>
        </w:rPr>
      </w:pPr>
      <w:r w:rsidRPr="001920A8">
        <w:rPr>
          <w:rFonts w:ascii="Calibri" w:eastAsia="Calibri" w:hAnsi="Calibri" w:cs="Calibri"/>
          <w:bCs/>
          <w:sz w:val="18"/>
          <w:szCs w:val="20"/>
          <w:lang w:val="en-GB" w:eastAsia="en-US"/>
        </w:rPr>
        <w:t>demand for Greencore’s and, following the Transaction, the Retained Group’s products may be affected by changes in consumer behaviour and demand and changes in consumer legislation;</w:t>
      </w:r>
    </w:p>
    <w:p w14:paraId="79750A82" w14:textId="77777777" w:rsidR="001920A8" w:rsidRPr="001920A8" w:rsidRDefault="001920A8" w:rsidP="001920A8">
      <w:pPr>
        <w:numPr>
          <w:ilvl w:val="0"/>
          <w:numId w:val="20"/>
        </w:numPr>
        <w:adjustRightInd/>
        <w:spacing w:before="20" w:after="20" w:line="264" w:lineRule="auto"/>
        <w:contextualSpacing/>
        <w:jc w:val="left"/>
        <w:rPr>
          <w:rFonts w:ascii="Calibri" w:eastAsia="Calibri" w:hAnsi="Calibri" w:cs="Calibri"/>
          <w:bCs/>
          <w:sz w:val="18"/>
          <w:szCs w:val="20"/>
          <w:lang w:val="en-GB" w:eastAsia="en-US"/>
        </w:rPr>
      </w:pPr>
      <w:r w:rsidRPr="001920A8">
        <w:rPr>
          <w:rFonts w:ascii="Calibri" w:eastAsia="Calibri" w:hAnsi="Calibri" w:cs="Calibri"/>
          <w:bCs/>
          <w:sz w:val="18"/>
          <w:szCs w:val="20"/>
          <w:lang w:val="en-GB" w:eastAsia="en-US"/>
        </w:rPr>
        <w:t xml:space="preserve">Greencore’s and, following the following the Transaction, the Retained Group’s success may depend on their customers’ brands, reputations and relationships; </w:t>
      </w:r>
    </w:p>
    <w:p w14:paraId="1A2115A4" w14:textId="77777777" w:rsidR="001920A8" w:rsidRPr="001920A8" w:rsidRDefault="001920A8" w:rsidP="001920A8">
      <w:pPr>
        <w:numPr>
          <w:ilvl w:val="0"/>
          <w:numId w:val="20"/>
        </w:numPr>
        <w:adjustRightInd/>
        <w:spacing w:before="20" w:after="20" w:line="264" w:lineRule="auto"/>
        <w:contextualSpacing/>
        <w:jc w:val="left"/>
        <w:rPr>
          <w:rFonts w:ascii="Calibri" w:eastAsia="Calibri" w:hAnsi="Calibri" w:cs="Calibri"/>
          <w:bCs/>
          <w:sz w:val="18"/>
          <w:szCs w:val="20"/>
          <w:lang w:val="en-GB" w:eastAsia="en-US"/>
        </w:rPr>
      </w:pPr>
      <w:r w:rsidRPr="001920A8">
        <w:rPr>
          <w:rFonts w:ascii="Calibri" w:eastAsia="Calibri" w:hAnsi="Calibri" w:cs="Calibri"/>
          <w:bCs/>
          <w:sz w:val="18"/>
          <w:szCs w:val="20"/>
          <w:lang w:val="en-GB" w:eastAsia="en-US"/>
        </w:rPr>
        <w:t>following the Transaction, an impairment of goodwill or other intangible assets would adversely affect Greencore’s business and financial condition; and</w:t>
      </w:r>
    </w:p>
    <w:p w14:paraId="0247E429" w14:textId="77777777" w:rsidR="001920A8" w:rsidRPr="001920A8" w:rsidRDefault="001920A8" w:rsidP="001920A8">
      <w:pPr>
        <w:numPr>
          <w:ilvl w:val="0"/>
          <w:numId w:val="20"/>
        </w:numPr>
        <w:adjustRightInd/>
        <w:spacing w:before="20" w:after="20" w:line="264" w:lineRule="auto"/>
        <w:contextualSpacing/>
        <w:jc w:val="left"/>
        <w:rPr>
          <w:rFonts w:ascii="Calibri" w:eastAsia="Calibri" w:hAnsi="Calibri" w:cs="Calibri"/>
          <w:bCs/>
          <w:sz w:val="18"/>
          <w:szCs w:val="20"/>
          <w:lang w:val="en-GB" w:eastAsia="en-US"/>
        </w:rPr>
      </w:pPr>
      <w:r w:rsidRPr="001920A8">
        <w:rPr>
          <w:rFonts w:ascii="Calibri" w:eastAsia="Calibri" w:hAnsi="Calibri" w:cs="Calibri"/>
          <w:bCs/>
          <w:sz w:val="18"/>
          <w:szCs w:val="20"/>
          <w:lang w:val="en-GB" w:eastAsia="en-US"/>
        </w:rPr>
        <w:t>other factors discussed in more detail in the Circular.</w:t>
      </w:r>
    </w:p>
    <w:p w14:paraId="1B08B97C" w14:textId="77777777" w:rsidR="001920A8" w:rsidRPr="001920A8" w:rsidRDefault="001920A8" w:rsidP="001920A8">
      <w:pPr>
        <w:adjustRightInd/>
        <w:spacing w:before="20" w:after="20" w:line="264" w:lineRule="auto"/>
        <w:rPr>
          <w:rFonts w:ascii="Calibri" w:eastAsia="Calibri" w:hAnsi="Calibri" w:cs="Calibri"/>
          <w:bCs/>
          <w:sz w:val="18"/>
          <w:szCs w:val="20"/>
          <w:lang w:val="en-GB" w:eastAsia="en-US"/>
        </w:rPr>
      </w:pPr>
    </w:p>
    <w:p w14:paraId="38C0938E" w14:textId="6769BAC0" w:rsidR="001920A8" w:rsidRPr="001920A8" w:rsidRDefault="001920A8" w:rsidP="001920A8">
      <w:pPr>
        <w:adjustRightInd/>
        <w:spacing w:before="20" w:after="20" w:line="264" w:lineRule="auto"/>
        <w:rPr>
          <w:rFonts w:ascii="Calibri" w:eastAsia="Calibri" w:hAnsi="Calibri" w:cs="Calibri"/>
          <w:bCs/>
          <w:sz w:val="18"/>
          <w:szCs w:val="20"/>
          <w:lang w:val="en-GB" w:eastAsia="en-US"/>
        </w:rPr>
      </w:pPr>
      <w:r w:rsidRPr="001920A8">
        <w:rPr>
          <w:rFonts w:ascii="Calibri" w:eastAsia="Calibri" w:hAnsi="Calibri" w:cs="Calibri"/>
          <w:bCs/>
          <w:sz w:val="18"/>
          <w:szCs w:val="20"/>
          <w:lang w:val="en-GB" w:eastAsia="en-US"/>
        </w:rPr>
        <w:t xml:space="preserve">The forward-looking statements therein speak only at the date of this announcement and </w:t>
      </w:r>
      <w:r w:rsidR="005F6CB5">
        <w:rPr>
          <w:rFonts w:ascii="Calibri" w:eastAsia="Calibri" w:hAnsi="Calibri" w:cs="Calibri"/>
          <w:bCs/>
          <w:sz w:val="18"/>
          <w:szCs w:val="20"/>
          <w:lang w:val="en-GB" w:eastAsia="en-US"/>
        </w:rPr>
        <w:t>s</w:t>
      </w:r>
      <w:r w:rsidRPr="001920A8">
        <w:rPr>
          <w:rFonts w:ascii="Calibri" w:eastAsia="Calibri" w:hAnsi="Calibri" w:cs="Calibri"/>
          <w:bCs/>
          <w:sz w:val="18"/>
          <w:szCs w:val="20"/>
          <w:lang w:val="en-GB" w:eastAsia="en-US"/>
        </w:rPr>
        <w:t xml:space="preserve">hareholders are cautioned not to place undue reliance on such forward-looking statements.  Save as required by the Market Abuse Regulations, the Disclosure Guidance and Transparency Rules, the Listing Rules or by law, Greencore undertakes no obligation to update these forward-looking statements and will not publicly release any revisions it may make to these forward-looking statements that may occur due to any change in its or the Retained Group’s expectations or to reflect events or circumstances after the date of this announcement.  </w:t>
      </w:r>
    </w:p>
    <w:p w14:paraId="4EE98055" w14:textId="77777777" w:rsidR="001920A8" w:rsidRPr="001920A8" w:rsidRDefault="001920A8" w:rsidP="001920A8">
      <w:pPr>
        <w:adjustRightInd/>
        <w:spacing w:before="20" w:after="20" w:line="264" w:lineRule="auto"/>
        <w:rPr>
          <w:rFonts w:ascii="Calibri" w:eastAsia="Calibri" w:hAnsi="Calibri" w:cs="Calibri"/>
          <w:bCs/>
          <w:sz w:val="18"/>
          <w:szCs w:val="20"/>
          <w:lang w:val="en-GB" w:eastAsia="en-US"/>
        </w:rPr>
      </w:pPr>
    </w:p>
    <w:bookmarkEnd w:id="1"/>
    <w:bookmarkEnd w:id="2"/>
    <w:bookmarkEnd w:id="3"/>
    <w:bookmarkEnd w:id="4"/>
    <w:bookmarkEnd w:id="5"/>
    <w:p w14:paraId="6D7E0958" w14:textId="77777777" w:rsidR="00544C6F" w:rsidRDefault="00544C6F" w:rsidP="00544C6F"/>
    <w:p w14:paraId="3066BAEC" w14:textId="35F77DE9" w:rsidR="008E58DC" w:rsidRPr="006341E4" w:rsidRDefault="008E58DC" w:rsidP="00544C6F"/>
    <w:sectPr w:rsidR="008E58DC" w:rsidRPr="006341E4" w:rsidSect="00314363">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6EAF5" w14:textId="77777777" w:rsidR="00C603CA" w:rsidRDefault="00C603CA" w:rsidP="00422C53">
      <w:r>
        <w:separator/>
      </w:r>
    </w:p>
  </w:endnote>
  <w:endnote w:type="continuationSeparator" w:id="0">
    <w:p w14:paraId="38E315EE" w14:textId="77777777" w:rsidR="00C603CA" w:rsidRDefault="00C603CA" w:rsidP="00422C53">
      <w:r>
        <w:continuationSeparator/>
      </w:r>
    </w:p>
  </w:endnote>
  <w:endnote w:type="continuationNotice" w:id="1">
    <w:p w14:paraId="2A9E5256" w14:textId="77777777" w:rsidR="00C603CA" w:rsidRDefault="00C60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29F25" w14:textId="77777777" w:rsidR="003069D2" w:rsidRDefault="00306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AF4E7" w14:textId="77777777" w:rsidR="00C07BA8" w:rsidRDefault="00C07BA8" w:rsidP="002C40C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874C4" w14:textId="77777777" w:rsidR="003069D2" w:rsidRDefault="00306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AC6D6" w14:textId="77777777" w:rsidR="00C603CA" w:rsidRDefault="00C603CA" w:rsidP="00422C53">
      <w:r>
        <w:separator/>
      </w:r>
    </w:p>
  </w:footnote>
  <w:footnote w:type="continuationSeparator" w:id="0">
    <w:p w14:paraId="68D24DDE" w14:textId="77777777" w:rsidR="00C603CA" w:rsidRDefault="00C603CA" w:rsidP="00422C53">
      <w:r>
        <w:continuationSeparator/>
      </w:r>
    </w:p>
  </w:footnote>
  <w:footnote w:type="continuationNotice" w:id="1">
    <w:p w14:paraId="5AD533D5" w14:textId="77777777" w:rsidR="00C603CA" w:rsidRDefault="00C603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4A2F2" w14:textId="4B32930A" w:rsidR="003069D2" w:rsidRDefault="00306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208C5" w14:textId="6E3FBF58" w:rsidR="003069D2" w:rsidRDefault="003069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D1864" w14:textId="5D34BC8F" w:rsidR="003069D2" w:rsidRDefault="00306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32536"/>
    <w:multiLevelType w:val="multilevel"/>
    <w:tmpl w:val="D46EDF64"/>
    <w:lvl w:ilvl="0">
      <w:start w:val="1"/>
      <w:numFmt w:val="decimal"/>
      <w:pStyle w:val="AC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C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CPart"/>
      <w:suff w:val="nothing"/>
      <w:lvlText w:val="Part %3"/>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 w15:restartNumberingAfterBreak="0">
    <w:nsid w:val="35357B26"/>
    <w:multiLevelType w:val="hybridMultilevel"/>
    <w:tmpl w:val="81028F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4E4152"/>
    <w:multiLevelType w:val="multilevel"/>
    <w:tmpl w:val="23583D2A"/>
    <w:lvl w:ilvl="0">
      <w:start w:val="1"/>
      <w:numFmt w:val="decimal"/>
      <w:pStyle w:val="ACSchLv1"/>
      <w:lvlText w:val="%1."/>
      <w:lvlJc w:val="left"/>
      <w:pPr>
        <w:tabs>
          <w:tab w:val="num" w:pos="720"/>
        </w:tabs>
        <w:ind w:left="72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CSchLv2"/>
      <w:lvlText w:val="(%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ACSchLv3"/>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ACSchLv4"/>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pStyle w:val="ACSchLv5"/>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1746258"/>
    <w:multiLevelType w:val="multilevel"/>
    <w:tmpl w:val="D8A4B29C"/>
    <w:lvl w:ilvl="0">
      <w:start w:val="1"/>
      <w:numFmt w:val="bullet"/>
      <w:pStyle w:val="ACBulletLv1"/>
      <w:lvlText w:val=""/>
      <w:lvlJc w:val="left"/>
      <w:pPr>
        <w:tabs>
          <w:tab w:val="num" w:pos="720"/>
        </w:tabs>
        <w:ind w:left="72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ACBulletLv2"/>
      <w:lvlText w:val=""/>
      <w:lvlJc w:val="left"/>
      <w:pPr>
        <w:tabs>
          <w:tab w:val="num" w:pos="1440"/>
        </w:tabs>
        <w:ind w:left="144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ACBulletLv3"/>
      <w:lvlText w:val=""/>
      <w:lvlJc w:val="left"/>
      <w:pPr>
        <w:tabs>
          <w:tab w:val="num" w:pos="2160"/>
        </w:tabs>
        <w:ind w:left="216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ACBulletLv4"/>
      <w:lvlText w:val=""/>
      <w:lvlJc w:val="left"/>
      <w:pPr>
        <w:tabs>
          <w:tab w:val="num" w:pos="2880"/>
        </w:tabs>
        <w:ind w:left="288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ACBulletLv5"/>
      <w:lvlText w:val=""/>
      <w:lvlJc w:val="left"/>
      <w:pPr>
        <w:tabs>
          <w:tab w:val="num" w:pos="3600"/>
        </w:tabs>
        <w:ind w:left="360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4"/>
  </w:num>
  <w:num w:numId="3">
    <w:abstractNumId w:val="4"/>
  </w:num>
  <w:num w:numId="4">
    <w:abstractNumId w:val="4"/>
  </w:num>
  <w:num w:numId="5">
    <w:abstractNumId w:val="4"/>
  </w:num>
  <w:num w:numId="6">
    <w:abstractNumId w:val="0"/>
  </w:num>
  <w:num w:numId="7">
    <w:abstractNumId w:val="0"/>
  </w:num>
  <w:num w:numId="8">
    <w:abstractNumId w:val="0"/>
  </w:num>
  <w:num w:numId="9">
    <w:abstractNumId w:val="5"/>
  </w:num>
  <w:num w:numId="10">
    <w:abstractNumId w:val="2"/>
  </w:num>
  <w:num w:numId="11">
    <w:abstractNumId w:val="2"/>
  </w:num>
  <w:num w:numId="12">
    <w:abstractNumId w:val="2"/>
  </w:num>
  <w:num w:numId="13">
    <w:abstractNumId w:val="2"/>
  </w:num>
  <w:num w:numId="14">
    <w:abstractNumId w:val="2"/>
  </w:num>
  <w:num w:numId="15">
    <w:abstractNumId w:val="3"/>
  </w:num>
  <w:num w:numId="16">
    <w:abstractNumId w:val="3"/>
  </w:num>
  <w:num w:numId="17">
    <w:abstractNumId w:val="3"/>
  </w:num>
  <w:num w:numId="18">
    <w:abstractNumId w:val="3"/>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 Bullet Lv _Body" w:val="AC Body "/>
    <w:docVar w:name="AC Bullet Lv _Comment" w:val="Standard bullets"/>
    <w:docVar w:name="AC Bullet Lv _HeadSuf" w:val=" as heading (text)"/>
    <w:docVar w:name="AC Bullet Lv _LongName" w:val="AC Bullets"/>
    <w:docVar w:name="AC Bullet Lv _NumBodies" w:val="5"/>
    <w:docVar w:name="AC Level _Body" w:val="AC Body "/>
    <w:docVar w:name="AC Level _Comment" w:val="Styles and auto-numbering for use in main clauses in Arthur Cox documents."/>
    <w:docVar w:name="AC Level _HeadSuf" w:val=" as heading (text)"/>
    <w:docVar w:name="AC Level _LongName" w:val="AC House Style"/>
    <w:docVar w:name="AC Level _NumBodies" w:val="5"/>
    <w:docVar w:name="AC Level HCR1" w:val="0"/>
    <w:docVar w:name="AC Level HCR2" w:val="0"/>
    <w:docVar w:name="AC Level HCR3" w:val="0"/>
    <w:docVar w:name="AC Level HKWN1" w:val="-1"/>
    <w:docVar w:name="AC Level HKWN2" w:val="-1"/>
    <w:docVar w:name="AC Level HKWN3" w:val="-1"/>
    <w:docVar w:name="AC Sch Lv _Body" w:val="AC Body "/>
    <w:docVar w:name="AC Sch Lv _Comment" w:val="Styles and auto-numbering for use in schedules in Arthur Cox documents."/>
    <w:docVar w:name="AC Sch Lv _HeadSuf" w:val=" as heading (text)"/>
    <w:docVar w:name="AC Sch Lv _LongName" w:val="AC House Style (Schedules)"/>
    <w:docVar w:name="AC Sch Lv _NumBodies" w:val="5"/>
    <w:docVar w:name="AC Sch Lv HCR1" w:val="0"/>
    <w:docVar w:name="AC Sch Lv HCR2" w:val="0"/>
    <w:docVar w:name="AC Sch Lv HCR3" w:val="0"/>
    <w:docVar w:name="AC Sch Lv HKWN1" w:val="-1"/>
    <w:docVar w:name="AC Sch Lv HKWN2" w:val="-1"/>
    <w:docVar w:name="AC Sch Lv HKWN3" w:val="-1"/>
  </w:docVars>
  <w:rsids>
    <w:rsidRoot w:val="00544C6F"/>
    <w:rsid w:val="00001DE6"/>
    <w:rsid w:val="000058F6"/>
    <w:rsid w:val="00012E04"/>
    <w:rsid w:val="00014F74"/>
    <w:rsid w:val="00016085"/>
    <w:rsid w:val="00017E26"/>
    <w:rsid w:val="000209AF"/>
    <w:rsid w:val="00022BBF"/>
    <w:rsid w:val="00026299"/>
    <w:rsid w:val="00027FFE"/>
    <w:rsid w:val="000307AB"/>
    <w:rsid w:val="00030FA6"/>
    <w:rsid w:val="00033415"/>
    <w:rsid w:val="00033678"/>
    <w:rsid w:val="000359EC"/>
    <w:rsid w:val="00037705"/>
    <w:rsid w:val="00040566"/>
    <w:rsid w:val="00041D1A"/>
    <w:rsid w:val="000453F3"/>
    <w:rsid w:val="000457FA"/>
    <w:rsid w:val="00046C6C"/>
    <w:rsid w:val="00046FAA"/>
    <w:rsid w:val="00047DB8"/>
    <w:rsid w:val="0005049C"/>
    <w:rsid w:val="00050F16"/>
    <w:rsid w:val="0005116C"/>
    <w:rsid w:val="00054B5F"/>
    <w:rsid w:val="00054C42"/>
    <w:rsid w:val="00055CD7"/>
    <w:rsid w:val="00056DED"/>
    <w:rsid w:val="0005700A"/>
    <w:rsid w:val="00057BD8"/>
    <w:rsid w:val="00061E98"/>
    <w:rsid w:val="00062918"/>
    <w:rsid w:val="00066178"/>
    <w:rsid w:val="000664BF"/>
    <w:rsid w:val="0006767A"/>
    <w:rsid w:val="00070CBA"/>
    <w:rsid w:val="00071D61"/>
    <w:rsid w:val="00071DBE"/>
    <w:rsid w:val="00072D50"/>
    <w:rsid w:val="000740CD"/>
    <w:rsid w:val="00075819"/>
    <w:rsid w:val="00076B44"/>
    <w:rsid w:val="00082450"/>
    <w:rsid w:val="0008455C"/>
    <w:rsid w:val="00085ED5"/>
    <w:rsid w:val="00087C12"/>
    <w:rsid w:val="00090C8F"/>
    <w:rsid w:val="00092DEC"/>
    <w:rsid w:val="00094FA0"/>
    <w:rsid w:val="000A1B10"/>
    <w:rsid w:val="000A2A44"/>
    <w:rsid w:val="000A3702"/>
    <w:rsid w:val="000A419C"/>
    <w:rsid w:val="000A5D76"/>
    <w:rsid w:val="000A633F"/>
    <w:rsid w:val="000B2556"/>
    <w:rsid w:val="000B4237"/>
    <w:rsid w:val="000B4B73"/>
    <w:rsid w:val="000B67A0"/>
    <w:rsid w:val="000C5E1E"/>
    <w:rsid w:val="000C5F4E"/>
    <w:rsid w:val="000D3718"/>
    <w:rsid w:val="000D3F22"/>
    <w:rsid w:val="000D3F6B"/>
    <w:rsid w:val="000D6D3F"/>
    <w:rsid w:val="000E02F1"/>
    <w:rsid w:val="000E289E"/>
    <w:rsid w:val="000E2B83"/>
    <w:rsid w:val="000E32A5"/>
    <w:rsid w:val="000E3701"/>
    <w:rsid w:val="000E4903"/>
    <w:rsid w:val="000E623A"/>
    <w:rsid w:val="000E6B30"/>
    <w:rsid w:val="000E7F15"/>
    <w:rsid w:val="000F136A"/>
    <w:rsid w:val="000F4DDB"/>
    <w:rsid w:val="000F5883"/>
    <w:rsid w:val="000F6745"/>
    <w:rsid w:val="00100C2E"/>
    <w:rsid w:val="00101922"/>
    <w:rsid w:val="00101AFB"/>
    <w:rsid w:val="001033C0"/>
    <w:rsid w:val="00103E77"/>
    <w:rsid w:val="00104466"/>
    <w:rsid w:val="0010466C"/>
    <w:rsid w:val="00106D83"/>
    <w:rsid w:val="00115C11"/>
    <w:rsid w:val="00122E50"/>
    <w:rsid w:val="0012401B"/>
    <w:rsid w:val="0013127D"/>
    <w:rsid w:val="00131DC0"/>
    <w:rsid w:val="00131EF5"/>
    <w:rsid w:val="00133B49"/>
    <w:rsid w:val="00134021"/>
    <w:rsid w:val="001340BC"/>
    <w:rsid w:val="0013419B"/>
    <w:rsid w:val="00141148"/>
    <w:rsid w:val="00142046"/>
    <w:rsid w:val="001470DD"/>
    <w:rsid w:val="00147738"/>
    <w:rsid w:val="001506A5"/>
    <w:rsid w:val="00150C9E"/>
    <w:rsid w:val="00152842"/>
    <w:rsid w:val="00153F4B"/>
    <w:rsid w:val="00154D4F"/>
    <w:rsid w:val="0015611E"/>
    <w:rsid w:val="00156668"/>
    <w:rsid w:val="00156F46"/>
    <w:rsid w:val="00157B1E"/>
    <w:rsid w:val="00161D05"/>
    <w:rsid w:val="00163E45"/>
    <w:rsid w:val="001651EA"/>
    <w:rsid w:val="00166312"/>
    <w:rsid w:val="001666E7"/>
    <w:rsid w:val="00166773"/>
    <w:rsid w:val="001678EE"/>
    <w:rsid w:val="00174160"/>
    <w:rsid w:val="001741CB"/>
    <w:rsid w:val="001764C0"/>
    <w:rsid w:val="001768AD"/>
    <w:rsid w:val="001768E5"/>
    <w:rsid w:val="00180EC1"/>
    <w:rsid w:val="0018127D"/>
    <w:rsid w:val="00181478"/>
    <w:rsid w:val="00181DCF"/>
    <w:rsid w:val="00185414"/>
    <w:rsid w:val="00187F33"/>
    <w:rsid w:val="00191FAD"/>
    <w:rsid w:val="001920A8"/>
    <w:rsid w:val="00192BB1"/>
    <w:rsid w:val="00193CC9"/>
    <w:rsid w:val="00196652"/>
    <w:rsid w:val="001976B3"/>
    <w:rsid w:val="001A065B"/>
    <w:rsid w:val="001A2864"/>
    <w:rsid w:val="001A5AE6"/>
    <w:rsid w:val="001A7C5C"/>
    <w:rsid w:val="001B0807"/>
    <w:rsid w:val="001B0B1B"/>
    <w:rsid w:val="001B129D"/>
    <w:rsid w:val="001B1E17"/>
    <w:rsid w:val="001B3AE9"/>
    <w:rsid w:val="001B3DCD"/>
    <w:rsid w:val="001B4CCA"/>
    <w:rsid w:val="001B6065"/>
    <w:rsid w:val="001B6A21"/>
    <w:rsid w:val="001C2352"/>
    <w:rsid w:val="001C509A"/>
    <w:rsid w:val="001C58E4"/>
    <w:rsid w:val="001C675E"/>
    <w:rsid w:val="001D3B6B"/>
    <w:rsid w:val="001D7CBE"/>
    <w:rsid w:val="001E228A"/>
    <w:rsid w:val="001F3EC3"/>
    <w:rsid w:val="001F5454"/>
    <w:rsid w:val="001F6414"/>
    <w:rsid w:val="00201E66"/>
    <w:rsid w:val="00202C62"/>
    <w:rsid w:val="00204049"/>
    <w:rsid w:val="00205633"/>
    <w:rsid w:val="002102E0"/>
    <w:rsid w:val="002106AF"/>
    <w:rsid w:val="00211B0C"/>
    <w:rsid w:val="0021363E"/>
    <w:rsid w:val="00215600"/>
    <w:rsid w:val="0022037F"/>
    <w:rsid w:val="0022200D"/>
    <w:rsid w:val="00224F5E"/>
    <w:rsid w:val="0022550B"/>
    <w:rsid w:val="00225512"/>
    <w:rsid w:val="0023074E"/>
    <w:rsid w:val="00230DFD"/>
    <w:rsid w:val="002317DB"/>
    <w:rsid w:val="00233776"/>
    <w:rsid w:val="00234CA6"/>
    <w:rsid w:val="002371ED"/>
    <w:rsid w:val="0023754D"/>
    <w:rsid w:val="00240367"/>
    <w:rsid w:val="002410A1"/>
    <w:rsid w:val="0024219A"/>
    <w:rsid w:val="00242526"/>
    <w:rsid w:val="00242AF0"/>
    <w:rsid w:val="0024329A"/>
    <w:rsid w:val="002441F8"/>
    <w:rsid w:val="002442FD"/>
    <w:rsid w:val="00244F07"/>
    <w:rsid w:val="00245138"/>
    <w:rsid w:val="00245E9B"/>
    <w:rsid w:val="00246A84"/>
    <w:rsid w:val="00247A08"/>
    <w:rsid w:val="00250541"/>
    <w:rsid w:val="0025242E"/>
    <w:rsid w:val="00252B24"/>
    <w:rsid w:val="00255AC4"/>
    <w:rsid w:val="002567C3"/>
    <w:rsid w:val="00257705"/>
    <w:rsid w:val="00260146"/>
    <w:rsid w:val="00260ADE"/>
    <w:rsid w:val="00260F10"/>
    <w:rsid w:val="00261824"/>
    <w:rsid w:val="00262622"/>
    <w:rsid w:val="00262F87"/>
    <w:rsid w:val="00270752"/>
    <w:rsid w:val="00270980"/>
    <w:rsid w:val="002715A6"/>
    <w:rsid w:val="002718E5"/>
    <w:rsid w:val="00271B8D"/>
    <w:rsid w:val="00271EA2"/>
    <w:rsid w:val="00273740"/>
    <w:rsid w:val="002804C5"/>
    <w:rsid w:val="00281016"/>
    <w:rsid w:val="00281BDF"/>
    <w:rsid w:val="00282DF4"/>
    <w:rsid w:val="00284737"/>
    <w:rsid w:val="00293CDD"/>
    <w:rsid w:val="00296E00"/>
    <w:rsid w:val="002A09C6"/>
    <w:rsid w:val="002A12E1"/>
    <w:rsid w:val="002A430E"/>
    <w:rsid w:val="002B0EB2"/>
    <w:rsid w:val="002B5BCD"/>
    <w:rsid w:val="002B646D"/>
    <w:rsid w:val="002C2B33"/>
    <w:rsid w:val="002C40C7"/>
    <w:rsid w:val="002C551E"/>
    <w:rsid w:val="002C57FB"/>
    <w:rsid w:val="002D0B32"/>
    <w:rsid w:val="002D2E2D"/>
    <w:rsid w:val="002D5F19"/>
    <w:rsid w:val="002D641C"/>
    <w:rsid w:val="002D7251"/>
    <w:rsid w:val="002D74C9"/>
    <w:rsid w:val="002E1252"/>
    <w:rsid w:val="002E208F"/>
    <w:rsid w:val="002E2690"/>
    <w:rsid w:val="002E2EF9"/>
    <w:rsid w:val="002E4FF1"/>
    <w:rsid w:val="002E6A17"/>
    <w:rsid w:val="002E6C8F"/>
    <w:rsid w:val="002F1F44"/>
    <w:rsid w:val="002F3D1E"/>
    <w:rsid w:val="00301FED"/>
    <w:rsid w:val="00304794"/>
    <w:rsid w:val="00305138"/>
    <w:rsid w:val="003069D2"/>
    <w:rsid w:val="00310A5F"/>
    <w:rsid w:val="00311729"/>
    <w:rsid w:val="00312D6B"/>
    <w:rsid w:val="00312F2A"/>
    <w:rsid w:val="00313744"/>
    <w:rsid w:val="00314363"/>
    <w:rsid w:val="00315BEB"/>
    <w:rsid w:val="00320A5A"/>
    <w:rsid w:val="00321C88"/>
    <w:rsid w:val="0032279C"/>
    <w:rsid w:val="00325EEF"/>
    <w:rsid w:val="0033088C"/>
    <w:rsid w:val="00331459"/>
    <w:rsid w:val="0033232D"/>
    <w:rsid w:val="00332D07"/>
    <w:rsid w:val="00336F36"/>
    <w:rsid w:val="00343F22"/>
    <w:rsid w:val="0034575F"/>
    <w:rsid w:val="00347DF9"/>
    <w:rsid w:val="00347E85"/>
    <w:rsid w:val="003507B0"/>
    <w:rsid w:val="00351183"/>
    <w:rsid w:val="003514FA"/>
    <w:rsid w:val="00351DE9"/>
    <w:rsid w:val="00354B29"/>
    <w:rsid w:val="00354EE5"/>
    <w:rsid w:val="00356870"/>
    <w:rsid w:val="00357BC7"/>
    <w:rsid w:val="00360A32"/>
    <w:rsid w:val="00360F5E"/>
    <w:rsid w:val="00361E9B"/>
    <w:rsid w:val="00363026"/>
    <w:rsid w:val="00363FDC"/>
    <w:rsid w:val="00364FF0"/>
    <w:rsid w:val="00372206"/>
    <w:rsid w:val="003722B6"/>
    <w:rsid w:val="003727BF"/>
    <w:rsid w:val="00372D17"/>
    <w:rsid w:val="00375D9C"/>
    <w:rsid w:val="00377E85"/>
    <w:rsid w:val="0038052D"/>
    <w:rsid w:val="0038138B"/>
    <w:rsid w:val="00390B93"/>
    <w:rsid w:val="00394748"/>
    <w:rsid w:val="00394CE4"/>
    <w:rsid w:val="00397E5F"/>
    <w:rsid w:val="003A1336"/>
    <w:rsid w:val="003A2A97"/>
    <w:rsid w:val="003A5430"/>
    <w:rsid w:val="003B1A11"/>
    <w:rsid w:val="003B2480"/>
    <w:rsid w:val="003B7ECE"/>
    <w:rsid w:val="003C665F"/>
    <w:rsid w:val="003C78D3"/>
    <w:rsid w:val="003C7DE1"/>
    <w:rsid w:val="003D104D"/>
    <w:rsid w:val="003D11D5"/>
    <w:rsid w:val="003D348D"/>
    <w:rsid w:val="003D6313"/>
    <w:rsid w:val="003E0B7E"/>
    <w:rsid w:val="003E30D3"/>
    <w:rsid w:val="003E5521"/>
    <w:rsid w:val="003E571F"/>
    <w:rsid w:val="003F2C29"/>
    <w:rsid w:val="003F3AEA"/>
    <w:rsid w:val="003F43FF"/>
    <w:rsid w:val="003F4B10"/>
    <w:rsid w:val="003F502A"/>
    <w:rsid w:val="003F5A2A"/>
    <w:rsid w:val="003F7E60"/>
    <w:rsid w:val="004068A0"/>
    <w:rsid w:val="00406EC1"/>
    <w:rsid w:val="0041015A"/>
    <w:rsid w:val="0041079F"/>
    <w:rsid w:val="00411096"/>
    <w:rsid w:val="00413E9C"/>
    <w:rsid w:val="00414A0A"/>
    <w:rsid w:val="00416A22"/>
    <w:rsid w:val="00420B4B"/>
    <w:rsid w:val="00422C53"/>
    <w:rsid w:val="0042317E"/>
    <w:rsid w:val="00423E79"/>
    <w:rsid w:val="004258C7"/>
    <w:rsid w:val="00426EC6"/>
    <w:rsid w:val="00427B93"/>
    <w:rsid w:val="00431EA8"/>
    <w:rsid w:val="004340C3"/>
    <w:rsid w:val="00435A19"/>
    <w:rsid w:val="004365C9"/>
    <w:rsid w:val="00440A2A"/>
    <w:rsid w:val="00443E43"/>
    <w:rsid w:val="00447047"/>
    <w:rsid w:val="00453B96"/>
    <w:rsid w:val="00454465"/>
    <w:rsid w:val="00455FD4"/>
    <w:rsid w:val="004569EB"/>
    <w:rsid w:val="00456C8D"/>
    <w:rsid w:val="00457B05"/>
    <w:rsid w:val="00460E7A"/>
    <w:rsid w:val="00461756"/>
    <w:rsid w:val="00461862"/>
    <w:rsid w:val="00462B2D"/>
    <w:rsid w:val="00463B13"/>
    <w:rsid w:val="00466761"/>
    <w:rsid w:val="00470247"/>
    <w:rsid w:val="00472C22"/>
    <w:rsid w:val="00474AB4"/>
    <w:rsid w:val="004758A6"/>
    <w:rsid w:val="00475BDD"/>
    <w:rsid w:val="0047733C"/>
    <w:rsid w:val="00477C99"/>
    <w:rsid w:val="0048125A"/>
    <w:rsid w:val="00482EBF"/>
    <w:rsid w:val="00482F66"/>
    <w:rsid w:val="00485AC4"/>
    <w:rsid w:val="00485F43"/>
    <w:rsid w:val="00486323"/>
    <w:rsid w:val="00486384"/>
    <w:rsid w:val="00487351"/>
    <w:rsid w:val="00490985"/>
    <w:rsid w:val="004919F9"/>
    <w:rsid w:val="00492E07"/>
    <w:rsid w:val="00494368"/>
    <w:rsid w:val="00496BA6"/>
    <w:rsid w:val="00497E3E"/>
    <w:rsid w:val="004A0D9B"/>
    <w:rsid w:val="004A1700"/>
    <w:rsid w:val="004A3705"/>
    <w:rsid w:val="004A3A3B"/>
    <w:rsid w:val="004A4035"/>
    <w:rsid w:val="004A4D58"/>
    <w:rsid w:val="004A69A0"/>
    <w:rsid w:val="004B4DB5"/>
    <w:rsid w:val="004B58B3"/>
    <w:rsid w:val="004B59B8"/>
    <w:rsid w:val="004B5A74"/>
    <w:rsid w:val="004C1018"/>
    <w:rsid w:val="004C1397"/>
    <w:rsid w:val="004C13C7"/>
    <w:rsid w:val="004C3E8D"/>
    <w:rsid w:val="004C445B"/>
    <w:rsid w:val="004C4502"/>
    <w:rsid w:val="004C6A1C"/>
    <w:rsid w:val="004C6BDA"/>
    <w:rsid w:val="004D1471"/>
    <w:rsid w:val="004D1C5F"/>
    <w:rsid w:val="004D4973"/>
    <w:rsid w:val="004D4DB1"/>
    <w:rsid w:val="004D52F0"/>
    <w:rsid w:val="004D7E64"/>
    <w:rsid w:val="004E1479"/>
    <w:rsid w:val="004E1D4C"/>
    <w:rsid w:val="004E43D8"/>
    <w:rsid w:val="004E4416"/>
    <w:rsid w:val="004F2B89"/>
    <w:rsid w:val="004F3CC3"/>
    <w:rsid w:val="004F4F4B"/>
    <w:rsid w:val="004F53F9"/>
    <w:rsid w:val="004F697A"/>
    <w:rsid w:val="00502F67"/>
    <w:rsid w:val="00504BE1"/>
    <w:rsid w:val="00504C1A"/>
    <w:rsid w:val="00504CF1"/>
    <w:rsid w:val="00507431"/>
    <w:rsid w:val="00507F57"/>
    <w:rsid w:val="005118CA"/>
    <w:rsid w:val="0051450B"/>
    <w:rsid w:val="00515267"/>
    <w:rsid w:val="00515273"/>
    <w:rsid w:val="00515DBD"/>
    <w:rsid w:val="005161DA"/>
    <w:rsid w:val="00516E40"/>
    <w:rsid w:val="00522689"/>
    <w:rsid w:val="00524015"/>
    <w:rsid w:val="00524A45"/>
    <w:rsid w:val="00525103"/>
    <w:rsid w:val="00526C6C"/>
    <w:rsid w:val="005321AB"/>
    <w:rsid w:val="005328A3"/>
    <w:rsid w:val="00532C34"/>
    <w:rsid w:val="00534133"/>
    <w:rsid w:val="00535A8D"/>
    <w:rsid w:val="00536D6F"/>
    <w:rsid w:val="00536E96"/>
    <w:rsid w:val="00541DBF"/>
    <w:rsid w:val="00542278"/>
    <w:rsid w:val="00542504"/>
    <w:rsid w:val="0054274A"/>
    <w:rsid w:val="00544C4D"/>
    <w:rsid w:val="00544C6F"/>
    <w:rsid w:val="00544DC8"/>
    <w:rsid w:val="00544E49"/>
    <w:rsid w:val="00545238"/>
    <w:rsid w:val="005479A3"/>
    <w:rsid w:val="005503DC"/>
    <w:rsid w:val="00551003"/>
    <w:rsid w:val="005526C5"/>
    <w:rsid w:val="00554049"/>
    <w:rsid w:val="00554795"/>
    <w:rsid w:val="00555E6B"/>
    <w:rsid w:val="005562DD"/>
    <w:rsid w:val="00556856"/>
    <w:rsid w:val="00556D32"/>
    <w:rsid w:val="0056166F"/>
    <w:rsid w:val="00566435"/>
    <w:rsid w:val="005668E0"/>
    <w:rsid w:val="00567215"/>
    <w:rsid w:val="00567A83"/>
    <w:rsid w:val="005703BB"/>
    <w:rsid w:val="00571726"/>
    <w:rsid w:val="005718D5"/>
    <w:rsid w:val="00574000"/>
    <w:rsid w:val="005748F1"/>
    <w:rsid w:val="005771DF"/>
    <w:rsid w:val="005800DB"/>
    <w:rsid w:val="005822A7"/>
    <w:rsid w:val="00582B75"/>
    <w:rsid w:val="00584A85"/>
    <w:rsid w:val="0058783E"/>
    <w:rsid w:val="00587D51"/>
    <w:rsid w:val="005A0506"/>
    <w:rsid w:val="005A172D"/>
    <w:rsid w:val="005A2F36"/>
    <w:rsid w:val="005A3C2F"/>
    <w:rsid w:val="005A43ED"/>
    <w:rsid w:val="005B32FF"/>
    <w:rsid w:val="005B456F"/>
    <w:rsid w:val="005B7A86"/>
    <w:rsid w:val="005C0195"/>
    <w:rsid w:val="005C2E2E"/>
    <w:rsid w:val="005C2FCE"/>
    <w:rsid w:val="005D0960"/>
    <w:rsid w:val="005D5E79"/>
    <w:rsid w:val="005D7DCB"/>
    <w:rsid w:val="005E1661"/>
    <w:rsid w:val="005E2842"/>
    <w:rsid w:val="005E36E9"/>
    <w:rsid w:val="005E528E"/>
    <w:rsid w:val="005E5D97"/>
    <w:rsid w:val="005F0FDD"/>
    <w:rsid w:val="005F2955"/>
    <w:rsid w:val="005F50E5"/>
    <w:rsid w:val="005F67CD"/>
    <w:rsid w:val="005F6CB5"/>
    <w:rsid w:val="005F7345"/>
    <w:rsid w:val="00600A99"/>
    <w:rsid w:val="00601CD5"/>
    <w:rsid w:val="00602B2A"/>
    <w:rsid w:val="00602B89"/>
    <w:rsid w:val="00603ADF"/>
    <w:rsid w:val="0060517C"/>
    <w:rsid w:val="00607741"/>
    <w:rsid w:val="00607EFC"/>
    <w:rsid w:val="00610402"/>
    <w:rsid w:val="006105F7"/>
    <w:rsid w:val="00612A42"/>
    <w:rsid w:val="0061306D"/>
    <w:rsid w:val="00613612"/>
    <w:rsid w:val="006137F4"/>
    <w:rsid w:val="00613CCD"/>
    <w:rsid w:val="00616F72"/>
    <w:rsid w:val="00621829"/>
    <w:rsid w:val="006220CD"/>
    <w:rsid w:val="00623733"/>
    <w:rsid w:val="006249E4"/>
    <w:rsid w:val="00626489"/>
    <w:rsid w:val="00630FDC"/>
    <w:rsid w:val="006341E4"/>
    <w:rsid w:val="00634E4C"/>
    <w:rsid w:val="0063593B"/>
    <w:rsid w:val="006377A4"/>
    <w:rsid w:val="0064084C"/>
    <w:rsid w:val="00643821"/>
    <w:rsid w:val="00644C17"/>
    <w:rsid w:val="006500AD"/>
    <w:rsid w:val="00651CF5"/>
    <w:rsid w:val="00652150"/>
    <w:rsid w:val="00652CE2"/>
    <w:rsid w:val="00656EBA"/>
    <w:rsid w:val="0065730B"/>
    <w:rsid w:val="006642E4"/>
    <w:rsid w:val="006657BE"/>
    <w:rsid w:val="0066656D"/>
    <w:rsid w:val="00666585"/>
    <w:rsid w:val="0066682C"/>
    <w:rsid w:val="00667FC1"/>
    <w:rsid w:val="00670539"/>
    <w:rsid w:val="00670B77"/>
    <w:rsid w:val="00673839"/>
    <w:rsid w:val="006755EA"/>
    <w:rsid w:val="006762E8"/>
    <w:rsid w:val="00677A28"/>
    <w:rsid w:val="0068264F"/>
    <w:rsid w:val="00683D11"/>
    <w:rsid w:val="0068516D"/>
    <w:rsid w:val="00685555"/>
    <w:rsid w:val="006921D6"/>
    <w:rsid w:val="00697360"/>
    <w:rsid w:val="00697F39"/>
    <w:rsid w:val="006A0E9F"/>
    <w:rsid w:val="006A3F80"/>
    <w:rsid w:val="006A4068"/>
    <w:rsid w:val="006A4511"/>
    <w:rsid w:val="006A472E"/>
    <w:rsid w:val="006A64A1"/>
    <w:rsid w:val="006B0061"/>
    <w:rsid w:val="006B0E62"/>
    <w:rsid w:val="006B6092"/>
    <w:rsid w:val="006B65DE"/>
    <w:rsid w:val="006B7959"/>
    <w:rsid w:val="006C0CBB"/>
    <w:rsid w:val="006C3CE2"/>
    <w:rsid w:val="006C443A"/>
    <w:rsid w:val="006D07BC"/>
    <w:rsid w:val="006D0ECA"/>
    <w:rsid w:val="006D1B7C"/>
    <w:rsid w:val="006D2419"/>
    <w:rsid w:val="006D25BD"/>
    <w:rsid w:val="006D28CB"/>
    <w:rsid w:val="006D2B25"/>
    <w:rsid w:val="006D48DC"/>
    <w:rsid w:val="006E1F1E"/>
    <w:rsid w:val="006E3107"/>
    <w:rsid w:val="006E3B28"/>
    <w:rsid w:val="006E4917"/>
    <w:rsid w:val="006E754D"/>
    <w:rsid w:val="006F146D"/>
    <w:rsid w:val="006F1FFA"/>
    <w:rsid w:val="006F2065"/>
    <w:rsid w:val="006F23E6"/>
    <w:rsid w:val="006F2830"/>
    <w:rsid w:val="006F48BF"/>
    <w:rsid w:val="006F54A7"/>
    <w:rsid w:val="006F5B8F"/>
    <w:rsid w:val="006F724E"/>
    <w:rsid w:val="006F7B4B"/>
    <w:rsid w:val="007014DE"/>
    <w:rsid w:val="00701C5D"/>
    <w:rsid w:val="00704BD9"/>
    <w:rsid w:val="00704CF9"/>
    <w:rsid w:val="00704D2C"/>
    <w:rsid w:val="00704FD4"/>
    <w:rsid w:val="0070517B"/>
    <w:rsid w:val="007102D2"/>
    <w:rsid w:val="00714D17"/>
    <w:rsid w:val="007172DE"/>
    <w:rsid w:val="007178F0"/>
    <w:rsid w:val="00723401"/>
    <w:rsid w:val="007236F4"/>
    <w:rsid w:val="0072461C"/>
    <w:rsid w:val="00724B21"/>
    <w:rsid w:val="00727FAC"/>
    <w:rsid w:val="00730238"/>
    <w:rsid w:val="0073147C"/>
    <w:rsid w:val="007345FE"/>
    <w:rsid w:val="00735FC9"/>
    <w:rsid w:val="00737B56"/>
    <w:rsid w:val="00740CDE"/>
    <w:rsid w:val="007476C0"/>
    <w:rsid w:val="00747C2F"/>
    <w:rsid w:val="00747DF2"/>
    <w:rsid w:val="00751CAA"/>
    <w:rsid w:val="007525F3"/>
    <w:rsid w:val="00752CDA"/>
    <w:rsid w:val="00756FB9"/>
    <w:rsid w:val="0076048E"/>
    <w:rsid w:val="0076199E"/>
    <w:rsid w:val="0076254B"/>
    <w:rsid w:val="00762CA7"/>
    <w:rsid w:val="0076374F"/>
    <w:rsid w:val="00765830"/>
    <w:rsid w:val="00767939"/>
    <w:rsid w:val="00767A8E"/>
    <w:rsid w:val="00771373"/>
    <w:rsid w:val="0077391D"/>
    <w:rsid w:val="00782A01"/>
    <w:rsid w:val="00782C7B"/>
    <w:rsid w:val="0078680A"/>
    <w:rsid w:val="00790CB5"/>
    <w:rsid w:val="00792000"/>
    <w:rsid w:val="00792ABF"/>
    <w:rsid w:val="00794493"/>
    <w:rsid w:val="007953EF"/>
    <w:rsid w:val="007966D0"/>
    <w:rsid w:val="00796B6C"/>
    <w:rsid w:val="007A53F4"/>
    <w:rsid w:val="007A5925"/>
    <w:rsid w:val="007A5B0D"/>
    <w:rsid w:val="007A6325"/>
    <w:rsid w:val="007A6708"/>
    <w:rsid w:val="007A7EE8"/>
    <w:rsid w:val="007B2940"/>
    <w:rsid w:val="007B2A8B"/>
    <w:rsid w:val="007B74AC"/>
    <w:rsid w:val="007C3A38"/>
    <w:rsid w:val="007C7864"/>
    <w:rsid w:val="007D0380"/>
    <w:rsid w:val="007D1324"/>
    <w:rsid w:val="007D48F2"/>
    <w:rsid w:val="007D4DF6"/>
    <w:rsid w:val="007D5261"/>
    <w:rsid w:val="007D57F0"/>
    <w:rsid w:val="007E05D8"/>
    <w:rsid w:val="007E0F28"/>
    <w:rsid w:val="007E6515"/>
    <w:rsid w:val="007E6652"/>
    <w:rsid w:val="007E7D66"/>
    <w:rsid w:val="007F00AC"/>
    <w:rsid w:val="007F2D2B"/>
    <w:rsid w:val="007F73AF"/>
    <w:rsid w:val="008018AD"/>
    <w:rsid w:val="00806590"/>
    <w:rsid w:val="00806C09"/>
    <w:rsid w:val="008101EF"/>
    <w:rsid w:val="0081322D"/>
    <w:rsid w:val="00815117"/>
    <w:rsid w:val="00815BE9"/>
    <w:rsid w:val="00816C6B"/>
    <w:rsid w:val="00822532"/>
    <w:rsid w:val="00824B91"/>
    <w:rsid w:val="008253AD"/>
    <w:rsid w:val="00825599"/>
    <w:rsid w:val="00830D57"/>
    <w:rsid w:val="008329F2"/>
    <w:rsid w:val="00832BD8"/>
    <w:rsid w:val="008357B0"/>
    <w:rsid w:val="00835BAD"/>
    <w:rsid w:val="00836977"/>
    <w:rsid w:val="0083720F"/>
    <w:rsid w:val="00837606"/>
    <w:rsid w:val="00840A5E"/>
    <w:rsid w:val="0084189F"/>
    <w:rsid w:val="00841E14"/>
    <w:rsid w:val="008439BE"/>
    <w:rsid w:val="00843C93"/>
    <w:rsid w:val="00845605"/>
    <w:rsid w:val="008458E0"/>
    <w:rsid w:val="00847221"/>
    <w:rsid w:val="00847ABD"/>
    <w:rsid w:val="00852358"/>
    <w:rsid w:val="00856E38"/>
    <w:rsid w:val="008577FC"/>
    <w:rsid w:val="00863508"/>
    <w:rsid w:val="00867070"/>
    <w:rsid w:val="008673FD"/>
    <w:rsid w:val="008701BE"/>
    <w:rsid w:val="008709BC"/>
    <w:rsid w:val="00875A87"/>
    <w:rsid w:val="008800A6"/>
    <w:rsid w:val="008829FB"/>
    <w:rsid w:val="00882F0F"/>
    <w:rsid w:val="00883783"/>
    <w:rsid w:val="008845E2"/>
    <w:rsid w:val="00885740"/>
    <w:rsid w:val="00886423"/>
    <w:rsid w:val="00887F04"/>
    <w:rsid w:val="0089131C"/>
    <w:rsid w:val="00895AA5"/>
    <w:rsid w:val="00896A19"/>
    <w:rsid w:val="00897588"/>
    <w:rsid w:val="008A3C73"/>
    <w:rsid w:val="008A50B3"/>
    <w:rsid w:val="008A51A6"/>
    <w:rsid w:val="008B0B5C"/>
    <w:rsid w:val="008B0F3E"/>
    <w:rsid w:val="008B2158"/>
    <w:rsid w:val="008B2837"/>
    <w:rsid w:val="008B3FFA"/>
    <w:rsid w:val="008B5617"/>
    <w:rsid w:val="008C0F61"/>
    <w:rsid w:val="008C1810"/>
    <w:rsid w:val="008C27D1"/>
    <w:rsid w:val="008C328A"/>
    <w:rsid w:val="008C420D"/>
    <w:rsid w:val="008C6A8F"/>
    <w:rsid w:val="008D077D"/>
    <w:rsid w:val="008D12F0"/>
    <w:rsid w:val="008D37D7"/>
    <w:rsid w:val="008D7CE6"/>
    <w:rsid w:val="008E168C"/>
    <w:rsid w:val="008E1E14"/>
    <w:rsid w:val="008E21A4"/>
    <w:rsid w:val="008E366F"/>
    <w:rsid w:val="008E3B90"/>
    <w:rsid w:val="008E41E5"/>
    <w:rsid w:val="008E58DC"/>
    <w:rsid w:val="008E7BE7"/>
    <w:rsid w:val="008F0E0B"/>
    <w:rsid w:val="008F3C54"/>
    <w:rsid w:val="008F4D6A"/>
    <w:rsid w:val="008F5CB5"/>
    <w:rsid w:val="008F61BA"/>
    <w:rsid w:val="008F6B4B"/>
    <w:rsid w:val="00902094"/>
    <w:rsid w:val="0090230C"/>
    <w:rsid w:val="00902C4C"/>
    <w:rsid w:val="009033F2"/>
    <w:rsid w:val="0090559E"/>
    <w:rsid w:val="00905EAE"/>
    <w:rsid w:val="00906081"/>
    <w:rsid w:val="009063F7"/>
    <w:rsid w:val="00907944"/>
    <w:rsid w:val="00912CC0"/>
    <w:rsid w:val="00913B37"/>
    <w:rsid w:val="00914115"/>
    <w:rsid w:val="00920438"/>
    <w:rsid w:val="00920B8A"/>
    <w:rsid w:val="009213E5"/>
    <w:rsid w:val="00921488"/>
    <w:rsid w:val="00921F44"/>
    <w:rsid w:val="009261FB"/>
    <w:rsid w:val="00934252"/>
    <w:rsid w:val="00935984"/>
    <w:rsid w:val="00935D68"/>
    <w:rsid w:val="00936DC1"/>
    <w:rsid w:val="009412AD"/>
    <w:rsid w:val="00941C35"/>
    <w:rsid w:val="00942107"/>
    <w:rsid w:val="0094526A"/>
    <w:rsid w:val="009462A9"/>
    <w:rsid w:val="00947E4B"/>
    <w:rsid w:val="00950617"/>
    <w:rsid w:val="00951D55"/>
    <w:rsid w:val="00954298"/>
    <w:rsid w:val="00957F9E"/>
    <w:rsid w:val="009600C2"/>
    <w:rsid w:val="009623CC"/>
    <w:rsid w:val="00963C26"/>
    <w:rsid w:val="00964B28"/>
    <w:rsid w:val="00964DCB"/>
    <w:rsid w:val="0097223A"/>
    <w:rsid w:val="00972F0B"/>
    <w:rsid w:val="00973057"/>
    <w:rsid w:val="009731E4"/>
    <w:rsid w:val="0097388A"/>
    <w:rsid w:val="009744A8"/>
    <w:rsid w:val="00975FFC"/>
    <w:rsid w:val="00976393"/>
    <w:rsid w:val="009766E8"/>
    <w:rsid w:val="00977AA9"/>
    <w:rsid w:val="00977D1D"/>
    <w:rsid w:val="00980660"/>
    <w:rsid w:val="00980D96"/>
    <w:rsid w:val="00981F06"/>
    <w:rsid w:val="009835E0"/>
    <w:rsid w:val="00983963"/>
    <w:rsid w:val="00984010"/>
    <w:rsid w:val="00984162"/>
    <w:rsid w:val="0098481B"/>
    <w:rsid w:val="00984A38"/>
    <w:rsid w:val="00985F94"/>
    <w:rsid w:val="00990339"/>
    <w:rsid w:val="009911F1"/>
    <w:rsid w:val="009948F4"/>
    <w:rsid w:val="00995078"/>
    <w:rsid w:val="00997B61"/>
    <w:rsid w:val="009A1F09"/>
    <w:rsid w:val="009A2293"/>
    <w:rsid w:val="009A4FD8"/>
    <w:rsid w:val="009A66AD"/>
    <w:rsid w:val="009A6CD3"/>
    <w:rsid w:val="009A7127"/>
    <w:rsid w:val="009B1B84"/>
    <w:rsid w:val="009B2D80"/>
    <w:rsid w:val="009B3103"/>
    <w:rsid w:val="009B5854"/>
    <w:rsid w:val="009C0477"/>
    <w:rsid w:val="009C1589"/>
    <w:rsid w:val="009C27FD"/>
    <w:rsid w:val="009C3AD1"/>
    <w:rsid w:val="009C3FC9"/>
    <w:rsid w:val="009C5696"/>
    <w:rsid w:val="009C7B24"/>
    <w:rsid w:val="009D27AB"/>
    <w:rsid w:val="009D3D84"/>
    <w:rsid w:val="009D54D5"/>
    <w:rsid w:val="009E1A37"/>
    <w:rsid w:val="009E20CB"/>
    <w:rsid w:val="009E22FC"/>
    <w:rsid w:val="009E2567"/>
    <w:rsid w:val="009E338E"/>
    <w:rsid w:val="009E3989"/>
    <w:rsid w:val="009E4B98"/>
    <w:rsid w:val="009E5F37"/>
    <w:rsid w:val="009E68FE"/>
    <w:rsid w:val="009F32B2"/>
    <w:rsid w:val="009F579E"/>
    <w:rsid w:val="009F5C2A"/>
    <w:rsid w:val="00A00FAD"/>
    <w:rsid w:val="00A012B1"/>
    <w:rsid w:val="00A01428"/>
    <w:rsid w:val="00A02D64"/>
    <w:rsid w:val="00A0328D"/>
    <w:rsid w:val="00A035FC"/>
    <w:rsid w:val="00A060BA"/>
    <w:rsid w:val="00A07611"/>
    <w:rsid w:val="00A12F00"/>
    <w:rsid w:val="00A14707"/>
    <w:rsid w:val="00A14F37"/>
    <w:rsid w:val="00A1534A"/>
    <w:rsid w:val="00A164C2"/>
    <w:rsid w:val="00A170B5"/>
    <w:rsid w:val="00A175C8"/>
    <w:rsid w:val="00A207EB"/>
    <w:rsid w:val="00A2553D"/>
    <w:rsid w:val="00A261FA"/>
    <w:rsid w:val="00A26F16"/>
    <w:rsid w:val="00A26F5C"/>
    <w:rsid w:val="00A27A7A"/>
    <w:rsid w:val="00A30182"/>
    <w:rsid w:val="00A31D41"/>
    <w:rsid w:val="00A331D5"/>
    <w:rsid w:val="00A3503A"/>
    <w:rsid w:val="00A35ACA"/>
    <w:rsid w:val="00A41485"/>
    <w:rsid w:val="00A4350B"/>
    <w:rsid w:val="00A46E57"/>
    <w:rsid w:val="00A47D7D"/>
    <w:rsid w:val="00A51F6A"/>
    <w:rsid w:val="00A52493"/>
    <w:rsid w:val="00A524C7"/>
    <w:rsid w:val="00A524D8"/>
    <w:rsid w:val="00A53E6F"/>
    <w:rsid w:val="00A53F46"/>
    <w:rsid w:val="00A55775"/>
    <w:rsid w:val="00A560DC"/>
    <w:rsid w:val="00A60060"/>
    <w:rsid w:val="00A62E46"/>
    <w:rsid w:val="00A64DA9"/>
    <w:rsid w:val="00A673C3"/>
    <w:rsid w:val="00A7153C"/>
    <w:rsid w:val="00A717ED"/>
    <w:rsid w:val="00A73A71"/>
    <w:rsid w:val="00A747DB"/>
    <w:rsid w:val="00A74D20"/>
    <w:rsid w:val="00A76874"/>
    <w:rsid w:val="00A806FE"/>
    <w:rsid w:val="00A82689"/>
    <w:rsid w:val="00A83FC3"/>
    <w:rsid w:val="00A8421C"/>
    <w:rsid w:val="00A92995"/>
    <w:rsid w:val="00A94E25"/>
    <w:rsid w:val="00A958DA"/>
    <w:rsid w:val="00A97A95"/>
    <w:rsid w:val="00A97ADF"/>
    <w:rsid w:val="00A97BB8"/>
    <w:rsid w:val="00A97F76"/>
    <w:rsid w:val="00AA0C94"/>
    <w:rsid w:val="00AA481C"/>
    <w:rsid w:val="00AA59D7"/>
    <w:rsid w:val="00AA5BF7"/>
    <w:rsid w:val="00AA5F2D"/>
    <w:rsid w:val="00AA6352"/>
    <w:rsid w:val="00AB0ADD"/>
    <w:rsid w:val="00AB0F62"/>
    <w:rsid w:val="00AB42B1"/>
    <w:rsid w:val="00AC23DF"/>
    <w:rsid w:val="00AC38F7"/>
    <w:rsid w:val="00AC7002"/>
    <w:rsid w:val="00AD0CD5"/>
    <w:rsid w:val="00AD0D68"/>
    <w:rsid w:val="00AD65BF"/>
    <w:rsid w:val="00AD6D6D"/>
    <w:rsid w:val="00AE09B8"/>
    <w:rsid w:val="00AE3A51"/>
    <w:rsid w:val="00AF1AC8"/>
    <w:rsid w:val="00AF3E82"/>
    <w:rsid w:val="00AF4070"/>
    <w:rsid w:val="00AF52C5"/>
    <w:rsid w:val="00AF668D"/>
    <w:rsid w:val="00B006E5"/>
    <w:rsid w:val="00B01584"/>
    <w:rsid w:val="00B0327A"/>
    <w:rsid w:val="00B053C0"/>
    <w:rsid w:val="00B06011"/>
    <w:rsid w:val="00B10166"/>
    <w:rsid w:val="00B124AF"/>
    <w:rsid w:val="00B12F05"/>
    <w:rsid w:val="00B16D56"/>
    <w:rsid w:val="00B171C2"/>
    <w:rsid w:val="00B17869"/>
    <w:rsid w:val="00B23521"/>
    <w:rsid w:val="00B24853"/>
    <w:rsid w:val="00B248A2"/>
    <w:rsid w:val="00B27417"/>
    <w:rsid w:val="00B30EB0"/>
    <w:rsid w:val="00B31CCB"/>
    <w:rsid w:val="00B32791"/>
    <w:rsid w:val="00B32A9F"/>
    <w:rsid w:val="00B336B0"/>
    <w:rsid w:val="00B3569E"/>
    <w:rsid w:val="00B3601F"/>
    <w:rsid w:val="00B36963"/>
    <w:rsid w:val="00B36D12"/>
    <w:rsid w:val="00B3705D"/>
    <w:rsid w:val="00B37BC6"/>
    <w:rsid w:val="00B420C9"/>
    <w:rsid w:val="00B45FE6"/>
    <w:rsid w:val="00B47E02"/>
    <w:rsid w:val="00B50C24"/>
    <w:rsid w:val="00B50E9B"/>
    <w:rsid w:val="00B5283D"/>
    <w:rsid w:val="00B5295B"/>
    <w:rsid w:val="00B54330"/>
    <w:rsid w:val="00B5496D"/>
    <w:rsid w:val="00B5527D"/>
    <w:rsid w:val="00B56087"/>
    <w:rsid w:val="00B57373"/>
    <w:rsid w:val="00B57CD7"/>
    <w:rsid w:val="00B617B5"/>
    <w:rsid w:val="00B61B75"/>
    <w:rsid w:val="00B64503"/>
    <w:rsid w:val="00B652C2"/>
    <w:rsid w:val="00B6560B"/>
    <w:rsid w:val="00B661BE"/>
    <w:rsid w:val="00B66C10"/>
    <w:rsid w:val="00B67210"/>
    <w:rsid w:val="00B7325B"/>
    <w:rsid w:val="00B74405"/>
    <w:rsid w:val="00B74EC2"/>
    <w:rsid w:val="00B75246"/>
    <w:rsid w:val="00B75D28"/>
    <w:rsid w:val="00B8039A"/>
    <w:rsid w:val="00B8124D"/>
    <w:rsid w:val="00B81EE9"/>
    <w:rsid w:val="00B86ABE"/>
    <w:rsid w:val="00B87DD2"/>
    <w:rsid w:val="00B91386"/>
    <w:rsid w:val="00B94780"/>
    <w:rsid w:val="00B95FAC"/>
    <w:rsid w:val="00B97635"/>
    <w:rsid w:val="00BA006D"/>
    <w:rsid w:val="00BA1FFC"/>
    <w:rsid w:val="00BA3C03"/>
    <w:rsid w:val="00BA4174"/>
    <w:rsid w:val="00BA41CA"/>
    <w:rsid w:val="00BA6245"/>
    <w:rsid w:val="00BA6A40"/>
    <w:rsid w:val="00BA6F28"/>
    <w:rsid w:val="00BA79C5"/>
    <w:rsid w:val="00BB1ED0"/>
    <w:rsid w:val="00BB3719"/>
    <w:rsid w:val="00BB6CC5"/>
    <w:rsid w:val="00BB76CB"/>
    <w:rsid w:val="00BC1D88"/>
    <w:rsid w:val="00BC234F"/>
    <w:rsid w:val="00BC4708"/>
    <w:rsid w:val="00BC5B45"/>
    <w:rsid w:val="00BC732A"/>
    <w:rsid w:val="00BD0A0E"/>
    <w:rsid w:val="00BD3096"/>
    <w:rsid w:val="00BD324C"/>
    <w:rsid w:val="00BD5639"/>
    <w:rsid w:val="00BD5B1C"/>
    <w:rsid w:val="00BD60A6"/>
    <w:rsid w:val="00BD65DE"/>
    <w:rsid w:val="00BD7D30"/>
    <w:rsid w:val="00BD7F35"/>
    <w:rsid w:val="00BE1921"/>
    <w:rsid w:val="00BE2A51"/>
    <w:rsid w:val="00BF64A1"/>
    <w:rsid w:val="00BF771E"/>
    <w:rsid w:val="00C00144"/>
    <w:rsid w:val="00C00208"/>
    <w:rsid w:val="00C00606"/>
    <w:rsid w:val="00C00621"/>
    <w:rsid w:val="00C00BD6"/>
    <w:rsid w:val="00C010EE"/>
    <w:rsid w:val="00C011AD"/>
    <w:rsid w:val="00C01E63"/>
    <w:rsid w:val="00C02B2A"/>
    <w:rsid w:val="00C02D23"/>
    <w:rsid w:val="00C03264"/>
    <w:rsid w:val="00C071AC"/>
    <w:rsid w:val="00C077AC"/>
    <w:rsid w:val="00C07BA8"/>
    <w:rsid w:val="00C1367C"/>
    <w:rsid w:val="00C13FF6"/>
    <w:rsid w:val="00C165D5"/>
    <w:rsid w:val="00C16FF8"/>
    <w:rsid w:val="00C200F4"/>
    <w:rsid w:val="00C20644"/>
    <w:rsid w:val="00C20805"/>
    <w:rsid w:val="00C21B8D"/>
    <w:rsid w:val="00C21ED8"/>
    <w:rsid w:val="00C23193"/>
    <w:rsid w:val="00C248E7"/>
    <w:rsid w:val="00C24AEF"/>
    <w:rsid w:val="00C258DA"/>
    <w:rsid w:val="00C25B3D"/>
    <w:rsid w:val="00C269DC"/>
    <w:rsid w:val="00C26B97"/>
    <w:rsid w:val="00C26D6B"/>
    <w:rsid w:val="00C27884"/>
    <w:rsid w:val="00C27D83"/>
    <w:rsid w:val="00C318BF"/>
    <w:rsid w:val="00C3237C"/>
    <w:rsid w:val="00C37DA5"/>
    <w:rsid w:val="00C37E30"/>
    <w:rsid w:val="00C41031"/>
    <w:rsid w:val="00C43A08"/>
    <w:rsid w:val="00C43B78"/>
    <w:rsid w:val="00C463A0"/>
    <w:rsid w:val="00C46D9D"/>
    <w:rsid w:val="00C50B0A"/>
    <w:rsid w:val="00C52C3B"/>
    <w:rsid w:val="00C5571A"/>
    <w:rsid w:val="00C56D6E"/>
    <w:rsid w:val="00C574C4"/>
    <w:rsid w:val="00C603CA"/>
    <w:rsid w:val="00C62E60"/>
    <w:rsid w:val="00C645FE"/>
    <w:rsid w:val="00C7043B"/>
    <w:rsid w:val="00C707B3"/>
    <w:rsid w:val="00C7229F"/>
    <w:rsid w:val="00C727EB"/>
    <w:rsid w:val="00C7634B"/>
    <w:rsid w:val="00C766D0"/>
    <w:rsid w:val="00C77F0B"/>
    <w:rsid w:val="00C817B5"/>
    <w:rsid w:val="00C863C2"/>
    <w:rsid w:val="00C904AD"/>
    <w:rsid w:val="00C92CB4"/>
    <w:rsid w:val="00C93B69"/>
    <w:rsid w:val="00C94546"/>
    <w:rsid w:val="00C95373"/>
    <w:rsid w:val="00C9757E"/>
    <w:rsid w:val="00CA205A"/>
    <w:rsid w:val="00CA254A"/>
    <w:rsid w:val="00CA2718"/>
    <w:rsid w:val="00CA3D6B"/>
    <w:rsid w:val="00CA65A2"/>
    <w:rsid w:val="00CB0564"/>
    <w:rsid w:val="00CB0E87"/>
    <w:rsid w:val="00CB22D6"/>
    <w:rsid w:val="00CB3717"/>
    <w:rsid w:val="00CB38BF"/>
    <w:rsid w:val="00CC0E3E"/>
    <w:rsid w:val="00CC1149"/>
    <w:rsid w:val="00CC1260"/>
    <w:rsid w:val="00CC749F"/>
    <w:rsid w:val="00CD48C8"/>
    <w:rsid w:val="00CD6633"/>
    <w:rsid w:val="00CD6F26"/>
    <w:rsid w:val="00CE01EB"/>
    <w:rsid w:val="00CE1EC1"/>
    <w:rsid w:val="00CE5351"/>
    <w:rsid w:val="00CE653E"/>
    <w:rsid w:val="00CE77D8"/>
    <w:rsid w:val="00CF1AFD"/>
    <w:rsid w:val="00CF2137"/>
    <w:rsid w:val="00CF21DB"/>
    <w:rsid w:val="00CF240F"/>
    <w:rsid w:val="00CF4686"/>
    <w:rsid w:val="00CF4F45"/>
    <w:rsid w:val="00CF7B15"/>
    <w:rsid w:val="00D000DA"/>
    <w:rsid w:val="00D01A3D"/>
    <w:rsid w:val="00D027D8"/>
    <w:rsid w:val="00D0322D"/>
    <w:rsid w:val="00D0358D"/>
    <w:rsid w:val="00D03E75"/>
    <w:rsid w:val="00D05633"/>
    <w:rsid w:val="00D06155"/>
    <w:rsid w:val="00D06E14"/>
    <w:rsid w:val="00D109FB"/>
    <w:rsid w:val="00D1494D"/>
    <w:rsid w:val="00D163E4"/>
    <w:rsid w:val="00D16D15"/>
    <w:rsid w:val="00D215A5"/>
    <w:rsid w:val="00D25503"/>
    <w:rsid w:val="00D25708"/>
    <w:rsid w:val="00D26BF5"/>
    <w:rsid w:val="00D27C7F"/>
    <w:rsid w:val="00D311D0"/>
    <w:rsid w:val="00D360DF"/>
    <w:rsid w:val="00D37754"/>
    <w:rsid w:val="00D41999"/>
    <w:rsid w:val="00D436E1"/>
    <w:rsid w:val="00D53744"/>
    <w:rsid w:val="00D537CF"/>
    <w:rsid w:val="00D5430D"/>
    <w:rsid w:val="00D54F88"/>
    <w:rsid w:val="00D55A8A"/>
    <w:rsid w:val="00D579B2"/>
    <w:rsid w:val="00D64A4D"/>
    <w:rsid w:val="00D673B2"/>
    <w:rsid w:val="00D703D7"/>
    <w:rsid w:val="00D7094A"/>
    <w:rsid w:val="00D70A16"/>
    <w:rsid w:val="00D72704"/>
    <w:rsid w:val="00D81004"/>
    <w:rsid w:val="00D8260F"/>
    <w:rsid w:val="00D82B13"/>
    <w:rsid w:val="00D82D7F"/>
    <w:rsid w:val="00D836B8"/>
    <w:rsid w:val="00D84B4D"/>
    <w:rsid w:val="00D84E4C"/>
    <w:rsid w:val="00D873B1"/>
    <w:rsid w:val="00D90189"/>
    <w:rsid w:val="00D9170B"/>
    <w:rsid w:val="00D94A26"/>
    <w:rsid w:val="00D9507B"/>
    <w:rsid w:val="00D9582D"/>
    <w:rsid w:val="00D96833"/>
    <w:rsid w:val="00DA3CDB"/>
    <w:rsid w:val="00DA4A2A"/>
    <w:rsid w:val="00DA4FA0"/>
    <w:rsid w:val="00DB30FD"/>
    <w:rsid w:val="00DB31EF"/>
    <w:rsid w:val="00DB372D"/>
    <w:rsid w:val="00DB459F"/>
    <w:rsid w:val="00DB7068"/>
    <w:rsid w:val="00DC0839"/>
    <w:rsid w:val="00DC1036"/>
    <w:rsid w:val="00DC2AD0"/>
    <w:rsid w:val="00DC4AC1"/>
    <w:rsid w:val="00DC526A"/>
    <w:rsid w:val="00DC5CB9"/>
    <w:rsid w:val="00DC60F1"/>
    <w:rsid w:val="00DC70CF"/>
    <w:rsid w:val="00DC7296"/>
    <w:rsid w:val="00DC7C51"/>
    <w:rsid w:val="00DD5AC8"/>
    <w:rsid w:val="00DD77DA"/>
    <w:rsid w:val="00DD7A74"/>
    <w:rsid w:val="00DE0547"/>
    <w:rsid w:val="00DE4A1B"/>
    <w:rsid w:val="00DE7447"/>
    <w:rsid w:val="00DE7DC1"/>
    <w:rsid w:val="00DF078A"/>
    <w:rsid w:val="00DF1B08"/>
    <w:rsid w:val="00DF226F"/>
    <w:rsid w:val="00DF32F5"/>
    <w:rsid w:val="00DF43DE"/>
    <w:rsid w:val="00DF4CB9"/>
    <w:rsid w:val="00DF4D2F"/>
    <w:rsid w:val="00DF6ECE"/>
    <w:rsid w:val="00DF74F3"/>
    <w:rsid w:val="00E00749"/>
    <w:rsid w:val="00E01512"/>
    <w:rsid w:val="00E02C0C"/>
    <w:rsid w:val="00E04268"/>
    <w:rsid w:val="00E062E8"/>
    <w:rsid w:val="00E0640A"/>
    <w:rsid w:val="00E074B7"/>
    <w:rsid w:val="00E11524"/>
    <w:rsid w:val="00E11E44"/>
    <w:rsid w:val="00E11FDC"/>
    <w:rsid w:val="00E1288A"/>
    <w:rsid w:val="00E13528"/>
    <w:rsid w:val="00E14F64"/>
    <w:rsid w:val="00E1748A"/>
    <w:rsid w:val="00E17BC0"/>
    <w:rsid w:val="00E20538"/>
    <w:rsid w:val="00E20B33"/>
    <w:rsid w:val="00E31929"/>
    <w:rsid w:val="00E33066"/>
    <w:rsid w:val="00E34EEA"/>
    <w:rsid w:val="00E35695"/>
    <w:rsid w:val="00E364C2"/>
    <w:rsid w:val="00E365FD"/>
    <w:rsid w:val="00E371FC"/>
    <w:rsid w:val="00E4120E"/>
    <w:rsid w:val="00E47B75"/>
    <w:rsid w:val="00E52AA3"/>
    <w:rsid w:val="00E5459F"/>
    <w:rsid w:val="00E54A46"/>
    <w:rsid w:val="00E56846"/>
    <w:rsid w:val="00E629D1"/>
    <w:rsid w:val="00E63126"/>
    <w:rsid w:val="00E642B2"/>
    <w:rsid w:val="00E6479B"/>
    <w:rsid w:val="00E658E5"/>
    <w:rsid w:val="00E66580"/>
    <w:rsid w:val="00E716B6"/>
    <w:rsid w:val="00E722DF"/>
    <w:rsid w:val="00E738DE"/>
    <w:rsid w:val="00E74054"/>
    <w:rsid w:val="00E76950"/>
    <w:rsid w:val="00E7766F"/>
    <w:rsid w:val="00E831CF"/>
    <w:rsid w:val="00E8578C"/>
    <w:rsid w:val="00E85E4D"/>
    <w:rsid w:val="00E8795B"/>
    <w:rsid w:val="00E91520"/>
    <w:rsid w:val="00E915EF"/>
    <w:rsid w:val="00E91F2A"/>
    <w:rsid w:val="00E93B6B"/>
    <w:rsid w:val="00E97974"/>
    <w:rsid w:val="00EA2C44"/>
    <w:rsid w:val="00EA59BD"/>
    <w:rsid w:val="00EA672E"/>
    <w:rsid w:val="00EB0448"/>
    <w:rsid w:val="00EB169F"/>
    <w:rsid w:val="00EB7D08"/>
    <w:rsid w:val="00EC18B0"/>
    <w:rsid w:val="00EC568E"/>
    <w:rsid w:val="00EC61A7"/>
    <w:rsid w:val="00EC651B"/>
    <w:rsid w:val="00ED24CD"/>
    <w:rsid w:val="00ED2832"/>
    <w:rsid w:val="00ED30DD"/>
    <w:rsid w:val="00ED3113"/>
    <w:rsid w:val="00ED56E0"/>
    <w:rsid w:val="00EE041C"/>
    <w:rsid w:val="00EE1D0D"/>
    <w:rsid w:val="00EE4F28"/>
    <w:rsid w:val="00EE63FE"/>
    <w:rsid w:val="00EE6779"/>
    <w:rsid w:val="00EE6BF0"/>
    <w:rsid w:val="00EE795D"/>
    <w:rsid w:val="00EF044D"/>
    <w:rsid w:val="00EF0528"/>
    <w:rsid w:val="00EF1067"/>
    <w:rsid w:val="00EF18B3"/>
    <w:rsid w:val="00EF2937"/>
    <w:rsid w:val="00EF5B5C"/>
    <w:rsid w:val="00EF6D71"/>
    <w:rsid w:val="00F011EF"/>
    <w:rsid w:val="00F023E6"/>
    <w:rsid w:val="00F036F1"/>
    <w:rsid w:val="00F03CC9"/>
    <w:rsid w:val="00F04A27"/>
    <w:rsid w:val="00F053C6"/>
    <w:rsid w:val="00F074A8"/>
    <w:rsid w:val="00F108D9"/>
    <w:rsid w:val="00F10BD9"/>
    <w:rsid w:val="00F10ECF"/>
    <w:rsid w:val="00F11A60"/>
    <w:rsid w:val="00F11DD4"/>
    <w:rsid w:val="00F146C8"/>
    <w:rsid w:val="00F160FF"/>
    <w:rsid w:val="00F17BF1"/>
    <w:rsid w:val="00F21CCB"/>
    <w:rsid w:val="00F22C01"/>
    <w:rsid w:val="00F25A03"/>
    <w:rsid w:val="00F359FE"/>
    <w:rsid w:val="00F35E33"/>
    <w:rsid w:val="00F36ED1"/>
    <w:rsid w:val="00F423A2"/>
    <w:rsid w:val="00F42CA1"/>
    <w:rsid w:val="00F44144"/>
    <w:rsid w:val="00F46673"/>
    <w:rsid w:val="00F467C4"/>
    <w:rsid w:val="00F470A3"/>
    <w:rsid w:val="00F568DA"/>
    <w:rsid w:val="00F57A6E"/>
    <w:rsid w:val="00F62E62"/>
    <w:rsid w:val="00F638AC"/>
    <w:rsid w:val="00F64C23"/>
    <w:rsid w:val="00F64CCB"/>
    <w:rsid w:val="00F65926"/>
    <w:rsid w:val="00F65CAE"/>
    <w:rsid w:val="00F66F33"/>
    <w:rsid w:val="00F7090E"/>
    <w:rsid w:val="00F70D09"/>
    <w:rsid w:val="00F72F0A"/>
    <w:rsid w:val="00F74C82"/>
    <w:rsid w:val="00F7570B"/>
    <w:rsid w:val="00F771D8"/>
    <w:rsid w:val="00F772E0"/>
    <w:rsid w:val="00F80E3B"/>
    <w:rsid w:val="00F815C7"/>
    <w:rsid w:val="00F82415"/>
    <w:rsid w:val="00F82840"/>
    <w:rsid w:val="00F83F28"/>
    <w:rsid w:val="00F907B1"/>
    <w:rsid w:val="00F91F88"/>
    <w:rsid w:val="00F938DA"/>
    <w:rsid w:val="00F93CD0"/>
    <w:rsid w:val="00F947DA"/>
    <w:rsid w:val="00FA26D6"/>
    <w:rsid w:val="00FA2C70"/>
    <w:rsid w:val="00FA5CAB"/>
    <w:rsid w:val="00FA64FE"/>
    <w:rsid w:val="00FA7550"/>
    <w:rsid w:val="00FB0698"/>
    <w:rsid w:val="00FB1BA5"/>
    <w:rsid w:val="00FB3ABA"/>
    <w:rsid w:val="00FB4525"/>
    <w:rsid w:val="00FB5B16"/>
    <w:rsid w:val="00FC03E7"/>
    <w:rsid w:val="00FC42DD"/>
    <w:rsid w:val="00FD3965"/>
    <w:rsid w:val="00FD40BD"/>
    <w:rsid w:val="00FD4EE7"/>
    <w:rsid w:val="00FD526B"/>
    <w:rsid w:val="00FD57CB"/>
    <w:rsid w:val="00FD5BE2"/>
    <w:rsid w:val="00FD6CCC"/>
    <w:rsid w:val="00FE06C5"/>
    <w:rsid w:val="00FE203F"/>
    <w:rsid w:val="00FE653D"/>
    <w:rsid w:val="00FF0174"/>
    <w:rsid w:val="00FF13DB"/>
    <w:rsid w:val="00FF2667"/>
    <w:rsid w:val="00FF35E1"/>
    <w:rsid w:val="00FF62F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5DC2C3"/>
  <w15:docId w15:val="{816B39AD-15FA-413C-A650-4A4ABF82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016"/>
    <w:pPr>
      <w:adjustRightInd w:val="0"/>
      <w:spacing w:after="0" w:line="240" w:lineRule="auto"/>
      <w:jc w:val="both"/>
    </w:pPr>
    <w:rPr>
      <w:rFonts w:ascii="Times New Roman" w:hAnsi="Times New Roman" w:cs="Times New Roman"/>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157B1E"/>
    <w:pPr>
      <w:spacing w:after="220"/>
    </w:pPr>
  </w:style>
  <w:style w:type="paragraph" w:customStyle="1" w:styleId="ACBody1">
    <w:name w:val="AC Body 1"/>
    <w:basedOn w:val="Body"/>
    <w:uiPriority w:val="99"/>
    <w:rsid w:val="005F2955"/>
    <w:pPr>
      <w:ind w:left="720"/>
    </w:pPr>
  </w:style>
  <w:style w:type="paragraph" w:customStyle="1" w:styleId="ACLevel1">
    <w:name w:val="AC Level 1"/>
    <w:basedOn w:val="ACBody1"/>
    <w:uiPriority w:val="99"/>
    <w:rsid w:val="00157B1E"/>
    <w:pPr>
      <w:numPr>
        <w:numId w:val="5"/>
      </w:numPr>
      <w:outlineLvl w:val="0"/>
    </w:pPr>
  </w:style>
  <w:style w:type="character" w:customStyle="1" w:styleId="ACLevel1asheadingtext">
    <w:name w:val="AC Level 1 as heading (text)"/>
    <w:basedOn w:val="DefaultParagraphFont"/>
    <w:uiPriority w:val="99"/>
    <w:rsid w:val="00157B1E"/>
    <w:rPr>
      <w:b/>
      <w:bCs/>
    </w:rPr>
  </w:style>
  <w:style w:type="paragraph" w:customStyle="1" w:styleId="ACBody2">
    <w:name w:val="AC Body 2"/>
    <w:basedOn w:val="Body"/>
    <w:uiPriority w:val="99"/>
    <w:rsid w:val="005F2955"/>
    <w:pPr>
      <w:ind w:left="1440"/>
    </w:pPr>
  </w:style>
  <w:style w:type="paragraph" w:customStyle="1" w:styleId="ACLevel2">
    <w:name w:val="AC Level 2"/>
    <w:basedOn w:val="ACBody2"/>
    <w:uiPriority w:val="99"/>
    <w:rsid w:val="00157B1E"/>
    <w:pPr>
      <w:numPr>
        <w:ilvl w:val="1"/>
        <w:numId w:val="5"/>
      </w:numPr>
      <w:outlineLvl w:val="1"/>
    </w:pPr>
  </w:style>
  <w:style w:type="character" w:customStyle="1" w:styleId="ACLevel2asheadingtext">
    <w:name w:val="AC Level 2 as heading (text)"/>
    <w:basedOn w:val="DefaultParagraphFont"/>
    <w:uiPriority w:val="99"/>
    <w:rsid w:val="00157B1E"/>
    <w:rPr>
      <w:b/>
      <w:bCs/>
    </w:rPr>
  </w:style>
  <w:style w:type="paragraph" w:customStyle="1" w:styleId="ACBody3">
    <w:name w:val="AC Body 3"/>
    <w:basedOn w:val="Body"/>
    <w:uiPriority w:val="99"/>
    <w:rsid w:val="005F2955"/>
    <w:pPr>
      <w:ind w:left="2160"/>
    </w:pPr>
  </w:style>
  <w:style w:type="paragraph" w:customStyle="1" w:styleId="ACLevel3">
    <w:name w:val="AC Level 3"/>
    <w:basedOn w:val="ACBody3"/>
    <w:uiPriority w:val="99"/>
    <w:rsid w:val="00157B1E"/>
    <w:pPr>
      <w:numPr>
        <w:ilvl w:val="2"/>
        <w:numId w:val="5"/>
      </w:numPr>
      <w:outlineLvl w:val="2"/>
    </w:pPr>
  </w:style>
  <w:style w:type="character" w:customStyle="1" w:styleId="ACLevel3asheadingtext">
    <w:name w:val="AC Level 3 as heading (text)"/>
    <w:basedOn w:val="DefaultParagraphFont"/>
    <w:uiPriority w:val="99"/>
    <w:rsid w:val="00157B1E"/>
    <w:rPr>
      <w:b/>
      <w:bCs/>
    </w:rPr>
  </w:style>
  <w:style w:type="paragraph" w:customStyle="1" w:styleId="ACBody4">
    <w:name w:val="AC Body 4"/>
    <w:basedOn w:val="Body"/>
    <w:uiPriority w:val="99"/>
    <w:rsid w:val="005F2955"/>
    <w:pPr>
      <w:ind w:left="2880"/>
    </w:pPr>
  </w:style>
  <w:style w:type="paragraph" w:customStyle="1" w:styleId="ACLevel4">
    <w:name w:val="AC Level 4"/>
    <w:basedOn w:val="ACBody4"/>
    <w:uiPriority w:val="99"/>
    <w:rsid w:val="00157B1E"/>
    <w:pPr>
      <w:numPr>
        <w:ilvl w:val="3"/>
        <w:numId w:val="5"/>
      </w:numPr>
      <w:outlineLvl w:val="3"/>
    </w:pPr>
  </w:style>
  <w:style w:type="paragraph" w:customStyle="1" w:styleId="ACBody5">
    <w:name w:val="AC Body 5"/>
    <w:basedOn w:val="Body"/>
    <w:uiPriority w:val="99"/>
    <w:rsid w:val="005F2955"/>
    <w:pPr>
      <w:ind w:left="3600"/>
    </w:pPr>
  </w:style>
  <w:style w:type="paragraph" w:customStyle="1" w:styleId="ACLevel5">
    <w:name w:val="AC Level 5"/>
    <w:basedOn w:val="ACBody5"/>
    <w:uiPriority w:val="99"/>
    <w:rsid w:val="00157B1E"/>
    <w:pPr>
      <w:numPr>
        <w:ilvl w:val="4"/>
        <w:numId w:val="5"/>
      </w:numPr>
      <w:outlineLvl w:val="4"/>
    </w:pPr>
  </w:style>
  <w:style w:type="paragraph" w:customStyle="1" w:styleId="ACAppendix">
    <w:name w:val="AC Appendix"/>
    <w:basedOn w:val="Body"/>
    <w:next w:val="ACSubHeading"/>
    <w:uiPriority w:val="99"/>
    <w:rsid w:val="00157B1E"/>
    <w:pPr>
      <w:keepNext/>
      <w:keepLines/>
      <w:numPr>
        <w:ilvl w:val="1"/>
        <w:numId w:val="8"/>
      </w:numPr>
      <w:jc w:val="center"/>
    </w:pPr>
    <w:rPr>
      <w:b/>
      <w:bCs/>
    </w:rPr>
  </w:style>
  <w:style w:type="paragraph" w:customStyle="1" w:styleId="ACPart">
    <w:name w:val="AC Part"/>
    <w:basedOn w:val="Body"/>
    <w:next w:val="ACSubHeading"/>
    <w:uiPriority w:val="99"/>
    <w:rsid w:val="00157B1E"/>
    <w:pPr>
      <w:keepNext/>
      <w:keepLines/>
      <w:numPr>
        <w:ilvl w:val="2"/>
        <w:numId w:val="8"/>
      </w:numPr>
      <w:jc w:val="center"/>
    </w:pPr>
  </w:style>
  <w:style w:type="paragraph" w:customStyle="1" w:styleId="ACSchedule">
    <w:name w:val="AC Schedule"/>
    <w:basedOn w:val="Body"/>
    <w:next w:val="ACSubHeading"/>
    <w:uiPriority w:val="99"/>
    <w:rsid w:val="00157B1E"/>
    <w:pPr>
      <w:keepNext/>
      <w:keepLines/>
      <w:numPr>
        <w:numId w:val="8"/>
      </w:numPr>
      <w:jc w:val="center"/>
    </w:pPr>
    <w:rPr>
      <w:b/>
      <w:bCs/>
    </w:rPr>
  </w:style>
  <w:style w:type="paragraph" w:customStyle="1" w:styleId="ACSubHeading">
    <w:name w:val="AC Sub Heading"/>
    <w:basedOn w:val="Body"/>
    <w:next w:val="Body"/>
    <w:uiPriority w:val="99"/>
    <w:rsid w:val="00157B1E"/>
    <w:pPr>
      <w:keepNext/>
      <w:keepLines/>
      <w:numPr>
        <w:numId w:val="9"/>
      </w:numPr>
      <w:jc w:val="center"/>
    </w:pPr>
    <w:rPr>
      <w:b/>
      <w:bCs/>
    </w:rPr>
  </w:style>
  <w:style w:type="paragraph" w:styleId="EndnoteText">
    <w:name w:val="endnote text"/>
    <w:basedOn w:val="Normal"/>
    <w:link w:val="EndnoteTextChar"/>
    <w:uiPriority w:val="99"/>
    <w:rsid w:val="00486323"/>
    <w:pPr>
      <w:spacing w:after="100"/>
    </w:pPr>
    <w:rPr>
      <w:sz w:val="20"/>
      <w:szCs w:val="20"/>
    </w:rPr>
  </w:style>
  <w:style w:type="character" w:customStyle="1" w:styleId="EndnoteTextChar">
    <w:name w:val="Endnote Text Char"/>
    <w:basedOn w:val="DefaultParagraphFont"/>
    <w:link w:val="EndnoteText"/>
    <w:uiPriority w:val="99"/>
    <w:rsid w:val="00486323"/>
    <w:rPr>
      <w:rFonts w:ascii="Times New Roman" w:eastAsia="Times New Roman" w:hAnsi="Times New Roman" w:cs="Times New Roman"/>
      <w:sz w:val="20"/>
      <w:szCs w:val="20"/>
      <w:lang w:val="en-IE" w:eastAsia="en-IE"/>
    </w:rPr>
  </w:style>
  <w:style w:type="character" w:styleId="EndnoteReference">
    <w:name w:val="endnote reference"/>
    <w:basedOn w:val="DefaultParagraphFont"/>
    <w:uiPriority w:val="99"/>
    <w:semiHidden/>
    <w:unhideWhenUsed/>
    <w:rsid w:val="00422C53"/>
    <w:rPr>
      <w:vertAlign w:val="superscript"/>
    </w:rPr>
  </w:style>
  <w:style w:type="paragraph" w:styleId="FootnoteText">
    <w:name w:val="footnote text"/>
    <w:basedOn w:val="Normal"/>
    <w:link w:val="FootnoteTextChar"/>
    <w:uiPriority w:val="99"/>
    <w:rsid w:val="00486323"/>
    <w:pPr>
      <w:spacing w:after="100"/>
    </w:pPr>
    <w:rPr>
      <w:sz w:val="20"/>
      <w:szCs w:val="20"/>
    </w:rPr>
  </w:style>
  <w:style w:type="character" w:customStyle="1" w:styleId="FootnoteTextChar">
    <w:name w:val="Footnote Text Char"/>
    <w:basedOn w:val="DefaultParagraphFont"/>
    <w:link w:val="FootnoteText"/>
    <w:uiPriority w:val="99"/>
    <w:rsid w:val="00486323"/>
    <w:rPr>
      <w:rFonts w:ascii="Times New Roman" w:eastAsia="Times New Roman" w:hAnsi="Times New Roman" w:cs="Times New Roman"/>
      <w:sz w:val="20"/>
      <w:szCs w:val="20"/>
      <w:lang w:val="en-IE" w:eastAsia="en-IE"/>
    </w:rPr>
  </w:style>
  <w:style w:type="character" w:styleId="FootnoteReference">
    <w:name w:val="footnote reference"/>
    <w:basedOn w:val="DefaultParagraphFont"/>
    <w:uiPriority w:val="99"/>
    <w:semiHidden/>
    <w:unhideWhenUsed/>
    <w:rsid w:val="00422C53"/>
    <w:rPr>
      <w:vertAlign w:val="superscript"/>
    </w:rPr>
  </w:style>
  <w:style w:type="paragraph" w:styleId="Header">
    <w:name w:val="header"/>
    <w:basedOn w:val="Normal"/>
    <w:link w:val="HeaderChar"/>
    <w:uiPriority w:val="99"/>
    <w:rsid w:val="00486323"/>
    <w:pPr>
      <w:tabs>
        <w:tab w:val="center" w:pos="4160"/>
        <w:tab w:val="right" w:pos="8300"/>
      </w:tabs>
    </w:pPr>
  </w:style>
  <w:style w:type="character" w:customStyle="1" w:styleId="HeaderChar">
    <w:name w:val="Header Char"/>
    <w:basedOn w:val="DefaultParagraphFont"/>
    <w:link w:val="Header"/>
    <w:uiPriority w:val="99"/>
    <w:rsid w:val="00486323"/>
    <w:rPr>
      <w:rFonts w:ascii="Times New Roman" w:eastAsia="Times New Roman" w:hAnsi="Times New Roman" w:cs="Times New Roman"/>
      <w:lang w:val="en-IE" w:eastAsia="en-IE"/>
    </w:rPr>
  </w:style>
  <w:style w:type="paragraph" w:styleId="Footer">
    <w:name w:val="footer"/>
    <w:basedOn w:val="Normal"/>
    <w:link w:val="FooterChar"/>
    <w:uiPriority w:val="99"/>
    <w:rsid w:val="00486323"/>
    <w:pPr>
      <w:tabs>
        <w:tab w:val="center" w:pos="4160"/>
        <w:tab w:val="right" w:pos="8300"/>
      </w:tabs>
    </w:pPr>
  </w:style>
  <w:style w:type="character" w:customStyle="1" w:styleId="FooterChar">
    <w:name w:val="Footer Char"/>
    <w:basedOn w:val="DefaultParagraphFont"/>
    <w:link w:val="Footer"/>
    <w:uiPriority w:val="99"/>
    <w:rsid w:val="00486323"/>
    <w:rPr>
      <w:rFonts w:ascii="Times New Roman" w:eastAsia="Times New Roman" w:hAnsi="Times New Roman" w:cs="Times New Roman"/>
      <w:lang w:val="en-IE" w:eastAsia="en-IE"/>
    </w:rPr>
  </w:style>
  <w:style w:type="paragraph" w:styleId="TOC1">
    <w:name w:val="toc 1"/>
    <w:basedOn w:val="Normal"/>
    <w:next w:val="Normal"/>
    <w:uiPriority w:val="99"/>
    <w:rsid w:val="00486323"/>
    <w:pPr>
      <w:tabs>
        <w:tab w:val="right" w:leader="dot" w:pos="9000"/>
      </w:tabs>
      <w:ind w:left="720" w:right="720" w:hanging="720"/>
      <w:jc w:val="left"/>
    </w:pPr>
    <w:rPr>
      <w:caps/>
    </w:rPr>
  </w:style>
  <w:style w:type="paragraph" w:styleId="TOC2">
    <w:name w:val="toc 2"/>
    <w:basedOn w:val="TOC1"/>
    <w:next w:val="Normal"/>
    <w:uiPriority w:val="99"/>
    <w:rsid w:val="00486323"/>
    <w:pPr>
      <w:ind w:left="1440"/>
    </w:pPr>
    <w:rPr>
      <w:caps w:val="0"/>
    </w:rPr>
  </w:style>
  <w:style w:type="paragraph" w:styleId="TOC3">
    <w:name w:val="toc 3"/>
    <w:basedOn w:val="TOC1"/>
    <w:next w:val="Normal"/>
    <w:uiPriority w:val="99"/>
    <w:rsid w:val="00486323"/>
    <w:pPr>
      <w:ind w:left="2160"/>
    </w:pPr>
    <w:rPr>
      <w:caps w:val="0"/>
    </w:rPr>
  </w:style>
  <w:style w:type="paragraph" w:styleId="TOC4">
    <w:name w:val="toc 4"/>
    <w:basedOn w:val="TOC1"/>
    <w:next w:val="Normal"/>
    <w:uiPriority w:val="99"/>
    <w:rsid w:val="009261FB"/>
    <w:pPr>
      <w:tabs>
        <w:tab w:val="right" w:pos="9000"/>
      </w:tabs>
      <w:spacing w:before="220"/>
      <w:ind w:left="0" w:firstLine="0"/>
    </w:pPr>
    <w:rPr>
      <w:b/>
      <w:bCs/>
    </w:rPr>
  </w:style>
  <w:style w:type="paragraph" w:styleId="TOC5">
    <w:name w:val="toc 5"/>
    <w:basedOn w:val="TOC1"/>
    <w:next w:val="Normal"/>
    <w:uiPriority w:val="99"/>
    <w:rsid w:val="00486323"/>
    <w:pPr>
      <w:ind w:left="0" w:firstLine="0"/>
    </w:pPr>
  </w:style>
  <w:style w:type="paragraph" w:styleId="TOC6">
    <w:name w:val="toc 6"/>
    <w:basedOn w:val="TOC1"/>
    <w:next w:val="Normal"/>
    <w:uiPriority w:val="99"/>
    <w:rsid w:val="00486323"/>
    <w:pPr>
      <w:ind w:firstLine="0"/>
    </w:pPr>
    <w:rPr>
      <w:caps w:val="0"/>
    </w:rPr>
  </w:style>
  <w:style w:type="paragraph" w:customStyle="1" w:styleId="ACSchLv1">
    <w:name w:val="AC Sch Lv 1"/>
    <w:basedOn w:val="ACBody1"/>
    <w:uiPriority w:val="99"/>
    <w:rsid w:val="005F2955"/>
    <w:pPr>
      <w:numPr>
        <w:numId w:val="14"/>
      </w:numPr>
      <w:outlineLvl w:val="0"/>
    </w:pPr>
  </w:style>
  <w:style w:type="character" w:customStyle="1" w:styleId="ACSchLv1asheadingtext">
    <w:name w:val="AC Sch Lv 1 as heading (text)"/>
    <w:basedOn w:val="DefaultParagraphFont"/>
    <w:uiPriority w:val="99"/>
    <w:rsid w:val="005F2955"/>
    <w:rPr>
      <w:b/>
      <w:bCs/>
    </w:rPr>
  </w:style>
  <w:style w:type="paragraph" w:customStyle="1" w:styleId="ACSchLv2">
    <w:name w:val="AC Sch Lv 2"/>
    <w:basedOn w:val="ACBody2"/>
    <w:uiPriority w:val="99"/>
    <w:rsid w:val="005F2955"/>
    <w:pPr>
      <w:numPr>
        <w:ilvl w:val="1"/>
        <w:numId w:val="14"/>
      </w:numPr>
      <w:outlineLvl w:val="1"/>
    </w:pPr>
  </w:style>
  <w:style w:type="character" w:customStyle="1" w:styleId="ACSchLv2asheadingtext">
    <w:name w:val="AC Sch Lv 2 as heading (text)"/>
    <w:basedOn w:val="DefaultParagraphFont"/>
    <w:uiPriority w:val="99"/>
    <w:rsid w:val="005F2955"/>
    <w:rPr>
      <w:b/>
      <w:bCs/>
    </w:rPr>
  </w:style>
  <w:style w:type="paragraph" w:customStyle="1" w:styleId="ACSchLv3">
    <w:name w:val="AC Sch Lv 3"/>
    <w:basedOn w:val="ACBody3"/>
    <w:uiPriority w:val="99"/>
    <w:rsid w:val="005F2955"/>
    <w:pPr>
      <w:numPr>
        <w:ilvl w:val="2"/>
        <w:numId w:val="14"/>
      </w:numPr>
      <w:outlineLvl w:val="2"/>
    </w:pPr>
  </w:style>
  <w:style w:type="character" w:customStyle="1" w:styleId="ACSchLv3asheadingtext">
    <w:name w:val="AC Sch Lv 3 as heading (text)"/>
    <w:basedOn w:val="DefaultParagraphFont"/>
    <w:uiPriority w:val="99"/>
    <w:rsid w:val="005F2955"/>
    <w:rPr>
      <w:b/>
      <w:bCs/>
    </w:rPr>
  </w:style>
  <w:style w:type="paragraph" w:customStyle="1" w:styleId="ACSchLv4">
    <w:name w:val="AC Sch Lv 4"/>
    <w:basedOn w:val="ACBody4"/>
    <w:uiPriority w:val="99"/>
    <w:rsid w:val="005F2955"/>
    <w:pPr>
      <w:numPr>
        <w:ilvl w:val="3"/>
        <w:numId w:val="14"/>
      </w:numPr>
      <w:outlineLvl w:val="3"/>
    </w:pPr>
  </w:style>
  <w:style w:type="paragraph" w:customStyle="1" w:styleId="ACSchLv5">
    <w:name w:val="AC Sch Lv 5"/>
    <w:basedOn w:val="ACBody5"/>
    <w:uiPriority w:val="99"/>
    <w:rsid w:val="005F2955"/>
    <w:pPr>
      <w:numPr>
        <w:ilvl w:val="4"/>
        <w:numId w:val="14"/>
      </w:numPr>
      <w:outlineLvl w:val="4"/>
    </w:pPr>
  </w:style>
  <w:style w:type="paragraph" w:customStyle="1" w:styleId="ACBulletLv1">
    <w:name w:val="AC Bullet Lv 1"/>
    <w:basedOn w:val="ACBody1"/>
    <w:uiPriority w:val="99"/>
    <w:rsid w:val="005F2955"/>
    <w:pPr>
      <w:numPr>
        <w:numId w:val="19"/>
      </w:numPr>
      <w:outlineLvl w:val="0"/>
    </w:pPr>
  </w:style>
  <w:style w:type="paragraph" w:customStyle="1" w:styleId="ACBulletLv2">
    <w:name w:val="AC Bullet Lv 2"/>
    <w:basedOn w:val="ACBody2"/>
    <w:uiPriority w:val="99"/>
    <w:rsid w:val="005F2955"/>
    <w:pPr>
      <w:numPr>
        <w:ilvl w:val="1"/>
        <w:numId w:val="19"/>
      </w:numPr>
      <w:outlineLvl w:val="1"/>
    </w:pPr>
  </w:style>
  <w:style w:type="paragraph" w:customStyle="1" w:styleId="ACBulletLv3">
    <w:name w:val="AC Bullet Lv 3"/>
    <w:basedOn w:val="ACBody3"/>
    <w:uiPriority w:val="99"/>
    <w:rsid w:val="005F2955"/>
    <w:pPr>
      <w:numPr>
        <w:ilvl w:val="2"/>
        <w:numId w:val="19"/>
      </w:numPr>
      <w:outlineLvl w:val="2"/>
    </w:pPr>
  </w:style>
  <w:style w:type="paragraph" w:customStyle="1" w:styleId="ACBulletLv4">
    <w:name w:val="AC Bullet Lv 4"/>
    <w:basedOn w:val="ACBody4"/>
    <w:uiPriority w:val="99"/>
    <w:rsid w:val="005F2955"/>
    <w:pPr>
      <w:numPr>
        <w:ilvl w:val="3"/>
        <w:numId w:val="19"/>
      </w:numPr>
      <w:outlineLvl w:val="3"/>
    </w:pPr>
  </w:style>
  <w:style w:type="paragraph" w:customStyle="1" w:styleId="ACBulletLv5">
    <w:name w:val="AC Bullet Lv 5"/>
    <w:basedOn w:val="ACBody5"/>
    <w:uiPriority w:val="99"/>
    <w:rsid w:val="005F2955"/>
    <w:pPr>
      <w:numPr>
        <w:ilvl w:val="4"/>
        <w:numId w:val="19"/>
      </w:numPr>
      <w:outlineLvl w:val="4"/>
    </w:pPr>
  </w:style>
  <w:style w:type="table" w:styleId="TableGrid">
    <w:name w:val="Table Grid"/>
    <w:basedOn w:val="TableNormal"/>
    <w:uiPriority w:val="59"/>
    <w:rsid w:val="00D84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
    <w:name w:val="bp"/>
    <w:basedOn w:val="Normal"/>
    <w:rsid w:val="00D84B4D"/>
    <w:pPr>
      <w:adjustRightInd/>
      <w:spacing w:before="100" w:beforeAutospacing="1" w:after="100" w:afterAutospacing="1"/>
      <w:jc w:val="left"/>
    </w:pPr>
    <w:rPr>
      <w:sz w:val="24"/>
      <w:szCs w:val="24"/>
    </w:rPr>
  </w:style>
  <w:style w:type="character" w:customStyle="1" w:styleId="be">
    <w:name w:val="be"/>
    <w:basedOn w:val="DefaultParagraphFont"/>
    <w:rsid w:val="00D84B4D"/>
  </w:style>
  <w:style w:type="character" w:styleId="CommentReference">
    <w:name w:val="annotation reference"/>
    <w:basedOn w:val="DefaultParagraphFont"/>
    <w:uiPriority w:val="99"/>
    <w:semiHidden/>
    <w:unhideWhenUsed/>
    <w:rsid w:val="004F697A"/>
    <w:rPr>
      <w:sz w:val="16"/>
      <w:szCs w:val="16"/>
    </w:rPr>
  </w:style>
  <w:style w:type="paragraph" w:styleId="CommentText">
    <w:name w:val="annotation text"/>
    <w:basedOn w:val="Normal"/>
    <w:link w:val="CommentTextChar"/>
    <w:uiPriority w:val="99"/>
    <w:semiHidden/>
    <w:unhideWhenUsed/>
    <w:rsid w:val="004F697A"/>
    <w:rPr>
      <w:sz w:val="20"/>
      <w:szCs w:val="20"/>
    </w:rPr>
  </w:style>
  <w:style w:type="character" w:customStyle="1" w:styleId="CommentTextChar">
    <w:name w:val="Comment Text Char"/>
    <w:basedOn w:val="DefaultParagraphFont"/>
    <w:link w:val="CommentText"/>
    <w:uiPriority w:val="99"/>
    <w:semiHidden/>
    <w:rsid w:val="004F697A"/>
    <w:rPr>
      <w:rFonts w:ascii="Times New Roman" w:hAnsi="Times New Roman" w:cs="Times New Roman"/>
      <w:sz w:val="20"/>
      <w:szCs w:val="20"/>
      <w:lang w:val="en-IE" w:eastAsia="en-IE"/>
    </w:rPr>
  </w:style>
  <w:style w:type="paragraph" w:styleId="CommentSubject">
    <w:name w:val="annotation subject"/>
    <w:basedOn w:val="CommentText"/>
    <w:next w:val="CommentText"/>
    <w:link w:val="CommentSubjectChar"/>
    <w:uiPriority w:val="99"/>
    <w:semiHidden/>
    <w:unhideWhenUsed/>
    <w:rsid w:val="004F697A"/>
    <w:rPr>
      <w:b/>
      <w:bCs/>
    </w:rPr>
  </w:style>
  <w:style w:type="character" w:customStyle="1" w:styleId="CommentSubjectChar">
    <w:name w:val="Comment Subject Char"/>
    <w:basedOn w:val="CommentTextChar"/>
    <w:link w:val="CommentSubject"/>
    <w:uiPriority w:val="99"/>
    <w:semiHidden/>
    <w:rsid w:val="004F697A"/>
    <w:rPr>
      <w:rFonts w:ascii="Times New Roman" w:hAnsi="Times New Roman" w:cs="Times New Roman"/>
      <w:b/>
      <w:bCs/>
      <w:sz w:val="20"/>
      <w:szCs w:val="20"/>
      <w:lang w:val="en-IE" w:eastAsia="en-IE"/>
    </w:rPr>
  </w:style>
  <w:style w:type="paragraph" w:styleId="Revision">
    <w:name w:val="Revision"/>
    <w:hidden/>
    <w:uiPriority w:val="99"/>
    <w:semiHidden/>
    <w:rsid w:val="004F697A"/>
    <w:pPr>
      <w:spacing w:after="0" w:line="240" w:lineRule="auto"/>
    </w:pPr>
    <w:rPr>
      <w:rFonts w:ascii="Times New Roman" w:hAnsi="Times New Roman" w:cs="Times New Roman"/>
      <w:lang w:val="en-IE" w:eastAsia="en-IE"/>
    </w:rPr>
  </w:style>
  <w:style w:type="paragraph" w:styleId="BalloonText">
    <w:name w:val="Balloon Text"/>
    <w:basedOn w:val="Normal"/>
    <w:link w:val="BalloonTextChar"/>
    <w:uiPriority w:val="99"/>
    <w:semiHidden/>
    <w:unhideWhenUsed/>
    <w:rsid w:val="004F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97A"/>
    <w:rPr>
      <w:rFonts w:ascii="Segoe UI" w:hAnsi="Segoe UI" w:cs="Segoe UI"/>
      <w:sz w:val="18"/>
      <w:szCs w:val="18"/>
      <w:lang w:val="en-IE" w:eastAsia="en-IE"/>
    </w:rPr>
  </w:style>
  <w:style w:type="paragraph" w:styleId="ListParagraph">
    <w:name w:val="List Paragraph"/>
    <w:basedOn w:val="Normal"/>
    <w:uiPriority w:val="34"/>
    <w:qFormat/>
    <w:rsid w:val="00D709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81606">
      <w:bodyDiv w:val="1"/>
      <w:marLeft w:val="0"/>
      <w:marRight w:val="0"/>
      <w:marTop w:val="0"/>
      <w:marBottom w:val="0"/>
      <w:divBdr>
        <w:top w:val="none" w:sz="0" w:space="0" w:color="auto"/>
        <w:left w:val="none" w:sz="0" w:space="0" w:color="auto"/>
        <w:bottom w:val="none" w:sz="0" w:space="0" w:color="auto"/>
        <w:right w:val="none" w:sz="0" w:space="0" w:color="auto"/>
      </w:divBdr>
    </w:div>
    <w:div w:id="186607503">
      <w:bodyDiv w:val="1"/>
      <w:marLeft w:val="0"/>
      <w:marRight w:val="0"/>
      <w:marTop w:val="0"/>
      <w:marBottom w:val="0"/>
      <w:divBdr>
        <w:top w:val="none" w:sz="0" w:space="0" w:color="auto"/>
        <w:left w:val="none" w:sz="0" w:space="0" w:color="auto"/>
        <w:bottom w:val="none" w:sz="0" w:space="0" w:color="auto"/>
        <w:right w:val="none" w:sz="0" w:space="0" w:color="auto"/>
      </w:divBdr>
    </w:div>
    <w:div w:id="221912396">
      <w:bodyDiv w:val="1"/>
      <w:marLeft w:val="0"/>
      <w:marRight w:val="0"/>
      <w:marTop w:val="0"/>
      <w:marBottom w:val="0"/>
      <w:divBdr>
        <w:top w:val="none" w:sz="0" w:space="0" w:color="auto"/>
        <w:left w:val="none" w:sz="0" w:space="0" w:color="auto"/>
        <w:bottom w:val="none" w:sz="0" w:space="0" w:color="auto"/>
        <w:right w:val="none" w:sz="0" w:space="0" w:color="auto"/>
      </w:divBdr>
    </w:div>
    <w:div w:id="230846862">
      <w:bodyDiv w:val="1"/>
      <w:marLeft w:val="0"/>
      <w:marRight w:val="0"/>
      <w:marTop w:val="0"/>
      <w:marBottom w:val="0"/>
      <w:divBdr>
        <w:top w:val="none" w:sz="0" w:space="0" w:color="auto"/>
        <w:left w:val="none" w:sz="0" w:space="0" w:color="auto"/>
        <w:bottom w:val="none" w:sz="0" w:space="0" w:color="auto"/>
        <w:right w:val="none" w:sz="0" w:space="0" w:color="auto"/>
      </w:divBdr>
    </w:div>
    <w:div w:id="386610958">
      <w:bodyDiv w:val="1"/>
      <w:marLeft w:val="0"/>
      <w:marRight w:val="0"/>
      <w:marTop w:val="0"/>
      <w:marBottom w:val="0"/>
      <w:divBdr>
        <w:top w:val="none" w:sz="0" w:space="0" w:color="auto"/>
        <w:left w:val="none" w:sz="0" w:space="0" w:color="auto"/>
        <w:bottom w:val="none" w:sz="0" w:space="0" w:color="auto"/>
        <w:right w:val="none" w:sz="0" w:space="0" w:color="auto"/>
      </w:divBdr>
    </w:div>
    <w:div w:id="428700481">
      <w:bodyDiv w:val="1"/>
      <w:marLeft w:val="0"/>
      <w:marRight w:val="0"/>
      <w:marTop w:val="0"/>
      <w:marBottom w:val="0"/>
      <w:divBdr>
        <w:top w:val="none" w:sz="0" w:space="0" w:color="auto"/>
        <w:left w:val="none" w:sz="0" w:space="0" w:color="auto"/>
        <w:bottom w:val="none" w:sz="0" w:space="0" w:color="auto"/>
        <w:right w:val="none" w:sz="0" w:space="0" w:color="auto"/>
      </w:divBdr>
    </w:div>
    <w:div w:id="465972921">
      <w:bodyDiv w:val="1"/>
      <w:marLeft w:val="0"/>
      <w:marRight w:val="0"/>
      <w:marTop w:val="0"/>
      <w:marBottom w:val="0"/>
      <w:divBdr>
        <w:top w:val="none" w:sz="0" w:space="0" w:color="auto"/>
        <w:left w:val="none" w:sz="0" w:space="0" w:color="auto"/>
        <w:bottom w:val="none" w:sz="0" w:space="0" w:color="auto"/>
        <w:right w:val="none" w:sz="0" w:space="0" w:color="auto"/>
      </w:divBdr>
    </w:div>
    <w:div w:id="493687838">
      <w:bodyDiv w:val="1"/>
      <w:marLeft w:val="0"/>
      <w:marRight w:val="0"/>
      <w:marTop w:val="0"/>
      <w:marBottom w:val="0"/>
      <w:divBdr>
        <w:top w:val="none" w:sz="0" w:space="0" w:color="auto"/>
        <w:left w:val="none" w:sz="0" w:space="0" w:color="auto"/>
        <w:bottom w:val="none" w:sz="0" w:space="0" w:color="auto"/>
        <w:right w:val="none" w:sz="0" w:space="0" w:color="auto"/>
      </w:divBdr>
    </w:div>
    <w:div w:id="516431956">
      <w:bodyDiv w:val="1"/>
      <w:marLeft w:val="0"/>
      <w:marRight w:val="0"/>
      <w:marTop w:val="0"/>
      <w:marBottom w:val="0"/>
      <w:divBdr>
        <w:top w:val="none" w:sz="0" w:space="0" w:color="auto"/>
        <w:left w:val="none" w:sz="0" w:space="0" w:color="auto"/>
        <w:bottom w:val="none" w:sz="0" w:space="0" w:color="auto"/>
        <w:right w:val="none" w:sz="0" w:space="0" w:color="auto"/>
      </w:divBdr>
    </w:div>
    <w:div w:id="619386333">
      <w:bodyDiv w:val="1"/>
      <w:marLeft w:val="0"/>
      <w:marRight w:val="0"/>
      <w:marTop w:val="0"/>
      <w:marBottom w:val="0"/>
      <w:divBdr>
        <w:top w:val="none" w:sz="0" w:space="0" w:color="auto"/>
        <w:left w:val="none" w:sz="0" w:space="0" w:color="auto"/>
        <w:bottom w:val="none" w:sz="0" w:space="0" w:color="auto"/>
        <w:right w:val="none" w:sz="0" w:space="0" w:color="auto"/>
      </w:divBdr>
    </w:div>
    <w:div w:id="721178115">
      <w:bodyDiv w:val="1"/>
      <w:marLeft w:val="0"/>
      <w:marRight w:val="0"/>
      <w:marTop w:val="0"/>
      <w:marBottom w:val="0"/>
      <w:divBdr>
        <w:top w:val="none" w:sz="0" w:space="0" w:color="auto"/>
        <w:left w:val="none" w:sz="0" w:space="0" w:color="auto"/>
        <w:bottom w:val="none" w:sz="0" w:space="0" w:color="auto"/>
        <w:right w:val="none" w:sz="0" w:space="0" w:color="auto"/>
      </w:divBdr>
    </w:div>
    <w:div w:id="808282105">
      <w:bodyDiv w:val="1"/>
      <w:marLeft w:val="0"/>
      <w:marRight w:val="0"/>
      <w:marTop w:val="0"/>
      <w:marBottom w:val="0"/>
      <w:divBdr>
        <w:top w:val="none" w:sz="0" w:space="0" w:color="auto"/>
        <w:left w:val="none" w:sz="0" w:space="0" w:color="auto"/>
        <w:bottom w:val="none" w:sz="0" w:space="0" w:color="auto"/>
        <w:right w:val="none" w:sz="0" w:space="0" w:color="auto"/>
      </w:divBdr>
    </w:div>
    <w:div w:id="808589334">
      <w:bodyDiv w:val="1"/>
      <w:marLeft w:val="0"/>
      <w:marRight w:val="0"/>
      <w:marTop w:val="0"/>
      <w:marBottom w:val="0"/>
      <w:divBdr>
        <w:top w:val="none" w:sz="0" w:space="0" w:color="auto"/>
        <w:left w:val="none" w:sz="0" w:space="0" w:color="auto"/>
        <w:bottom w:val="none" w:sz="0" w:space="0" w:color="auto"/>
        <w:right w:val="none" w:sz="0" w:space="0" w:color="auto"/>
      </w:divBdr>
    </w:div>
    <w:div w:id="926159853">
      <w:bodyDiv w:val="1"/>
      <w:marLeft w:val="0"/>
      <w:marRight w:val="0"/>
      <w:marTop w:val="0"/>
      <w:marBottom w:val="0"/>
      <w:divBdr>
        <w:top w:val="none" w:sz="0" w:space="0" w:color="auto"/>
        <w:left w:val="none" w:sz="0" w:space="0" w:color="auto"/>
        <w:bottom w:val="none" w:sz="0" w:space="0" w:color="auto"/>
        <w:right w:val="none" w:sz="0" w:space="0" w:color="auto"/>
      </w:divBdr>
    </w:div>
    <w:div w:id="980228710">
      <w:bodyDiv w:val="1"/>
      <w:marLeft w:val="0"/>
      <w:marRight w:val="0"/>
      <w:marTop w:val="0"/>
      <w:marBottom w:val="0"/>
      <w:divBdr>
        <w:top w:val="none" w:sz="0" w:space="0" w:color="auto"/>
        <w:left w:val="none" w:sz="0" w:space="0" w:color="auto"/>
        <w:bottom w:val="none" w:sz="0" w:space="0" w:color="auto"/>
        <w:right w:val="none" w:sz="0" w:space="0" w:color="auto"/>
      </w:divBdr>
    </w:div>
    <w:div w:id="1059864211">
      <w:bodyDiv w:val="1"/>
      <w:marLeft w:val="0"/>
      <w:marRight w:val="0"/>
      <w:marTop w:val="0"/>
      <w:marBottom w:val="0"/>
      <w:divBdr>
        <w:top w:val="none" w:sz="0" w:space="0" w:color="auto"/>
        <w:left w:val="none" w:sz="0" w:space="0" w:color="auto"/>
        <w:bottom w:val="none" w:sz="0" w:space="0" w:color="auto"/>
        <w:right w:val="none" w:sz="0" w:space="0" w:color="auto"/>
      </w:divBdr>
    </w:div>
    <w:div w:id="1175413761">
      <w:bodyDiv w:val="1"/>
      <w:marLeft w:val="0"/>
      <w:marRight w:val="0"/>
      <w:marTop w:val="0"/>
      <w:marBottom w:val="0"/>
      <w:divBdr>
        <w:top w:val="none" w:sz="0" w:space="0" w:color="auto"/>
        <w:left w:val="none" w:sz="0" w:space="0" w:color="auto"/>
        <w:bottom w:val="none" w:sz="0" w:space="0" w:color="auto"/>
        <w:right w:val="none" w:sz="0" w:space="0" w:color="auto"/>
      </w:divBdr>
    </w:div>
    <w:div w:id="1256936521">
      <w:bodyDiv w:val="1"/>
      <w:marLeft w:val="0"/>
      <w:marRight w:val="0"/>
      <w:marTop w:val="0"/>
      <w:marBottom w:val="0"/>
      <w:divBdr>
        <w:top w:val="none" w:sz="0" w:space="0" w:color="auto"/>
        <w:left w:val="none" w:sz="0" w:space="0" w:color="auto"/>
        <w:bottom w:val="none" w:sz="0" w:space="0" w:color="auto"/>
        <w:right w:val="none" w:sz="0" w:space="0" w:color="auto"/>
      </w:divBdr>
    </w:div>
    <w:div w:id="1275674502">
      <w:bodyDiv w:val="1"/>
      <w:marLeft w:val="0"/>
      <w:marRight w:val="0"/>
      <w:marTop w:val="0"/>
      <w:marBottom w:val="0"/>
      <w:divBdr>
        <w:top w:val="none" w:sz="0" w:space="0" w:color="auto"/>
        <w:left w:val="none" w:sz="0" w:space="0" w:color="auto"/>
        <w:bottom w:val="none" w:sz="0" w:space="0" w:color="auto"/>
        <w:right w:val="none" w:sz="0" w:space="0" w:color="auto"/>
      </w:divBdr>
    </w:div>
    <w:div w:id="1325209554">
      <w:bodyDiv w:val="1"/>
      <w:marLeft w:val="0"/>
      <w:marRight w:val="0"/>
      <w:marTop w:val="0"/>
      <w:marBottom w:val="0"/>
      <w:divBdr>
        <w:top w:val="none" w:sz="0" w:space="0" w:color="auto"/>
        <w:left w:val="none" w:sz="0" w:space="0" w:color="auto"/>
        <w:bottom w:val="none" w:sz="0" w:space="0" w:color="auto"/>
        <w:right w:val="none" w:sz="0" w:space="0" w:color="auto"/>
      </w:divBdr>
    </w:div>
    <w:div w:id="1354916412">
      <w:bodyDiv w:val="1"/>
      <w:marLeft w:val="0"/>
      <w:marRight w:val="0"/>
      <w:marTop w:val="0"/>
      <w:marBottom w:val="0"/>
      <w:divBdr>
        <w:top w:val="none" w:sz="0" w:space="0" w:color="auto"/>
        <w:left w:val="none" w:sz="0" w:space="0" w:color="auto"/>
        <w:bottom w:val="none" w:sz="0" w:space="0" w:color="auto"/>
        <w:right w:val="none" w:sz="0" w:space="0" w:color="auto"/>
      </w:divBdr>
    </w:div>
    <w:div w:id="1368945155">
      <w:bodyDiv w:val="1"/>
      <w:marLeft w:val="0"/>
      <w:marRight w:val="0"/>
      <w:marTop w:val="0"/>
      <w:marBottom w:val="0"/>
      <w:divBdr>
        <w:top w:val="none" w:sz="0" w:space="0" w:color="auto"/>
        <w:left w:val="none" w:sz="0" w:space="0" w:color="auto"/>
        <w:bottom w:val="none" w:sz="0" w:space="0" w:color="auto"/>
        <w:right w:val="none" w:sz="0" w:space="0" w:color="auto"/>
      </w:divBdr>
    </w:div>
    <w:div w:id="1431201116">
      <w:bodyDiv w:val="1"/>
      <w:marLeft w:val="0"/>
      <w:marRight w:val="0"/>
      <w:marTop w:val="0"/>
      <w:marBottom w:val="0"/>
      <w:divBdr>
        <w:top w:val="none" w:sz="0" w:space="0" w:color="auto"/>
        <w:left w:val="none" w:sz="0" w:space="0" w:color="auto"/>
        <w:bottom w:val="none" w:sz="0" w:space="0" w:color="auto"/>
        <w:right w:val="none" w:sz="0" w:space="0" w:color="auto"/>
      </w:divBdr>
    </w:div>
    <w:div w:id="1568220059">
      <w:bodyDiv w:val="1"/>
      <w:marLeft w:val="0"/>
      <w:marRight w:val="0"/>
      <w:marTop w:val="0"/>
      <w:marBottom w:val="0"/>
      <w:divBdr>
        <w:top w:val="none" w:sz="0" w:space="0" w:color="auto"/>
        <w:left w:val="none" w:sz="0" w:space="0" w:color="auto"/>
        <w:bottom w:val="none" w:sz="0" w:space="0" w:color="auto"/>
        <w:right w:val="none" w:sz="0" w:space="0" w:color="auto"/>
      </w:divBdr>
    </w:div>
    <w:div w:id="1597638436">
      <w:bodyDiv w:val="1"/>
      <w:marLeft w:val="0"/>
      <w:marRight w:val="0"/>
      <w:marTop w:val="0"/>
      <w:marBottom w:val="0"/>
      <w:divBdr>
        <w:top w:val="none" w:sz="0" w:space="0" w:color="auto"/>
        <w:left w:val="none" w:sz="0" w:space="0" w:color="auto"/>
        <w:bottom w:val="none" w:sz="0" w:space="0" w:color="auto"/>
        <w:right w:val="none" w:sz="0" w:space="0" w:color="auto"/>
      </w:divBdr>
    </w:div>
    <w:div w:id="1608653460">
      <w:bodyDiv w:val="1"/>
      <w:marLeft w:val="0"/>
      <w:marRight w:val="0"/>
      <w:marTop w:val="0"/>
      <w:marBottom w:val="0"/>
      <w:divBdr>
        <w:top w:val="none" w:sz="0" w:space="0" w:color="auto"/>
        <w:left w:val="none" w:sz="0" w:space="0" w:color="auto"/>
        <w:bottom w:val="none" w:sz="0" w:space="0" w:color="auto"/>
        <w:right w:val="none" w:sz="0" w:space="0" w:color="auto"/>
      </w:divBdr>
    </w:div>
    <w:div w:id="1609848342">
      <w:bodyDiv w:val="1"/>
      <w:marLeft w:val="0"/>
      <w:marRight w:val="0"/>
      <w:marTop w:val="0"/>
      <w:marBottom w:val="0"/>
      <w:divBdr>
        <w:top w:val="none" w:sz="0" w:space="0" w:color="auto"/>
        <w:left w:val="none" w:sz="0" w:space="0" w:color="auto"/>
        <w:bottom w:val="none" w:sz="0" w:space="0" w:color="auto"/>
        <w:right w:val="none" w:sz="0" w:space="0" w:color="auto"/>
      </w:divBdr>
    </w:div>
    <w:div w:id="1683698449">
      <w:bodyDiv w:val="1"/>
      <w:marLeft w:val="0"/>
      <w:marRight w:val="0"/>
      <w:marTop w:val="0"/>
      <w:marBottom w:val="0"/>
      <w:divBdr>
        <w:top w:val="none" w:sz="0" w:space="0" w:color="auto"/>
        <w:left w:val="none" w:sz="0" w:space="0" w:color="auto"/>
        <w:bottom w:val="none" w:sz="0" w:space="0" w:color="auto"/>
        <w:right w:val="none" w:sz="0" w:space="0" w:color="auto"/>
      </w:divBdr>
    </w:div>
    <w:div w:id="1833133564">
      <w:bodyDiv w:val="1"/>
      <w:marLeft w:val="0"/>
      <w:marRight w:val="0"/>
      <w:marTop w:val="0"/>
      <w:marBottom w:val="0"/>
      <w:divBdr>
        <w:top w:val="none" w:sz="0" w:space="0" w:color="auto"/>
        <w:left w:val="none" w:sz="0" w:space="0" w:color="auto"/>
        <w:bottom w:val="none" w:sz="0" w:space="0" w:color="auto"/>
        <w:right w:val="none" w:sz="0" w:space="0" w:color="auto"/>
      </w:divBdr>
    </w:div>
    <w:div w:id="1909262926">
      <w:bodyDiv w:val="1"/>
      <w:marLeft w:val="0"/>
      <w:marRight w:val="0"/>
      <w:marTop w:val="0"/>
      <w:marBottom w:val="0"/>
      <w:divBdr>
        <w:top w:val="none" w:sz="0" w:space="0" w:color="auto"/>
        <w:left w:val="none" w:sz="0" w:space="0" w:color="auto"/>
        <w:bottom w:val="none" w:sz="0" w:space="0" w:color="auto"/>
        <w:right w:val="none" w:sz="0" w:space="0" w:color="auto"/>
      </w:divBdr>
    </w:div>
    <w:div w:id="2017925768">
      <w:bodyDiv w:val="1"/>
      <w:marLeft w:val="0"/>
      <w:marRight w:val="0"/>
      <w:marTop w:val="0"/>
      <w:marBottom w:val="0"/>
      <w:divBdr>
        <w:top w:val="none" w:sz="0" w:space="0" w:color="auto"/>
        <w:left w:val="none" w:sz="0" w:space="0" w:color="auto"/>
        <w:bottom w:val="none" w:sz="0" w:space="0" w:color="auto"/>
        <w:right w:val="none" w:sz="0" w:space="0" w:color="auto"/>
      </w:divBdr>
    </w:div>
    <w:div w:id="2090536678">
      <w:bodyDiv w:val="1"/>
      <w:marLeft w:val="0"/>
      <w:marRight w:val="0"/>
      <w:marTop w:val="0"/>
      <w:marBottom w:val="0"/>
      <w:divBdr>
        <w:top w:val="none" w:sz="0" w:space="0" w:color="auto"/>
        <w:left w:val="none" w:sz="0" w:space="0" w:color="auto"/>
        <w:bottom w:val="none" w:sz="0" w:space="0" w:color="auto"/>
        <w:right w:val="none" w:sz="0" w:space="0" w:color="auto"/>
      </w:divBdr>
    </w:div>
    <w:div w:id="213367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2018-11-07T15:08:27+00:00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C81C4D65-A450-400D-B04F-7DFF1277933D}"/>
</file>

<file path=customXml/itemProps2.xml><?xml version="1.0" encoding="utf-8"?>
<ds:datastoreItem xmlns:ds="http://schemas.openxmlformats.org/officeDocument/2006/customXml" ds:itemID="{3B03CC01-1FE6-404D-B9D2-003FB15C7DB6}"/>
</file>

<file path=customXml/itemProps3.xml><?xml version="1.0" encoding="utf-8"?>
<ds:datastoreItem xmlns:ds="http://schemas.openxmlformats.org/officeDocument/2006/customXml" ds:itemID="{E9A1C109-1487-40B7-9DC1-E34177DD722C}"/>
</file>

<file path=customXml/itemProps4.xml><?xml version="1.0" encoding="utf-8"?>
<ds:datastoreItem xmlns:ds="http://schemas.openxmlformats.org/officeDocument/2006/customXml" ds:itemID="{F3185F7A-9E4B-48B4-AE1F-46FAA0A5B387}"/>
</file>

<file path=docProps/app.xml><?xml version="1.0" encoding="utf-8"?>
<Properties xmlns="http://schemas.openxmlformats.org/officeDocument/2006/extended-properties" xmlns:vt="http://schemas.openxmlformats.org/officeDocument/2006/docPropsVTypes">
  <Template>Normal</Template>
  <TotalTime>13</TotalTime>
  <Pages>3</Pages>
  <Words>1404</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Arthur Cox</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Shanahan</dc:creator>
  <cp:keywords/>
  <dc:description/>
  <cp:lastModifiedBy>Natasha Short</cp:lastModifiedBy>
  <cp:revision>4</cp:revision>
  <dcterms:created xsi:type="dcterms:W3CDTF">2018-11-07T14:32:00Z</dcterms:created>
  <dcterms:modified xsi:type="dcterms:W3CDTF">2018-11-07T14:49:00Z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Matter">
    <vt:lpwstr>GR059/725/</vt:lpwstr>
  </property>
  <property fmtid="{D5CDD505-2E9C-101B-9397-08002B2CF9AE}" pid="3" name="ACDocType">
    <vt:lpwstr>DOCUMENT</vt:lpwstr>
  </property>
  <property fmtid="{D5CDD505-2E9C-101B-9397-08002B2CF9AE}" pid="4" name="ACDocRef">
    <vt:lpwstr>AC#29628970.3</vt:lpwstr>
  </property>
  <property fmtid="{D5CDD505-2E9C-101B-9397-08002B2CF9AE}" pid="5" name="ContentTypeId">
    <vt:lpwstr>0x010100BE156B1CF39149A8843C57AB06C49AFE0011B886BEF4CCD94F85F46E94360FD412</vt:lpwstr>
  </property>
  <property fmtid="{D5CDD505-2E9C-101B-9397-08002B2CF9AE}" pid="7" name="IssuerID">
    <vt:lpwstr/>
  </property>
  <property fmtid="{D5CDD505-2E9C-101B-9397-08002B2CF9AE}" pid="8" name="JobContentType">
    <vt:lpwstr/>
  </property>
  <property fmtid="{D5CDD505-2E9C-101B-9397-08002B2CF9AE}" pid="9" name="Organisation">
    <vt:lpwstr/>
  </property>
  <property fmtid="{D5CDD505-2E9C-101B-9397-08002B2CF9AE}" pid="10" name="MediaServiceImageTags">
    <vt:lpwstr/>
  </property>
  <property fmtid="{D5CDD505-2E9C-101B-9397-08002B2CF9AE}" pid="11" name="JobType">
    <vt:lpwstr/>
  </property>
  <property fmtid="{D5CDD505-2E9C-101B-9397-08002B2CF9AE}" pid="12" name="Contact">
    <vt:lpwstr/>
  </property>
  <property fmtid="{D5CDD505-2E9C-101B-9397-08002B2CF9AE}" pid="14" name="IssuerName">
    <vt:lpwstr/>
  </property>
</Properties>
</file>