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226086">
        <w:trPr>
          <w:trHeight w:val="620"/>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226086">
        <w:trPr>
          <w:trHeight w:val="467"/>
        </w:trPr>
        <w:tc>
          <w:tcPr>
            <w:tcW w:w="10620" w:type="dxa"/>
            <w:gridSpan w:val="6"/>
            <w:vAlign w:val="center"/>
          </w:tcPr>
          <w:p w:rsidR="00C5065C" w:rsidRPr="00C055A5" w:rsidRDefault="00C5065C" w:rsidP="00226086">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C1CAC">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30E34">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C1CAC">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226086">
        <w:trPr>
          <w:trHeight w:val="702"/>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0C1CAC" w:rsidRPr="000C1CAC">
              <w:rPr>
                <w:rFonts w:ascii="Helvetica" w:hAnsi="Helvetica" w:cs="Helvetica"/>
                <w:lang w:val="en-GB"/>
              </w:rPr>
              <w:t>JPMorgan Asset Management Holdings Inc.</w:t>
            </w:r>
          </w:p>
        </w:tc>
        <w:tc>
          <w:tcPr>
            <w:tcW w:w="6469" w:type="dxa"/>
            <w:gridSpan w:val="4"/>
            <w:tcBorders>
              <w:top w:val="nil"/>
            </w:tcBorders>
            <w:vAlign w:val="center"/>
          </w:tcPr>
          <w:p w:rsidR="00281DF6"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281DF6" w:rsidP="000C1CAC">
            <w:pPr>
              <w:rPr>
                <w:rFonts w:ascii="Helvetica" w:hAnsi="Helvetica" w:cs="Helvetica"/>
                <w:lang w:val="en-GB"/>
              </w:rPr>
            </w:pPr>
            <w:r w:rsidRPr="00EE522D">
              <w:rPr>
                <w:rFonts w:ascii="Helvetica" w:hAnsi="Helvetica" w:cs="Helvetica"/>
                <w:lang w:val="en-GB"/>
              </w:rPr>
              <w:t xml:space="preserve">Wilmington, </w:t>
            </w:r>
            <w:r>
              <w:rPr>
                <w:rFonts w:ascii="Helvetica" w:hAnsi="Helvetica" w:cs="Helvetica"/>
                <w:lang w:val="en-GB"/>
              </w:rPr>
              <w:t xml:space="preserve">Delaware, </w:t>
            </w:r>
            <w:r w:rsidRPr="00EE522D">
              <w:rPr>
                <w:rFonts w:ascii="Helvetica" w:hAnsi="Helvetica" w:cs="Helvetica"/>
                <w:lang w:val="en-GB"/>
              </w:rPr>
              <w:t>United States of America</w:t>
            </w:r>
          </w:p>
        </w:tc>
      </w:tr>
      <w:tr w:rsidR="00C5065C" w:rsidRPr="00C055A5" w:rsidTr="00F1736C">
        <w:trPr>
          <w:trHeight w:val="537"/>
        </w:trPr>
        <w:tc>
          <w:tcPr>
            <w:tcW w:w="10620" w:type="dxa"/>
            <w:gridSpan w:val="6"/>
            <w:vAlign w:val="center"/>
          </w:tcPr>
          <w:p w:rsidR="00092E94" w:rsidRPr="00226086" w:rsidRDefault="00C5065C" w:rsidP="00947528">
            <w:pPr>
              <w:spacing w:line="240" w:lineRule="auto"/>
              <w:rPr>
                <w:rFonts w:ascii="Helvetica" w:hAnsi="Helvetica" w:cs="Helvetica"/>
                <w:sz w:val="20"/>
                <w:szCs w:val="20"/>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226086">
              <w:rPr>
                <w:rFonts w:ascii="Helvetica" w:hAnsi="Helvetica" w:cs="Helvetica"/>
                <w:sz w:val="20"/>
                <w:szCs w:val="20"/>
                <w:lang w:val="en-GB"/>
              </w:rPr>
              <w:t>:</w:t>
            </w:r>
            <w:r w:rsidR="00947528" w:rsidRPr="00226086">
              <w:rPr>
                <w:rFonts w:ascii="Helvetica" w:hAnsi="Helvetica" w:cs="Helvetica"/>
                <w:sz w:val="20"/>
                <w:szCs w:val="20"/>
                <w:lang w:val="en-GB"/>
              </w:rPr>
              <w:t xml:space="preserve">         </w:t>
            </w:r>
            <w:r w:rsidR="00947528" w:rsidRPr="00226086">
              <w:rPr>
                <w:rFonts w:ascii="Helvetica" w:hAnsi="Helvetica" w:cs="Helvetica"/>
                <w:lang w:val="en-GB"/>
              </w:rPr>
              <w:t xml:space="preserve"> </w:t>
            </w:r>
            <w:r w:rsidR="00092E94" w:rsidRPr="00226086">
              <w:rPr>
                <w:rFonts w:ascii="Helvetica" w:hAnsi="Helvetica" w:cs="Helvetica"/>
                <w:sz w:val="20"/>
                <w:szCs w:val="20"/>
                <w:lang w:val="en-GB"/>
              </w:rPr>
              <w:t>JPMorgan Asset Management (UK) Limited</w:t>
            </w:r>
          </w:p>
          <w:p w:rsidR="00281DF6" w:rsidRPr="00226086" w:rsidRDefault="00281DF6" w:rsidP="00E50226">
            <w:pPr>
              <w:spacing w:line="240" w:lineRule="auto"/>
              <w:ind w:left="5760"/>
              <w:rPr>
                <w:rFonts w:ascii="Helvetica" w:hAnsi="Helvetica" w:cs="Helvetica"/>
                <w:sz w:val="20"/>
                <w:szCs w:val="20"/>
                <w:lang w:val="en-GB"/>
              </w:rPr>
            </w:pPr>
            <w:r w:rsidRPr="00226086">
              <w:rPr>
                <w:rFonts w:ascii="Helvetica" w:hAnsi="Helvetica" w:cs="Helvetica"/>
                <w:sz w:val="20"/>
                <w:szCs w:val="20"/>
                <w:lang w:val="en-GB"/>
              </w:rPr>
              <w:t>J.P. Morgan Investment Management Inc</w:t>
            </w:r>
            <w:r w:rsidR="00305F2E" w:rsidRPr="00226086">
              <w:rPr>
                <w:rFonts w:ascii="Helvetica" w:hAnsi="Helvetica" w:cs="Helvetica"/>
                <w:sz w:val="20"/>
                <w:szCs w:val="20"/>
                <w:lang w:val="en-GB"/>
              </w:rPr>
              <w:t>.</w:t>
            </w:r>
          </w:p>
          <w:p w:rsidR="001F1DD0" w:rsidRPr="00226086" w:rsidRDefault="001F1DD0" w:rsidP="00E50226">
            <w:pPr>
              <w:spacing w:line="240" w:lineRule="auto"/>
              <w:ind w:left="5760"/>
              <w:rPr>
                <w:rFonts w:ascii="Helvetica" w:hAnsi="Helvetica" w:cs="Helvetica"/>
                <w:sz w:val="20"/>
                <w:szCs w:val="20"/>
                <w:lang w:val="en-GB"/>
              </w:rPr>
            </w:pPr>
            <w:r w:rsidRPr="00226086">
              <w:rPr>
                <w:rFonts w:ascii="Helvetica" w:hAnsi="Helvetica" w:cs="Helvetica"/>
                <w:sz w:val="20"/>
                <w:szCs w:val="20"/>
                <w:lang w:val="en-GB"/>
              </w:rPr>
              <w:t>JPMorgan Chase Bank, National Association</w:t>
            </w:r>
          </w:p>
          <w:p w:rsidR="00B0518C" w:rsidRPr="00C055A5" w:rsidRDefault="00B0518C" w:rsidP="00E50226">
            <w:pPr>
              <w:spacing w:line="240" w:lineRule="auto"/>
              <w:ind w:left="5760"/>
              <w:rPr>
                <w:rFonts w:ascii="Helvetica" w:hAnsi="Helvetica" w:cs="Helvetica"/>
                <w:lang w:val="en-GB"/>
              </w:rPr>
            </w:pPr>
            <w:r w:rsidRPr="00226086">
              <w:rPr>
                <w:rFonts w:ascii="Helvetica" w:hAnsi="Helvetica" w:cs="Helvetica"/>
                <w:sz w:val="20"/>
                <w:szCs w:val="20"/>
                <w:lang w:val="en-GB"/>
              </w:rPr>
              <w:t>JPMorgan Asset Management (Taiwan) Limited</w:t>
            </w:r>
          </w:p>
        </w:tc>
      </w:tr>
      <w:tr w:rsidR="00C5065C" w:rsidRPr="00C055A5" w:rsidTr="00F1736C">
        <w:trPr>
          <w:trHeight w:val="419"/>
        </w:trPr>
        <w:tc>
          <w:tcPr>
            <w:tcW w:w="10620" w:type="dxa"/>
            <w:gridSpan w:val="6"/>
            <w:vAlign w:val="center"/>
          </w:tcPr>
          <w:p w:rsidR="00BA72A7" w:rsidRPr="00E50226" w:rsidRDefault="00C5065C" w:rsidP="003A17D5">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3A17D5">
              <w:rPr>
                <w:rFonts w:ascii="Helvetica" w:hAnsi="Helvetica" w:cs="Helvetica"/>
                <w:b/>
                <w:lang w:val="en-GB"/>
              </w:rPr>
              <w:t>18</w:t>
            </w:r>
            <w:r w:rsidR="000C1CAC">
              <w:rPr>
                <w:rFonts w:ascii="Helvetica" w:hAnsi="Helvetica" w:cs="Helvetica"/>
                <w:b/>
                <w:lang w:val="en-GB"/>
              </w:rPr>
              <w:t xml:space="preserve"> </w:t>
            </w:r>
            <w:r w:rsidR="00E50226">
              <w:rPr>
                <w:rFonts w:ascii="Helvetica" w:hAnsi="Helvetica" w:cs="Helvetica"/>
                <w:b/>
                <w:lang w:val="en-GB"/>
              </w:rPr>
              <w:t>Ju</w:t>
            </w:r>
            <w:r w:rsidR="003A17D5">
              <w:rPr>
                <w:rFonts w:ascii="Helvetica" w:hAnsi="Helvetica" w:cs="Helvetica"/>
                <w:b/>
                <w:lang w:val="en-GB"/>
              </w:rPr>
              <w:t>ly</w:t>
            </w:r>
            <w:r w:rsidR="000C1CAC">
              <w:rPr>
                <w:rFonts w:ascii="Helvetica" w:hAnsi="Helvetica" w:cs="Helvetica"/>
                <w:b/>
                <w:lang w:val="en-GB"/>
              </w:rPr>
              <w:t xml:space="preserve"> 201</w:t>
            </w:r>
            <w:r w:rsidR="00305F2E">
              <w:rPr>
                <w:rFonts w:ascii="Helvetica" w:hAnsi="Helvetica" w:cs="Helvetica"/>
                <w:b/>
                <w:lang w:val="en-GB"/>
              </w:rPr>
              <w:t>9</w:t>
            </w:r>
          </w:p>
        </w:tc>
      </w:tr>
      <w:tr w:rsidR="00521E70" w:rsidRPr="00C055A5" w:rsidTr="00306839">
        <w:trPr>
          <w:trHeight w:val="419"/>
        </w:trPr>
        <w:tc>
          <w:tcPr>
            <w:tcW w:w="10620" w:type="dxa"/>
            <w:gridSpan w:val="6"/>
            <w:vAlign w:val="center"/>
          </w:tcPr>
          <w:p w:rsidR="00D2326B" w:rsidRPr="00C055A5" w:rsidRDefault="00521E70" w:rsidP="003A17D5">
            <w:pPr>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BF7E4A">
              <w:rPr>
                <w:rFonts w:ascii="Helvetica" w:hAnsi="Helvetica" w:cs="Helvetica"/>
                <w:b/>
                <w:lang w:val="en-GB"/>
              </w:rPr>
              <w:t>2</w:t>
            </w:r>
            <w:r w:rsidR="003A17D5">
              <w:rPr>
                <w:rFonts w:ascii="Helvetica" w:hAnsi="Helvetica" w:cs="Helvetica"/>
                <w:b/>
                <w:lang w:val="en-GB"/>
              </w:rPr>
              <w:t>2</w:t>
            </w:r>
            <w:r w:rsidR="00A13B89">
              <w:rPr>
                <w:rFonts w:ascii="Helvetica" w:hAnsi="Helvetica" w:cs="Helvetica"/>
                <w:b/>
                <w:lang w:val="en-GB"/>
              </w:rPr>
              <w:t xml:space="preserve"> </w:t>
            </w:r>
            <w:r w:rsidR="003A17D5">
              <w:rPr>
                <w:rFonts w:ascii="Helvetica" w:hAnsi="Helvetica" w:cs="Helvetica"/>
                <w:b/>
                <w:lang w:val="en-GB"/>
              </w:rPr>
              <w:t>July</w:t>
            </w:r>
            <w:r w:rsidR="00A13B89">
              <w:rPr>
                <w:rFonts w:ascii="Helvetica" w:hAnsi="Helvetica" w:cs="Helvetica"/>
                <w:b/>
                <w:lang w:val="en-GB"/>
              </w:rPr>
              <w:t xml:space="preserve"> 201</w:t>
            </w:r>
            <w:r w:rsidR="007A4DA2">
              <w:rPr>
                <w:rFonts w:ascii="Helvetica" w:hAnsi="Helvetica" w:cs="Helvetica"/>
                <w:b/>
                <w:lang w:val="en-GB"/>
              </w:rPr>
              <w:t>9</w:t>
            </w:r>
          </w:p>
        </w:tc>
      </w:tr>
      <w:tr w:rsidR="00521E70" w:rsidRPr="00C055A5" w:rsidTr="00306839">
        <w:trPr>
          <w:trHeight w:val="419"/>
        </w:trPr>
        <w:tc>
          <w:tcPr>
            <w:tcW w:w="10620" w:type="dxa"/>
            <w:gridSpan w:val="6"/>
            <w:vAlign w:val="center"/>
          </w:tcPr>
          <w:p w:rsidR="00D2326B" w:rsidRPr="00C055A5" w:rsidRDefault="00521E70" w:rsidP="00BF7E4A">
            <w:pPr>
              <w:rPr>
                <w:rFonts w:ascii="Helvetica" w:hAnsi="Helvetica" w:cs="Helvetica"/>
                <w:b/>
                <w:lang w:val="en-GB"/>
              </w:rPr>
            </w:pPr>
            <w:r>
              <w:rPr>
                <w:rFonts w:ascii="Helvetica" w:hAnsi="Helvetica" w:cs="Helvetica"/>
                <w:b/>
                <w:lang w:val="en-GB"/>
              </w:rPr>
              <w:t>7. Threshold(s) that is/are crossed or reached:</w:t>
            </w:r>
            <w:r w:rsidR="00BC282F">
              <w:rPr>
                <w:rFonts w:ascii="Helvetica" w:hAnsi="Helvetica" w:cs="Helvetica"/>
                <w:b/>
                <w:lang w:val="en-GB"/>
              </w:rPr>
              <w:t xml:space="preserve"> </w:t>
            </w:r>
            <w:r w:rsidR="003A17D5">
              <w:rPr>
                <w:rFonts w:ascii="Helvetica" w:hAnsi="Helvetica" w:cs="Helvetica"/>
                <w:b/>
                <w:lang w:val="en-GB"/>
              </w:rPr>
              <w:t>4</w:t>
            </w:r>
            <w:r w:rsidR="000C1CAC">
              <w:rPr>
                <w:rFonts w:ascii="Helvetica" w:hAnsi="Helvetica" w:cs="Helvetica"/>
                <w:b/>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F445F4" w:rsidRPr="00C055A5" w:rsidTr="00F1736C">
        <w:trPr>
          <w:trHeight w:val="555"/>
        </w:trPr>
        <w:tc>
          <w:tcPr>
            <w:tcW w:w="2124" w:type="dxa"/>
            <w:vAlign w:val="center"/>
          </w:tcPr>
          <w:p w:rsidR="00F445F4" w:rsidRPr="008F18BE" w:rsidRDefault="00F445F4"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F445F4" w:rsidRPr="00C055A5" w:rsidRDefault="00E25918" w:rsidP="00E25918">
            <w:pPr>
              <w:jc w:val="center"/>
              <w:rPr>
                <w:rFonts w:ascii="Helvetica" w:hAnsi="Helvetica" w:cs="Helvetica"/>
                <w:lang w:val="en-GB"/>
              </w:rPr>
            </w:pPr>
            <w:r>
              <w:rPr>
                <w:rFonts w:ascii="Helvetica" w:hAnsi="Helvetica" w:cs="Helvetica"/>
                <w:lang w:val="en-GB"/>
              </w:rPr>
              <w:t>4.71</w:t>
            </w:r>
            <w:r w:rsidR="00407438">
              <w:rPr>
                <w:rFonts w:ascii="Helvetica" w:hAnsi="Helvetica" w:cs="Helvetica"/>
                <w:lang w:val="en-GB"/>
              </w:rPr>
              <w:t>%</w:t>
            </w:r>
          </w:p>
        </w:tc>
        <w:tc>
          <w:tcPr>
            <w:tcW w:w="2313" w:type="dxa"/>
            <w:vAlign w:val="center"/>
          </w:tcPr>
          <w:p w:rsidR="00F445F4" w:rsidRPr="00C055A5" w:rsidRDefault="00407438" w:rsidP="00E25918">
            <w:pPr>
              <w:jc w:val="center"/>
              <w:rPr>
                <w:rFonts w:ascii="Helvetica" w:hAnsi="Helvetica" w:cs="Helvetica"/>
                <w:lang w:val="en-GB"/>
              </w:rPr>
            </w:pPr>
            <w:r>
              <w:rPr>
                <w:rFonts w:ascii="Helvetica" w:hAnsi="Helvetica" w:cs="Helvetica"/>
                <w:lang w:val="en-GB"/>
              </w:rPr>
              <w:t>0.</w:t>
            </w:r>
            <w:r w:rsidR="003A17D5">
              <w:rPr>
                <w:rFonts w:ascii="Helvetica" w:hAnsi="Helvetica" w:cs="Helvetica"/>
                <w:lang w:val="en-GB"/>
              </w:rPr>
              <w:t>58</w:t>
            </w:r>
            <w:r>
              <w:rPr>
                <w:rFonts w:ascii="Helvetica" w:hAnsi="Helvetica" w:cs="Helvetica"/>
                <w:lang w:val="en-GB"/>
              </w:rPr>
              <w:t>%</w:t>
            </w:r>
          </w:p>
        </w:tc>
        <w:tc>
          <w:tcPr>
            <w:tcW w:w="2126" w:type="dxa"/>
            <w:vAlign w:val="center"/>
          </w:tcPr>
          <w:p w:rsidR="00F445F4" w:rsidRPr="00C055A5" w:rsidRDefault="00E25918" w:rsidP="00E25918">
            <w:pPr>
              <w:jc w:val="center"/>
              <w:rPr>
                <w:rFonts w:ascii="Helvetica" w:hAnsi="Helvetica" w:cs="Helvetica"/>
                <w:lang w:val="en-GB"/>
              </w:rPr>
            </w:pPr>
            <w:r>
              <w:rPr>
                <w:rFonts w:ascii="Helvetica" w:hAnsi="Helvetica" w:cs="Helvetica"/>
                <w:lang w:val="en-GB"/>
              </w:rPr>
              <w:t>5</w:t>
            </w:r>
            <w:r w:rsidR="00BC282F">
              <w:rPr>
                <w:rFonts w:ascii="Helvetica" w:hAnsi="Helvetica" w:cs="Helvetica"/>
                <w:lang w:val="en-GB"/>
              </w:rPr>
              <w:t>.</w:t>
            </w:r>
            <w:r w:rsidR="004F2333">
              <w:rPr>
                <w:rFonts w:ascii="Helvetica" w:hAnsi="Helvetica" w:cs="Helvetica"/>
                <w:lang w:val="en-GB"/>
              </w:rPr>
              <w:t>2</w:t>
            </w:r>
            <w:r w:rsidR="003A17D5">
              <w:rPr>
                <w:rFonts w:ascii="Helvetica" w:hAnsi="Helvetica" w:cs="Helvetica"/>
                <w:lang w:val="en-GB"/>
              </w:rPr>
              <w:t>9</w:t>
            </w:r>
            <w:r w:rsidR="00BC282F">
              <w:rPr>
                <w:rFonts w:ascii="Helvetica" w:hAnsi="Helvetica" w:cs="Helvetica"/>
                <w:lang w:val="en-GB"/>
              </w:rPr>
              <w:t>%</w:t>
            </w:r>
          </w:p>
        </w:tc>
        <w:tc>
          <w:tcPr>
            <w:tcW w:w="1933" w:type="dxa"/>
            <w:vAlign w:val="center"/>
          </w:tcPr>
          <w:p w:rsidR="00F445F4" w:rsidRPr="00C055A5" w:rsidRDefault="00407438" w:rsidP="00F445F4">
            <w:pPr>
              <w:jc w:val="center"/>
              <w:rPr>
                <w:rFonts w:ascii="Helvetica" w:hAnsi="Helvetica" w:cs="Helvetica"/>
                <w:lang w:val="en-GB"/>
              </w:rPr>
            </w:pPr>
            <w:r w:rsidRPr="00407438">
              <w:rPr>
                <w:rFonts w:ascii="Helvetica" w:hAnsi="Helvetica" w:cs="Helvetica"/>
                <w:lang w:val="en-GB"/>
              </w:rPr>
              <w:t>445,977,485</w:t>
            </w:r>
          </w:p>
        </w:tc>
      </w:tr>
      <w:tr w:rsidR="003A17D5" w:rsidRPr="00C055A5" w:rsidTr="00F1736C">
        <w:trPr>
          <w:trHeight w:val="555"/>
        </w:trPr>
        <w:tc>
          <w:tcPr>
            <w:tcW w:w="2124" w:type="dxa"/>
            <w:vAlign w:val="center"/>
          </w:tcPr>
          <w:p w:rsidR="003A17D5" w:rsidRPr="008F18BE" w:rsidRDefault="003A17D5" w:rsidP="003A17D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3A17D5" w:rsidRPr="00C055A5" w:rsidRDefault="003A17D5" w:rsidP="003A17D5">
            <w:pPr>
              <w:jc w:val="center"/>
              <w:rPr>
                <w:rFonts w:ascii="Helvetica" w:hAnsi="Helvetica" w:cs="Helvetica"/>
                <w:lang w:val="en-GB"/>
              </w:rPr>
            </w:pPr>
            <w:r>
              <w:rPr>
                <w:rFonts w:ascii="Helvetica" w:hAnsi="Helvetica" w:cs="Helvetica"/>
                <w:lang w:val="en-GB"/>
              </w:rPr>
              <w:t>4.71%</w:t>
            </w:r>
          </w:p>
        </w:tc>
        <w:tc>
          <w:tcPr>
            <w:tcW w:w="2313" w:type="dxa"/>
            <w:vAlign w:val="center"/>
          </w:tcPr>
          <w:p w:rsidR="003A17D5" w:rsidRPr="00C055A5" w:rsidRDefault="003A17D5" w:rsidP="003A17D5">
            <w:pPr>
              <w:jc w:val="center"/>
              <w:rPr>
                <w:rFonts w:ascii="Helvetica" w:hAnsi="Helvetica" w:cs="Helvetica"/>
                <w:lang w:val="en-GB"/>
              </w:rPr>
            </w:pPr>
            <w:r>
              <w:rPr>
                <w:rFonts w:ascii="Helvetica" w:hAnsi="Helvetica" w:cs="Helvetica"/>
                <w:lang w:val="en-GB"/>
              </w:rPr>
              <w:t>0.54%</w:t>
            </w:r>
          </w:p>
        </w:tc>
        <w:tc>
          <w:tcPr>
            <w:tcW w:w="2126" w:type="dxa"/>
            <w:vAlign w:val="center"/>
          </w:tcPr>
          <w:p w:rsidR="003A17D5" w:rsidRPr="00C055A5" w:rsidRDefault="003A17D5" w:rsidP="003A17D5">
            <w:pPr>
              <w:jc w:val="center"/>
              <w:rPr>
                <w:rFonts w:ascii="Helvetica" w:hAnsi="Helvetica" w:cs="Helvetica"/>
                <w:lang w:val="en-GB"/>
              </w:rPr>
            </w:pPr>
            <w:r>
              <w:rPr>
                <w:rFonts w:ascii="Helvetica" w:hAnsi="Helvetica" w:cs="Helvetica"/>
                <w:lang w:val="en-GB"/>
              </w:rPr>
              <w:t>5.25%</w:t>
            </w:r>
          </w:p>
        </w:tc>
        <w:tc>
          <w:tcPr>
            <w:tcW w:w="1933" w:type="dxa"/>
            <w:shd w:val="thinDiagStripe" w:color="auto" w:fill="auto"/>
            <w:vAlign w:val="center"/>
          </w:tcPr>
          <w:p w:rsidR="003A17D5" w:rsidRPr="00C055A5" w:rsidRDefault="003A17D5" w:rsidP="003A17D5">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092E9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092E9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092E9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0C1CAC" w:rsidP="00C5065C">
            <w:pPr>
              <w:rPr>
                <w:rFonts w:ascii="Helvetica" w:hAnsi="Helvetica" w:cs="Helvetica"/>
                <w:lang w:val="en-GB"/>
              </w:rPr>
            </w:pPr>
            <w:r w:rsidRPr="000C1CAC">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3A17D5" w:rsidP="00F445F4">
            <w:pPr>
              <w:jc w:val="center"/>
              <w:rPr>
                <w:rFonts w:ascii="Helvetica" w:hAnsi="Helvetica" w:cs="Helvetica"/>
                <w:lang w:val="en-GB"/>
              </w:rPr>
            </w:pPr>
            <w:r w:rsidRPr="003A17D5">
              <w:rPr>
                <w:rFonts w:ascii="Helvetica" w:hAnsi="Helvetica" w:cs="Helvetica"/>
                <w:lang w:val="en-GB"/>
              </w:rPr>
              <w:t>20,994,419</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0436EE" w:rsidRDefault="00226086" w:rsidP="003A17D5">
            <w:pPr>
              <w:jc w:val="center"/>
              <w:rPr>
                <w:rFonts w:ascii="Helvetica" w:hAnsi="Helvetica" w:cs="Helvetica"/>
                <w:lang w:val="en-GB"/>
              </w:rPr>
            </w:pPr>
            <w:r>
              <w:rPr>
                <w:rFonts w:ascii="Helvetica" w:hAnsi="Helvetica" w:cs="Helvetica"/>
                <w:lang w:val="en-GB"/>
              </w:rPr>
              <w:t>4.71</w:t>
            </w:r>
            <w:r w:rsidR="00281DF6">
              <w:rPr>
                <w:rFonts w:ascii="Helvetica" w:hAnsi="Helvetica" w:cs="Helvetica"/>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0436EE"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0436EE" w:rsidRPr="00C055A5" w:rsidRDefault="000436EE"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94" w:type="dxa"/>
            <w:gridSpan w:val="2"/>
            <w:tcBorders>
              <w:top w:val="single" w:sz="4" w:space="0" w:color="auto"/>
              <w:bottom w:val="single" w:sz="4" w:space="0" w:color="auto"/>
              <w:right w:val="single" w:sz="4" w:space="0" w:color="auto"/>
            </w:tcBorders>
          </w:tcPr>
          <w:p w:rsidR="000436EE" w:rsidRPr="00281DF6" w:rsidRDefault="003A17D5" w:rsidP="00281DF6">
            <w:pPr>
              <w:jc w:val="center"/>
              <w:rPr>
                <w:rFonts w:ascii="Helvetica" w:hAnsi="Helvetica" w:cs="Helvetica"/>
                <w:b/>
                <w:lang w:val="en-GB"/>
              </w:rPr>
            </w:pPr>
            <w:r w:rsidRPr="003A17D5">
              <w:rPr>
                <w:rFonts w:ascii="Helvetica" w:hAnsi="Helvetica" w:cs="Helvetica"/>
                <w:b/>
                <w:lang w:val="en-GB"/>
              </w:rPr>
              <w:t>20,994,419</w:t>
            </w:r>
          </w:p>
        </w:tc>
        <w:tc>
          <w:tcPr>
            <w:tcW w:w="2347" w:type="dxa"/>
            <w:gridSpan w:val="2"/>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tcPr>
          <w:p w:rsidR="000436EE" w:rsidRPr="00281DF6" w:rsidRDefault="00226086" w:rsidP="003A17D5">
            <w:pPr>
              <w:jc w:val="center"/>
              <w:rPr>
                <w:rFonts w:ascii="Helvetica" w:hAnsi="Helvetica" w:cs="Helvetica"/>
                <w:b/>
                <w:lang w:val="en-GB"/>
              </w:rPr>
            </w:pPr>
            <w:r>
              <w:rPr>
                <w:rFonts w:ascii="Helvetica" w:hAnsi="Helvetica" w:cs="Helvetica"/>
                <w:b/>
                <w:lang w:val="en-GB"/>
              </w:rPr>
              <w:t>4.71</w:t>
            </w:r>
            <w:r w:rsidR="00BC282F" w:rsidRPr="00BC282F">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092E9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FB2FBD" w:rsidP="00F445F4">
            <w:pPr>
              <w:jc w:val="center"/>
              <w:rPr>
                <w:rFonts w:ascii="Helvetica" w:hAnsi="Helvetica" w:cs="Helvetica"/>
                <w:lang w:val="en-GB"/>
              </w:rPr>
            </w:pPr>
            <w:r>
              <w:rPr>
                <w:rFonts w:ascii="Helvetica" w:hAnsi="Helvetica" w:cs="Helvetica"/>
                <w:lang w:val="en-GB"/>
              </w:rPr>
              <w:t>Right to Recall</w:t>
            </w: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3A17D5" w:rsidP="00F445F4">
            <w:pPr>
              <w:jc w:val="center"/>
              <w:rPr>
                <w:rFonts w:ascii="Helvetica" w:hAnsi="Helvetica" w:cs="Helvetica"/>
                <w:lang w:val="en-GB"/>
              </w:rPr>
            </w:pPr>
            <w:r w:rsidRPr="003A17D5">
              <w:rPr>
                <w:rFonts w:ascii="Helvetica" w:hAnsi="Helvetica" w:cs="Helvetica"/>
                <w:lang w:val="en-GB"/>
              </w:rPr>
              <w:t>1,189,597</w:t>
            </w:r>
          </w:p>
        </w:tc>
        <w:tc>
          <w:tcPr>
            <w:tcW w:w="2077" w:type="dxa"/>
            <w:gridSpan w:val="2"/>
            <w:tcBorders>
              <w:top w:val="single" w:sz="4" w:space="0" w:color="auto"/>
              <w:left w:val="single" w:sz="4" w:space="0" w:color="auto"/>
              <w:bottom w:val="single" w:sz="4" w:space="0" w:color="auto"/>
            </w:tcBorders>
          </w:tcPr>
          <w:p w:rsidR="00C5065C" w:rsidRPr="00C055A5" w:rsidRDefault="00FB2FBD" w:rsidP="003A17D5">
            <w:pPr>
              <w:jc w:val="center"/>
              <w:rPr>
                <w:rFonts w:ascii="Helvetica" w:hAnsi="Helvetica" w:cs="Helvetica"/>
                <w:lang w:val="en-GB"/>
              </w:rPr>
            </w:pPr>
            <w:r>
              <w:rPr>
                <w:rFonts w:ascii="Helvetica" w:hAnsi="Helvetica" w:cs="Helvetica"/>
                <w:lang w:val="en-GB"/>
              </w:rPr>
              <w:t>0.</w:t>
            </w:r>
            <w:r w:rsidR="003A17D5">
              <w:rPr>
                <w:rFonts w:ascii="Helvetica" w:hAnsi="Helvetica" w:cs="Helvetica"/>
                <w:lang w:val="en-GB"/>
              </w:rPr>
              <w:t>27</w:t>
            </w:r>
            <w:r>
              <w:rPr>
                <w:rFonts w:ascii="Helvetica" w:hAnsi="Helvetica" w:cs="Helvetica"/>
                <w:lang w:val="en-GB"/>
              </w:rPr>
              <w:t>%</w:t>
            </w: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92E94">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FB2FBD" w:rsidRDefault="003A17D5" w:rsidP="00F445F4">
            <w:pPr>
              <w:jc w:val="center"/>
              <w:rPr>
                <w:rFonts w:ascii="Helvetica" w:hAnsi="Helvetica" w:cs="Helvetica"/>
                <w:b/>
                <w:lang w:val="en-GB"/>
              </w:rPr>
            </w:pPr>
            <w:r w:rsidRPr="003A17D5">
              <w:rPr>
                <w:rFonts w:ascii="Helvetica" w:hAnsi="Helvetica" w:cs="Helvetica"/>
                <w:b/>
                <w:lang w:val="en-GB"/>
              </w:rPr>
              <w:t>1,189,597</w:t>
            </w:r>
          </w:p>
        </w:tc>
        <w:tc>
          <w:tcPr>
            <w:tcW w:w="2077" w:type="dxa"/>
            <w:gridSpan w:val="2"/>
            <w:tcBorders>
              <w:top w:val="single" w:sz="4" w:space="0" w:color="auto"/>
              <w:left w:val="single" w:sz="4" w:space="0" w:color="auto"/>
              <w:bottom w:val="single" w:sz="4" w:space="0" w:color="auto"/>
            </w:tcBorders>
          </w:tcPr>
          <w:p w:rsidR="00C5065C" w:rsidRPr="00FB2FBD" w:rsidRDefault="003A17D5" w:rsidP="00BF7E4A">
            <w:pPr>
              <w:jc w:val="center"/>
              <w:rPr>
                <w:rFonts w:ascii="Helvetica" w:hAnsi="Helvetica" w:cs="Helvetica"/>
                <w:b/>
                <w:lang w:val="en-GB"/>
              </w:rPr>
            </w:pPr>
            <w:r>
              <w:rPr>
                <w:rFonts w:ascii="Helvetica" w:hAnsi="Helvetica" w:cs="Helvetica"/>
                <w:b/>
                <w:lang w:val="en-GB"/>
              </w:rPr>
              <w:t>0.27</w:t>
            </w:r>
            <w:r w:rsidR="00FB2FBD" w:rsidRPr="00FB2FBD">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092E9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092E9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281DF6" w:rsidP="00F445F4">
            <w:pPr>
              <w:jc w:val="center"/>
              <w:rPr>
                <w:rFonts w:ascii="Helvetica" w:hAnsi="Helvetica" w:cs="Helvetica"/>
                <w:lang w:val="en-GB"/>
              </w:rPr>
            </w:pPr>
            <w:r w:rsidRPr="00EE522D">
              <w:rPr>
                <w:rFonts w:ascii="Arial" w:eastAsia="Times New Roman" w:hAnsi="Arial" w:cs="Arial"/>
                <w:szCs w:val="24"/>
                <w:lang w:val="en-GB" w:eastAsia="de-DE"/>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F445F4">
            <w:pPr>
              <w:jc w:val="cente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281DF6" w:rsidRDefault="00281DF6" w:rsidP="00F445F4">
            <w:pPr>
              <w:jc w:val="center"/>
              <w:rPr>
                <w:rFonts w:ascii="Helvetica" w:hAnsi="Helvetica" w:cs="Helvetica"/>
                <w:lang w:val="en-GB"/>
              </w:rPr>
            </w:pPr>
            <w:r w:rsidRPr="00281DF6">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C5065C" w:rsidRPr="00281DF6" w:rsidRDefault="003A17D5" w:rsidP="00F445F4">
            <w:pPr>
              <w:jc w:val="center"/>
              <w:rPr>
                <w:rFonts w:ascii="Helvetica" w:hAnsi="Helvetica" w:cs="Helvetica"/>
                <w:lang w:val="en-GB"/>
              </w:rPr>
            </w:pPr>
            <w:r w:rsidRPr="003A17D5">
              <w:rPr>
                <w:rFonts w:ascii="Helvetica" w:hAnsi="Helvetica" w:cs="Helvetica"/>
                <w:lang w:val="en-GB"/>
              </w:rPr>
              <w:t>1,415,928</w:t>
            </w:r>
          </w:p>
        </w:tc>
        <w:tc>
          <w:tcPr>
            <w:tcW w:w="1992" w:type="dxa"/>
            <w:tcBorders>
              <w:top w:val="single" w:sz="4" w:space="0" w:color="auto"/>
              <w:left w:val="single" w:sz="4" w:space="0" w:color="auto"/>
              <w:bottom w:val="single" w:sz="4" w:space="0" w:color="auto"/>
            </w:tcBorders>
            <w:vAlign w:val="center"/>
          </w:tcPr>
          <w:p w:rsidR="00C5065C" w:rsidRPr="00281DF6" w:rsidRDefault="00281DF6" w:rsidP="00BF7E4A">
            <w:pPr>
              <w:jc w:val="center"/>
              <w:rPr>
                <w:rFonts w:ascii="Helvetica" w:hAnsi="Helvetica" w:cs="Helvetica"/>
                <w:lang w:val="en-GB"/>
              </w:rPr>
            </w:pPr>
            <w:r w:rsidRPr="00281DF6">
              <w:rPr>
                <w:rFonts w:ascii="Helvetica" w:hAnsi="Helvetica" w:cs="Helvetica"/>
                <w:lang w:val="en-GB"/>
              </w:rPr>
              <w:t>0.</w:t>
            </w:r>
            <w:r w:rsidR="00BF7E4A">
              <w:rPr>
                <w:rFonts w:ascii="Helvetica" w:hAnsi="Helvetica" w:cs="Helvetica"/>
                <w:lang w:val="en-GB"/>
              </w:rPr>
              <w:t>3</w:t>
            </w:r>
            <w:r w:rsidR="003A17D5">
              <w:rPr>
                <w:rFonts w:ascii="Helvetica" w:hAnsi="Helvetica" w:cs="Helvetica"/>
                <w:lang w:val="en-GB"/>
              </w:rPr>
              <w:t>2</w:t>
            </w:r>
            <w:r>
              <w:rPr>
                <w:rFonts w:ascii="Helvetica" w:hAnsi="Helvetica" w:cs="Helvetica"/>
                <w:lang w:val="en-GB"/>
              </w:rPr>
              <w:t>%</w:t>
            </w:r>
          </w:p>
        </w:tc>
      </w:tr>
      <w:tr w:rsidR="00C5065C" w:rsidRPr="00C055A5" w:rsidTr="00092E94">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281DF6" w:rsidRDefault="003A17D5" w:rsidP="004F2333">
            <w:pPr>
              <w:jc w:val="center"/>
              <w:rPr>
                <w:rFonts w:ascii="Helvetica" w:hAnsi="Helvetica" w:cs="Helvetica"/>
                <w:b/>
                <w:lang w:val="en-GB"/>
              </w:rPr>
            </w:pPr>
            <w:r w:rsidRPr="003A17D5">
              <w:rPr>
                <w:rFonts w:ascii="Helvetica" w:hAnsi="Helvetica" w:cs="Helvetica"/>
                <w:b/>
                <w:lang w:val="en-GB"/>
              </w:rPr>
              <w:t>1,415,928</w:t>
            </w:r>
          </w:p>
        </w:tc>
        <w:tc>
          <w:tcPr>
            <w:tcW w:w="1992" w:type="dxa"/>
            <w:tcBorders>
              <w:top w:val="single" w:sz="4" w:space="0" w:color="auto"/>
              <w:left w:val="single" w:sz="4" w:space="0" w:color="auto"/>
              <w:bottom w:val="single" w:sz="4" w:space="0" w:color="auto"/>
              <w:right w:val="single" w:sz="4" w:space="0" w:color="auto"/>
            </w:tcBorders>
          </w:tcPr>
          <w:p w:rsidR="00C5065C" w:rsidRPr="00281DF6" w:rsidRDefault="003A17D5" w:rsidP="00F445F4">
            <w:pPr>
              <w:jc w:val="center"/>
              <w:rPr>
                <w:rFonts w:ascii="Helvetica" w:hAnsi="Helvetica" w:cs="Helvetica"/>
                <w:b/>
                <w:lang w:val="en-GB"/>
              </w:rPr>
            </w:pPr>
            <w:r>
              <w:rPr>
                <w:rFonts w:ascii="Helvetica" w:hAnsi="Helvetica" w:cs="Helvetica"/>
                <w:b/>
                <w:lang w:val="en-GB"/>
              </w:rPr>
              <w:t>0.</w:t>
            </w:r>
            <w:r w:rsidR="00BF7E4A">
              <w:rPr>
                <w:rFonts w:ascii="Helvetica" w:hAnsi="Helvetica" w:cs="Helvetica"/>
                <w:b/>
                <w:lang w:val="en-GB"/>
              </w:rPr>
              <w:t>3</w:t>
            </w:r>
            <w:r>
              <w:rPr>
                <w:rFonts w:ascii="Helvetica" w:hAnsi="Helvetica" w:cs="Helvetica"/>
                <w:b/>
                <w:lang w:val="en-GB"/>
              </w:rPr>
              <w:t>2</w:t>
            </w:r>
            <w:r w:rsidR="00281DF6" w:rsidRPr="00281DF6">
              <w:rPr>
                <w:rFonts w:ascii="Helvetica" w:hAnsi="Helvetica" w:cs="Helvetica"/>
                <w:b/>
                <w:lang w:val="en-GB"/>
              </w:rPr>
              <w:t>%</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543"/>
        <w:gridCol w:w="2767"/>
        <w:gridCol w:w="2543"/>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lastRenderedPageBreak/>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0C1CAC"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947528">
        <w:trPr>
          <w:trHeight w:val="1149"/>
        </w:trPr>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77D9E" w:rsidRPr="00C055A5" w:rsidTr="00947528">
        <w:trPr>
          <w:trHeight w:val="440"/>
        </w:trPr>
        <w:tc>
          <w:tcPr>
            <w:tcW w:w="2767" w:type="dxa"/>
          </w:tcPr>
          <w:p w:rsidR="00777D9E" w:rsidRPr="00C055A5" w:rsidRDefault="00777D9E" w:rsidP="00C5065C">
            <w:pPr>
              <w:rPr>
                <w:rFonts w:ascii="Helvetica" w:hAnsi="Helvetica" w:cs="Helvetica"/>
                <w:b/>
                <w:lang w:val="en-GB"/>
              </w:rPr>
            </w:pPr>
            <w:r w:rsidRPr="000C1CAC">
              <w:rPr>
                <w:rFonts w:ascii="Helvetica" w:hAnsi="Helvetica" w:cs="Helvetica"/>
                <w:b/>
                <w:lang w:val="en-GB"/>
              </w:rPr>
              <w:t>JPMorgan Asset Management Holdings Inc.</w:t>
            </w:r>
          </w:p>
        </w:tc>
        <w:tc>
          <w:tcPr>
            <w:tcW w:w="2543" w:type="dxa"/>
          </w:tcPr>
          <w:p w:rsidR="00777D9E" w:rsidRPr="00F445F4" w:rsidRDefault="00777D9E" w:rsidP="00F445F4">
            <w:pPr>
              <w:jc w:val="center"/>
              <w:rPr>
                <w:rFonts w:ascii="Helvetica" w:hAnsi="Helvetica" w:cs="Helvetica"/>
                <w:lang w:val="en-GB"/>
              </w:rPr>
            </w:pPr>
          </w:p>
        </w:tc>
        <w:tc>
          <w:tcPr>
            <w:tcW w:w="2767" w:type="dxa"/>
          </w:tcPr>
          <w:p w:rsidR="00777D9E" w:rsidRPr="00F445F4" w:rsidRDefault="00777D9E" w:rsidP="00F445F4">
            <w:pPr>
              <w:jc w:val="center"/>
              <w:rPr>
                <w:rFonts w:ascii="Helvetica" w:hAnsi="Helvetica" w:cs="Helvetica"/>
                <w:lang w:val="en-GB"/>
              </w:rPr>
            </w:pPr>
          </w:p>
        </w:tc>
        <w:tc>
          <w:tcPr>
            <w:tcW w:w="2543" w:type="dxa"/>
          </w:tcPr>
          <w:p w:rsidR="00777D9E" w:rsidRPr="00F445F4" w:rsidRDefault="00777D9E" w:rsidP="00F445F4">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International Limited</w:t>
            </w:r>
          </w:p>
        </w:tc>
        <w:tc>
          <w:tcPr>
            <w:tcW w:w="2543" w:type="dxa"/>
          </w:tcPr>
          <w:p w:rsidR="00F445F4" w:rsidRPr="00F445F4" w:rsidRDefault="00F445F4" w:rsidP="008D638C">
            <w:pPr>
              <w:jc w:val="center"/>
              <w:rPr>
                <w:rFonts w:ascii="Helvetica" w:hAnsi="Helvetica" w:cs="Helvetica"/>
                <w:lang w:val="en-GB"/>
              </w:rPr>
            </w:pPr>
          </w:p>
        </w:tc>
        <w:tc>
          <w:tcPr>
            <w:tcW w:w="2767" w:type="dxa"/>
          </w:tcPr>
          <w:p w:rsidR="00F445F4" w:rsidRPr="00F445F4" w:rsidRDefault="00F445F4" w:rsidP="008D638C">
            <w:pPr>
              <w:jc w:val="center"/>
              <w:rPr>
                <w:rFonts w:ascii="Helvetica" w:hAnsi="Helvetica" w:cs="Helvetica"/>
                <w:lang w:val="en-GB"/>
              </w:rPr>
            </w:pPr>
          </w:p>
        </w:tc>
        <w:tc>
          <w:tcPr>
            <w:tcW w:w="2543" w:type="dxa"/>
          </w:tcPr>
          <w:p w:rsidR="00F445F4" w:rsidRPr="00F445F4" w:rsidRDefault="00F445F4" w:rsidP="008D638C">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Holdings (UK) Limited</w:t>
            </w:r>
          </w:p>
        </w:tc>
        <w:tc>
          <w:tcPr>
            <w:tcW w:w="2543" w:type="dxa"/>
          </w:tcPr>
          <w:p w:rsidR="00F445F4" w:rsidRPr="00F445F4" w:rsidRDefault="00F445F4" w:rsidP="008D638C">
            <w:pPr>
              <w:jc w:val="center"/>
              <w:rPr>
                <w:rFonts w:ascii="Helvetica" w:hAnsi="Helvetica" w:cs="Helvetica"/>
                <w:lang w:val="en-GB"/>
              </w:rPr>
            </w:pPr>
          </w:p>
        </w:tc>
        <w:tc>
          <w:tcPr>
            <w:tcW w:w="2767" w:type="dxa"/>
          </w:tcPr>
          <w:p w:rsidR="00F445F4" w:rsidRPr="00F445F4" w:rsidRDefault="00F445F4" w:rsidP="008D638C">
            <w:pPr>
              <w:jc w:val="center"/>
              <w:rPr>
                <w:rFonts w:ascii="Helvetica" w:hAnsi="Helvetica" w:cs="Helvetica"/>
                <w:lang w:val="en-GB"/>
              </w:rPr>
            </w:pPr>
          </w:p>
        </w:tc>
        <w:tc>
          <w:tcPr>
            <w:tcW w:w="2543" w:type="dxa"/>
          </w:tcPr>
          <w:p w:rsidR="00F445F4" w:rsidRPr="00F445F4" w:rsidRDefault="00F445F4" w:rsidP="008D638C">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(UK) Limited</w:t>
            </w:r>
          </w:p>
        </w:tc>
        <w:tc>
          <w:tcPr>
            <w:tcW w:w="2543" w:type="dxa"/>
          </w:tcPr>
          <w:p w:rsidR="00F445F4" w:rsidRDefault="00F445F4" w:rsidP="008D638C">
            <w:pPr>
              <w:jc w:val="center"/>
              <w:rPr>
                <w:rFonts w:ascii="Helvetica" w:hAnsi="Helvetica" w:cs="Helvetica"/>
                <w:lang w:val="en-GB"/>
              </w:rPr>
            </w:pPr>
          </w:p>
          <w:p w:rsidR="004C314C" w:rsidRPr="004C314C" w:rsidRDefault="007772A1" w:rsidP="00BF7E4A">
            <w:pPr>
              <w:jc w:val="center"/>
              <w:rPr>
                <w:rFonts w:ascii="Helvetica" w:hAnsi="Helvetica" w:cs="Helvetica"/>
                <w:b/>
                <w:lang w:val="en-GB"/>
              </w:rPr>
            </w:pPr>
            <w:r>
              <w:rPr>
                <w:rFonts w:ascii="Helvetica" w:hAnsi="Helvetica" w:cs="Helvetica"/>
                <w:b/>
                <w:lang w:val="en-GB"/>
              </w:rPr>
              <w:t>3.99%</w:t>
            </w:r>
          </w:p>
        </w:tc>
        <w:tc>
          <w:tcPr>
            <w:tcW w:w="2767" w:type="dxa"/>
          </w:tcPr>
          <w:p w:rsidR="00F445F4" w:rsidRPr="00F445F4" w:rsidRDefault="00F445F4" w:rsidP="008D638C">
            <w:pPr>
              <w:jc w:val="center"/>
              <w:rPr>
                <w:rFonts w:ascii="Helvetica" w:hAnsi="Helvetica" w:cs="Helvetica"/>
                <w:lang w:val="en-GB"/>
              </w:rPr>
            </w:pPr>
          </w:p>
        </w:tc>
        <w:tc>
          <w:tcPr>
            <w:tcW w:w="2543" w:type="dxa"/>
          </w:tcPr>
          <w:p w:rsidR="00281DF6" w:rsidRPr="00281DF6" w:rsidRDefault="00281DF6" w:rsidP="00281DF6">
            <w:pPr>
              <w:jc w:val="center"/>
              <w:rPr>
                <w:rFonts w:ascii="Helvetica" w:hAnsi="Helvetica" w:cs="Helvetica"/>
                <w:b/>
                <w:lang w:val="en-GB"/>
              </w:rPr>
            </w:pPr>
          </w:p>
          <w:p w:rsidR="00F445F4" w:rsidRPr="00F445F4" w:rsidRDefault="004F2333" w:rsidP="003A17D5">
            <w:pPr>
              <w:jc w:val="center"/>
              <w:rPr>
                <w:rFonts w:ascii="Helvetica" w:hAnsi="Helvetica" w:cs="Helvetica"/>
                <w:lang w:val="en-GB"/>
              </w:rPr>
            </w:pPr>
            <w:r>
              <w:rPr>
                <w:rFonts w:ascii="Helvetica" w:hAnsi="Helvetica" w:cs="Helvetica"/>
                <w:b/>
                <w:lang w:val="en-GB"/>
              </w:rPr>
              <w:t>4</w:t>
            </w:r>
            <w:r w:rsidR="00947528">
              <w:rPr>
                <w:rFonts w:ascii="Helvetica" w:hAnsi="Helvetica" w:cs="Helvetica"/>
                <w:b/>
                <w:lang w:val="en-GB"/>
              </w:rPr>
              <w:t>.</w:t>
            </w:r>
            <w:r w:rsidR="003A17D5">
              <w:rPr>
                <w:rFonts w:ascii="Helvetica" w:hAnsi="Helvetica" w:cs="Helvetica"/>
                <w:b/>
                <w:lang w:val="en-GB"/>
              </w:rPr>
              <w:t>55</w:t>
            </w:r>
            <w:r w:rsidR="00281DF6" w:rsidRPr="00281DF6">
              <w:rPr>
                <w:rFonts w:ascii="Helvetica" w:hAnsi="Helvetica" w:cs="Helvetica"/>
                <w:b/>
                <w:lang w:val="en-GB"/>
              </w:rPr>
              <w:t>%</w:t>
            </w:r>
          </w:p>
        </w:tc>
      </w:tr>
      <w:tr w:rsidR="00281DF6" w:rsidRPr="00C055A5" w:rsidTr="00947528">
        <w:trPr>
          <w:trHeight w:val="440"/>
        </w:trPr>
        <w:tc>
          <w:tcPr>
            <w:tcW w:w="2767" w:type="dxa"/>
          </w:tcPr>
          <w:p w:rsidR="00281DF6" w:rsidRPr="000C1CAC" w:rsidRDefault="00281DF6" w:rsidP="00C5065C">
            <w:pPr>
              <w:rPr>
                <w:rFonts w:ascii="Helvetica" w:hAnsi="Helvetica" w:cs="Helvetica"/>
                <w:b/>
                <w:lang w:val="en-GB"/>
              </w:rPr>
            </w:pPr>
          </w:p>
        </w:tc>
        <w:tc>
          <w:tcPr>
            <w:tcW w:w="2543" w:type="dxa"/>
          </w:tcPr>
          <w:p w:rsidR="00281DF6" w:rsidRPr="00F445F4" w:rsidRDefault="00281DF6" w:rsidP="008D638C">
            <w:pPr>
              <w:jc w:val="center"/>
              <w:rPr>
                <w:rFonts w:ascii="Helvetica" w:hAnsi="Helvetica" w:cs="Helvetica"/>
                <w:lang w:val="en-GB"/>
              </w:rPr>
            </w:pPr>
          </w:p>
        </w:tc>
        <w:tc>
          <w:tcPr>
            <w:tcW w:w="2767" w:type="dxa"/>
          </w:tcPr>
          <w:p w:rsidR="00281DF6" w:rsidRPr="00F445F4" w:rsidRDefault="00281DF6" w:rsidP="008D638C">
            <w:pPr>
              <w:jc w:val="center"/>
              <w:rPr>
                <w:rFonts w:ascii="Helvetica" w:hAnsi="Helvetica" w:cs="Helvetica"/>
                <w:lang w:val="en-GB"/>
              </w:rPr>
            </w:pPr>
          </w:p>
        </w:tc>
        <w:tc>
          <w:tcPr>
            <w:tcW w:w="2543" w:type="dxa"/>
          </w:tcPr>
          <w:p w:rsidR="00281DF6" w:rsidRPr="00F445F4" w:rsidRDefault="00281DF6" w:rsidP="008D638C">
            <w:pPr>
              <w:jc w:val="center"/>
              <w:rPr>
                <w:rFonts w:ascii="Helvetica" w:hAnsi="Helvetica" w:cs="Helvetica"/>
                <w:lang w:val="en-GB"/>
              </w:rPr>
            </w:pPr>
          </w:p>
        </w:tc>
      </w:tr>
      <w:tr w:rsidR="00281DF6" w:rsidRPr="00C055A5" w:rsidTr="00947528">
        <w:trPr>
          <w:trHeight w:val="440"/>
        </w:trPr>
        <w:tc>
          <w:tcPr>
            <w:tcW w:w="2767" w:type="dxa"/>
            <w:vAlign w:val="center"/>
          </w:tcPr>
          <w:p w:rsidR="00281DF6" w:rsidRPr="00281DF6" w:rsidRDefault="00281DF6" w:rsidP="00281DF6">
            <w:pPr>
              <w:rPr>
                <w:rFonts w:ascii="Helvetica" w:hAnsi="Helvetica" w:cs="Helvetica"/>
                <w:b/>
                <w:lang w:val="en-GB"/>
              </w:rPr>
            </w:pPr>
            <w:r w:rsidRPr="00281DF6">
              <w:rPr>
                <w:rFonts w:ascii="Helvetica" w:hAnsi="Helvetica" w:cs="Helvetica"/>
                <w:b/>
                <w:lang w:val="en-GB"/>
              </w:rPr>
              <w:t>JPMorgan Asset Management Holdings Inc.</w:t>
            </w:r>
          </w:p>
        </w:tc>
        <w:tc>
          <w:tcPr>
            <w:tcW w:w="2543" w:type="dxa"/>
            <w:vAlign w:val="center"/>
          </w:tcPr>
          <w:p w:rsidR="00281DF6" w:rsidRPr="00DA3C49" w:rsidRDefault="00281DF6" w:rsidP="00281DF6">
            <w:pPr>
              <w:jc w:val="center"/>
              <w:rPr>
                <w:rFonts w:ascii="Arial" w:hAnsi="Arial" w:cs="Arial"/>
              </w:rPr>
            </w:pPr>
          </w:p>
        </w:tc>
        <w:tc>
          <w:tcPr>
            <w:tcW w:w="2767" w:type="dxa"/>
            <w:vAlign w:val="center"/>
          </w:tcPr>
          <w:p w:rsidR="00281DF6" w:rsidRPr="00DA3C49" w:rsidRDefault="00281DF6" w:rsidP="00281DF6">
            <w:pPr>
              <w:jc w:val="center"/>
              <w:rPr>
                <w:rFonts w:ascii="Arial" w:hAnsi="Arial" w:cs="Arial"/>
              </w:rPr>
            </w:pPr>
          </w:p>
        </w:tc>
        <w:tc>
          <w:tcPr>
            <w:tcW w:w="2543" w:type="dxa"/>
            <w:vAlign w:val="center"/>
          </w:tcPr>
          <w:p w:rsidR="00281DF6" w:rsidRPr="0060309C" w:rsidRDefault="00281DF6" w:rsidP="00281DF6">
            <w:pPr>
              <w:jc w:val="center"/>
              <w:rPr>
                <w:rFonts w:ascii="Arial" w:hAnsi="Arial" w:cs="Arial"/>
              </w:rPr>
            </w:pPr>
          </w:p>
        </w:tc>
      </w:tr>
      <w:tr w:rsidR="00281DF6" w:rsidRPr="00C055A5" w:rsidTr="00947528">
        <w:trPr>
          <w:trHeight w:val="440"/>
        </w:trPr>
        <w:tc>
          <w:tcPr>
            <w:tcW w:w="2767" w:type="dxa"/>
            <w:vAlign w:val="center"/>
          </w:tcPr>
          <w:p w:rsidR="00281DF6" w:rsidRPr="00281DF6" w:rsidRDefault="00281DF6" w:rsidP="00281DF6">
            <w:pPr>
              <w:rPr>
                <w:rFonts w:ascii="Helvetica" w:hAnsi="Helvetica" w:cs="Helvetica"/>
                <w:b/>
                <w:lang w:val="en-GB"/>
              </w:rPr>
            </w:pPr>
            <w:r w:rsidRPr="00281DF6">
              <w:rPr>
                <w:rFonts w:ascii="Helvetica" w:hAnsi="Helvetica" w:cs="Helvetica"/>
                <w:b/>
                <w:lang w:val="en-GB"/>
              </w:rPr>
              <w:t>J.P. Morgan Investment Management Inc.</w:t>
            </w:r>
          </w:p>
        </w:tc>
        <w:tc>
          <w:tcPr>
            <w:tcW w:w="2543" w:type="dxa"/>
            <w:vAlign w:val="center"/>
          </w:tcPr>
          <w:p w:rsidR="00281DF6" w:rsidRPr="00DA3C49" w:rsidRDefault="00281DF6" w:rsidP="00281DF6">
            <w:pPr>
              <w:jc w:val="center"/>
              <w:rPr>
                <w:rFonts w:ascii="Arial" w:hAnsi="Arial" w:cs="Arial"/>
              </w:rPr>
            </w:pPr>
          </w:p>
        </w:tc>
        <w:tc>
          <w:tcPr>
            <w:tcW w:w="2767" w:type="dxa"/>
            <w:vAlign w:val="center"/>
          </w:tcPr>
          <w:p w:rsidR="00281DF6" w:rsidRPr="00DA3C49" w:rsidRDefault="00281DF6" w:rsidP="00281DF6">
            <w:pPr>
              <w:jc w:val="center"/>
              <w:rPr>
                <w:rFonts w:ascii="Arial" w:hAnsi="Arial" w:cs="Arial"/>
              </w:rPr>
            </w:pPr>
          </w:p>
        </w:tc>
        <w:tc>
          <w:tcPr>
            <w:tcW w:w="2543" w:type="dxa"/>
            <w:vAlign w:val="center"/>
          </w:tcPr>
          <w:p w:rsidR="00281DF6" w:rsidRPr="0060309C" w:rsidRDefault="00281DF6"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r w:rsidRPr="00947528">
              <w:rPr>
                <w:rFonts w:ascii="Helvetica" w:hAnsi="Helvetica" w:cs="Helvetica"/>
                <w:b/>
                <w:lang w:val="en-GB"/>
              </w:rPr>
              <w:t>JPMorgan Chase &amp; Co.</w:t>
            </w: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r w:rsidRPr="00947528">
              <w:rPr>
                <w:rFonts w:ascii="Helvetica" w:hAnsi="Helvetica" w:cs="Helvetica"/>
                <w:b/>
                <w:lang w:val="en-GB"/>
              </w:rPr>
              <w:t>JPMorgan Chase Bank, National Association</w:t>
            </w: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281DF6" w:rsidRPr="00C055A5" w:rsidTr="00F1736C">
        <w:trPr>
          <w:trHeight w:val="710"/>
        </w:trPr>
        <w:tc>
          <w:tcPr>
            <w:tcW w:w="10620" w:type="dxa"/>
            <w:gridSpan w:val="4"/>
            <w:tcBorders>
              <w:left w:val="nil"/>
              <w:right w:val="nil"/>
            </w:tcBorders>
          </w:tcPr>
          <w:p w:rsidR="00281DF6" w:rsidRPr="00C055A5" w:rsidRDefault="00281DF6" w:rsidP="00281DF6">
            <w:pPr>
              <w:rPr>
                <w:rFonts w:ascii="Helvetica" w:hAnsi="Helvetica" w:cs="Helvetica"/>
                <w:b/>
                <w:lang w:val="en-GB"/>
              </w:rPr>
            </w:pPr>
          </w:p>
        </w:tc>
      </w:tr>
      <w:tr w:rsidR="00281DF6" w:rsidRPr="00C055A5" w:rsidTr="00F1736C">
        <w:trPr>
          <w:trHeight w:val="694"/>
        </w:trPr>
        <w:tc>
          <w:tcPr>
            <w:tcW w:w="10620" w:type="dxa"/>
            <w:gridSpan w:val="4"/>
            <w:vAlign w:val="center"/>
          </w:tcPr>
          <w:p w:rsidR="00281DF6" w:rsidRPr="00C055A5" w:rsidRDefault="00281DF6" w:rsidP="00281DF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81DF6" w:rsidRPr="00C055A5" w:rsidTr="00F1736C">
        <w:trPr>
          <w:trHeight w:val="530"/>
        </w:trPr>
        <w:tc>
          <w:tcPr>
            <w:tcW w:w="10620" w:type="dxa"/>
            <w:gridSpan w:val="4"/>
            <w:tcBorders>
              <w:left w:val="nil"/>
              <w:bottom w:val="nil"/>
              <w:right w:val="nil"/>
            </w:tcBorders>
            <w:vAlign w:val="center"/>
          </w:tcPr>
          <w:p w:rsidR="00281DF6" w:rsidRPr="00C055A5" w:rsidRDefault="00281DF6" w:rsidP="00281DF6">
            <w:pPr>
              <w:rPr>
                <w:rFonts w:ascii="Helvetica" w:hAnsi="Helvetica" w:cs="Helvetica"/>
                <w:lang w:val="en-GB"/>
              </w:rPr>
            </w:pPr>
          </w:p>
        </w:tc>
      </w:tr>
      <w:tr w:rsidR="00281DF6" w:rsidRPr="00C055A5" w:rsidTr="00F1736C">
        <w:trPr>
          <w:trHeight w:val="950"/>
        </w:trPr>
        <w:tc>
          <w:tcPr>
            <w:tcW w:w="10620" w:type="dxa"/>
            <w:gridSpan w:val="4"/>
          </w:tcPr>
          <w:p w:rsidR="00281DF6" w:rsidRPr="00C055A5" w:rsidRDefault="00281DF6" w:rsidP="00281DF6">
            <w:pPr>
              <w:rPr>
                <w:rFonts w:ascii="Helvetica" w:hAnsi="Helvetica" w:cs="Helvetica"/>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0C1CAC">
      <w:pPr>
        <w:rPr>
          <w:rFonts w:ascii="Helvetica" w:hAnsi="Helvetica" w:cs="Helvetica"/>
          <w:lang w:val="en-GB"/>
        </w:rPr>
      </w:pPr>
      <w:r>
        <w:rPr>
          <w:rFonts w:ascii="Helvetica" w:hAnsi="Helvetica" w:cs="Helvetica"/>
          <w:lang w:val="en-GB"/>
        </w:rPr>
        <w:t xml:space="preserve">Done at London </w:t>
      </w:r>
      <w:r w:rsidR="00C5065C" w:rsidRPr="00C055A5">
        <w:rPr>
          <w:rFonts w:ascii="Helvetica" w:hAnsi="Helvetica" w:cs="Helvetica"/>
          <w:lang w:val="en-GB"/>
        </w:rPr>
        <w:t xml:space="preserve">on </w:t>
      </w:r>
      <w:r w:rsidR="003A17D5">
        <w:rPr>
          <w:rFonts w:ascii="Helvetica" w:hAnsi="Helvetica" w:cs="Helvetica"/>
          <w:lang w:val="en-GB"/>
        </w:rPr>
        <w:t>22</w:t>
      </w:r>
      <w:r>
        <w:rPr>
          <w:rFonts w:ascii="Helvetica" w:hAnsi="Helvetica" w:cs="Helvetica"/>
          <w:lang w:val="en-GB"/>
        </w:rPr>
        <w:t xml:space="preserve"> </w:t>
      </w:r>
      <w:r w:rsidR="00F445F4">
        <w:rPr>
          <w:rFonts w:ascii="Helvetica" w:hAnsi="Helvetica" w:cs="Helvetica"/>
          <w:lang w:val="en-GB"/>
        </w:rPr>
        <w:t>Ju</w:t>
      </w:r>
      <w:r w:rsidR="003A17D5">
        <w:rPr>
          <w:rFonts w:ascii="Helvetica" w:hAnsi="Helvetica" w:cs="Helvetica"/>
          <w:lang w:val="en-GB"/>
        </w:rPr>
        <w:t>ly</w:t>
      </w:r>
      <w:r>
        <w:rPr>
          <w:rFonts w:ascii="Helvetica" w:hAnsi="Helvetica" w:cs="Helvetica"/>
          <w:lang w:val="en-GB"/>
        </w:rPr>
        <w:t xml:space="preserve"> 201</w:t>
      </w:r>
      <w:r w:rsidR="00281DF6">
        <w:rPr>
          <w:rFonts w:ascii="Helvetica" w:hAnsi="Helvetica" w:cs="Helvetica"/>
          <w:lang w:val="en-GB"/>
        </w:rPr>
        <w:t>9</w:t>
      </w:r>
      <w:r w:rsidR="00C5065C" w:rsidRPr="00C055A5">
        <w:rPr>
          <w:rFonts w:ascii="Helvetica" w:hAnsi="Helvetica" w:cs="Helvetica"/>
          <w:lang w:val="en-GB"/>
        </w:rPr>
        <w:t>.</w:t>
      </w:r>
    </w:p>
    <w:p w:rsidR="00180A5E" w:rsidRDefault="00180A5E"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36EE"/>
    <w:rsid w:val="00045841"/>
    <w:rsid w:val="00092E94"/>
    <w:rsid w:val="000A44F2"/>
    <w:rsid w:val="000C1CAC"/>
    <w:rsid w:val="000F47A3"/>
    <w:rsid w:val="00116B81"/>
    <w:rsid w:val="0015068A"/>
    <w:rsid w:val="00180A5E"/>
    <w:rsid w:val="001D12BD"/>
    <w:rsid w:val="001F1DD0"/>
    <w:rsid w:val="002059DD"/>
    <w:rsid w:val="002177A2"/>
    <w:rsid w:val="002177A9"/>
    <w:rsid w:val="00226086"/>
    <w:rsid w:val="00264FCF"/>
    <w:rsid w:val="002746F0"/>
    <w:rsid w:val="002772AA"/>
    <w:rsid w:val="00281DF6"/>
    <w:rsid w:val="0029207C"/>
    <w:rsid w:val="002D464A"/>
    <w:rsid w:val="002D7AA4"/>
    <w:rsid w:val="002E08F1"/>
    <w:rsid w:val="00305F2E"/>
    <w:rsid w:val="00347AA4"/>
    <w:rsid w:val="00370C11"/>
    <w:rsid w:val="003A17D5"/>
    <w:rsid w:val="003C2D94"/>
    <w:rsid w:val="00407438"/>
    <w:rsid w:val="00413475"/>
    <w:rsid w:val="00462AFD"/>
    <w:rsid w:val="00485978"/>
    <w:rsid w:val="004C314C"/>
    <w:rsid w:val="004D265C"/>
    <w:rsid w:val="004F2333"/>
    <w:rsid w:val="004F440A"/>
    <w:rsid w:val="00521E70"/>
    <w:rsid w:val="00562111"/>
    <w:rsid w:val="00562726"/>
    <w:rsid w:val="00586C3D"/>
    <w:rsid w:val="00627F09"/>
    <w:rsid w:val="00630E34"/>
    <w:rsid w:val="00642E75"/>
    <w:rsid w:val="00654393"/>
    <w:rsid w:val="00692996"/>
    <w:rsid w:val="006E5403"/>
    <w:rsid w:val="0070184B"/>
    <w:rsid w:val="00712AB8"/>
    <w:rsid w:val="00737B55"/>
    <w:rsid w:val="007772A1"/>
    <w:rsid w:val="00777D9E"/>
    <w:rsid w:val="00795C4F"/>
    <w:rsid w:val="007A4DA2"/>
    <w:rsid w:val="007C162B"/>
    <w:rsid w:val="008415C4"/>
    <w:rsid w:val="008778CE"/>
    <w:rsid w:val="008F18BE"/>
    <w:rsid w:val="008F2685"/>
    <w:rsid w:val="0090223E"/>
    <w:rsid w:val="00947528"/>
    <w:rsid w:val="00957F01"/>
    <w:rsid w:val="00A13B89"/>
    <w:rsid w:val="00A50EAE"/>
    <w:rsid w:val="00B0518C"/>
    <w:rsid w:val="00B47EB3"/>
    <w:rsid w:val="00B80BC0"/>
    <w:rsid w:val="00B878F3"/>
    <w:rsid w:val="00BA42D8"/>
    <w:rsid w:val="00BA72A7"/>
    <w:rsid w:val="00BC282F"/>
    <w:rsid w:val="00BE706C"/>
    <w:rsid w:val="00BF7E4A"/>
    <w:rsid w:val="00C01F91"/>
    <w:rsid w:val="00C04ACC"/>
    <w:rsid w:val="00C055A5"/>
    <w:rsid w:val="00C11F38"/>
    <w:rsid w:val="00C4160D"/>
    <w:rsid w:val="00C5065C"/>
    <w:rsid w:val="00CA34EB"/>
    <w:rsid w:val="00D2326B"/>
    <w:rsid w:val="00D2417E"/>
    <w:rsid w:val="00D26395"/>
    <w:rsid w:val="00D31F60"/>
    <w:rsid w:val="00D363B8"/>
    <w:rsid w:val="00D701D8"/>
    <w:rsid w:val="00E25918"/>
    <w:rsid w:val="00E50226"/>
    <w:rsid w:val="00E767F1"/>
    <w:rsid w:val="00F21891"/>
    <w:rsid w:val="00F21FBB"/>
    <w:rsid w:val="00F26D04"/>
    <w:rsid w:val="00F32B37"/>
    <w:rsid w:val="00F445F4"/>
    <w:rsid w:val="00FB2FBD"/>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5BB67-9BEA-40EA-9987-251D5E5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2019-07-22T14:25:47+00:00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A648B-ECF8-4656-A088-1894DE0850B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B07A2CE7-D4C7-4F61-9D01-5CE2F63A25E4}"/>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2019-07-22T14:05:00Z</dcterms:created>
  <dcterms:modified xsi:type="dcterms:W3CDTF">2019-07-22T14:05:00Z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